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343d6k.htm"/>
      <w:bookmarkStart w:id="1" w:name="ksd12534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36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36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19 Duncan Street, Toronto, </w:t>
      </w:r>
    </w:p>
    <w:p>
      <w:pPr>
        <w:pStyle w:val="TextBody"/>
        <w:bidi w:val="0"/>
        <w:spacing w:before="0" w:after="0"/>
        <w:jc w:val="center"/>
        <w:rPr>
          <w:rFonts w:ascii="Times New Roman" w:hAnsi="Times New Roman"/>
          <w:b/>
          <w:sz w:val="20"/>
        </w:rPr>
      </w:pPr>
      <w:r>
        <w:rPr>
          <w:rFonts w:ascii="Times New Roman" w:hAnsi="Times New Roman"/>
          <w:b/>
          <w:sz w:val="20"/>
        </w:rPr>
        <w:t xml:space="preserve">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c>
          <w:tcPr>
            <w:tcW w:w="4082" w:type="dxa"/>
            <w:gridSpan w:val="3"/>
            <w:tcBorders/>
          </w:tcPr>
          <w:p>
            <w:pPr>
              <w:pStyle w:val="TableContents"/>
              <w:bidi w:val="0"/>
              <w:spacing w:before="0" w:after="283"/>
              <w:jc w:val="left"/>
              <w:rPr/>
            </w:pPr>
            <w:r>
              <w:rPr/>
              <w:t xml:space="preserve">(Registrant) </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8"/>
        <w:gridCol w:w="830"/>
        <w:gridCol w:w="8207"/>
      </w:tblGrid>
      <w:tr>
        <w:trPr/>
        <w:tc>
          <w:tcPr>
            <w:tcW w:w="1168" w:type="dxa"/>
            <w:tcBorders/>
            <w:vAlign w:val="center"/>
          </w:tcPr>
          <w:p>
            <w:pPr>
              <w:pStyle w:val="TableContents"/>
              <w:bidi w:val="0"/>
              <w:spacing w:before="0" w:after="283"/>
              <w:jc w:val="left"/>
              <w:rPr>
                <w:sz w:val="4"/>
                <w:szCs w:val="4"/>
              </w:rPr>
            </w:pPr>
            <w:r>
              <w:rPr>
                <w:sz w:val="4"/>
                <w:szCs w:val="4"/>
              </w:rPr>
            </w:r>
          </w:p>
        </w:tc>
        <w:tc>
          <w:tcPr>
            <w:tcW w:w="830" w:type="dxa"/>
            <w:tcBorders/>
            <w:vAlign w:val="bottom"/>
          </w:tcPr>
          <w:p>
            <w:pPr>
              <w:pStyle w:val="TableContents"/>
              <w:bidi w:val="0"/>
              <w:spacing w:before="0" w:after="283"/>
              <w:jc w:val="left"/>
              <w:rPr>
                <w:sz w:val="4"/>
                <w:szCs w:val="4"/>
              </w:rPr>
            </w:pPr>
            <w:r>
              <w:rPr>
                <w:sz w:val="4"/>
                <w:szCs w:val="4"/>
              </w:rPr>
            </w:r>
          </w:p>
        </w:tc>
        <w:tc>
          <w:tcPr>
            <w:tcW w:w="8207" w:type="dxa"/>
            <w:tcBorders/>
            <w:vAlign w:val="center"/>
          </w:tcPr>
          <w:p>
            <w:pPr>
              <w:pStyle w:val="TableContents"/>
              <w:bidi w:val="0"/>
              <w:spacing w:before="0" w:after="283"/>
              <w:jc w:val="left"/>
              <w:rPr>
                <w:sz w:val="4"/>
                <w:szCs w:val="4"/>
              </w:rPr>
            </w:pPr>
            <w:r>
              <w:rPr>
                <w:sz w:val="4"/>
                <w:szCs w:val="4"/>
              </w:rPr>
            </w:r>
          </w:p>
        </w:tc>
      </w:tr>
      <w:tr>
        <w:trPr/>
        <w:tc>
          <w:tcPr>
            <w:tcW w:w="116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830" w:type="dxa"/>
            <w:tcBorders/>
            <w:vAlign w:val="bottom"/>
          </w:tcPr>
          <w:p>
            <w:pPr>
              <w:pStyle w:val="TableContents"/>
              <w:bidi w:val="0"/>
              <w:spacing w:before="0" w:after="283"/>
              <w:jc w:val="left"/>
              <w:rPr/>
            </w:pPr>
            <w:r>
              <w:rPr/>
              <w:t>  </w:t>
            </w:r>
          </w:p>
        </w:tc>
        <w:tc>
          <w:tcPr>
            <w:tcW w:w="820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283"/>
              <w:jc w:val="left"/>
              <w:rPr/>
            </w:pPr>
            <w:r>
              <w:rPr/>
              <w:t>99.1</w:t>
            </w:r>
          </w:p>
        </w:tc>
        <w:tc>
          <w:tcPr>
            <w:tcW w:w="830" w:type="dxa"/>
            <w:tcBorders/>
            <w:vAlign w:val="bottom"/>
          </w:tcPr>
          <w:p>
            <w:pPr>
              <w:pStyle w:val="TableContents"/>
              <w:bidi w:val="0"/>
              <w:spacing w:before="0" w:after="283"/>
              <w:jc w:val="left"/>
              <w:rPr/>
            </w:pPr>
            <w:r>
              <w:rPr/>
              <w:t>  </w:t>
            </w:r>
          </w:p>
        </w:tc>
        <w:tc>
          <w:tcPr>
            <w:tcW w:w="8207" w:type="dxa"/>
            <w:tcBorders/>
          </w:tcPr>
          <w:p>
            <w:pPr>
              <w:pStyle w:val="TableContents"/>
              <w:bidi w:val="0"/>
              <w:spacing w:before="0" w:after="0"/>
              <w:jc w:val="left"/>
              <w:rPr>
                <w:rFonts w:ascii="Times New Roman" w:hAnsi="Times New Roman"/>
                <w:sz w:val="20"/>
              </w:rPr>
            </w:pPr>
            <w:r>
              <w:rPr>
                <w:rFonts w:ascii="Times New Roman" w:hAnsi="Times New Roman"/>
                <w:sz w:val="20"/>
              </w:rPr>
              <w:t>News release dated August 5, 2026 – Thomson Reuters Reports Second-Quarter 2026 Results</w:t>
            </w:r>
          </w:p>
        </w:tc>
      </w:tr>
    </w:tbl>
    <w:p>
      <w:pPr>
        <w:pStyle w:val="TextBody"/>
        <w:bidi w:val="0"/>
        <w:spacing w:before="0" w:after="0"/>
        <w:jc w:val="left"/>
        <w:rPr/>
      </w:pPr>
      <w:r>
        <w:rPr/>
        <w:t> </w:t>
      </w:r>
    </w:p>
    <w:p>
      <w:pPr>
        <w:pStyle w:val="TextBody"/>
        <w:bidi w:val="0"/>
        <w:spacing w:before="0" w:after="0"/>
        <w:jc w:val="right"/>
        <w:rPr>
          <w:rFonts w:ascii="Arial" w:hAnsi="Arial"/>
          <w:b/>
          <w:sz w:val="20"/>
        </w:rPr>
      </w:pPr>
      <w:bookmarkStart w:id="2" w:name="d125343dex991.htm"/>
      <w:bookmarkStart w:id="3" w:name="ksd125343dex991"/>
      <w:bookmarkEnd w:id="2"/>
      <w:bookmarkEnd w:id="3"/>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4302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7524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4"/>
        <w:gridCol w:w="120"/>
        <w:gridCol w:w="4891"/>
      </w:tblGrid>
      <w:tr>
        <w:trPr/>
        <w:tc>
          <w:tcPr>
            <w:tcW w:w="51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5194" w:type="dxa"/>
            <w:tcBorders>
              <w:bottom w:val="dotted" w:sz="2" w:space="0" w:color="000000"/>
            </w:tcBorders>
            <w:tcMar>
              <w:bottom w:w="28" w:type="dxa"/>
            </w:tcMar>
          </w:tcPr>
          <w:p>
            <w:pPr>
              <w:pStyle w:val="TableContents"/>
              <w:bidi w:val="0"/>
              <w:spacing w:before="0" w:after="283"/>
              <w:jc w:val="left"/>
              <w:rPr/>
            </w:pPr>
            <w:r>
              <w:rPr/>
              <w:t> </w:t>
            </w:r>
          </w:p>
        </w:tc>
        <w:tc>
          <w:tcPr>
            <w:tcW w:w="120" w:type="dxa"/>
            <w:tcBorders>
              <w:bottom w:val="dotted" w:sz="2" w:space="0" w:color="000000"/>
            </w:tcBorders>
            <w:tcMar>
              <w:bottom w:w="28" w:type="dxa"/>
            </w:tcMar>
            <w:vAlign w:val="bottom"/>
          </w:tcPr>
          <w:p>
            <w:pPr>
              <w:pStyle w:val="TableContents"/>
              <w:bidi w:val="0"/>
              <w:spacing w:before="0" w:after="283"/>
              <w:jc w:val="left"/>
              <w:rPr/>
            </w:pPr>
            <w:r>
              <w:rPr/>
              <w:t>  </w:t>
            </w:r>
          </w:p>
        </w:tc>
        <w:tc>
          <w:tcPr>
            <w:tcW w:w="4891" w:type="dxa"/>
            <w:tcBorders>
              <w:bottom w:val="dotted"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center"/>
        <w:rPr>
          <w:rFonts w:ascii="Arial" w:hAnsi="Arial"/>
          <w:sz w:val="20"/>
        </w:rPr>
      </w:pPr>
      <w:r>
        <w:rPr>
          <w:rFonts w:ascii="Arial" w:hAnsi="Arial"/>
          <w:b/>
          <w:sz w:val="20"/>
        </w:rPr>
        <w:t>Thomson Reuters Reports Second-Quarter 2026 Results</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TORONTO, August</w:t>
      </w:r>
      <w:r>
        <w:rPr>
          <w:rFonts w:ascii="Arial" w:hAnsi="Arial"/>
          <w:sz w:val="20"/>
        </w:rPr>
        <w:t> </w:t>
      </w:r>
      <w:r>
        <w:rPr>
          <w:rFonts w:ascii="Arial" w:hAnsi="Arial"/>
          <w:b/>
          <w:sz w:val="20"/>
        </w:rPr>
        <w:t xml:space="preserve">5, 2026 </w:t>
      </w:r>
      <w:r>
        <w:rPr>
          <w:rFonts w:ascii="Arial" w:hAnsi="Arial"/>
          <w:sz w:val="20"/>
        </w:rPr>
        <w:t xml:space="preserve">- Thomson Reuters (TSX/Nasdaq: TRI) today reported results for the second quarter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Strong revenue growth in the second quarter </w:t>
            </w:r>
          </w:p>
        </w:tc>
      </w:tr>
    </w:tbl>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rFonts w:ascii="WINGDINGS" w:hAnsi="WINGDINGS"/>
              </w:rPr>
              <w:t>¡</w:t>
            </w: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Total company revenues up 9% / organic revenues up 8% </w:t>
            </w:r>
          </w:p>
        </w:tc>
      </w:tr>
    </w:tbl>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rFonts w:ascii="WINGDINGS" w:hAnsi="WINGDINGS"/>
              </w:rPr>
              <w:t>¡</w:t>
            </w: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Organic revenues up 10% for the “Big 3” segments (Legal Professionals, Corporates and Tax, Audit &amp; Accounting Professionals)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Raised full-year 2026 total and organic revenue growth outlook to approximately 8.0% for the total company, and to a range of 9.5% to 10.0% for the “Big 3” segments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Announced signing of definitive agreement with KKR to form a joint venture to operate the Global Print business, where Thomson Reuters will sell a 51% stake to capital accounts advised by KKR with Thomson Reuters receiving approximately $500 million in gross proceeds on closing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Completed $605 million return of capital transaction on May 4, 2026 and reduced share count by approximately 6.5 million shares by way of share consolidation </w:t>
            </w:r>
          </w:p>
        </w:tc>
      </w:tr>
    </w:tbl>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Completed $600 million share repurchase program announced on February 25, 2026 </w:t>
            </w:r>
          </w:p>
        </w:tc>
      </w:tr>
    </w:tbl>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Repaid $500 million 3.35% notes in May 2026 </w:t>
            </w:r>
          </w:p>
        </w:tc>
      </w:tr>
    </w:tbl>
    <w:p>
      <w:pPr>
        <w:pStyle w:val="TextBody"/>
        <w:bidi w:val="0"/>
        <w:spacing w:before="240" w:after="0"/>
        <w:jc w:val="left"/>
        <w:rPr/>
      </w:pPr>
      <w:r>
        <w:rPr/>
        <w:t>“</w:t>
      </w:r>
      <w:r>
        <w:rPr>
          <w:rFonts w:ascii="Arial" w:hAnsi="Arial"/>
          <w:sz w:val="20"/>
        </w:rPr>
        <w:t xml:space="preserve">We saw strong momentum continue in the second quarter, underscored by 10% organic revenue growth in our “Big 3” segments,” said Steve Hasker, President and CEO of Thomson Reuters. “Our priority for the second half of the year is further deepening our leadership in trusted Fiduciary-Grade AI solutions. We are very pleased with the recent release of CoCounsel Legal and the very strong evaluation results of the first production ready version of the Thomson LLM. The recently announced Global Print transaction with KKR allows us to sharpen our focus on content-powered AI solutions that provide fiduciary grade outcomes for our professional markets.” </w:t>
      </w:r>
    </w:p>
    <w:p>
      <w:pPr>
        <w:pStyle w:val="TextBody"/>
        <w:bidi w:val="0"/>
        <w:spacing w:before="360" w:after="0"/>
        <w:jc w:val="left"/>
        <w:rPr>
          <w:rFonts w:ascii="Arial" w:hAnsi="Arial"/>
          <w:b/>
          <w:sz w:val="20"/>
          <w:u w:val="single"/>
        </w:rPr>
      </w:pPr>
      <w:r>
        <w:rPr>
          <w:rFonts w:ascii="Arial" w:hAnsi="Arial"/>
          <w:b/>
          <w:sz w:val="20"/>
          <w:u w:val="single"/>
        </w:rPr>
        <w:t xml:space="preserve">Consolidated Financial Highlights - Three Months Ended June 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0"/>
        <w:gridCol w:w="60"/>
        <w:gridCol w:w="140"/>
        <w:gridCol w:w="587"/>
        <w:gridCol w:w="459"/>
        <w:gridCol w:w="60"/>
        <w:gridCol w:w="140"/>
        <w:gridCol w:w="587"/>
        <w:gridCol w:w="459"/>
        <w:gridCol w:w="60"/>
        <w:gridCol w:w="87"/>
        <w:gridCol w:w="730"/>
        <w:gridCol w:w="459"/>
        <w:gridCol w:w="59"/>
        <w:gridCol w:w="114"/>
        <w:gridCol w:w="980"/>
        <w:gridCol w:w="464"/>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r>
      <w:tr>
        <w:trPr/>
        <w:tc>
          <w:tcPr>
            <w:tcW w:w="9741" w:type="dxa"/>
            <w:gridSpan w:val="16"/>
            <w:tcBorders>
              <w:top w:val="single" w:sz="2" w:space="0" w:color="000000"/>
              <w:left w:val="single" w:sz="2" w:space="0" w:color="000000"/>
            </w:tcBorders>
            <w:tcMar>
              <w:top w:w="28" w:type="dxa"/>
              <w:left w:w="160" w:type="dxa"/>
            </w:tcMar>
            <w:vAlign w:val="bottom"/>
          </w:tcPr>
          <w:p>
            <w:pPr>
              <w:pStyle w:val="TableContents"/>
              <w:bidi w:val="0"/>
              <w:spacing w:before="0" w:after="0"/>
              <w:jc w:val="center"/>
              <w:rPr>
                <w:rFonts w:ascii="Arial" w:hAnsi="Arial"/>
                <w:b/>
                <w:sz w:val="16"/>
              </w:rPr>
            </w:pPr>
            <w:r>
              <w:rPr>
                <w:rFonts w:ascii="Arial" w:hAnsi="Arial"/>
                <w:b/>
                <w:sz w:val="16"/>
              </w:rPr>
              <w:t>Three months ended June 30,</w:t>
            </w:r>
          </w:p>
          <w:p>
            <w:pPr>
              <w:pStyle w:val="TableContents"/>
              <w:bidi w:val="0"/>
              <w:spacing w:before="0" w:after="0"/>
              <w:jc w:val="center"/>
              <w:rPr>
                <w:rFonts w:ascii="Arial" w:hAnsi="Arial"/>
                <w:sz w:val="16"/>
              </w:rPr>
            </w:pPr>
            <w:r>
              <w:rPr>
                <w:rFonts w:ascii="Arial" w:hAnsi="Arial"/>
                <w:sz w:val="16"/>
              </w:rPr>
              <w:t>(Millions of U.S. dollars, except for EPS)</w:t>
            </w:r>
          </w:p>
          <w:p>
            <w:pPr>
              <w:pStyle w:val="TableContents"/>
              <w:bidi w:val="0"/>
              <w:spacing w:before="0" w:after="20"/>
              <w:jc w:val="center"/>
              <w:rPr>
                <w:rFonts w:ascii="Arial" w:hAnsi="Arial"/>
                <w:sz w:val="16"/>
              </w:rPr>
            </w:pPr>
            <w:r>
              <w:rPr>
                <w:rFonts w:ascii="Arial" w:hAnsi="Arial"/>
                <w:sz w:val="16"/>
              </w:rPr>
              <w:t>(unaudited)</w:t>
            </w:r>
          </w:p>
        </w:tc>
        <w:tc>
          <w:tcPr>
            <w:tcW w:w="464" w:type="dxa"/>
            <w:tcBorders>
              <w:top w:val="single" w:sz="2" w:space="0" w:color="000000"/>
              <w:right w:val="single" w:sz="2" w:space="0" w:color="000000"/>
            </w:tcBorders>
            <w:tcMar>
              <w:top w:w="28" w:type="dxa"/>
              <w:right w:w="40" w:type="dxa"/>
            </w:tcMar>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476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IFRS Financial Measures</w:t>
            </w:r>
            <w:r>
              <w:rPr>
                <w:rFonts w:ascii="Arial" w:hAnsi="Arial"/>
                <w:sz w:val="13"/>
              </w:rPr>
              <w:t>(1)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1,954</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1,785</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9</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Operating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558</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436</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28</w:t>
            </w:r>
          </w:p>
        </w:tc>
        <w:tc>
          <w:tcPr>
            <w:tcW w:w="45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Diluted earnings per share (EPS)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1.02</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0.69</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48</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920</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746</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23</w:t>
            </w:r>
          </w:p>
        </w:tc>
        <w:tc>
          <w:tcPr>
            <w:tcW w:w="45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rHeight w:val="120" w:hRule="atLeast"/>
        </w:trPr>
        <w:tc>
          <w:tcPr>
            <w:tcW w:w="4760" w:type="dxa"/>
            <w:tcBorders>
              <w:left w:val="single" w:sz="2" w:space="0" w:color="000000"/>
            </w:tcBorders>
            <w:tcMar>
              <w:left w:w="160" w:type="dxa"/>
            </w:tcMar>
            <w:vAlign w:val="center"/>
          </w:tcPr>
          <w:p>
            <w:pPr>
              <w:pStyle w:val="TableContents"/>
              <w:bidi w:val="0"/>
              <w:spacing w:before="0" w:after="283"/>
              <w:jc w:val="left"/>
              <w:rPr/>
            </w:pPr>
            <w:r>
              <w:rPr/>
              <w:t> </w:t>
            </w:r>
          </w:p>
        </w:tc>
        <w:tc>
          <w:tcPr>
            <w:tcW w:w="1246"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1617"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76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at</w:t>
              <w:br/>
              <w:t>Constant</w:t>
              <w:br/>
              <w:t>Currency</w:t>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Non-IFRS Financial Measures</w:t>
            </w:r>
            <w:r>
              <w:rPr>
                <w:rFonts w:ascii="Arial" w:hAnsi="Arial"/>
                <w:sz w:val="13"/>
              </w:rPr>
              <w:t>(1)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Revenue growth in constant currency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w:t>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Organic revenue growth</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w:t>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Adjusted EBITDA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745</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678</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10</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w:t>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Adjusted EBITDA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38.1</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37.8</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30bp</w:t>
            </w:r>
          </w:p>
        </w:tc>
        <w:tc>
          <w:tcPr>
            <w:tcW w:w="45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20bp</w:t>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Adjusted EPS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0.99</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0.87</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14</w:t>
            </w:r>
          </w:p>
        </w:tc>
        <w:tc>
          <w:tcPr>
            <w:tcW w:w="45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w:t>
            </w:r>
          </w:p>
        </w:tc>
        <w:tc>
          <w:tcPr>
            <w:tcW w:w="464"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0"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Free cash flow</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727</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566</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29</w:t>
            </w:r>
          </w:p>
        </w:tc>
        <w:tc>
          <w:tcPr>
            <w:tcW w:w="45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rHeight w:val="120" w:hRule="atLeast"/>
        </w:trPr>
        <w:tc>
          <w:tcPr>
            <w:tcW w:w="10205" w:type="dxa"/>
            <w:gridSpan w:val="17"/>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9741" w:type="dxa"/>
            <w:gridSpan w:val="16"/>
            <w:tcBorders>
              <w:left w:val="single" w:sz="2" w:space="0" w:color="000000"/>
              <w:bottom w:val="single" w:sz="2" w:space="0" w:color="000000"/>
            </w:tcBorders>
            <w:tcMar>
              <w:left w:w="160" w:type="dxa"/>
              <w:bottom w:w="60" w:type="dxa"/>
            </w:tcMar>
          </w:tcPr>
          <w:p>
            <w:pPr>
              <w:pStyle w:val="TableContents"/>
              <w:bidi w:val="0"/>
              <w:spacing w:before="0" w:after="20"/>
              <w:jc w:val="left"/>
              <w:rPr>
                <w:rFonts w:ascii="Arial" w:hAnsi="Arial"/>
                <w:i/>
                <w:sz w:val="16"/>
              </w:rPr>
            </w:pPr>
            <w:r>
              <w:rPr>
                <w:rFonts w:ascii="Arial" w:hAnsi="Arial"/>
                <w:i/>
                <w:sz w:val="16"/>
              </w:rPr>
              <w:t>(1)  In addition to results reported in accordance with International Financial Reporting Standards (IFRS),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measures. </w:t>
            </w:r>
          </w:p>
        </w:tc>
        <w:tc>
          <w:tcPr>
            <w:tcW w:w="464" w:type="dxa"/>
            <w:tcBorders>
              <w:bottom w:val="single" w:sz="2" w:space="0" w:color="000000"/>
              <w:right w:val="single" w:sz="2" w:space="0" w:color="000000"/>
            </w:tcBorders>
            <w:tcMar>
              <w:bottom w:w="60" w:type="dxa"/>
              <w:right w:w="40" w:type="dxa"/>
            </w:tcMar>
          </w:tcPr>
          <w:p>
            <w:pPr>
              <w:pStyle w:val="TableContents"/>
              <w:bidi w:val="0"/>
              <w:spacing w:before="0" w:after="0"/>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2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20"/>
        </w:rPr>
      </w:pPr>
      <w:r>
        <w:rPr>
          <w:rFonts w:ascii="Arial" w:hAnsi="Arial"/>
          <w:b/>
          <w:sz w:val="20"/>
        </w:rPr>
        <w:t xml:space="preserve">Revenues </w:t>
      </w:r>
      <w:r>
        <w:rPr>
          <w:rFonts w:ascii="Arial" w:hAnsi="Arial"/>
          <w:sz w:val="20"/>
        </w:rPr>
        <w:t xml:space="preserve">increased 9% due to 9% growth in recurring revenues (82% of total revenues) and 16% growth in transactions revenues, partly offset by a 3% decline in Global Print. Total company revenue growth benefited approximately 1% from foreign currency and 1% from net acquisitions and disposals.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Organic revenues increased 8% reflecting 9% growth in recurring revenues, 11% growth in transactions revenues and a 3% decline in Global Print.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company’s “Big 3” segments reported organic revenue growth of 10% and collectively comprised 83% of total revenues. </w:t>
            </w:r>
          </w:p>
        </w:tc>
      </w:tr>
    </w:tbl>
    <w:p>
      <w:pPr>
        <w:pStyle w:val="TextBody"/>
        <w:bidi w:val="0"/>
        <w:spacing w:before="240" w:after="0"/>
        <w:jc w:val="left"/>
        <w:rPr>
          <w:rFonts w:ascii="Arial" w:hAnsi="Arial"/>
          <w:sz w:val="20"/>
        </w:rPr>
      </w:pPr>
      <w:r>
        <w:rPr>
          <w:rFonts w:ascii="Arial" w:hAnsi="Arial"/>
          <w:b/>
          <w:sz w:val="20"/>
        </w:rPr>
        <w:t xml:space="preserve">Operating profit </w:t>
      </w:r>
      <w:r>
        <w:rPr>
          <w:rFonts w:ascii="Arial" w:hAnsi="Arial"/>
          <w:sz w:val="20"/>
        </w:rPr>
        <w:t xml:space="preserve">increased 28%, primarily due to the net impact of higher revenues and operating expenses as well as other operating gains in the current-year period, partly offset by higher amortization of software.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Adjusted EBITDA, which excludes other operating gains, amortization of software, as well as other adjustments, increased 10% and the related margin increased to 38.1% from 37.8% in the prior-year period. Foreign currency contributed 10 basis points to the year-over-year change in adjusted EBITDA margin. </w:t>
            </w:r>
          </w:p>
        </w:tc>
      </w:tr>
    </w:tbl>
    <w:p>
      <w:pPr>
        <w:pStyle w:val="TextBody"/>
        <w:bidi w:val="0"/>
        <w:spacing w:before="240" w:after="0"/>
        <w:jc w:val="left"/>
        <w:rPr>
          <w:rFonts w:ascii="Arial" w:hAnsi="Arial"/>
          <w:sz w:val="20"/>
        </w:rPr>
      </w:pPr>
      <w:r>
        <w:rPr>
          <w:rFonts w:ascii="Arial" w:hAnsi="Arial"/>
          <w:b/>
          <w:sz w:val="20"/>
        </w:rPr>
        <w:t xml:space="preserve">Diluted EPS </w:t>
      </w:r>
      <w:r>
        <w:rPr>
          <w:rFonts w:ascii="Arial" w:hAnsi="Arial"/>
          <w:sz w:val="20"/>
        </w:rPr>
        <w:t xml:space="preserve">increased to $1.02 per share compared to $0.69 per share in the prior-year period, primarily due to higher operating profit and, to a lesser extent, a benefit from a reduction in weighted-average common shares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Adjusted EPS increased to $0.99 per share compared to $0.87 per share in the prior-year period, primarily due to higher adjusted EBITDA and a benefit from a reduction in weighted-average common shares outstanding, partly offset by higher amortization of internally developed software. </w:t>
            </w:r>
          </w:p>
        </w:tc>
      </w:tr>
    </w:tbl>
    <w:p>
      <w:pPr>
        <w:pStyle w:val="TextBody"/>
        <w:bidi w:val="0"/>
        <w:spacing w:before="240" w:after="0"/>
        <w:jc w:val="left"/>
        <w:rPr>
          <w:rFonts w:ascii="Arial" w:hAnsi="Arial"/>
          <w:sz w:val="20"/>
        </w:rPr>
      </w:pPr>
      <w:r>
        <w:rPr>
          <w:rFonts w:ascii="Arial" w:hAnsi="Arial"/>
          <w:b/>
          <w:sz w:val="20"/>
        </w:rPr>
        <w:t xml:space="preserve">Net cash provided by operating activities </w:t>
      </w:r>
      <w:r>
        <w:rPr>
          <w:rFonts w:ascii="Arial" w:hAnsi="Arial"/>
          <w:sz w:val="20"/>
        </w:rPr>
        <w:t xml:space="preserve">increased by $174 million primarily due to higher cash benefits from the net impact of higher revenues and operating expenses and certain favorable changes in working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Free cash flow increased by $161 million primarily due to higher net cash provided by operating activities, partly offset by higher capital expenditures. 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3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u w:val="single"/>
        </w:rPr>
      </w:pPr>
      <w:r>
        <w:rPr>
          <w:rFonts w:ascii="Arial" w:hAnsi="Arial"/>
          <w:b/>
          <w:sz w:val="20"/>
          <w:u w:val="single"/>
        </w:rPr>
        <w:t xml:space="preserve">Highlights by Customer Segment – Three Months Ended June 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4"/>
        <w:gridCol w:w="60"/>
        <w:gridCol w:w="166"/>
        <w:gridCol w:w="673"/>
        <w:gridCol w:w="491"/>
        <w:gridCol w:w="71"/>
        <w:gridCol w:w="166"/>
        <w:gridCol w:w="677"/>
        <w:gridCol w:w="434"/>
        <w:gridCol w:w="60"/>
        <w:gridCol w:w="60"/>
        <w:gridCol w:w="630"/>
        <w:gridCol w:w="434"/>
        <w:gridCol w:w="60"/>
        <w:gridCol w:w="95"/>
        <w:gridCol w:w="1001"/>
        <w:gridCol w:w="434"/>
        <w:gridCol w:w="166"/>
        <w:gridCol w:w="259"/>
        <w:gridCol w:w="1127"/>
        <w:gridCol w:w="387"/>
      </w:tblGrid>
      <w:tr>
        <w:trPr/>
        <w:tc>
          <w:tcPr>
            <w:tcW w:w="27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r>
      <w:tr>
        <w:trPr/>
        <w:tc>
          <w:tcPr>
            <w:tcW w:w="9818" w:type="dxa"/>
            <w:gridSpan w:val="20"/>
            <w:tcBorders>
              <w:top w:val="single" w:sz="2" w:space="0" w:color="000000"/>
              <w:left w:val="single" w:sz="2" w:space="0" w:color="000000"/>
            </w:tcBorders>
            <w:tcMar>
              <w:top w:w="28" w:type="dxa"/>
              <w:left w:w="160" w:type="dxa"/>
            </w:tcMar>
            <w:vAlign w:val="bottom"/>
          </w:tcPr>
          <w:p>
            <w:pPr>
              <w:pStyle w:val="TableContents"/>
              <w:bidi w:val="0"/>
              <w:spacing w:before="0" w:after="0"/>
              <w:jc w:val="center"/>
              <w:rPr>
                <w:rFonts w:ascii="Arial" w:hAnsi="Arial"/>
                <w:sz w:val="16"/>
              </w:rPr>
            </w:pPr>
            <w:r>
              <w:rPr>
                <w:rFonts w:ascii="Arial" w:hAnsi="Arial"/>
                <w:i/>
                <w:sz w:val="16"/>
              </w:rPr>
              <w:t>(Millions of U.S. dollars)</w:t>
            </w:r>
            <w:r>
              <w:rPr>
                <w:rFonts w:ascii="Arial" w:hAnsi="Arial"/>
                <w:sz w:val="16"/>
              </w:rPr>
              <w:t xml:space="preserve"> </w:t>
            </w:r>
          </w:p>
          <w:p>
            <w:pPr>
              <w:pStyle w:val="TableContents"/>
              <w:bidi w:val="0"/>
              <w:spacing w:before="0" w:after="20"/>
              <w:jc w:val="center"/>
              <w:rPr>
                <w:rFonts w:ascii="Arial" w:hAnsi="Arial"/>
                <w:i/>
                <w:sz w:val="16"/>
              </w:rPr>
            </w:pPr>
            <w:r>
              <w:rPr>
                <w:rFonts w:ascii="Arial" w:hAnsi="Arial"/>
                <w:i/>
                <w:sz w:val="16"/>
              </w:rPr>
              <w:t>(unaudited)</w:t>
            </w:r>
          </w:p>
        </w:tc>
        <w:tc>
          <w:tcPr>
            <w:tcW w:w="387" w:type="dxa"/>
            <w:tcBorders>
              <w:top w:val="single" w:sz="2" w:space="0" w:color="000000"/>
              <w:right w:val="single" w:sz="2" w:space="0" w:color="000000"/>
            </w:tcBorders>
            <w:tcMar>
              <w:top w:w="28" w:type="dxa"/>
              <w:right w:w="40" w:type="dxa"/>
            </w:tcMar>
            <w:vAlign w:val="bottom"/>
          </w:tcPr>
          <w:p>
            <w:pPr>
              <w:pStyle w:val="TableContents"/>
              <w:bidi w:val="0"/>
              <w:spacing w:before="0" w:after="283"/>
              <w:jc w:val="left"/>
              <w:rPr/>
            </w:pPr>
            <w:r>
              <w:rPr/>
              <w:t> </w:t>
            </w:r>
          </w:p>
        </w:tc>
      </w:tr>
      <w:tr>
        <w:trPr>
          <w:trHeight w:val="240" w:hRule="atLeast"/>
        </w:trPr>
        <w:tc>
          <w:tcPr>
            <w:tcW w:w="2754" w:type="dxa"/>
            <w:tcBorders>
              <w:left w:val="single" w:sz="2" w:space="0" w:color="000000"/>
            </w:tcBorders>
            <w:tcMar>
              <w:left w:w="160" w:type="dxa"/>
            </w:tcMar>
            <w:vAlign w:val="center"/>
          </w:tcPr>
          <w:p>
            <w:pPr>
              <w:pStyle w:val="TableContents"/>
              <w:bidi w:val="0"/>
              <w:spacing w:before="0" w:after="283"/>
              <w:jc w:val="left"/>
              <w:rPr/>
            </w:pPr>
            <w:r>
              <w:rPr/>
              <w:t> </w:t>
            </w:r>
          </w:p>
        </w:tc>
        <w:tc>
          <w:tcPr>
            <w:tcW w:w="2738" w:type="dxa"/>
            <w:gridSpan w:val="8"/>
            <w:tcBorders/>
            <w:vAlign w:val="center"/>
          </w:tcPr>
          <w:p>
            <w:pPr>
              <w:pStyle w:val="TableContents"/>
              <w:bidi w:val="0"/>
              <w:spacing w:before="0" w:after="283"/>
              <w:jc w:val="left"/>
              <w:rPr>
                <w:sz w:val="4"/>
                <w:szCs w:val="4"/>
              </w:rPr>
            </w:pPr>
            <w:r>
              <w:rPr>
                <w:sz w:val="4"/>
                <w:szCs w:val="4"/>
              </w:rPr>
            </w:r>
          </w:p>
        </w:tc>
        <w:tc>
          <w:tcPr>
            <w:tcW w:w="1184" w:type="dxa"/>
            <w:gridSpan w:val="4"/>
            <w:tcBorders/>
            <w:vAlign w:val="center"/>
          </w:tcPr>
          <w:p>
            <w:pPr>
              <w:pStyle w:val="TableContents"/>
              <w:bidi w:val="0"/>
              <w:spacing w:before="0" w:after="283"/>
              <w:jc w:val="left"/>
              <w:rPr>
                <w:sz w:val="4"/>
                <w:szCs w:val="4"/>
              </w:rPr>
            </w:pPr>
            <w:r>
              <w:rPr>
                <w:sz w:val="4"/>
                <w:szCs w:val="4"/>
              </w:rPr>
            </w:r>
          </w:p>
        </w:tc>
        <w:tc>
          <w:tcPr>
            <w:tcW w:w="1590" w:type="dxa"/>
            <w:gridSpan w:val="4"/>
            <w:tcBorders/>
            <w:vAlign w:val="center"/>
          </w:tcPr>
          <w:p>
            <w:pPr>
              <w:pStyle w:val="TableContents"/>
              <w:bidi w:val="0"/>
              <w:spacing w:before="0" w:after="283"/>
              <w:jc w:val="left"/>
              <w:rPr>
                <w:sz w:val="4"/>
                <w:szCs w:val="4"/>
              </w:rPr>
            </w:pPr>
            <w:r>
              <w:rPr>
                <w:sz w:val="4"/>
                <w:szCs w:val="4"/>
              </w:rPr>
            </w:r>
          </w:p>
        </w:tc>
        <w:tc>
          <w:tcPr>
            <w:tcW w:w="1939"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4" w:type="dxa"/>
            <w:gridSpan w:val="6"/>
            <w:tcBorders/>
            <w:vAlign w:val="bottom"/>
          </w:tcPr>
          <w:p>
            <w:pPr>
              <w:pStyle w:val="TableContents"/>
              <w:bidi w:val="0"/>
              <w:spacing w:before="0" w:after="283"/>
              <w:jc w:val="center"/>
              <w:rPr>
                <w:b/>
              </w:rPr>
            </w:pPr>
            <w:r>
              <w:rPr>
                <w:b/>
              </w:rPr>
              <w:t>Three months ended</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gridSpan w:val="2"/>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left"/>
              <w:rPr/>
            </w:pPr>
            <w:r>
              <w:rPr/>
              <w:t> </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2025(2)</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Constant</w:t>
              <w:br/>
              <w:t>Currency(1)</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Organic(1)(3)</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gridSpan w:val="2"/>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left"/>
              <w:rPr/>
            </w:pPr>
            <w:r>
              <w:rPr/>
              <w:t> </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b/>
                <w:sz w:val="20"/>
                <w:u w:val="single"/>
              </w:rPr>
            </w:pPr>
            <w:r>
              <w:rPr>
                <w:rFonts w:ascii="Arial" w:hAnsi="Arial"/>
                <w:b/>
                <w:sz w:val="20"/>
                <w:u w:val="single"/>
              </w:rPr>
              <w:t>Revenues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7" w:type="dxa"/>
            <w:tcBorders/>
            <w:shd w:fill="CCEEFF" w:val="clear"/>
            <w:vAlign w:val="bottom"/>
          </w:tcPr>
          <w:p>
            <w:pPr>
              <w:pStyle w:val="TableContents"/>
              <w:bidi w:val="0"/>
              <w:spacing w:before="0" w:after="283"/>
              <w:jc w:val="left"/>
              <w:rPr>
                <w:sz w:val="4"/>
                <w:szCs w:val="4"/>
              </w:rPr>
            </w:pPr>
            <w:r>
              <w:rPr>
                <w:sz w:val="4"/>
                <w:szCs w:val="4"/>
              </w:rPr>
            </w:r>
          </w:p>
        </w:tc>
        <w:tc>
          <w:tcPr>
            <w:tcW w:w="4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6" w:type="dxa"/>
            <w:gridSpan w:val="9"/>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772</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77" w:type="dxa"/>
            <w:tcBorders/>
            <w:vAlign w:val="bottom"/>
          </w:tcPr>
          <w:p>
            <w:pPr>
              <w:pStyle w:val="TableContents"/>
              <w:bidi w:val="0"/>
              <w:spacing w:before="0" w:after="283"/>
              <w:jc w:val="right"/>
              <w:rPr/>
            </w:pPr>
            <w:r>
              <w:rPr/>
              <w:t>704</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10</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10</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537</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480</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12</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11</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10</w:t>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311</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274</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14</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12</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8</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1,620</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1,458</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11</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10</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10</w:t>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229</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218</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5</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4</w:t>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111</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114</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-3</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w:t>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Eliminations/Rounding</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(5</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b/>
                <w:sz w:val="20"/>
              </w:rPr>
            </w:pPr>
            <w:r>
              <w:rPr>
                <w:rFonts w:ascii="Arial" w:hAnsi="Arial"/>
                <w:b/>
                <w:sz w:val="20"/>
              </w:rPr>
              <w:t>Total Revenues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73" w:type="dxa"/>
            <w:tcBorders/>
            <w:shd w:fill="CCEEFF" w:val="clear"/>
            <w:vAlign w:val="bottom"/>
          </w:tcPr>
          <w:p>
            <w:pPr>
              <w:pStyle w:val="TableContents"/>
              <w:bidi w:val="0"/>
              <w:spacing w:before="0" w:after="283"/>
              <w:jc w:val="right"/>
              <w:rPr>
                <w:b/>
              </w:rPr>
            </w:pPr>
            <w:r>
              <w:rPr>
                <w:b/>
              </w:rPr>
              <w:t>1,954</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77" w:type="dxa"/>
            <w:tcBorders/>
            <w:shd w:fill="CCEEFF" w:val="clear"/>
            <w:vAlign w:val="bottom"/>
          </w:tcPr>
          <w:p>
            <w:pPr>
              <w:pStyle w:val="TableContents"/>
              <w:bidi w:val="0"/>
              <w:spacing w:before="0" w:after="283"/>
              <w:jc w:val="right"/>
              <w:rPr>
                <w:b/>
              </w:rPr>
            </w:pPr>
            <w:r>
              <w:rPr>
                <w:b/>
              </w:rPr>
              <w:t>1,785</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b/>
              </w:rPr>
            </w:pPr>
            <w:r>
              <w:rPr>
                <w:b/>
              </w:rPr>
              <w:t>9</w:t>
            </w:r>
          </w:p>
        </w:tc>
        <w:tc>
          <w:tcPr>
            <w:tcW w:w="434"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9</w:t>
            </w:r>
          </w:p>
        </w:tc>
        <w:tc>
          <w:tcPr>
            <w:tcW w:w="434"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b/>
              </w:rPr>
            </w:pPr>
            <w:r>
              <w:rPr>
                <w:b/>
              </w:rPr>
              <w:t>8</w:t>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b/>
              </w:rPr>
            </w:pPr>
            <w:r>
              <w:rPr>
                <w:b/>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b/>
                <w:sz w:val="20"/>
                <w:u w:val="single"/>
              </w:rPr>
              <w:t>Adjusted EBITDA</w:t>
            </w:r>
            <w:r>
              <w:rPr>
                <w:rFonts w:ascii="Arial" w:hAnsi="Arial"/>
                <w:sz w:val="20"/>
              </w:rPr>
              <w:t>(1)</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06" w:type="dxa"/>
            <w:gridSpan w:val="9"/>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371</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339</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10</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200</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172</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15</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120</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110</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9</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7</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691</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621</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12</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10</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48</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45</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5</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10</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42</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41</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2</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 costs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(36</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(29</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n/a</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n/a</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0"/>
              <w:jc w:val="left"/>
              <w:rPr>
                <w:rFonts w:ascii="Arial" w:hAnsi="Arial"/>
                <w:b/>
                <w:sz w:val="20"/>
              </w:rPr>
            </w:pPr>
            <w:r>
              <w:rPr>
                <w:rFonts w:ascii="Arial" w:hAnsi="Arial"/>
                <w:b/>
                <w:sz w:val="20"/>
              </w:rPr>
              <w:t>Total Adjusted EBITDA</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73" w:type="dxa"/>
            <w:tcBorders/>
            <w:vAlign w:val="bottom"/>
          </w:tcPr>
          <w:p>
            <w:pPr>
              <w:pStyle w:val="TableContents"/>
              <w:bidi w:val="0"/>
              <w:spacing w:before="0" w:after="283"/>
              <w:jc w:val="right"/>
              <w:rPr>
                <w:b/>
              </w:rPr>
            </w:pPr>
            <w:r>
              <w:rPr>
                <w:b/>
              </w:rPr>
              <w:t>745</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77" w:type="dxa"/>
            <w:tcBorders/>
            <w:vAlign w:val="bottom"/>
          </w:tcPr>
          <w:p>
            <w:pPr>
              <w:pStyle w:val="TableContents"/>
              <w:bidi w:val="0"/>
              <w:spacing w:before="0" w:after="283"/>
              <w:jc w:val="right"/>
              <w:rPr>
                <w:b/>
              </w:rPr>
            </w:pPr>
            <w:r>
              <w:rPr>
                <w:b/>
              </w:rPr>
              <w:t>678</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b/>
              </w:rPr>
            </w:pPr>
            <w:r>
              <w:rPr>
                <w:b/>
              </w:rPr>
              <w:t>10</w:t>
            </w:r>
          </w:p>
        </w:tc>
        <w:tc>
          <w:tcPr>
            <w:tcW w:w="43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9</w:t>
            </w:r>
          </w:p>
        </w:tc>
        <w:tc>
          <w:tcPr>
            <w:tcW w:w="434"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Adjusted EBITDA Margin</w:t>
            </w:r>
            <w:r>
              <w:rPr>
                <w:rFonts w:ascii="Arial" w:hAnsi="Arial"/>
                <w:sz w:val="20"/>
              </w:rPr>
              <w:t>(1)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77" w:type="dxa"/>
            <w:tcBorders/>
            <w:shd w:fill="CCEEFF" w:val="clear"/>
            <w:vAlign w:val="bottom"/>
          </w:tcPr>
          <w:p>
            <w:pPr>
              <w:pStyle w:val="TableContents"/>
              <w:bidi w:val="0"/>
              <w:spacing w:before="0" w:after="283"/>
              <w:jc w:val="left"/>
              <w:rPr>
                <w:sz w:val="4"/>
                <w:szCs w:val="4"/>
              </w:rPr>
            </w:pPr>
            <w:r>
              <w:rPr>
                <w:sz w:val="4"/>
                <w:szCs w:val="4"/>
              </w:rPr>
            </w:r>
          </w:p>
        </w:tc>
        <w:tc>
          <w:tcPr>
            <w:tcW w:w="4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6" w:type="dxa"/>
            <w:gridSpan w:val="9"/>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48.1</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48.1</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0bp</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-10bp</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37.2</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35.7</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150bp</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130bp</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38.7</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38.9</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-20bp</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-40bp</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42.7</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42.3</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40bp</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30bp</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20.8</w:t>
            </w:r>
          </w:p>
        </w:tc>
        <w:tc>
          <w:tcPr>
            <w:tcW w:w="49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20.8</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0bp</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80bp</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37.7</w:t>
            </w:r>
          </w:p>
        </w:tc>
        <w:tc>
          <w:tcPr>
            <w:tcW w:w="49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36.0</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170bp</w:t>
            </w:r>
          </w:p>
        </w:tc>
        <w:tc>
          <w:tcPr>
            <w:tcW w:w="4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150bp</w:t>
            </w:r>
          </w:p>
        </w:tc>
        <w:tc>
          <w:tcPr>
            <w:tcW w:w="4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2754" w:type="dxa"/>
            <w:tcBorders>
              <w:left w:val="single" w:sz="2" w:space="0" w:color="000000"/>
            </w:tcBorders>
            <w:tcMar>
              <w:left w:w="160" w:type="dxa"/>
            </w:tcMar>
          </w:tcPr>
          <w:p>
            <w:pPr>
              <w:pStyle w:val="TableContents"/>
              <w:bidi w:val="0"/>
              <w:spacing w:before="0" w:after="0"/>
              <w:jc w:val="left"/>
              <w:rPr>
                <w:rFonts w:ascii="Arial" w:hAnsi="Arial"/>
                <w:b/>
                <w:sz w:val="20"/>
              </w:rPr>
            </w:pPr>
            <w:r>
              <w:rPr>
                <w:rFonts w:ascii="Arial" w:hAnsi="Arial"/>
                <w:b/>
                <w:sz w:val="20"/>
              </w:rPr>
              <w:t>Total Adjusted EBITDA Margin</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b/>
              </w:rPr>
            </w:pPr>
            <w:r>
              <w:rPr>
                <w:b/>
              </w:rPr>
              <w:t>38.1</w:t>
            </w:r>
          </w:p>
        </w:tc>
        <w:tc>
          <w:tcPr>
            <w:tcW w:w="491"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b/>
              </w:rPr>
            </w:pPr>
            <w:r>
              <w:rPr>
                <w:b/>
              </w:rPr>
              <w:t>37.8</w:t>
            </w:r>
          </w:p>
        </w:tc>
        <w:tc>
          <w:tcPr>
            <w:tcW w:w="43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b/>
              </w:rPr>
            </w:pPr>
            <w:r>
              <w:rPr>
                <w:b/>
              </w:rPr>
              <w:t>30bp</w:t>
            </w:r>
          </w:p>
        </w:tc>
        <w:tc>
          <w:tcPr>
            <w:tcW w:w="4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20bp</w:t>
            </w:r>
          </w:p>
        </w:tc>
        <w:tc>
          <w:tcPr>
            <w:tcW w:w="4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387"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9818" w:type="dxa"/>
            <w:gridSpan w:val="20"/>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p>
          <w:p>
            <w:pPr>
              <w:pStyle w:val="TableContents"/>
              <w:bidi w:val="0"/>
              <w:spacing w:before="0" w:after="0"/>
              <w:jc w:val="left"/>
              <w:rPr>
                <w:rFonts w:ascii="Arial" w:hAnsi="Arial"/>
                <w:i/>
                <w:sz w:val="16"/>
              </w:rPr>
            </w:pPr>
            <w:r>
              <w:rPr>
                <w:rFonts w:ascii="Arial" w:hAnsi="Arial"/>
                <w:i/>
                <w:sz w:val="16"/>
              </w:rPr>
              <w:t>(1) 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To compute segment and consolidated adjusted EBITDA margin, the company excludes fair value adjustments related to acquired deferred revenue. </w:t>
            </w:r>
          </w:p>
          <w:p>
            <w:pPr>
              <w:pStyle w:val="TableContents"/>
              <w:bidi w:val="0"/>
              <w:spacing w:before="0" w:after="0"/>
              <w:jc w:val="left"/>
              <w:rPr>
                <w:rFonts w:ascii="Arial" w:hAnsi="Arial"/>
                <w:i/>
                <w:sz w:val="16"/>
              </w:rPr>
            </w:pPr>
            <w:r>
              <w:rPr>
                <w:rFonts w:ascii="Arial" w:hAnsi="Arial"/>
                <w:i/>
                <w:sz w:val="16"/>
              </w:rPr>
              <w:t>(2)  For comparative purposes, 2025 segment results have been revised to reflect the current period presentation. For additional information, including a summary of how the changes impacted results for the three and six months ended June 30, 2025, see the “Revision to Prior-Year Segment Results” section of this news release. </w:t>
            </w:r>
          </w:p>
          <w:p>
            <w:pPr>
              <w:pStyle w:val="TableContents"/>
              <w:bidi w:val="0"/>
              <w:spacing w:before="0" w:after="0"/>
              <w:jc w:val="left"/>
              <w:rPr>
                <w:rFonts w:ascii="Arial" w:hAnsi="Arial"/>
                <w:i/>
                <w:sz w:val="16"/>
              </w:rPr>
            </w:pPr>
            <w:r>
              <w:rPr>
                <w:rFonts w:ascii="Arial" w:hAnsi="Arial"/>
                <w:i/>
                <w:sz w:val="16"/>
              </w:rPr>
              <w:t xml:space="preserve">(3)  Computed for revenue growth only.  </w:t>
            </w:r>
          </w:p>
          <w:p>
            <w:pPr>
              <w:pStyle w:val="TableContents"/>
              <w:bidi w:val="0"/>
              <w:spacing w:before="0" w:after="20"/>
              <w:jc w:val="left"/>
              <w:rPr>
                <w:rFonts w:ascii="Arial" w:hAnsi="Arial"/>
                <w:i/>
                <w:sz w:val="16"/>
              </w:rPr>
            </w:pPr>
            <w:r>
              <w:rPr>
                <w:rFonts w:ascii="Arial" w:hAnsi="Arial"/>
                <w:i/>
                <w:sz w:val="16"/>
              </w:rPr>
              <w:t xml:space="preserve">n/a:  not applicable  </w:t>
            </w:r>
          </w:p>
        </w:tc>
        <w:tc>
          <w:tcPr>
            <w:tcW w:w="38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4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 xml:space="preserve">Unless otherwise noted, all revenue growth comparisons by customer segment in this news release are at </w:t>
      </w:r>
      <w:r>
        <w:rPr>
          <w:rFonts w:ascii="Arial" w:hAnsi="Arial"/>
          <w:b/>
          <w:i/>
          <w:sz w:val="20"/>
          <w:u w:val="single"/>
        </w:rPr>
        <w:t>constant</w:t>
      </w:r>
      <w:r>
        <w:rPr>
          <w:rFonts w:ascii="Arial" w:hAnsi="Arial"/>
          <w:sz w:val="20"/>
        </w:rPr>
        <w:t xml:space="preserve"> </w:t>
      </w:r>
      <w:r>
        <w:rPr>
          <w:rFonts w:ascii="Arial" w:hAnsi="Arial"/>
          <w:b/>
          <w:i/>
          <w:sz w:val="20"/>
          <w:u w:val="single"/>
        </w:rPr>
        <w:t>currency</w:t>
      </w:r>
      <w:r>
        <w:rPr>
          <w:rFonts w:ascii="Arial" w:hAnsi="Arial"/>
          <w:sz w:val="20"/>
        </w:rPr>
        <w:t xml:space="preserve"> </w:t>
      </w:r>
      <w:r>
        <w:rPr>
          <w:rFonts w:ascii="Arial" w:hAnsi="Arial"/>
          <w:i/>
          <w:sz w:val="20"/>
        </w:rPr>
        <w:t xml:space="preserve">(which excludes the impact of foreign currency) as the company believes this provides the best basis to measure performance. </w:t>
      </w:r>
    </w:p>
    <w:p>
      <w:pPr>
        <w:pStyle w:val="TextBody"/>
        <w:bidi w:val="0"/>
        <w:spacing w:before="360" w:after="0"/>
        <w:jc w:val="left"/>
        <w:rPr>
          <w:rFonts w:ascii="Arial" w:hAnsi="Arial"/>
          <w:b/>
          <w:sz w:val="20"/>
          <w:u w:val="single"/>
        </w:rPr>
      </w:pPr>
      <w:r>
        <w:rPr>
          <w:rFonts w:ascii="Arial" w:hAnsi="Arial"/>
          <w:b/>
          <w:sz w:val="20"/>
          <w:u w:val="single"/>
        </w:rPr>
        <w:t xml:space="preserve">Legal Professionals </w:t>
      </w:r>
    </w:p>
    <w:p>
      <w:pPr>
        <w:pStyle w:val="TextBody"/>
        <w:bidi w:val="0"/>
        <w:spacing w:before="120" w:after="0"/>
        <w:jc w:val="left"/>
        <w:rPr>
          <w:rFonts w:ascii="Arial" w:hAnsi="Arial"/>
          <w:sz w:val="20"/>
        </w:rPr>
      </w:pPr>
      <w:r>
        <w:rPr>
          <w:rFonts w:ascii="Arial" w:hAnsi="Arial"/>
          <w:b/>
          <w:sz w:val="20"/>
        </w:rPr>
        <w:t>Revenues</w:t>
      </w:r>
      <w:r>
        <w:rPr>
          <w:rFonts w:ascii="Arial" w:hAnsi="Arial"/>
          <w:sz w:val="20"/>
        </w:rPr>
        <w:t xml:space="preserve"> increased 9% at constant currency. Organic revenue growth was 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Recurring revenues increased 9% (97% of total, all organic). Organic revenue growth was primarily driven by Westlaw and CoCounsel.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Transactions revenues increased 16% (3% of total, 18% organic) driven by CLEAR. </w:t>
            </w:r>
          </w:p>
        </w:tc>
      </w:tr>
    </w:tbl>
    <w:p>
      <w:pPr>
        <w:pStyle w:val="TextBody"/>
        <w:bidi w:val="0"/>
        <w:spacing w:before="240" w:after="0"/>
        <w:jc w:val="left"/>
        <w:rPr>
          <w:rFonts w:ascii="Arial" w:hAnsi="Arial"/>
          <w:sz w:val="20"/>
        </w:rPr>
      </w:pPr>
      <w:r>
        <w:rPr>
          <w:rFonts w:ascii="Arial" w:hAnsi="Arial"/>
          <w:b/>
          <w:sz w:val="20"/>
        </w:rPr>
        <w:t>Adjusted EBITDA</w:t>
      </w:r>
      <w:r>
        <w:rPr>
          <w:rFonts w:ascii="Arial" w:hAnsi="Arial"/>
          <w:sz w:val="20"/>
        </w:rPr>
        <w:t xml:space="preserve"> increased 10% to $371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margin was 48.1%, unchanged from the prior-year period. </w:t>
            </w:r>
          </w:p>
        </w:tc>
      </w:tr>
    </w:tbl>
    <w:p>
      <w:pPr>
        <w:pStyle w:val="TextBody"/>
        <w:bidi w:val="0"/>
        <w:spacing w:before="360" w:after="0"/>
        <w:jc w:val="left"/>
        <w:rPr>
          <w:rFonts w:ascii="Arial" w:hAnsi="Arial"/>
          <w:b/>
          <w:sz w:val="20"/>
          <w:u w:val="single"/>
        </w:rPr>
      </w:pPr>
      <w:r>
        <w:rPr>
          <w:rFonts w:ascii="Arial" w:hAnsi="Arial"/>
          <w:b/>
          <w:sz w:val="20"/>
          <w:u w:val="single"/>
        </w:rPr>
        <w:t xml:space="preserve">Corporates </w:t>
      </w:r>
    </w:p>
    <w:p>
      <w:pPr>
        <w:pStyle w:val="TextBody"/>
        <w:bidi w:val="0"/>
        <w:spacing w:before="120" w:after="0"/>
        <w:jc w:val="left"/>
        <w:rPr>
          <w:rFonts w:ascii="Arial" w:hAnsi="Arial"/>
          <w:sz w:val="20"/>
        </w:rPr>
      </w:pPr>
      <w:r>
        <w:rPr>
          <w:rFonts w:ascii="Arial" w:hAnsi="Arial"/>
          <w:b/>
          <w:sz w:val="20"/>
        </w:rPr>
        <w:t>Revenues</w:t>
      </w:r>
      <w:r>
        <w:rPr>
          <w:rFonts w:ascii="Arial" w:hAnsi="Arial"/>
          <w:sz w:val="20"/>
        </w:rPr>
        <w:t xml:space="preserve"> increased 11% at constant currency. Organic revenue growth was 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Arial" w:hAnsi="Arial"/>
                <w:sz w:val="20"/>
              </w:rPr>
            </w:pPr>
            <w:r>
              <w:rPr>
                <w:rFonts w:ascii="Arial" w:hAnsi="Arial"/>
                <w:sz w:val="20"/>
              </w:rPr>
              <w:t xml:space="preserve">Recurring revenues increased 9% (86% of total, all organic). Organic revenue growth was primarily driven by Westlaw, CoCounsel, Indirect Tax, Pagero, CLEAR and the segment’s international businesses.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Transactions revenues increased 27% (14% of total, 24% organic). Organic revenue growth was primarily driven by Confirmation, Pagero, Trust, Checkpoint, Indirect Tax and the segment’s international businesses. </w:t>
            </w:r>
          </w:p>
        </w:tc>
      </w:tr>
    </w:tbl>
    <w:p>
      <w:pPr>
        <w:pStyle w:val="TextBody"/>
        <w:bidi w:val="0"/>
        <w:spacing w:before="240" w:after="0"/>
        <w:jc w:val="left"/>
        <w:rPr>
          <w:rFonts w:ascii="Arial" w:hAnsi="Arial"/>
          <w:sz w:val="20"/>
        </w:rPr>
      </w:pPr>
      <w:r>
        <w:rPr>
          <w:rFonts w:ascii="Arial" w:hAnsi="Arial"/>
          <w:b/>
          <w:sz w:val="20"/>
        </w:rPr>
        <w:t>Adjusted EBITDA</w:t>
      </w:r>
      <w:r>
        <w:rPr>
          <w:rFonts w:ascii="Arial" w:hAnsi="Arial"/>
          <w:sz w:val="20"/>
        </w:rPr>
        <w:t xml:space="preserve"> increased 17% to $200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margin increased to 37.2% from 35.7% driven by operating leverage. Foreign currency benefited the year-over-year change in adjusted EBITDA margin by 20 basis points. </w:t>
            </w:r>
          </w:p>
        </w:tc>
      </w:tr>
    </w:tbl>
    <w:p>
      <w:pPr>
        <w:pStyle w:val="TextBody"/>
        <w:bidi w:val="0"/>
        <w:spacing w:before="360" w:after="0"/>
        <w:jc w:val="left"/>
        <w:rPr>
          <w:rFonts w:ascii="Arial" w:hAnsi="Arial"/>
          <w:b/>
          <w:sz w:val="20"/>
          <w:u w:val="single"/>
        </w:rPr>
      </w:pPr>
      <w:r>
        <w:rPr>
          <w:rFonts w:ascii="Arial" w:hAnsi="Arial"/>
          <w:b/>
          <w:sz w:val="20"/>
          <w:u w:val="single"/>
        </w:rPr>
        <w:t xml:space="preserve">Tax, Audit &amp; Accounting Professionals </w:t>
      </w:r>
    </w:p>
    <w:p>
      <w:pPr>
        <w:pStyle w:val="TextBody"/>
        <w:bidi w:val="0"/>
        <w:spacing w:before="120" w:after="0"/>
        <w:jc w:val="left"/>
        <w:rPr>
          <w:rFonts w:ascii="Arial" w:hAnsi="Arial"/>
          <w:sz w:val="20"/>
        </w:rPr>
      </w:pPr>
      <w:r>
        <w:rPr>
          <w:rFonts w:ascii="Arial" w:hAnsi="Arial"/>
          <w:b/>
          <w:sz w:val="20"/>
        </w:rPr>
        <w:t>Revenues</w:t>
      </w:r>
      <w:r>
        <w:rPr>
          <w:rFonts w:ascii="Arial" w:hAnsi="Arial"/>
          <w:sz w:val="20"/>
        </w:rPr>
        <w:t xml:space="preserve"> increased 12% at constant currency, including the acquisition impact of SafeSend in the prior-year period, which is reflected in transactions revenues. Organic revenue growth was 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Recurring revenues increased 9% (67% of total, all organic). Organic revenue growth was primarily driven by tax and audit products, including GoSystem and CoCounsel, as well as Cloud Audit Suite and the segment’s Latin America business.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Transactions revenues increased 17% (33% of total, 6% organic). Organic revenue growth was primarily driven by SafeSend. </w:t>
            </w:r>
          </w:p>
        </w:tc>
      </w:tr>
    </w:tbl>
    <w:p>
      <w:pPr>
        <w:pStyle w:val="TextBody"/>
        <w:bidi w:val="0"/>
        <w:spacing w:before="240" w:after="0"/>
        <w:jc w:val="left"/>
        <w:rPr>
          <w:rFonts w:ascii="Arial" w:hAnsi="Arial"/>
          <w:sz w:val="20"/>
        </w:rPr>
      </w:pPr>
      <w:r>
        <w:rPr>
          <w:rFonts w:ascii="Arial" w:hAnsi="Arial"/>
          <w:b/>
          <w:sz w:val="20"/>
        </w:rPr>
        <w:t>Adjusted EBITDA</w:t>
      </w:r>
      <w:r>
        <w:rPr>
          <w:rFonts w:ascii="Arial" w:hAnsi="Arial"/>
          <w:sz w:val="20"/>
        </w:rPr>
        <w:t xml:space="preserve"> increased 9% to $120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margin decreased to 38.7% from 38.9%. Foreign currency benefited the year-over-year change in adjusted EBITDA margin by 20 basis points. </w:t>
            </w:r>
          </w:p>
        </w:tc>
      </w:tr>
    </w:tbl>
    <w:p>
      <w:pPr>
        <w:pStyle w:val="TextBody"/>
        <w:bidi w:val="0"/>
        <w:spacing w:before="240" w:after="0"/>
        <w:jc w:val="left"/>
        <w:rPr>
          <w:rFonts w:ascii="Arial" w:hAnsi="Arial"/>
          <w:sz w:val="20"/>
        </w:rPr>
      </w:pPr>
      <w:r>
        <w:rPr>
          <w:rFonts w:ascii="Arial" w:hAnsi="Arial"/>
          <w:sz w:val="20"/>
        </w:rPr>
        <w:t xml:space="preserve">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5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u w:val="single"/>
        </w:rPr>
      </w:pPr>
      <w:r>
        <w:rPr>
          <w:rFonts w:ascii="Arial" w:hAnsi="Arial"/>
          <w:b/>
          <w:sz w:val="20"/>
          <w:u w:val="single"/>
        </w:rPr>
        <w:t xml:space="preserve">Reuters </w:t>
      </w:r>
    </w:p>
    <w:p>
      <w:pPr>
        <w:pStyle w:val="TextBody"/>
        <w:bidi w:val="0"/>
        <w:spacing w:before="120" w:after="0"/>
        <w:jc w:val="left"/>
        <w:rPr>
          <w:rFonts w:ascii="Arial" w:hAnsi="Arial"/>
          <w:sz w:val="20"/>
        </w:rPr>
      </w:pPr>
      <w:r>
        <w:rPr>
          <w:rFonts w:ascii="Arial" w:hAnsi="Arial"/>
          <w:b/>
          <w:sz w:val="20"/>
        </w:rPr>
        <w:t>Revenues</w:t>
      </w:r>
      <w:r>
        <w:rPr>
          <w:rFonts w:ascii="Arial" w:hAnsi="Arial"/>
          <w:sz w:val="20"/>
        </w:rPr>
        <w:t xml:space="preserve"> increased 5% at constant currency (4% organic), primarily due to higher Agency revenues and a contractual price increase from the company’s news agreement with the Data &amp; Analytics business of London Stock Exchange Group. </w:t>
      </w:r>
    </w:p>
    <w:p>
      <w:pPr>
        <w:pStyle w:val="TextBody"/>
        <w:bidi w:val="0"/>
        <w:spacing w:before="240" w:after="0"/>
        <w:jc w:val="left"/>
        <w:rPr>
          <w:rFonts w:ascii="Arial" w:hAnsi="Arial"/>
          <w:sz w:val="20"/>
        </w:rPr>
      </w:pPr>
      <w:r>
        <w:rPr>
          <w:rFonts w:ascii="Arial" w:hAnsi="Arial"/>
          <w:b/>
          <w:sz w:val="20"/>
        </w:rPr>
        <w:t xml:space="preserve">Adjusted EBITDA </w:t>
      </w:r>
      <w:r>
        <w:rPr>
          <w:rFonts w:ascii="Arial" w:hAnsi="Arial"/>
          <w:sz w:val="20"/>
        </w:rPr>
        <w:t xml:space="preserve">increased 5% to $48 million and the margin was 20.8%, unchanged from the prior-year period. Foreign currency negatively impacted the year-over-year change in adjusted EBITDA margin by 80 basis points. </w:t>
      </w:r>
    </w:p>
    <w:p>
      <w:pPr>
        <w:pStyle w:val="TextBody"/>
        <w:bidi w:val="0"/>
        <w:spacing w:before="360" w:after="0"/>
        <w:jc w:val="left"/>
        <w:rPr>
          <w:rFonts w:ascii="Arial" w:hAnsi="Arial"/>
          <w:b/>
          <w:sz w:val="20"/>
          <w:u w:val="single"/>
        </w:rPr>
      </w:pPr>
      <w:r>
        <w:rPr>
          <w:rFonts w:ascii="Arial" w:hAnsi="Arial"/>
          <w:b/>
          <w:sz w:val="20"/>
          <w:u w:val="single"/>
        </w:rPr>
        <w:t xml:space="preserve">Global Print </w:t>
      </w:r>
    </w:p>
    <w:p>
      <w:pPr>
        <w:pStyle w:val="TextBody"/>
        <w:bidi w:val="0"/>
        <w:spacing w:before="120" w:after="0"/>
        <w:jc w:val="left"/>
        <w:rPr>
          <w:rFonts w:ascii="Arial" w:hAnsi="Arial"/>
          <w:sz w:val="20"/>
        </w:rPr>
      </w:pPr>
      <w:r>
        <w:rPr>
          <w:rFonts w:ascii="Arial" w:hAnsi="Arial"/>
          <w:b/>
          <w:sz w:val="20"/>
        </w:rPr>
        <w:t>Revenues</w:t>
      </w:r>
      <w:r>
        <w:rPr>
          <w:rFonts w:ascii="Arial" w:hAnsi="Arial"/>
          <w:sz w:val="20"/>
        </w:rPr>
        <w:t xml:space="preserve"> decreased 3% at constant currency, all organic, driven by lower shipment volumes. </w:t>
      </w:r>
    </w:p>
    <w:p>
      <w:pPr>
        <w:pStyle w:val="TextBody"/>
        <w:bidi w:val="0"/>
        <w:spacing w:before="240" w:after="0"/>
        <w:jc w:val="left"/>
        <w:rPr>
          <w:rFonts w:ascii="Arial" w:hAnsi="Arial"/>
          <w:sz w:val="20"/>
        </w:rPr>
      </w:pPr>
      <w:r>
        <w:rPr>
          <w:rFonts w:ascii="Arial" w:hAnsi="Arial"/>
          <w:b/>
          <w:sz w:val="20"/>
        </w:rPr>
        <w:t xml:space="preserve">Adjusted EBITDA </w:t>
      </w:r>
      <w:r>
        <w:rPr>
          <w:rFonts w:ascii="Arial" w:hAnsi="Arial"/>
          <w:sz w:val="20"/>
        </w:rPr>
        <w:t xml:space="preserve">increased 2% to $42 million, and the margin increased to 37.7% from 36.0%, reflecting lower expenses. </w:t>
      </w:r>
    </w:p>
    <w:p>
      <w:pPr>
        <w:pStyle w:val="TextBody"/>
        <w:bidi w:val="0"/>
        <w:spacing w:before="360" w:after="0"/>
        <w:jc w:val="left"/>
        <w:rPr>
          <w:rFonts w:ascii="Arial" w:hAnsi="Arial"/>
          <w:b/>
          <w:sz w:val="20"/>
          <w:u w:val="single"/>
        </w:rPr>
      </w:pPr>
      <w:r>
        <w:rPr>
          <w:rFonts w:ascii="Arial" w:hAnsi="Arial"/>
          <w:b/>
          <w:sz w:val="20"/>
          <w:u w:val="single"/>
        </w:rPr>
        <w:t xml:space="preserve">Corporate Costs </w:t>
      </w:r>
    </w:p>
    <w:p>
      <w:pPr>
        <w:pStyle w:val="TextBody"/>
        <w:bidi w:val="0"/>
        <w:spacing w:before="120" w:after="0"/>
        <w:jc w:val="left"/>
        <w:rPr>
          <w:rFonts w:ascii="Arial" w:hAnsi="Arial"/>
          <w:sz w:val="20"/>
        </w:rPr>
      </w:pPr>
      <w:r>
        <w:rPr>
          <w:rFonts w:ascii="Arial" w:hAnsi="Arial"/>
          <w:b/>
          <w:sz w:val="20"/>
        </w:rPr>
        <w:t>Corporate costs</w:t>
      </w:r>
      <w:r>
        <w:rPr>
          <w:rFonts w:ascii="Arial" w:hAnsi="Arial"/>
          <w:sz w:val="20"/>
        </w:rPr>
        <w:t xml:space="preserve"> were $36 million compared to $29 million in the prior-year period. </w:t>
      </w:r>
    </w:p>
    <w:p>
      <w:pPr>
        <w:pStyle w:val="TextBody"/>
        <w:bidi w:val="0"/>
        <w:spacing w:before="360" w:after="0"/>
        <w:jc w:val="left"/>
        <w:rPr>
          <w:rFonts w:ascii="Arial" w:hAnsi="Arial"/>
          <w:b/>
          <w:sz w:val="20"/>
          <w:u w:val="single"/>
        </w:rPr>
      </w:pPr>
      <w:r>
        <w:rPr>
          <w:rFonts w:ascii="Arial" w:hAnsi="Arial"/>
          <w:b/>
          <w:sz w:val="20"/>
          <w:u w:val="single"/>
        </w:rPr>
        <w:t xml:space="preserve">Consolidated Financial Highlights - Six Months Ended June 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1"/>
        <w:gridCol w:w="60"/>
        <w:gridCol w:w="140"/>
        <w:gridCol w:w="587"/>
        <w:gridCol w:w="458"/>
        <w:gridCol w:w="60"/>
        <w:gridCol w:w="140"/>
        <w:gridCol w:w="587"/>
        <w:gridCol w:w="458"/>
        <w:gridCol w:w="60"/>
        <w:gridCol w:w="87"/>
        <w:gridCol w:w="730"/>
        <w:gridCol w:w="458"/>
        <w:gridCol w:w="60"/>
        <w:gridCol w:w="114"/>
        <w:gridCol w:w="980"/>
        <w:gridCol w:w="465"/>
      </w:tblGrid>
      <w:tr>
        <w:trPr/>
        <w:tc>
          <w:tcPr>
            <w:tcW w:w="47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r>
      <w:tr>
        <w:trPr/>
        <w:tc>
          <w:tcPr>
            <w:tcW w:w="9740" w:type="dxa"/>
            <w:gridSpan w:val="16"/>
            <w:tcBorders>
              <w:top w:val="single" w:sz="2" w:space="0" w:color="000000"/>
              <w:left w:val="single" w:sz="2" w:space="0" w:color="000000"/>
            </w:tcBorders>
            <w:tcMar>
              <w:top w:w="28" w:type="dxa"/>
              <w:left w:w="160" w:type="dxa"/>
            </w:tcMar>
            <w:vAlign w:val="bottom"/>
          </w:tcPr>
          <w:p>
            <w:pPr>
              <w:pStyle w:val="TableContents"/>
              <w:bidi w:val="0"/>
              <w:spacing w:before="0" w:after="0"/>
              <w:jc w:val="center"/>
              <w:rPr>
                <w:rFonts w:ascii="Arial" w:hAnsi="Arial"/>
                <w:b/>
                <w:sz w:val="16"/>
              </w:rPr>
            </w:pPr>
            <w:r>
              <w:rPr>
                <w:rFonts w:ascii="Arial" w:hAnsi="Arial"/>
                <w:b/>
                <w:sz w:val="16"/>
              </w:rPr>
              <w:t>Six months ended June 30,</w:t>
            </w:r>
          </w:p>
          <w:p>
            <w:pPr>
              <w:pStyle w:val="TableContents"/>
              <w:bidi w:val="0"/>
              <w:spacing w:before="0" w:after="0"/>
              <w:jc w:val="center"/>
              <w:rPr>
                <w:rFonts w:ascii="Arial" w:hAnsi="Arial"/>
                <w:sz w:val="16"/>
              </w:rPr>
            </w:pPr>
            <w:r>
              <w:rPr>
                <w:rFonts w:ascii="Arial" w:hAnsi="Arial"/>
                <w:sz w:val="16"/>
              </w:rPr>
              <w:t>(Millions of U.S. dollars, except for EPS)</w:t>
            </w:r>
          </w:p>
          <w:p>
            <w:pPr>
              <w:pStyle w:val="TableContents"/>
              <w:bidi w:val="0"/>
              <w:spacing w:before="0" w:after="20"/>
              <w:jc w:val="center"/>
              <w:rPr>
                <w:rFonts w:ascii="Arial" w:hAnsi="Arial"/>
                <w:sz w:val="16"/>
              </w:rPr>
            </w:pPr>
            <w:r>
              <w:rPr>
                <w:rFonts w:ascii="Arial" w:hAnsi="Arial"/>
                <w:sz w:val="16"/>
              </w:rPr>
              <w:t>(unaudited)</w:t>
            </w:r>
          </w:p>
        </w:tc>
        <w:tc>
          <w:tcPr>
            <w:tcW w:w="465" w:type="dxa"/>
            <w:tcBorders>
              <w:top w:val="single" w:sz="2" w:space="0" w:color="000000"/>
              <w:right w:val="single" w:sz="2" w:space="0" w:color="000000"/>
            </w:tcBorders>
            <w:tcMar>
              <w:top w:w="28" w:type="dxa"/>
              <w:right w:w="40" w:type="dxa"/>
            </w:tcMar>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476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IFRS Financial Measures</w:t>
            </w:r>
            <w:r>
              <w:rPr>
                <w:rFonts w:ascii="Arial" w:hAnsi="Arial"/>
                <w:sz w:val="20"/>
              </w:rPr>
              <w:t>(1)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4,041</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3,685</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10</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Operating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1,197</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999</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20</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Diluted EPS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2.05</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1.65</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24</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1,425</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1,191</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19</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rHeight w:val="120" w:hRule="atLeast"/>
        </w:trPr>
        <w:tc>
          <w:tcPr>
            <w:tcW w:w="4761" w:type="dxa"/>
            <w:tcBorders>
              <w:left w:val="single" w:sz="2" w:space="0" w:color="000000"/>
            </w:tcBorders>
            <w:tcMar>
              <w:left w:w="160" w:type="dxa"/>
            </w:tcMar>
            <w:vAlign w:val="center"/>
          </w:tcPr>
          <w:p>
            <w:pPr>
              <w:pStyle w:val="TableContents"/>
              <w:bidi w:val="0"/>
              <w:spacing w:before="0" w:after="283"/>
              <w:jc w:val="left"/>
              <w:rPr/>
            </w:pPr>
            <w:r>
              <w:rPr/>
              <w:t> </w:t>
            </w:r>
          </w:p>
        </w:tc>
        <w:tc>
          <w:tcPr>
            <w:tcW w:w="1245" w:type="dxa"/>
            <w:gridSpan w:val="4"/>
            <w:tcBorders/>
            <w:vAlign w:val="center"/>
          </w:tcPr>
          <w:p>
            <w:pPr>
              <w:pStyle w:val="TableContents"/>
              <w:bidi w:val="0"/>
              <w:spacing w:before="0" w:after="283"/>
              <w:jc w:val="left"/>
              <w:rPr>
                <w:sz w:val="4"/>
                <w:szCs w:val="4"/>
              </w:rPr>
            </w:pPr>
            <w:r>
              <w:rPr>
                <w:sz w:val="4"/>
                <w:szCs w:val="4"/>
              </w:rPr>
            </w:r>
          </w:p>
        </w:tc>
        <w:tc>
          <w:tcPr>
            <w:tcW w:w="1245"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76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at</w:t>
              <w:br/>
              <w:t>Constant</w:t>
              <w:br/>
              <w:t>Currency</w:t>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Non-IFRS Financial Measures</w:t>
            </w:r>
            <w:r>
              <w:rPr>
                <w:rFonts w:ascii="Arial" w:hAnsi="Arial"/>
                <w:sz w:val="20"/>
              </w:rPr>
              <w:t>(1)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Revenue growth in constant currency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w:t>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Organic revenue growth</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w:t>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Adjusted EBITDA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1,626</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1,487</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9</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w:t>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Adjusted EBITDA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40.2</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40.1</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10bp</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30bp</w:t>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Adjusted EPS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2.22</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2.00</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11</w:t>
            </w:r>
          </w:p>
        </w:tc>
        <w:tc>
          <w:tcPr>
            <w:tcW w:w="4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w:t>
            </w:r>
          </w:p>
        </w:tc>
        <w:tc>
          <w:tcPr>
            <w:tcW w:w="46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476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Free cash flow</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1,059</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843</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26</w:t>
            </w:r>
          </w:p>
        </w:tc>
        <w:tc>
          <w:tcPr>
            <w:tcW w:w="4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465"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rHeight w:val="120" w:hRule="atLeast"/>
        </w:trPr>
        <w:tc>
          <w:tcPr>
            <w:tcW w:w="10205" w:type="dxa"/>
            <w:gridSpan w:val="17"/>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9740" w:type="dxa"/>
            <w:gridSpan w:val="16"/>
            <w:tcBorders>
              <w:left w:val="single" w:sz="2" w:space="0" w:color="000000"/>
              <w:bottom w:val="single" w:sz="2" w:space="0" w:color="000000"/>
            </w:tcBorders>
            <w:tcMar>
              <w:left w:w="160" w:type="dxa"/>
              <w:bottom w:w="60" w:type="dxa"/>
            </w:tcMar>
          </w:tcPr>
          <w:p>
            <w:pPr>
              <w:pStyle w:val="TableContents"/>
              <w:bidi w:val="0"/>
              <w:spacing w:before="0" w:after="20"/>
              <w:jc w:val="left"/>
              <w:rPr>
                <w:rFonts w:ascii="Arial" w:hAnsi="Arial"/>
                <w:sz w:val="16"/>
              </w:rPr>
            </w:pPr>
            <w:r>
              <w:rPr>
                <w:rFonts w:ascii="Arial" w:hAnsi="Arial"/>
                <w:i/>
                <w:sz w:val="16"/>
              </w:rPr>
              <w:t>(1)  In addition to results reported in accordance with IFRS,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w:t>
            </w:r>
            <w:r>
              <w:rPr>
                <w:rFonts w:ascii="Arial" w:hAnsi="Arial"/>
                <w:sz w:val="16"/>
              </w:rPr>
              <w:t> </w:t>
            </w:r>
          </w:p>
        </w:tc>
        <w:tc>
          <w:tcPr>
            <w:tcW w:w="465" w:type="dxa"/>
            <w:tcBorders>
              <w:bottom w:val="single" w:sz="2" w:space="0" w:color="000000"/>
              <w:right w:val="single" w:sz="2" w:space="0" w:color="000000"/>
            </w:tcBorders>
            <w:tcMar>
              <w:bottom w:w="60" w:type="dxa"/>
              <w:right w:w="40" w:type="dxa"/>
            </w:tcMar>
          </w:tcPr>
          <w:p>
            <w:pPr>
              <w:pStyle w:val="TableContents"/>
              <w:bidi w:val="0"/>
              <w:spacing w:before="0" w:after="0"/>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6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 xml:space="preserve">Revenues </w:t>
      </w:r>
      <w:r>
        <w:rPr>
          <w:rFonts w:ascii="Arial" w:hAnsi="Arial"/>
          <w:sz w:val="20"/>
        </w:rPr>
        <w:t xml:space="preserve">increased 10% due to 10% growth in recurring revenues (79% of total revenues) and 15% growth in transactions revenues, partly offset by a 3% decline in Global Print. Total company revenue growth benefited approximately 1% from foreign currency and 1% from net acquisitions and disposals.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Organic revenues increased 8% reflecting 8% growth in recurring revenues, 10% growth in transactions revenues and a 4% decline in Global Print.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company’s “Big 3” segments reported organic revenue growth of 9% and collectively comprised 84% of total revenues. </w:t>
            </w:r>
          </w:p>
        </w:tc>
      </w:tr>
    </w:tbl>
    <w:p>
      <w:pPr>
        <w:pStyle w:val="TextBody"/>
        <w:bidi w:val="0"/>
        <w:spacing w:before="240" w:after="0"/>
        <w:jc w:val="left"/>
        <w:rPr>
          <w:rFonts w:ascii="Arial" w:hAnsi="Arial"/>
          <w:sz w:val="20"/>
        </w:rPr>
      </w:pPr>
      <w:r>
        <w:rPr>
          <w:rFonts w:ascii="Arial" w:hAnsi="Arial"/>
          <w:b/>
          <w:sz w:val="20"/>
        </w:rPr>
        <w:t xml:space="preserve">Operating profit </w:t>
      </w:r>
      <w:r>
        <w:rPr>
          <w:rFonts w:ascii="Arial" w:hAnsi="Arial"/>
          <w:sz w:val="20"/>
        </w:rPr>
        <w:t xml:space="preserve">increased 20%, primarily due to the net impact of higher revenues and operating expenses as well as other operating gains in the current-year period, partly offset by higher amortization of software.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Adjusted EBITDA, which excludes other operating gains, amortization of software, as well as other adjustments, increased 9% and the related margin increased to 40.2% from 40.1% in the prior-year period. Foreign currency negatively impacted the year-over-year change in adjusted EBITDA margin by 20 basis points. </w:t>
            </w:r>
          </w:p>
        </w:tc>
      </w:tr>
    </w:tbl>
    <w:p>
      <w:pPr>
        <w:pStyle w:val="TextBody"/>
        <w:bidi w:val="0"/>
        <w:spacing w:before="240" w:after="0"/>
        <w:jc w:val="left"/>
        <w:rPr>
          <w:rFonts w:ascii="Arial" w:hAnsi="Arial"/>
          <w:sz w:val="20"/>
        </w:rPr>
      </w:pPr>
      <w:r>
        <w:rPr>
          <w:rFonts w:ascii="Arial" w:hAnsi="Arial"/>
          <w:b/>
          <w:sz w:val="20"/>
        </w:rPr>
        <w:t xml:space="preserve">Diluted EPS </w:t>
      </w:r>
      <w:r>
        <w:rPr>
          <w:rFonts w:ascii="Arial" w:hAnsi="Arial"/>
          <w:sz w:val="20"/>
        </w:rPr>
        <w:t xml:space="preserve">increased to $2.05 per share compared to $1.65 per share in the prior-year period, primarily due to higher operating profit and, to a lesser extent, a benefit from a reduction in weighted-average common shares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Adjusted EPS increased to $2.22 per share compared to $2.00 per share in the prior-year period, primarily due to higher adjusted EBITDA and a benefit from a reduction in weighted-average common shares outstanding, partly offset by higher amortization of internally developed software. </w:t>
            </w:r>
          </w:p>
        </w:tc>
      </w:tr>
    </w:tbl>
    <w:p>
      <w:pPr>
        <w:pStyle w:val="TextBody"/>
        <w:bidi w:val="0"/>
        <w:spacing w:before="240" w:after="0"/>
        <w:jc w:val="left"/>
        <w:rPr>
          <w:rFonts w:ascii="Arial" w:hAnsi="Arial"/>
          <w:sz w:val="20"/>
        </w:rPr>
      </w:pPr>
      <w:r>
        <w:rPr>
          <w:rFonts w:ascii="Arial" w:hAnsi="Arial"/>
          <w:b/>
          <w:sz w:val="20"/>
        </w:rPr>
        <w:t xml:space="preserve">Net cash provided by operating activities </w:t>
      </w:r>
      <w:r>
        <w:rPr>
          <w:rFonts w:ascii="Arial" w:hAnsi="Arial"/>
          <w:sz w:val="20"/>
        </w:rPr>
        <w:t xml:space="preserve">increased by $234 million primarily due to higher cash benefits from the net impact of higher revenues and operating expenses and certain favorable changes in working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Free cash flow increased by $216 million primarily due to higher net cash provided by operating activities, partly offset by higher capital expenditures.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7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u w:val="single"/>
        </w:rPr>
      </w:pPr>
      <w:r>
        <w:rPr>
          <w:rFonts w:ascii="Arial" w:hAnsi="Arial"/>
          <w:b/>
          <w:sz w:val="20"/>
          <w:u w:val="single"/>
        </w:rPr>
        <w:t xml:space="preserve">Highlights by Customer Segment – Six Months Ended June 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1"/>
        <w:gridCol w:w="60"/>
        <w:gridCol w:w="140"/>
        <w:gridCol w:w="573"/>
        <w:gridCol w:w="417"/>
        <w:gridCol w:w="60"/>
        <w:gridCol w:w="140"/>
        <w:gridCol w:w="573"/>
        <w:gridCol w:w="417"/>
        <w:gridCol w:w="60"/>
        <w:gridCol w:w="60"/>
        <w:gridCol w:w="696"/>
        <w:gridCol w:w="416"/>
        <w:gridCol w:w="60"/>
        <w:gridCol w:w="86"/>
        <w:gridCol w:w="1036"/>
        <w:gridCol w:w="417"/>
        <w:gridCol w:w="172"/>
        <w:gridCol w:w="259"/>
        <w:gridCol w:w="1152"/>
        <w:gridCol w:w="360"/>
      </w:tblGrid>
      <w:tr>
        <w:trPr/>
        <w:tc>
          <w:tcPr>
            <w:tcW w:w="30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9845" w:type="dxa"/>
            <w:gridSpan w:val="20"/>
            <w:tcBorders>
              <w:top w:val="single" w:sz="2" w:space="0" w:color="000000"/>
              <w:left w:val="single" w:sz="2" w:space="0" w:color="000000"/>
            </w:tcBorders>
            <w:tcMar>
              <w:top w:w="28" w:type="dxa"/>
              <w:left w:w="160" w:type="dxa"/>
            </w:tcMar>
            <w:vAlign w:val="bottom"/>
          </w:tcPr>
          <w:p>
            <w:pPr>
              <w:pStyle w:val="TableContents"/>
              <w:bidi w:val="0"/>
              <w:spacing w:before="0" w:after="0"/>
              <w:jc w:val="center"/>
              <w:rPr>
                <w:rFonts w:ascii="Arial" w:hAnsi="Arial"/>
                <w:sz w:val="16"/>
              </w:rPr>
            </w:pPr>
            <w:r>
              <w:rPr>
                <w:rFonts w:ascii="Arial" w:hAnsi="Arial"/>
                <w:i/>
                <w:sz w:val="16"/>
              </w:rPr>
              <w:t>(Millions of U.S. dollars)</w:t>
            </w:r>
            <w:r>
              <w:rPr>
                <w:rFonts w:ascii="Arial" w:hAnsi="Arial"/>
                <w:sz w:val="16"/>
              </w:rPr>
              <w:t xml:space="preserve"> </w:t>
            </w:r>
          </w:p>
          <w:p>
            <w:pPr>
              <w:pStyle w:val="TableContents"/>
              <w:bidi w:val="0"/>
              <w:spacing w:before="0" w:after="20"/>
              <w:jc w:val="center"/>
              <w:rPr>
                <w:rFonts w:ascii="Arial" w:hAnsi="Arial"/>
                <w:i/>
                <w:sz w:val="16"/>
              </w:rPr>
            </w:pPr>
            <w:r>
              <w:rPr>
                <w:rFonts w:ascii="Arial" w:hAnsi="Arial"/>
                <w:i/>
                <w:sz w:val="16"/>
              </w:rPr>
              <w:t>(unaudited)</w:t>
            </w:r>
          </w:p>
        </w:tc>
        <w:tc>
          <w:tcPr>
            <w:tcW w:w="360" w:type="dxa"/>
            <w:tcBorders>
              <w:top w:val="single" w:sz="2" w:space="0" w:color="000000"/>
              <w:right w:val="single" w:sz="2" w:space="0" w:color="000000"/>
            </w:tcBorders>
            <w:tcMar>
              <w:top w:w="28" w:type="dxa"/>
              <w:right w:w="40" w:type="dxa"/>
            </w:tcMar>
            <w:vAlign w:val="bottom"/>
          </w:tcPr>
          <w:p>
            <w:pPr>
              <w:pStyle w:val="TableContents"/>
              <w:bidi w:val="0"/>
              <w:spacing w:before="0" w:after="283"/>
              <w:jc w:val="left"/>
              <w:rPr/>
            </w:pPr>
            <w:r>
              <w:rPr/>
              <w:t> </w:t>
            </w:r>
          </w:p>
        </w:tc>
      </w:tr>
      <w:tr>
        <w:trPr>
          <w:trHeight w:val="240" w:hRule="atLeast"/>
        </w:trPr>
        <w:tc>
          <w:tcPr>
            <w:tcW w:w="3051" w:type="dxa"/>
            <w:tcBorders>
              <w:left w:val="single" w:sz="2" w:space="0" w:color="000000"/>
            </w:tcBorders>
            <w:tcMar>
              <w:left w:w="160" w:type="dxa"/>
            </w:tcMar>
            <w:vAlign w:val="center"/>
          </w:tcPr>
          <w:p>
            <w:pPr>
              <w:pStyle w:val="TableContents"/>
              <w:bidi w:val="0"/>
              <w:spacing w:before="0" w:after="283"/>
              <w:jc w:val="left"/>
              <w:rPr/>
            </w:pPr>
            <w:r>
              <w:rPr/>
              <w:t> </w:t>
            </w:r>
          </w:p>
        </w:tc>
        <w:tc>
          <w:tcPr>
            <w:tcW w:w="2380" w:type="dxa"/>
            <w:gridSpan w:val="8"/>
            <w:tcBorders/>
            <w:vAlign w:val="center"/>
          </w:tcPr>
          <w:p>
            <w:pPr>
              <w:pStyle w:val="TableContents"/>
              <w:bidi w:val="0"/>
              <w:spacing w:before="0" w:after="283"/>
              <w:jc w:val="left"/>
              <w:rPr>
                <w:sz w:val="4"/>
                <w:szCs w:val="4"/>
              </w:rPr>
            </w:pPr>
            <w:r>
              <w:rPr>
                <w:sz w:val="4"/>
                <w:szCs w:val="4"/>
              </w:rPr>
            </w:r>
          </w:p>
        </w:tc>
        <w:tc>
          <w:tcPr>
            <w:tcW w:w="1232" w:type="dxa"/>
            <w:gridSpan w:val="4"/>
            <w:tcBorders/>
            <w:vAlign w:val="center"/>
          </w:tcPr>
          <w:p>
            <w:pPr>
              <w:pStyle w:val="TableContents"/>
              <w:bidi w:val="0"/>
              <w:spacing w:before="0" w:after="283"/>
              <w:jc w:val="left"/>
              <w:rPr>
                <w:sz w:val="4"/>
                <w:szCs w:val="4"/>
              </w:rPr>
            </w:pPr>
            <w:r>
              <w:rPr>
                <w:sz w:val="4"/>
                <w:szCs w:val="4"/>
              </w:rPr>
            </w:r>
          </w:p>
        </w:tc>
        <w:tc>
          <w:tcPr>
            <w:tcW w:w="1599" w:type="dxa"/>
            <w:gridSpan w:val="4"/>
            <w:tcBorders/>
            <w:vAlign w:val="center"/>
          </w:tcPr>
          <w:p>
            <w:pPr>
              <w:pStyle w:val="TableContents"/>
              <w:bidi w:val="0"/>
              <w:spacing w:before="0" w:after="283"/>
              <w:jc w:val="left"/>
              <w:rPr>
                <w:sz w:val="4"/>
                <w:szCs w:val="4"/>
              </w:rPr>
            </w:pPr>
            <w:r>
              <w:rPr>
                <w:sz w:val="4"/>
                <w:szCs w:val="4"/>
              </w:rPr>
            </w:r>
          </w:p>
        </w:tc>
        <w:tc>
          <w:tcPr>
            <w:tcW w:w="1943"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3" w:type="dxa"/>
            <w:gridSpan w:val="6"/>
            <w:tcBorders/>
            <w:vAlign w:val="bottom"/>
          </w:tcPr>
          <w:p>
            <w:pPr>
              <w:pStyle w:val="TableContents"/>
              <w:bidi w:val="0"/>
              <w:spacing w:before="0" w:after="283"/>
              <w:jc w:val="center"/>
              <w:rPr>
                <w:b/>
              </w:rPr>
            </w:pPr>
            <w:r>
              <w:rPr>
                <w:b/>
              </w:rPr>
              <w:t>Six months ended</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bidi w:val="0"/>
              <w:spacing w:before="0" w:after="283"/>
              <w:jc w:val="left"/>
              <w:rPr/>
            </w:pPr>
            <w:r>
              <w:rPr/>
              <w:t> </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2025(2)</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Constant</w:t>
              <w:br/>
              <w:t>Currency(1)</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Organic(1)(3)</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bidi w:val="0"/>
              <w:spacing w:before="0" w:after="283"/>
              <w:jc w:val="left"/>
              <w:rPr/>
            </w:pPr>
            <w:r>
              <w:rPr/>
              <w:t> </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b/>
                <w:sz w:val="20"/>
                <w:u w:val="single"/>
              </w:rPr>
            </w:pPr>
            <w:r>
              <w:rPr>
                <w:rFonts w:ascii="Arial" w:hAnsi="Arial"/>
                <w:b/>
                <w:sz w:val="20"/>
                <w:u w:val="single"/>
              </w:rPr>
              <w:t>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94" w:type="dxa"/>
            <w:gridSpan w:val="9"/>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1,528</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1,392</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10</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9</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1,145</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1,028</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11</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10</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10</w:t>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721</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632</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14</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13</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9</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3,394</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3,052</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11</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10</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9</w:t>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441</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414</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6</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w:t>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223</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230</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-4</w:t>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Eliminations/Rounding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(17</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(11</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b/>
                <w:sz w:val="20"/>
              </w:rPr>
            </w:pPr>
            <w:r>
              <w:rPr>
                <w:rFonts w:ascii="Arial" w:hAnsi="Arial"/>
                <w:b/>
                <w:sz w:val="20"/>
              </w:rPr>
              <w:t>Total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4,041</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3,685</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b/>
              </w:rPr>
            </w:pPr>
            <w:r>
              <w:rPr>
                <w:b/>
              </w:rPr>
              <w:t>10</w:t>
            </w:r>
          </w:p>
        </w:tc>
        <w:tc>
          <w:tcPr>
            <w:tcW w:w="416"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b/>
              </w:rPr>
            </w:pPr>
            <w:r>
              <w:rPr>
                <w:b/>
              </w:rPr>
              <w:t>9</w:t>
            </w:r>
          </w:p>
        </w:tc>
        <w:tc>
          <w:tcPr>
            <w:tcW w:w="417"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b/>
              </w:rPr>
            </w:pPr>
            <w:r>
              <w:rPr>
                <w:b/>
              </w:rPr>
              <w:t>8</w:t>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b/>
              </w:rPr>
            </w:pPr>
            <w:r>
              <w:rPr>
                <w:b/>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b/>
                <w:sz w:val="20"/>
                <w:u w:val="single"/>
              </w:rPr>
              <w:t>Adjusted EBITDA</w:t>
            </w:r>
            <w:r>
              <w:rPr>
                <w:rFonts w:ascii="Arial" w:hAnsi="Arial"/>
                <w:sz w:val="20"/>
              </w:rPr>
              <w:t>(1)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94" w:type="dxa"/>
            <w:gridSpan w:val="9"/>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736</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675</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9</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443</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387</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15</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14</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341</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318</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6</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1,520</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1,380</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10</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82</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84</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85</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85</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0</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(61</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(62</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n/a</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n/a</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0"/>
              <w:jc w:val="left"/>
              <w:rPr>
                <w:rFonts w:ascii="Arial" w:hAnsi="Arial"/>
                <w:b/>
                <w:sz w:val="20"/>
              </w:rPr>
            </w:pPr>
            <w:r>
              <w:rPr>
                <w:rFonts w:ascii="Arial" w:hAnsi="Arial"/>
                <w:b/>
                <w:sz w:val="20"/>
              </w:rPr>
              <w:t>Total Adjusted EBITDA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1,626</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1,487</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9</w:t>
            </w:r>
          </w:p>
        </w:tc>
        <w:tc>
          <w:tcPr>
            <w:tcW w:w="416"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9</w:t>
            </w:r>
          </w:p>
        </w:tc>
        <w:tc>
          <w:tcPr>
            <w:tcW w:w="417"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417"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b/>
                <w:sz w:val="20"/>
                <w:u w:val="single"/>
              </w:rPr>
              <w:t>Adjusted EBITDA Margin</w:t>
            </w:r>
            <w:r>
              <w:rPr>
                <w:rFonts w:ascii="Arial" w:hAnsi="Arial"/>
                <w:sz w:val="20"/>
              </w:rPr>
              <w:t>(1)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94" w:type="dxa"/>
            <w:gridSpan w:val="9"/>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Legal Professionals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48.2</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48.4</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-20bp</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-20bp</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Corporates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38.7</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37.6</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110bp</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130bp</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Tax, Audit &amp; Accounting Professionals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47.3</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48.9</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-160bp</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-140bp</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pPr>
            <w:r>
              <w:rPr/>
              <w:t>“</w:t>
            </w:r>
            <w:r>
              <w:rPr>
                <w:rFonts w:ascii="Arial" w:hAnsi="Arial"/>
                <w:sz w:val="20"/>
              </w:rPr>
              <w:t>Big 3” Segments Combined(1)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44.8</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44.9</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-10bp</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0bp</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sz w:val="20"/>
              </w:rPr>
            </w:pPr>
            <w:r>
              <w:rPr>
                <w:rFonts w:ascii="Arial" w:hAnsi="Arial"/>
                <w:sz w:val="20"/>
              </w:rPr>
              <w:t>Reuters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18.6</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20.4</w:t>
            </w:r>
          </w:p>
        </w:tc>
        <w:tc>
          <w:tcPr>
            <w:tcW w:w="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-180bp</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-50bp</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shd w:fill="CCEEFF" w:val="clear"/>
            <w:tcMar>
              <w:left w:w="160" w:type="dxa"/>
            </w:tcMar>
          </w:tcPr>
          <w:p>
            <w:pPr>
              <w:pStyle w:val="TableContents"/>
              <w:bidi w:val="0"/>
              <w:spacing w:before="0" w:after="0"/>
              <w:jc w:val="left"/>
              <w:rPr>
                <w:rFonts w:ascii="Arial" w:hAnsi="Arial"/>
                <w:sz w:val="20"/>
              </w:rPr>
            </w:pPr>
            <w:r>
              <w:rPr>
                <w:rFonts w:ascii="Arial" w:hAnsi="Arial"/>
                <w:sz w:val="20"/>
              </w:rPr>
              <w:t>Global Print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38.2</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36.9</w:t>
            </w:r>
          </w:p>
        </w:tc>
        <w:tc>
          <w:tcPr>
            <w:tcW w:w="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130bp</w:t>
            </w:r>
          </w:p>
        </w:tc>
        <w:tc>
          <w:tcPr>
            <w:tcW w:w="4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120bp</w:t>
            </w:r>
          </w:p>
        </w:tc>
        <w:tc>
          <w:tcPr>
            <w:tcW w:w="41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shd w:fill="CCEEFF" w:val="clear"/>
            <w:tcMar>
              <w:right w:w="40" w:type="dxa"/>
            </w:tcMar>
            <w:vAlign w:val="bottom"/>
          </w:tcPr>
          <w:p>
            <w:pPr>
              <w:pStyle w:val="TableContents"/>
              <w:bidi w:val="0"/>
              <w:spacing w:before="0" w:after="283"/>
              <w:jc w:val="left"/>
              <w:rPr/>
            </w:pPr>
            <w:r>
              <w:rPr/>
              <w:t> </w:t>
            </w:r>
          </w:p>
        </w:tc>
      </w:tr>
      <w:tr>
        <w:trPr/>
        <w:tc>
          <w:tcPr>
            <w:tcW w:w="3051" w:type="dxa"/>
            <w:tcBorders>
              <w:left w:val="single" w:sz="2" w:space="0" w:color="000000"/>
            </w:tcBorders>
            <w:tcMar>
              <w:left w:w="160" w:type="dxa"/>
            </w:tcMar>
          </w:tcPr>
          <w:p>
            <w:pPr>
              <w:pStyle w:val="TableContents"/>
              <w:bidi w:val="0"/>
              <w:spacing w:before="0" w:after="0"/>
              <w:jc w:val="left"/>
              <w:rPr>
                <w:rFonts w:ascii="Arial" w:hAnsi="Arial"/>
                <w:b/>
                <w:sz w:val="20"/>
              </w:rPr>
            </w:pPr>
            <w:r>
              <w:rPr>
                <w:rFonts w:ascii="Arial" w:hAnsi="Arial"/>
                <w:b/>
                <w:sz w:val="20"/>
              </w:rPr>
              <w:t>Total Adjusted EBITDA Margin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40.2</w:t>
            </w:r>
          </w:p>
        </w:tc>
        <w:tc>
          <w:tcPr>
            <w:tcW w:w="417"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40.1</w:t>
            </w:r>
          </w:p>
        </w:tc>
        <w:tc>
          <w:tcPr>
            <w:tcW w:w="417"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10bp</w:t>
            </w:r>
          </w:p>
        </w:tc>
        <w:tc>
          <w:tcPr>
            <w:tcW w:w="4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30bp</w:t>
            </w:r>
          </w:p>
        </w:tc>
        <w:tc>
          <w:tcPr>
            <w:tcW w:w="41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60"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9845" w:type="dxa"/>
            <w:gridSpan w:val="20"/>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p>
          <w:p>
            <w:pPr>
              <w:pStyle w:val="TableContents"/>
              <w:bidi w:val="0"/>
              <w:spacing w:before="0" w:after="0"/>
              <w:jc w:val="left"/>
              <w:rPr>
                <w:rFonts w:ascii="Arial" w:hAnsi="Arial"/>
                <w:i/>
                <w:sz w:val="16"/>
              </w:rPr>
            </w:pPr>
            <w:r>
              <w:rPr>
                <w:rFonts w:ascii="Arial" w:hAnsi="Arial"/>
                <w:i/>
                <w:sz w:val="16"/>
              </w:rPr>
              <w:t>(1) 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To compute segment and consolidated adjusted EBITDA margin, the company excludes fair value adjustments related to acquired deferred revenue. </w:t>
            </w:r>
          </w:p>
          <w:p>
            <w:pPr>
              <w:pStyle w:val="TableContents"/>
              <w:bidi w:val="0"/>
              <w:spacing w:before="0" w:after="0"/>
              <w:jc w:val="left"/>
              <w:rPr>
                <w:rFonts w:ascii="Arial" w:hAnsi="Arial"/>
                <w:i/>
                <w:sz w:val="16"/>
              </w:rPr>
            </w:pPr>
            <w:r>
              <w:rPr>
                <w:rFonts w:ascii="Arial" w:hAnsi="Arial"/>
                <w:i/>
                <w:sz w:val="16"/>
              </w:rPr>
              <w:t>(2)  For comparative purposes, 2025 segment results have been revised to reflect the current period presentation. For additional information, including a summary of how the changes impacted results for the three and six months ended June 30, 2025, see the “Revision to Prior-Year Segment Results” section of this news release. </w:t>
            </w:r>
          </w:p>
          <w:p>
            <w:pPr>
              <w:pStyle w:val="TableContents"/>
              <w:bidi w:val="0"/>
              <w:spacing w:before="0" w:after="0"/>
              <w:jc w:val="left"/>
              <w:rPr>
                <w:rFonts w:ascii="Arial" w:hAnsi="Arial"/>
                <w:i/>
                <w:sz w:val="16"/>
              </w:rPr>
            </w:pPr>
            <w:r>
              <w:rPr>
                <w:rFonts w:ascii="Arial" w:hAnsi="Arial"/>
                <w:i/>
                <w:sz w:val="16"/>
              </w:rPr>
              <w:t xml:space="preserve">(3)  Computed for revenue growth only.  </w:t>
            </w:r>
          </w:p>
          <w:p>
            <w:pPr>
              <w:pStyle w:val="TableContents"/>
              <w:bidi w:val="0"/>
              <w:spacing w:before="0" w:after="20"/>
              <w:jc w:val="left"/>
              <w:rPr>
                <w:rFonts w:ascii="Arial" w:hAnsi="Arial"/>
                <w:i/>
                <w:sz w:val="16"/>
              </w:rPr>
            </w:pPr>
            <w:r>
              <w:rPr>
                <w:rFonts w:ascii="Arial" w:hAnsi="Arial"/>
                <w:i/>
                <w:sz w:val="16"/>
              </w:rPr>
              <w:t xml:space="preserve">n/a:  not applicable  </w:t>
            </w:r>
          </w:p>
        </w:tc>
        <w:tc>
          <w:tcPr>
            <w:tcW w:w="36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360" w:after="0"/>
        <w:jc w:val="left"/>
        <w:rPr>
          <w:rFonts w:ascii="Arial" w:hAnsi="Arial"/>
          <w:b/>
          <w:sz w:val="20"/>
          <w:u w:val="single"/>
        </w:rPr>
      </w:pPr>
      <w:r>
        <w:rPr>
          <w:rFonts w:ascii="Arial" w:hAnsi="Arial"/>
          <w:b/>
          <w:sz w:val="20"/>
          <w:u w:val="single"/>
        </w:rPr>
        <w:t xml:space="preserve">2026 Outlook </w:t>
      </w:r>
    </w:p>
    <w:p>
      <w:pPr>
        <w:pStyle w:val="TextBody"/>
        <w:bidi w:val="0"/>
        <w:spacing w:before="120" w:after="0"/>
        <w:jc w:val="left"/>
        <w:rPr>
          <w:rFonts w:ascii="Arial" w:hAnsi="Arial"/>
          <w:sz w:val="20"/>
        </w:rPr>
      </w:pPr>
      <w:r>
        <w:rPr>
          <w:rFonts w:ascii="Arial" w:hAnsi="Arial"/>
          <w:sz w:val="20"/>
        </w:rPr>
        <w:t xml:space="preserve">The company raised its 2026 full-year outlook for total and organic revenue growth for the total company and its “Big 3” segments to reflect the performance of its businesses during the first six months of the year. All other metrics are unchanged from the previous 2026 full-year outlook communicated on May 5, 2026.  </w:t>
      </w:r>
    </w:p>
    <w:p>
      <w:pPr>
        <w:pStyle w:val="TextBody"/>
        <w:bidi w:val="0"/>
        <w:spacing w:before="240" w:after="0"/>
        <w:jc w:val="left"/>
        <w:rPr>
          <w:rFonts w:ascii="Arial" w:hAnsi="Arial"/>
          <w:sz w:val="20"/>
        </w:rPr>
      </w:pPr>
      <w:r>
        <w:rPr>
          <w:rFonts w:ascii="Arial" w:hAnsi="Arial"/>
          <w:sz w:val="20"/>
        </w:rPr>
        <w:t xml:space="preserve">The company’s outlook for 2026 in the table below assumes constant currency rates and incorporates the February 2026 Noetica acquisition, but excludes the impact of any future acquisitions or dispositions that may occur during the remainder of the year. Thomson Reuters believes that this type of guidance provides useful insight into the anticipated performance of its businesses.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8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signed a definitive agreement to enter into a joint venture with KKR. As part of the transaction, Thomson Reuters will sell a 51% stake in its Global Print business to capital accounts advised by KKR. Thomson Reuters will receive approximately $500 million in gross proceeds at closing. The transaction is expected to close in the fourth quarter of 2026, subject to specified regulatory approvals and customary closing conditions. The company’s full-year 2026 outlook includes the forecasted results of the Global Print segment, consistent with its prior 2026 full-year outlooks. The company will report its Global Print business as a discontinued operation when it releases its third quarter results and plans to provide an updated full-year 2026 outlook at that time. </w:t>
      </w:r>
    </w:p>
    <w:p>
      <w:pPr>
        <w:pStyle w:val="TextBody"/>
        <w:bidi w:val="0"/>
        <w:spacing w:before="240" w:after="0"/>
        <w:jc w:val="left"/>
        <w:rPr>
          <w:rFonts w:ascii="Arial" w:hAnsi="Arial"/>
          <w:sz w:val="20"/>
        </w:rPr>
      </w:pPr>
      <w:r>
        <w:rPr>
          <w:rFonts w:ascii="Arial" w:hAnsi="Arial"/>
          <w:sz w:val="20"/>
        </w:rPr>
        <w:t xml:space="preserve">The company’s 2026 outlook is forward-looking information that is subject to risks and uncertainties (see “Special Note Regarding Forward-Looking Statements, Material Risks and Material Assumptions”). In particular, the company continues to operate in an uncertain macroeconomic environment, reflecting ongoing geopolitical risk, uneven economic growth, and an evolving interest rate and inflationary backdrop. Any worsening of the global economic or business environment, among other factors, could impact the company’s ability to achieve its outlook. </w:t>
      </w:r>
    </w:p>
    <w:p>
      <w:pPr>
        <w:pStyle w:val="TextBody"/>
        <w:bidi w:val="0"/>
        <w:spacing w:before="360" w:after="0"/>
        <w:jc w:val="left"/>
        <w:rPr>
          <w:rFonts w:ascii="Arial" w:hAnsi="Arial"/>
          <w:b/>
          <w:i/>
          <w:sz w:val="20"/>
          <w:u w:val="single"/>
        </w:rPr>
      </w:pPr>
      <w:r>
        <w:rPr>
          <w:rFonts w:ascii="Arial" w:hAnsi="Arial"/>
          <w:b/>
          <w:i/>
          <w:sz w:val="20"/>
          <w:u w:val="single"/>
        </w:rPr>
        <w:t xml:space="preserve">Reported Full-Year 2025 Results and Full-Year 2026 Outlook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2"/>
        <w:gridCol w:w="61"/>
        <w:gridCol w:w="1700"/>
        <w:gridCol w:w="61"/>
        <w:gridCol w:w="2345"/>
        <w:gridCol w:w="61"/>
        <w:gridCol w:w="2345"/>
        <w:gridCol w:w="61"/>
        <w:gridCol w:w="1119"/>
      </w:tblGrid>
      <w:tr>
        <w:trPr/>
        <w:tc>
          <w:tcPr>
            <w:tcW w:w="245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2452" w:type="dxa"/>
            <w:tcBorders>
              <w:top w:val="single" w:sz="12" w:space="0" w:color="A6A6A6"/>
              <w:left w:val="single" w:sz="12" w:space="0" w:color="A6A6A6"/>
            </w:tcBorders>
            <w:tcMar>
              <w:top w:w="28" w:type="dxa"/>
              <w:left w:w="160" w:type="dxa"/>
            </w:tcMar>
            <w:vAlign w:val="center"/>
          </w:tcPr>
          <w:p>
            <w:pPr>
              <w:pStyle w:val="TableContents"/>
              <w:bidi w:val="0"/>
              <w:spacing w:before="0" w:after="283"/>
              <w:jc w:val="left"/>
              <w:rPr/>
            </w:pPr>
            <w:r>
              <w:rPr/>
              <w:t> </w:t>
            </w:r>
          </w:p>
        </w:tc>
        <w:tc>
          <w:tcPr>
            <w:tcW w:w="1761" w:type="dxa"/>
            <w:gridSpan w:val="2"/>
            <w:tcBorders>
              <w:top w:val="single" w:sz="12" w:space="0" w:color="A6A6A6"/>
              <w:left w:val="single" w:sz="12" w:space="0" w:color="A6A6A6"/>
            </w:tcBorders>
            <w:tcMar>
              <w:top w:w="28" w:type="dxa"/>
              <w:left w:w="28" w:type="dxa"/>
            </w:tcMar>
            <w:vAlign w:val="center"/>
          </w:tcPr>
          <w:p>
            <w:pPr>
              <w:pStyle w:val="TableContents"/>
              <w:bidi w:val="0"/>
              <w:spacing w:before="0" w:after="283"/>
              <w:jc w:val="left"/>
              <w:rPr/>
            </w:pPr>
            <w:r>
              <w:rPr/>
              <w:t> </w:t>
            </w:r>
          </w:p>
        </w:tc>
        <w:tc>
          <w:tcPr>
            <w:tcW w:w="2406" w:type="dxa"/>
            <w:gridSpan w:val="2"/>
            <w:tcBorders>
              <w:top w:val="single" w:sz="12" w:space="0" w:color="A6A6A6"/>
              <w:left w:val="single" w:sz="12" w:space="0" w:color="A6A6A6"/>
              <w:right w:val="single" w:sz="12" w:space="0" w:color="A6A6A6"/>
            </w:tcBorders>
            <w:tcMar>
              <w:top w:w="28" w:type="dxa"/>
              <w:left w:w="28" w:type="dxa"/>
              <w:right w:w="28" w:type="dxa"/>
            </w:tcMar>
            <w:vAlign w:val="center"/>
          </w:tcPr>
          <w:p>
            <w:pPr>
              <w:pStyle w:val="TableContents"/>
              <w:bidi w:val="0"/>
              <w:spacing w:before="0" w:after="283"/>
              <w:jc w:val="left"/>
              <w:rPr/>
            </w:pPr>
            <w:r>
              <w:rPr/>
              <w:t> </w:t>
            </w:r>
          </w:p>
        </w:tc>
        <w:tc>
          <w:tcPr>
            <w:tcW w:w="2406" w:type="dxa"/>
            <w:gridSpan w:val="2"/>
            <w:tcBorders>
              <w:top w:val="single" w:sz="12" w:space="0" w:color="A6A6A6"/>
              <w:left w:val="single" w:sz="12" w:space="0" w:color="A6A6A6"/>
              <w:right w:val="single" w:sz="12" w:space="0" w:color="A6A6A6"/>
            </w:tcBorders>
            <w:tcMar>
              <w:top w:w="28" w:type="dxa"/>
              <w:left w:w="28" w:type="dxa"/>
              <w:right w:w="28" w:type="dxa"/>
            </w:tcMar>
            <w:vAlign w:val="center"/>
          </w:tcPr>
          <w:p>
            <w:pPr>
              <w:pStyle w:val="TableContents"/>
              <w:bidi w:val="0"/>
              <w:spacing w:before="0" w:after="283"/>
              <w:jc w:val="left"/>
              <w:rPr/>
            </w:pPr>
            <w:r>
              <w:rPr/>
              <w:t> </w:t>
            </w:r>
          </w:p>
        </w:tc>
        <w:tc>
          <w:tcPr>
            <w:tcW w:w="1180" w:type="dxa"/>
            <w:gridSpan w:val="2"/>
            <w:tcBorders>
              <w:top w:val="single" w:sz="12" w:space="0" w:color="A6A6A6"/>
              <w:left w:val="single" w:sz="12" w:space="0" w:color="A6A6A6"/>
              <w:right w:val="single" w:sz="12" w:space="0" w:color="A6A6A6"/>
            </w:tcBorders>
            <w:shd w:fill="F8EADD" w:val="clear"/>
            <w:tcMar>
              <w:top w:w="28" w:type="dxa"/>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283"/>
              <w:jc w:val="left"/>
              <w:rPr>
                <w:b/>
                <w:color w:val="D64000"/>
              </w:rPr>
            </w:pPr>
            <w:r>
              <w:rPr>
                <w:b/>
                <w:color w:val="D64000"/>
              </w:rPr>
              <w:t>Total Thomson Reuters</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0"/>
              <w:jc w:val="center"/>
              <w:rPr>
                <w:rFonts w:ascii="Arial" w:hAnsi="Arial"/>
                <w:b/>
                <w:color w:val="404040"/>
                <w:sz w:val="22"/>
              </w:rPr>
            </w:pPr>
            <w:r>
              <w:rPr>
                <w:rFonts w:ascii="Arial" w:hAnsi="Arial"/>
                <w:b/>
                <w:color w:val="404040"/>
                <w:sz w:val="22"/>
              </w:rPr>
              <w:t>FY 2025 </w:t>
            </w:r>
          </w:p>
          <w:p>
            <w:pPr>
              <w:pStyle w:val="TableContents"/>
              <w:bidi w:val="0"/>
              <w:spacing w:before="0" w:after="20"/>
              <w:jc w:val="center"/>
              <w:rPr>
                <w:rFonts w:ascii="Arial" w:hAnsi="Arial"/>
                <w:b/>
                <w:color w:val="404040"/>
                <w:sz w:val="22"/>
              </w:rPr>
            </w:pPr>
            <w:r>
              <w:rPr>
                <w:rFonts w:ascii="Arial" w:hAnsi="Arial"/>
                <w:b/>
                <w:color w:val="404040"/>
                <w:sz w:val="22"/>
              </w:rPr>
              <w:t>Reported </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right w:val="single" w:sz="12" w:space="0" w:color="A6A6A6"/>
            </w:tcBorders>
            <w:tcMar>
              <w:bottom w:w="60" w:type="dxa"/>
              <w:right w:w="28" w:type="dxa"/>
            </w:tcMar>
            <w:vAlign w:val="bottom"/>
          </w:tcPr>
          <w:p>
            <w:pPr>
              <w:pStyle w:val="TableContents"/>
              <w:bidi w:val="0"/>
              <w:spacing w:before="0" w:after="0"/>
              <w:jc w:val="center"/>
              <w:rPr>
                <w:rFonts w:ascii="Arial" w:hAnsi="Arial"/>
                <w:b/>
                <w:color w:val="D64000"/>
                <w:sz w:val="22"/>
              </w:rPr>
            </w:pPr>
            <w:r>
              <w:rPr>
                <w:rFonts w:ascii="Arial" w:hAnsi="Arial"/>
                <w:b/>
                <w:color w:val="D64000"/>
                <w:sz w:val="22"/>
              </w:rPr>
              <w:t>FY 2026</w:t>
            </w:r>
          </w:p>
          <w:p>
            <w:pPr>
              <w:pStyle w:val="TableContents"/>
              <w:bidi w:val="0"/>
              <w:spacing w:before="0" w:after="0"/>
              <w:jc w:val="center"/>
              <w:rPr>
                <w:rFonts w:ascii="Arial" w:hAnsi="Arial"/>
                <w:b/>
                <w:color w:val="D64000"/>
                <w:sz w:val="22"/>
              </w:rPr>
            </w:pPr>
            <w:r>
              <w:rPr>
                <w:rFonts w:ascii="Arial" w:hAnsi="Arial"/>
                <w:b/>
                <w:color w:val="D64000"/>
                <w:sz w:val="22"/>
              </w:rPr>
              <w:t>Outlook</w:t>
            </w:r>
          </w:p>
          <w:p>
            <w:pPr>
              <w:pStyle w:val="TableContents"/>
              <w:bidi w:val="0"/>
              <w:spacing w:before="0" w:after="20"/>
              <w:jc w:val="center"/>
              <w:rPr>
                <w:rFonts w:ascii="Arial" w:hAnsi="Arial"/>
                <w:b/>
                <w:color w:val="D64000"/>
                <w:sz w:val="22"/>
              </w:rPr>
            </w:pPr>
            <w:r>
              <w:rPr>
                <w:rFonts w:ascii="Arial" w:hAnsi="Arial"/>
                <w:b/>
                <w:color w:val="D64000"/>
                <w:sz w:val="22"/>
              </w:rPr>
              <w:t>2/5/2026</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right w:val="single" w:sz="12" w:space="0" w:color="A6A6A6"/>
            </w:tcBorders>
            <w:tcMar>
              <w:bottom w:w="60" w:type="dxa"/>
              <w:right w:w="28" w:type="dxa"/>
            </w:tcMar>
            <w:vAlign w:val="bottom"/>
          </w:tcPr>
          <w:p>
            <w:pPr>
              <w:pStyle w:val="TableContents"/>
              <w:bidi w:val="0"/>
              <w:spacing w:before="0" w:after="0"/>
              <w:jc w:val="center"/>
              <w:rPr>
                <w:rFonts w:ascii="Arial" w:hAnsi="Arial"/>
                <w:b/>
                <w:color w:val="D64000"/>
                <w:sz w:val="22"/>
              </w:rPr>
            </w:pPr>
            <w:r>
              <w:rPr>
                <w:rFonts w:ascii="Arial" w:hAnsi="Arial"/>
                <w:b/>
                <w:color w:val="D64000"/>
                <w:sz w:val="22"/>
              </w:rPr>
              <w:t>FY 2026</w:t>
            </w:r>
          </w:p>
          <w:p>
            <w:pPr>
              <w:pStyle w:val="TableContents"/>
              <w:bidi w:val="0"/>
              <w:spacing w:before="0" w:after="0"/>
              <w:jc w:val="center"/>
              <w:rPr>
                <w:rFonts w:ascii="Arial" w:hAnsi="Arial"/>
                <w:b/>
                <w:color w:val="D64000"/>
                <w:sz w:val="22"/>
              </w:rPr>
            </w:pPr>
            <w:r>
              <w:rPr>
                <w:rFonts w:ascii="Arial" w:hAnsi="Arial"/>
                <w:b/>
                <w:color w:val="D64000"/>
                <w:sz w:val="22"/>
              </w:rPr>
              <w:t>Outlook</w:t>
            </w:r>
          </w:p>
          <w:p>
            <w:pPr>
              <w:pStyle w:val="TableContents"/>
              <w:bidi w:val="0"/>
              <w:spacing w:before="0" w:after="20"/>
              <w:jc w:val="center"/>
              <w:rPr>
                <w:rFonts w:ascii="Arial" w:hAnsi="Arial"/>
                <w:b/>
                <w:color w:val="D64000"/>
                <w:sz w:val="22"/>
              </w:rPr>
            </w:pPr>
            <w:r>
              <w:rPr>
                <w:rFonts w:ascii="Arial" w:hAnsi="Arial"/>
                <w:b/>
                <w:color w:val="D64000"/>
                <w:sz w:val="22"/>
              </w:rPr>
              <w:t>5/5/2026</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40" w:type="dxa"/>
            </w:tcMar>
            <w:vAlign w:val="bottom"/>
          </w:tcPr>
          <w:p>
            <w:pPr>
              <w:pStyle w:val="TableContents"/>
              <w:bidi w:val="0"/>
              <w:spacing w:before="0" w:after="0"/>
              <w:jc w:val="center"/>
              <w:rPr>
                <w:rFonts w:ascii="Arial" w:hAnsi="Arial"/>
                <w:b/>
                <w:color w:val="0070C0"/>
                <w:sz w:val="22"/>
              </w:rPr>
            </w:pPr>
            <w:r>
              <w:rPr>
                <w:rFonts w:ascii="Arial" w:hAnsi="Arial"/>
                <w:b/>
                <w:color w:val="0070C0"/>
                <w:sz w:val="22"/>
              </w:rPr>
              <w:t>FY 2026</w:t>
            </w:r>
          </w:p>
          <w:p>
            <w:pPr>
              <w:pStyle w:val="TableContents"/>
              <w:bidi w:val="0"/>
              <w:spacing w:before="0" w:after="0"/>
              <w:jc w:val="center"/>
              <w:rPr>
                <w:rFonts w:ascii="Arial" w:hAnsi="Arial"/>
                <w:b/>
                <w:color w:val="0070C0"/>
                <w:sz w:val="22"/>
              </w:rPr>
            </w:pPr>
            <w:r>
              <w:rPr>
                <w:rFonts w:ascii="Arial" w:hAnsi="Arial"/>
                <w:b/>
                <w:color w:val="0070C0"/>
                <w:sz w:val="22"/>
              </w:rPr>
              <w:t>Outlook</w:t>
            </w:r>
          </w:p>
          <w:p>
            <w:pPr>
              <w:pStyle w:val="TableContents"/>
              <w:bidi w:val="0"/>
              <w:spacing w:before="0" w:after="20"/>
              <w:jc w:val="center"/>
              <w:rPr>
                <w:rFonts w:ascii="Arial" w:hAnsi="Arial"/>
                <w:b/>
                <w:color w:val="0070C0"/>
                <w:sz w:val="22"/>
              </w:rPr>
            </w:pPr>
            <w:r>
              <w:rPr>
                <w:rFonts w:ascii="Arial" w:hAnsi="Arial"/>
                <w:b/>
                <w:color w:val="0070C0"/>
                <w:sz w:val="22"/>
              </w:rPr>
              <w:t>8/5/2026</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Total Revenue Growth</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3%(2)</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7.5% - 8.0%</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 8.0%</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Organic Revenue Growth(1)</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283"/>
              <w:jc w:val="center"/>
              <w:rPr/>
            </w:pPr>
            <w:r>
              <w:rPr/>
              <w:t>7%</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7.5% - 8.0%</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 8.0%</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Adjusted EBITDA Margin(1)</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39.2%</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+100bps vs 2025</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Corporate Costs</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283"/>
              <w:jc w:val="center"/>
              <w:rPr/>
            </w:pPr>
            <w:r>
              <w:rPr/>
              <w:t>$118 million</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$115 - $125 million</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Free Cash Flow(1)</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$1.95 billion</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 $2.1 billion</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Accrued Capex as % of Revenues(1)</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283"/>
              <w:jc w:val="center"/>
              <w:rPr/>
            </w:pPr>
            <w:r>
              <w:rPr/>
              <w:t>8.2%</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 8.0%</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Depreciation &amp; Amortization of Software</w:t>
              <w:br/>
              <w:t>Depreciation &amp; Amortization of Internally Developed Software</w:t>
              <w:br/>
              <w:t>Amortization of Acquired Software</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jc w:val="center"/>
              <w:rPr>
                <w:sz w:val="18"/>
              </w:rPr>
            </w:pPr>
            <w:r>
              <w:rPr>
                <w:sz w:val="18"/>
              </w:rPr>
              <w:t>$832 million</w:t>
            </w:r>
          </w:p>
          <w:p>
            <w:pPr>
              <w:pStyle w:val="TableContents"/>
              <w:bidi w:val="0"/>
              <w:spacing w:before="0" w:after="0"/>
              <w:jc w:val="center"/>
              <w:rPr>
                <w:rFonts w:ascii="Arial" w:hAnsi="Arial"/>
                <w:sz w:val="16"/>
              </w:rPr>
            </w:pPr>
            <w:r>
              <w:rPr>
                <w:rFonts w:ascii="Arial" w:hAnsi="Arial"/>
                <w:sz w:val="16"/>
              </w:rPr>
              <w:t>$626 million</w:t>
            </w:r>
          </w:p>
          <w:p>
            <w:pPr>
              <w:pStyle w:val="TableContents"/>
              <w:bidi w:val="0"/>
              <w:spacing w:before="0" w:after="20"/>
              <w:jc w:val="center"/>
              <w:rPr>
                <w:rFonts w:ascii="Arial" w:hAnsi="Arial"/>
                <w:sz w:val="16"/>
              </w:rPr>
            </w:pPr>
            <w:r>
              <w:rPr>
                <w:rFonts w:ascii="Arial" w:hAnsi="Arial"/>
                <w:sz w:val="16"/>
              </w:rPr>
              <w:t>$206 million</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jc w:val="center"/>
              <w:rPr>
                <w:sz w:val="18"/>
              </w:rPr>
            </w:pPr>
            <w:r>
              <w:rPr>
                <w:sz w:val="18"/>
              </w:rPr>
              <w:t>$890 - $910 million</w:t>
            </w:r>
          </w:p>
          <w:p>
            <w:pPr>
              <w:pStyle w:val="TableContents"/>
              <w:bidi w:val="0"/>
              <w:spacing w:before="0" w:after="0"/>
              <w:jc w:val="center"/>
              <w:rPr>
                <w:rFonts w:ascii="Arial" w:hAnsi="Arial"/>
                <w:sz w:val="16"/>
              </w:rPr>
            </w:pPr>
            <w:r>
              <w:rPr>
                <w:rFonts w:ascii="Arial" w:hAnsi="Arial"/>
                <w:sz w:val="16"/>
              </w:rPr>
              <w:t>$680 - $690 million</w:t>
            </w:r>
          </w:p>
          <w:p>
            <w:pPr>
              <w:pStyle w:val="TableContents"/>
              <w:bidi w:val="0"/>
              <w:spacing w:before="0" w:after="20"/>
              <w:jc w:val="center"/>
              <w:rPr>
                <w:rFonts w:ascii="Arial" w:hAnsi="Arial"/>
                <w:sz w:val="16"/>
              </w:rPr>
            </w:pPr>
            <w:r>
              <w:rPr>
                <w:rFonts w:ascii="Arial" w:hAnsi="Arial"/>
                <w:sz w:val="16"/>
              </w:rPr>
              <w:t>$210 - $220 million</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jc w:val="center"/>
              <w:rPr>
                <w:sz w:val="18"/>
              </w:rPr>
            </w:pPr>
            <w:r>
              <w:rPr>
                <w:sz w:val="18"/>
              </w:rPr>
              <w:t>Unchanged</w:t>
            </w:r>
          </w:p>
          <w:p>
            <w:pPr>
              <w:pStyle w:val="TableContents"/>
              <w:bidi w:val="0"/>
              <w:spacing w:before="0" w:after="0"/>
              <w:jc w:val="center"/>
              <w:rPr>
                <w:rFonts w:ascii="Arial" w:hAnsi="Arial"/>
                <w:sz w:val="16"/>
              </w:rPr>
            </w:pPr>
            <w:r>
              <w:rPr>
                <w:rFonts w:ascii="Arial" w:hAnsi="Arial"/>
                <w:sz w:val="16"/>
              </w:rPr>
              <w:t>Unchanged</w:t>
            </w:r>
          </w:p>
          <w:p>
            <w:pPr>
              <w:pStyle w:val="TableContents"/>
              <w:bidi w:val="0"/>
              <w:spacing w:before="0" w:after="20"/>
              <w:jc w:val="center"/>
              <w:rPr>
                <w:rFonts w:ascii="Arial" w:hAnsi="Arial"/>
                <w:sz w:val="16"/>
              </w:rPr>
            </w:pPr>
            <w:r>
              <w:rPr>
                <w:rFonts w:ascii="Arial" w:hAnsi="Arial"/>
                <w:sz w:val="16"/>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jc w:val="center"/>
              <w:rPr>
                <w:sz w:val="18"/>
              </w:rPr>
            </w:pPr>
            <w:r>
              <w:rPr>
                <w:sz w:val="18"/>
              </w:rPr>
              <w:t>Unchanged</w:t>
            </w:r>
          </w:p>
          <w:p>
            <w:pPr>
              <w:pStyle w:val="TableContents"/>
              <w:bidi w:val="0"/>
              <w:spacing w:before="0" w:after="20"/>
              <w:jc w:val="center"/>
              <w:rPr>
                <w:rFonts w:ascii="Arial" w:hAnsi="Arial"/>
                <w:sz w:val="16"/>
              </w:rPr>
            </w:pPr>
            <w:r>
              <w:rPr>
                <w:rFonts w:ascii="Arial" w:hAnsi="Arial"/>
                <w:sz w:val="16"/>
              </w:rPr>
              <w:t>Unchanged</w:t>
              <w:br/>
              <w:t>Unchanged</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Net Interest Expense</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283"/>
              <w:jc w:val="center"/>
              <w:rPr/>
            </w:pPr>
            <w:r>
              <w:rPr/>
              <w:t> </w:t>
            </w:r>
            <w:r>
              <w:rPr/>
              <w:t>$143 million </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 </w:t>
            </w:r>
            <w:r>
              <w:rPr/>
              <w:t>$150 - $160 million </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 </w:t>
            </w:r>
            <w:r>
              <w:rPr/>
              <w:t>$180 - $190 million </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Effective Tax Rate on Adjusted Earnings(1)</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18.5%</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 19%</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right w:val="single" w:sz="12" w:space="0" w:color="A6A6A6"/>
            </w:tcBorders>
            <w:tcMar>
              <w:left w:w="28" w:type="dxa"/>
              <w:right w:w="28" w:type="dxa"/>
            </w:tcMar>
            <w:vAlign w:val="center"/>
          </w:tcPr>
          <w:p>
            <w:pPr>
              <w:pStyle w:val="TableContents"/>
              <w:bidi w:val="0"/>
              <w:spacing w:before="0" w:after="283"/>
              <w:jc w:val="left"/>
              <w:rPr/>
            </w:pPr>
            <w:r>
              <w:rPr/>
              <w:t> </w:t>
            </w:r>
          </w:p>
        </w:tc>
        <w:tc>
          <w:tcPr>
            <w:tcW w:w="2406" w:type="dxa"/>
            <w:gridSpan w:val="2"/>
            <w:tcBorders>
              <w:left w:val="single" w:sz="12" w:space="0" w:color="A6A6A6"/>
              <w:right w:val="single" w:sz="12" w:space="0" w:color="A6A6A6"/>
            </w:tcBorders>
            <w:tcMar>
              <w:left w:w="28" w:type="dxa"/>
              <w:righ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283"/>
              <w:jc w:val="left"/>
              <w:rPr>
                <w:color w:val="D64000"/>
              </w:rPr>
            </w:pPr>
            <w:r>
              <w:rPr>
                <w:color w:val="D64000"/>
              </w:rPr>
              <w:t>“</w:t>
            </w:r>
            <w:r>
              <w:rPr>
                <w:b/>
                <w:color w:val="D64000"/>
              </w:rPr>
              <w:t>Big 3” Segments(1)</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0"/>
              <w:jc w:val="center"/>
              <w:rPr>
                <w:rFonts w:ascii="Arial" w:hAnsi="Arial"/>
                <w:b/>
                <w:color w:val="404040"/>
                <w:sz w:val="22"/>
              </w:rPr>
            </w:pPr>
            <w:r>
              <w:rPr>
                <w:rFonts w:ascii="Arial" w:hAnsi="Arial"/>
                <w:b/>
                <w:color w:val="404040"/>
                <w:sz w:val="22"/>
              </w:rPr>
              <w:t>FY 2025</w:t>
            </w:r>
          </w:p>
          <w:p>
            <w:pPr>
              <w:pStyle w:val="TableContents"/>
              <w:bidi w:val="0"/>
              <w:spacing w:before="0" w:after="20"/>
              <w:jc w:val="center"/>
              <w:rPr>
                <w:rFonts w:ascii="Arial" w:hAnsi="Arial"/>
                <w:b/>
                <w:color w:val="404040"/>
                <w:sz w:val="22"/>
              </w:rPr>
            </w:pPr>
            <w:r>
              <w:rPr>
                <w:rFonts w:ascii="Arial" w:hAnsi="Arial"/>
                <w:b/>
                <w:color w:val="404040"/>
                <w:sz w:val="22"/>
              </w:rPr>
              <w:t>Reported</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right w:val="single" w:sz="12" w:space="0" w:color="A6A6A6"/>
            </w:tcBorders>
            <w:tcMar>
              <w:bottom w:w="60" w:type="dxa"/>
              <w:right w:w="28" w:type="dxa"/>
            </w:tcMar>
            <w:vAlign w:val="center"/>
          </w:tcPr>
          <w:p>
            <w:pPr>
              <w:pStyle w:val="TableContents"/>
              <w:bidi w:val="0"/>
              <w:spacing w:before="0" w:after="0"/>
              <w:jc w:val="center"/>
              <w:rPr>
                <w:rFonts w:ascii="Arial" w:hAnsi="Arial"/>
                <w:b/>
                <w:color w:val="D64000"/>
                <w:sz w:val="22"/>
              </w:rPr>
            </w:pPr>
            <w:r>
              <w:rPr>
                <w:rFonts w:ascii="Arial" w:hAnsi="Arial"/>
                <w:b/>
                <w:color w:val="D64000"/>
                <w:sz w:val="22"/>
              </w:rPr>
              <w:t>FY 2026</w:t>
            </w:r>
          </w:p>
          <w:p>
            <w:pPr>
              <w:pStyle w:val="TableContents"/>
              <w:bidi w:val="0"/>
              <w:spacing w:before="0" w:after="0"/>
              <w:jc w:val="center"/>
              <w:rPr>
                <w:rFonts w:ascii="Arial" w:hAnsi="Arial"/>
                <w:b/>
                <w:color w:val="D64000"/>
                <w:sz w:val="22"/>
              </w:rPr>
            </w:pPr>
            <w:r>
              <w:rPr>
                <w:rFonts w:ascii="Arial" w:hAnsi="Arial"/>
                <w:b/>
                <w:color w:val="D64000"/>
                <w:sz w:val="22"/>
              </w:rPr>
              <w:t>Outlook</w:t>
            </w:r>
          </w:p>
          <w:p>
            <w:pPr>
              <w:pStyle w:val="TableContents"/>
              <w:bidi w:val="0"/>
              <w:spacing w:before="0" w:after="20"/>
              <w:jc w:val="center"/>
              <w:rPr>
                <w:rFonts w:ascii="Arial" w:hAnsi="Arial"/>
                <w:b/>
                <w:color w:val="D64000"/>
                <w:sz w:val="22"/>
              </w:rPr>
            </w:pPr>
            <w:r>
              <w:rPr>
                <w:rFonts w:ascii="Arial" w:hAnsi="Arial"/>
                <w:b/>
                <w:color w:val="D64000"/>
                <w:sz w:val="22"/>
              </w:rPr>
              <w:t>2/5/2026</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right w:val="single" w:sz="12" w:space="0" w:color="A6A6A6"/>
            </w:tcBorders>
            <w:tcMar>
              <w:bottom w:w="60" w:type="dxa"/>
              <w:right w:w="28" w:type="dxa"/>
            </w:tcMar>
            <w:vAlign w:val="center"/>
          </w:tcPr>
          <w:p>
            <w:pPr>
              <w:pStyle w:val="TableContents"/>
              <w:bidi w:val="0"/>
              <w:spacing w:before="0" w:after="0"/>
              <w:jc w:val="center"/>
              <w:rPr>
                <w:rFonts w:ascii="Arial" w:hAnsi="Arial"/>
                <w:b/>
                <w:color w:val="D64000"/>
                <w:sz w:val="22"/>
              </w:rPr>
            </w:pPr>
            <w:r>
              <w:rPr>
                <w:rFonts w:ascii="Arial" w:hAnsi="Arial"/>
                <w:b/>
                <w:color w:val="D64000"/>
                <w:sz w:val="22"/>
              </w:rPr>
              <w:t>FY 2026</w:t>
            </w:r>
          </w:p>
          <w:p>
            <w:pPr>
              <w:pStyle w:val="TableContents"/>
              <w:bidi w:val="0"/>
              <w:spacing w:before="0" w:after="0"/>
              <w:jc w:val="center"/>
              <w:rPr>
                <w:rFonts w:ascii="Arial" w:hAnsi="Arial"/>
                <w:b/>
                <w:color w:val="D64000"/>
                <w:sz w:val="22"/>
              </w:rPr>
            </w:pPr>
            <w:r>
              <w:rPr>
                <w:rFonts w:ascii="Arial" w:hAnsi="Arial"/>
                <w:b/>
                <w:color w:val="D64000"/>
                <w:sz w:val="22"/>
              </w:rPr>
              <w:t>Outlook</w:t>
            </w:r>
          </w:p>
          <w:p>
            <w:pPr>
              <w:pStyle w:val="TableContents"/>
              <w:bidi w:val="0"/>
              <w:spacing w:before="0" w:after="20"/>
              <w:jc w:val="center"/>
              <w:rPr>
                <w:rFonts w:ascii="Arial" w:hAnsi="Arial"/>
                <w:b/>
                <w:color w:val="D64000"/>
                <w:sz w:val="22"/>
              </w:rPr>
            </w:pPr>
            <w:r>
              <w:rPr>
                <w:rFonts w:ascii="Arial" w:hAnsi="Arial"/>
                <w:b/>
                <w:color w:val="D64000"/>
                <w:sz w:val="22"/>
              </w:rPr>
              <w:t>5/5/2026</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40" w:type="dxa"/>
            </w:tcMar>
            <w:vAlign w:val="center"/>
          </w:tcPr>
          <w:p>
            <w:pPr>
              <w:pStyle w:val="TableContents"/>
              <w:bidi w:val="0"/>
              <w:spacing w:before="0" w:after="0"/>
              <w:jc w:val="center"/>
              <w:rPr>
                <w:rFonts w:ascii="Arial" w:hAnsi="Arial"/>
                <w:b/>
                <w:color w:val="0070C0"/>
                <w:sz w:val="22"/>
              </w:rPr>
            </w:pPr>
            <w:r>
              <w:rPr>
                <w:rFonts w:ascii="Arial" w:hAnsi="Arial"/>
                <w:b/>
                <w:color w:val="0070C0"/>
                <w:sz w:val="22"/>
              </w:rPr>
              <w:t>FY 2026</w:t>
            </w:r>
          </w:p>
          <w:p>
            <w:pPr>
              <w:pStyle w:val="TableContents"/>
              <w:bidi w:val="0"/>
              <w:spacing w:before="0" w:after="0"/>
              <w:jc w:val="center"/>
              <w:rPr>
                <w:rFonts w:ascii="Arial" w:hAnsi="Arial"/>
                <w:b/>
                <w:color w:val="0070C0"/>
                <w:sz w:val="22"/>
              </w:rPr>
            </w:pPr>
            <w:r>
              <w:rPr>
                <w:rFonts w:ascii="Arial" w:hAnsi="Arial"/>
                <w:b/>
                <w:color w:val="0070C0"/>
                <w:sz w:val="22"/>
              </w:rPr>
              <w:t>Outlook</w:t>
            </w:r>
          </w:p>
          <w:p>
            <w:pPr>
              <w:pStyle w:val="TableContents"/>
              <w:bidi w:val="0"/>
              <w:spacing w:before="0" w:after="20"/>
              <w:jc w:val="center"/>
              <w:rPr>
                <w:rFonts w:ascii="Arial" w:hAnsi="Arial"/>
                <w:b/>
                <w:color w:val="0070C0"/>
                <w:sz w:val="22"/>
              </w:rPr>
            </w:pPr>
            <w:r>
              <w:rPr>
                <w:rFonts w:ascii="Arial" w:hAnsi="Arial"/>
                <w:b/>
                <w:color w:val="0070C0"/>
                <w:sz w:val="22"/>
              </w:rPr>
              <w:t>8/5/2026</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Total Revenue Growth</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4%(2)</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 9.5%</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 </w:t>
            </w:r>
            <w:r>
              <w:rPr/>
              <w:t>9.5% - 10.0% </w:t>
            </w:r>
          </w:p>
        </w:tc>
      </w:tr>
      <w:tr>
        <w:trPr>
          <w:trHeight w:val="75" w:hRule="atLeast"/>
        </w:trPr>
        <w:tc>
          <w:tcPr>
            <w:tcW w:w="2452" w:type="dxa"/>
            <w:tcBorders>
              <w:left w:val="single" w:sz="12" w:space="0" w:color="A6A6A6"/>
            </w:tcBorders>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Organic Revenue Growth</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tcMar>
              <w:bottom w:w="60" w:type="dxa"/>
            </w:tcMar>
            <w:vAlign w:val="center"/>
          </w:tcPr>
          <w:p>
            <w:pPr>
              <w:pStyle w:val="TableContents"/>
              <w:bidi w:val="0"/>
              <w:spacing w:before="0" w:after="283"/>
              <w:jc w:val="center"/>
              <w:rPr/>
            </w:pPr>
            <w:r>
              <w:rPr/>
              <w:t>9%</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 9.5%</w:t>
            </w:r>
          </w:p>
        </w:tc>
        <w:tc>
          <w:tcPr>
            <w:tcW w:w="61" w:type="dxa"/>
            <w:tcBorders>
              <w:left w:val="single" w:sz="12" w:space="0" w:color="A6A6A6"/>
              <w:bottom w:val="single" w:sz="12" w:space="0" w:color="A6A6A6"/>
            </w:tcBorders>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9.5% - 10.0%</w:t>
            </w:r>
          </w:p>
        </w:tc>
      </w:tr>
      <w:tr>
        <w:trPr>
          <w:trHeight w:val="75" w:hRule="atLeast"/>
        </w:trPr>
        <w:tc>
          <w:tcPr>
            <w:tcW w:w="2452" w:type="dxa"/>
            <w:tcBorders>
              <w:left w:val="single" w:sz="12" w:space="0" w:color="A6A6A6"/>
            </w:tcBorders>
            <w:shd w:fill="F2F2F2" w:val="clear"/>
            <w:tcMar>
              <w:left w:w="160" w:type="dxa"/>
            </w:tcMar>
            <w:vAlign w:val="center"/>
          </w:tcPr>
          <w:p>
            <w:pPr>
              <w:pStyle w:val="TableContents"/>
              <w:bidi w:val="0"/>
              <w:spacing w:before="0" w:after="283"/>
              <w:jc w:val="left"/>
              <w:rPr/>
            </w:pPr>
            <w:r>
              <w:rPr/>
              <w:t> </w:t>
            </w:r>
          </w:p>
        </w:tc>
        <w:tc>
          <w:tcPr>
            <w:tcW w:w="1761"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2406" w:type="dxa"/>
            <w:gridSpan w:val="2"/>
            <w:tcBorders>
              <w:left w:val="single" w:sz="12" w:space="0" w:color="A6A6A6"/>
            </w:tcBorders>
            <w:shd w:fill="F2F2F2" w:val="clear"/>
            <w:tcMar>
              <w:left w:w="28" w:type="dxa"/>
            </w:tcMar>
            <w:vAlign w:val="center"/>
          </w:tcPr>
          <w:p>
            <w:pPr>
              <w:pStyle w:val="TableContents"/>
              <w:bidi w:val="0"/>
              <w:spacing w:before="0" w:after="283"/>
              <w:jc w:val="left"/>
              <w:rPr/>
            </w:pPr>
            <w:r>
              <w:rPr/>
              <w:t> </w:t>
            </w:r>
          </w:p>
        </w:tc>
        <w:tc>
          <w:tcPr>
            <w:tcW w:w="1180" w:type="dxa"/>
            <w:gridSpan w:val="2"/>
            <w:tcBorders>
              <w:left w:val="single" w:sz="12" w:space="0" w:color="A6A6A6"/>
              <w:right w:val="single" w:sz="12" w:space="0" w:color="A6A6A6"/>
            </w:tcBorders>
            <w:shd w:fill="F8EADD" w:val="clear"/>
            <w:tcMar>
              <w:left w:w="28" w:type="dxa"/>
              <w:right w:w="28" w:type="dxa"/>
            </w:tcMar>
            <w:vAlign w:val="center"/>
          </w:tcPr>
          <w:p>
            <w:pPr>
              <w:pStyle w:val="TableContents"/>
              <w:bidi w:val="0"/>
              <w:spacing w:before="0" w:after="283"/>
              <w:jc w:val="left"/>
              <w:rPr/>
            </w:pPr>
            <w:r>
              <w:rPr/>
              <w:t> </w:t>
            </w:r>
          </w:p>
        </w:tc>
      </w:tr>
      <w:tr>
        <w:trPr/>
        <w:tc>
          <w:tcPr>
            <w:tcW w:w="2452" w:type="dxa"/>
            <w:tcBorders>
              <w:left w:val="single" w:sz="12" w:space="0" w:color="A6A6A6"/>
              <w:bottom w:val="single" w:sz="12" w:space="0" w:color="A6A6A6"/>
            </w:tcBorders>
            <w:shd w:fill="F2F2F2" w:val="clear"/>
            <w:tcMar>
              <w:left w:w="160" w:type="dxa"/>
              <w:bottom w:w="60" w:type="dxa"/>
            </w:tcMar>
            <w:vAlign w:val="center"/>
          </w:tcPr>
          <w:p>
            <w:pPr>
              <w:pStyle w:val="TableContents"/>
              <w:bidi w:val="0"/>
              <w:spacing w:before="0" w:after="0"/>
              <w:jc w:val="left"/>
              <w:rPr>
                <w:rFonts w:ascii="Arial" w:hAnsi="Arial"/>
                <w:sz w:val="18"/>
              </w:rPr>
            </w:pPr>
            <w:r>
              <w:rPr>
                <w:rFonts w:ascii="Arial" w:hAnsi="Arial"/>
                <w:sz w:val="18"/>
              </w:rPr>
              <w:t>Adjusted EBITDA Margin</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1700" w:type="dxa"/>
            <w:tcBorders>
              <w:bottom w:val="single" w:sz="12" w:space="0" w:color="A6A6A6"/>
            </w:tcBorders>
            <w:shd w:fill="F2F2F2" w:val="clear"/>
            <w:tcMar>
              <w:bottom w:w="60" w:type="dxa"/>
            </w:tcMar>
            <w:vAlign w:val="center"/>
          </w:tcPr>
          <w:p>
            <w:pPr>
              <w:pStyle w:val="TableContents"/>
              <w:bidi w:val="0"/>
              <w:spacing w:before="0" w:after="283"/>
              <w:jc w:val="center"/>
              <w:rPr/>
            </w:pPr>
            <w:r>
              <w:rPr/>
              <w:t>43.6%</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+100bps vs 2025</w:t>
            </w:r>
          </w:p>
        </w:tc>
        <w:tc>
          <w:tcPr>
            <w:tcW w:w="61" w:type="dxa"/>
            <w:tcBorders>
              <w:left w:val="single" w:sz="12" w:space="0" w:color="A6A6A6"/>
              <w:bottom w:val="single" w:sz="12" w:space="0" w:color="A6A6A6"/>
            </w:tcBorders>
            <w:shd w:fill="F2F2F2" w:val="clear"/>
            <w:tcMar>
              <w:left w:w="28" w:type="dxa"/>
              <w:bottom w:w="28" w:type="dxa"/>
            </w:tcMar>
            <w:vAlign w:val="bottom"/>
          </w:tcPr>
          <w:p>
            <w:pPr>
              <w:pStyle w:val="TableContents"/>
              <w:bidi w:val="0"/>
              <w:spacing w:before="0" w:after="283"/>
              <w:jc w:val="left"/>
              <w:rPr/>
            </w:pPr>
            <w:r>
              <w:rPr/>
              <w:t> </w:t>
            </w:r>
          </w:p>
        </w:tc>
        <w:tc>
          <w:tcPr>
            <w:tcW w:w="2345" w:type="dxa"/>
            <w:tcBorders>
              <w:bottom w:val="single" w:sz="12" w:space="0" w:color="A6A6A6"/>
            </w:tcBorders>
            <w:shd w:fill="F2F2F2" w:val="clear"/>
            <w:tcMar>
              <w:bottom w:w="60" w:type="dxa"/>
            </w:tcMar>
            <w:vAlign w:val="center"/>
          </w:tcPr>
          <w:p>
            <w:pPr>
              <w:pStyle w:val="TableContents"/>
              <w:bidi w:val="0"/>
              <w:spacing w:before="0" w:after="283"/>
              <w:jc w:val="center"/>
              <w:rPr/>
            </w:pPr>
            <w:r>
              <w:rPr/>
              <w:t>Unchanged</w:t>
            </w:r>
          </w:p>
        </w:tc>
        <w:tc>
          <w:tcPr>
            <w:tcW w:w="61" w:type="dxa"/>
            <w:tcBorders>
              <w:left w:val="single" w:sz="12" w:space="0" w:color="A6A6A6"/>
              <w:bottom w:val="single" w:sz="12" w:space="0" w:color="A6A6A6"/>
            </w:tcBorders>
            <w:shd w:fill="F8EADD" w:val="clear"/>
            <w:tcMar>
              <w:left w:w="28" w:type="dxa"/>
              <w:bottom w:w="28" w:type="dxa"/>
            </w:tcMar>
            <w:vAlign w:val="bottom"/>
          </w:tcPr>
          <w:p>
            <w:pPr>
              <w:pStyle w:val="TableContents"/>
              <w:bidi w:val="0"/>
              <w:spacing w:before="0" w:after="283"/>
              <w:jc w:val="left"/>
              <w:rPr/>
            </w:pPr>
            <w:r>
              <w:rPr/>
              <w:t> </w:t>
            </w:r>
          </w:p>
        </w:tc>
        <w:tc>
          <w:tcPr>
            <w:tcW w:w="1119" w:type="dxa"/>
            <w:tcBorders>
              <w:bottom w:val="single" w:sz="12" w:space="0" w:color="A6A6A6"/>
              <w:right w:val="single" w:sz="12" w:space="0" w:color="A6A6A6"/>
            </w:tcBorders>
            <w:shd w:fill="F8EADD" w:val="clear"/>
            <w:tcMar>
              <w:bottom w:w="60" w:type="dxa"/>
              <w:right w:w="28" w:type="dxa"/>
            </w:tcMar>
            <w:vAlign w:val="center"/>
          </w:tcPr>
          <w:p>
            <w:pPr>
              <w:pStyle w:val="TableContents"/>
              <w:bidi w:val="0"/>
              <w:spacing w:before="0" w:after="283"/>
              <w:jc w:val="center"/>
              <w:rPr/>
            </w:pPr>
            <w:r>
              <w:rPr/>
              <w:t>Unchanged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16"/>
              </w:rPr>
            </w:pPr>
            <w:r>
              <w:rPr>
                <w:rFonts w:ascii="Arial" w:hAnsi="Arial"/>
                <w:sz w:val="16"/>
              </w:rPr>
              <w:t xml:space="preserve">Non-IFRS financial measures. See the “Non-IFRS Financial Measures” section below as well as the tables appended to this news release for more information.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6"/>
              </w:rPr>
            </w:pPr>
            <w:r>
              <w:rPr>
                <w:rFonts w:ascii="Arial" w:hAnsi="Arial"/>
                <w:sz w:val="16"/>
              </w:rPr>
              <w:t xml:space="preserve">Total revenue growth reflects the impact of the disposals of FindLaw and other non-core businesses in December 2024. </w:t>
            </w:r>
          </w:p>
        </w:tc>
      </w:tr>
    </w:tbl>
    <w:p>
      <w:pPr>
        <w:pStyle w:val="TextBody"/>
        <w:bidi w:val="0"/>
        <w:spacing w:before="240" w:after="0"/>
        <w:jc w:val="left"/>
        <w:rPr>
          <w:rFonts w:ascii="Arial" w:hAnsi="Arial"/>
          <w:sz w:val="20"/>
        </w:rPr>
      </w:pPr>
      <w:r>
        <w:rPr>
          <w:rFonts w:ascii="Arial" w:hAnsi="Arial"/>
          <w:sz w:val="20"/>
        </w:rPr>
        <w:t xml:space="preserve">The company’s third-quarter 2026 outlook includes the forecasted results of the Global Print segment, consistent with its prior 2026 quarterly outlooks. The company expects its third-quarter 2026 organic revenue growth to be approximately 8% and its adjusted EBITDA margin to be approximately 36%.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9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The information in this section is forward-looking. Actual results, which will include the impact of currency, and future acquisitions and dispositions completed during 2026 may differ materially from the company’s 2026 outlook. The information in this section should also be read in conjunction with the section below entitled “Special Note Regarding Forward-Looking Statements, Material Risks and Material Assumptions.” </w:t>
      </w:r>
    </w:p>
    <w:p>
      <w:pPr>
        <w:pStyle w:val="TextBody"/>
        <w:bidi w:val="0"/>
        <w:spacing w:before="360" w:after="0"/>
        <w:jc w:val="left"/>
        <w:rPr>
          <w:rFonts w:ascii="Arial" w:hAnsi="Arial"/>
          <w:b/>
          <w:sz w:val="20"/>
          <w:u w:val="single"/>
        </w:rPr>
      </w:pPr>
      <w:r>
        <w:rPr>
          <w:rFonts w:ascii="Arial" w:hAnsi="Arial"/>
          <w:b/>
          <w:sz w:val="20"/>
          <w:u w:val="single"/>
        </w:rPr>
        <w:t xml:space="preserve">Global Print Transaction </w:t>
      </w:r>
    </w:p>
    <w:p>
      <w:pPr>
        <w:pStyle w:val="TextBody"/>
        <w:bidi w:val="0"/>
        <w:spacing w:before="120" w:after="0"/>
        <w:jc w:val="left"/>
        <w:rPr>
          <w:rFonts w:ascii="Arial" w:hAnsi="Arial"/>
          <w:sz w:val="20"/>
        </w:rPr>
      </w:pPr>
      <w:r>
        <w:rPr>
          <w:rFonts w:ascii="Arial" w:hAnsi="Arial"/>
          <w:sz w:val="20"/>
        </w:rPr>
        <w:t xml:space="preserve">On July 14, 2026, Thomson Reuters announced that it signed a definitive agreement to enter into a joint venture with KKR, a leading global investment firm. As part of the transaction, Thomson Reuters will sell a 51% stake in its Global Print business to capital accounts advised by KKR and retain a 49% equity interest in the joint venture. Thomson Reuters will receive approximately $500 million in gross proceeds at closing and expects the transaction to close in the fourth quarter of 2026, subject to specified regulatory approvals and customary closing conditions. We expect to record a pre-tax gain on the transaction at the time of closing. </w:t>
      </w:r>
    </w:p>
    <w:p>
      <w:pPr>
        <w:pStyle w:val="TextBody"/>
        <w:bidi w:val="0"/>
        <w:spacing w:before="240" w:after="0"/>
        <w:jc w:val="left"/>
        <w:rPr>
          <w:rFonts w:ascii="Arial" w:hAnsi="Arial"/>
          <w:sz w:val="20"/>
        </w:rPr>
      </w:pPr>
      <w:r>
        <w:rPr>
          <w:rFonts w:ascii="Arial" w:hAnsi="Arial"/>
          <w:sz w:val="20"/>
        </w:rPr>
        <w:t xml:space="preserve">Thomson Reuters will also maintain intellectual property rights and full editorial control over its content portfolio. This new joint venture will hold an exclusive license to distribute the content in print and on ProView, Global Print’s eBook platform, under which it will pay Thomson Reuters a royalty in return. </w:t>
      </w:r>
    </w:p>
    <w:p>
      <w:pPr>
        <w:pStyle w:val="TextBody"/>
        <w:bidi w:val="0"/>
        <w:spacing w:before="240" w:after="0"/>
        <w:jc w:val="left"/>
        <w:rPr>
          <w:rFonts w:ascii="Arial" w:hAnsi="Arial"/>
          <w:sz w:val="20"/>
        </w:rPr>
      </w:pPr>
      <w:r>
        <w:rPr>
          <w:rFonts w:ascii="Arial" w:hAnsi="Arial"/>
          <w:sz w:val="20"/>
        </w:rPr>
        <w:t xml:space="preserve">The transaction is not subject to any financing conditions. As part of the transaction, Thomson Reuters has agreed to provide certain financial support designed to give KKR a minimum return on its equity investment in the joint venture under certain circumstances. </w:t>
      </w:r>
    </w:p>
    <w:p>
      <w:pPr>
        <w:pStyle w:val="TextBody"/>
        <w:bidi w:val="0"/>
        <w:spacing w:before="240" w:after="0"/>
        <w:jc w:val="left"/>
        <w:rPr>
          <w:rFonts w:ascii="Arial" w:hAnsi="Arial"/>
          <w:sz w:val="20"/>
        </w:rPr>
      </w:pPr>
      <w:r>
        <w:rPr>
          <w:rFonts w:ascii="Arial" w:hAnsi="Arial"/>
          <w:sz w:val="20"/>
        </w:rPr>
        <w:t xml:space="preserve">The Global Print business will be classified as a discontinued operation in the third quarter of 2026 and will no longer be a reportable segment. </w:t>
      </w:r>
    </w:p>
    <w:p>
      <w:pPr>
        <w:pStyle w:val="TextBody"/>
        <w:bidi w:val="0"/>
        <w:spacing w:before="360" w:after="0"/>
        <w:jc w:val="left"/>
        <w:rPr>
          <w:rFonts w:ascii="Arial" w:hAnsi="Arial"/>
          <w:b/>
          <w:sz w:val="20"/>
          <w:u w:val="single"/>
        </w:rPr>
      </w:pPr>
      <w:r>
        <w:rPr>
          <w:rFonts w:ascii="Arial" w:hAnsi="Arial"/>
          <w:b/>
          <w:sz w:val="20"/>
          <w:u w:val="single"/>
        </w:rPr>
        <w:t xml:space="preserve">Return of Capital and Share Consolidation </w:t>
      </w:r>
    </w:p>
    <w:p>
      <w:pPr>
        <w:pStyle w:val="TextBody"/>
        <w:bidi w:val="0"/>
        <w:spacing w:before="120" w:after="0"/>
        <w:jc w:val="left"/>
        <w:rPr>
          <w:rFonts w:ascii="Arial" w:hAnsi="Arial"/>
          <w:sz w:val="20"/>
        </w:rPr>
      </w:pPr>
      <w:r>
        <w:rPr>
          <w:rFonts w:ascii="Arial" w:hAnsi="Arial"/>
          <w:sz w:val="20"/>
        </w:rPr>
        <w:t xml:space="preserve">On May 4, 2026, the company returned $605 million to its shareholders and reduced its common shares outstanding by approximately 6.5 million, in accordance with its previously announced return of capital and share consolidation transactions. The transactions consisted of a special cash distribution of $1.435518 per participating common share and a share consolidation, or “reverse stock split”, which reduced the number of outstanding common shares at a ratio of 1 pre-consolidated share for 0.984560 post-consolidated shares, which was proportional to the special cash distribution. </w:t>
      </w:r>
    </w:p>
    <w:p>
      <w:pPr>
        <w:pStyle w:val="TextBody"/>
        <w:bidi w:val="0"/>
        <w:spacing w:before="360" w:after="0"/>
        <w:jc w:val="left"/>
        <w:rPr>
          <w:rFonts w:ascii="Arial" w:hAnsi="Arial"/>
          <w:b/>
          <w:sz w:val="20"/>
          <w:u w:val="single"/>
        </w:rPr>
      </w:pPr>
      <w:r>
        <w:rPr>
          <w:rFonts w:ascii="Arial" w:hAnsi="Arial"/>
          <w:b/>
          <w:sz w:val="20"/>
          <w:u w:val="single"/>
        </w:rPr>
        <w:t xml:space="preserve">$600 Million Share Repurchase Program and Common Shares Outstanding </w:t>
      </w:r>
    </w:p>
    <w:p>
      <w:pPr>
        <w:pStyle w:val="TextBody"/>
        <w:bidi w:val="0"/>
        <w:spacing w:before="120" w:after="0"/>
        <w:jc w:val="left"/>
        <w:rPr>
          <w:rFonts w:ascii="Arial" w:hAnsi="Arial"/>
          <w:sz w:val="20"/>
        </w:rPr>
      </w:pPr>
      <w:r>
        <w:rPr>
          <w:rFonts w:ascii="Arial" w:hAnsi="Arial"/>
          <w:sz w:val="20"/>
        </w:rPr>
        <w:t xml:space="preserve">In February 2026, the company announced its plan to repurchase up to $600 million of additional common shares under an amended Normal Course Issuer Bid that was approved by the TSX. In July 2026, the company completed the program, repurchasing a total of 6.2 million common shares for $600 million, consisting of 3.6 million shares for $362 million through June 30, 2026 and 2.6 million shares for $238 million in July 2026. </w:t>
      </w:r>
    </w:p>
    <w:p>
      <w:pPr>
        <w:pStyle w:val="TextBody"/>
        <w:bidi w:val="0"/>
        <w:spacing w:before="240" w:after="0"/>
        <w:jc w:val="left"/>
        <w:rPr>
          <w:rFonts w:ascii="Arial" w:hAnsi="Arial"/>
          <w:sz w:val="20"/>
        </w:rPr>
      </w:pPr>
      <w:r>
        <w:rPr>
          <w:rFonts w:ascii="Arial" w:hAnsi="Arial"/>
          <w:sz w:val="20"/>
        </w:rPr>
        <w:t xml:space="preserve">As of August 3, 2026, Thomson Reuters had approximately 433.2 million common shares outstanding. </w:t>
      </w:r>
    </w:p>
    <w:p>
      <w:pPr>
        <w:pStyle w:val="TextBody"/>
        <w:bidi w:val="0"/>
        <w:spacing w:before="360" w:after="0"/>
        <w:jc w:val="left"/>
        <w:rPr>
          <w:rFonts w:ascii="Arial" w:hAnsi="Arial"/>
          <w:b/>
          <w:sz w:val="20"/>
          <w:u w:val="single"/>
        </w:rPr>
      </w:pPr>
      <w:r>
        <w:rPr>
          <w:rFonts w:ascii="Arial" w:hAnsi="Arial"/>
          <w:b/>
          <w:sz w:val="20"/>
          <w:u w:val="single"/>
        </w:rPr>
        <w:t xml:space="preserve">Debt Repayment </w:t>
      </w:r>
    </w:p>
    <w:p>
      <w:pPr>
        <w:pStyle w:val="TextBody"/>
        <w:bidi w:val="0"/>
        <w:spacing w:before="120" w:after="0"/>
        <w:jc w:val="left"/>
        <w:rPr>
          <w:rFonts w:ascii="Arial" w:hAnsi="Arial"/>
          <w:sz w:val="20"/>
        </w:rPr>
      </w:pPr>
      <w:r>
        <w:rPr>
          <w:rFonts w:ascii="Arial" w:hAnsi="Arial"/>
          <w:sz w:val="20"/>
        </w:rPr>
        <w:t xml:space="preserve">In May 2026, the company repaid its $500 million 3.35% notes upon maturity with cash on hand and commercial paper borrowings. </w:t>
      </w:r>
    </w:p>
    <w:p>
      <w:pPr>
        <w:pStyle w:val="TextBody"/>
        <w:bidi w:val="0"/>
        <w:spacing w:before="360" w:after="0"/>
        <w:jc w:val="left"/>
        <w:rPr>
          <w:rFonts w:ascii="Arial" w:hAnsi="Arial"/>
          <w:b/>
          <w:sz w:val="20"/>
          <w:u w:val="single"/>
        </w:rPr>
      </w:pPr>
      <w:r>
        <w:rPr>
          <w:rFonts w:ascii="Arial" w:hAnsi="Arial"/>
          <w:b/>
          <w:sz w:val="20"/>
          <w:u w:val="single"/>
        </w:rPr>
        <w:t xml:space="preserve">Dividends </w:t>
      </w:r>
    </w:p>
    <w:p>
      <w:pPr>
        <w:pStyle w:val="TextBody"/>
        <w:bidi w:val="0"/>
        <w:spacing w:before="120" w:after="0"/>
        <w:jc w:val="left"/>
        <w:rPr>
          <w:rFonts w:ascii="Arial" w:hAnsi="Arial"/>
          <w:sz w:val="20"/>
        </w:rPr>
      </w:pPr>
      <w:r>
        <w:rPr>
          <w:rFonts w:ascii="Arial" w:hAnsi="Arial"/>
          <w:sz w:val="20"/>
        </w:rPr>
        <w:t xml:space="preserve">In February 2026, the company announced a 10% or $0.24 per share annualized increase in the dividend to $2.62 per common share, representing the 33rd consecutive year of dividend increases and the fifth consecutive 10% increase. A quarterly dividend of $0.655 per share is payable on September 10, 2026 to common shareholders of record as of August 19, 2026.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10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Thomson Reuters </w:t>
      </w:r>
    </w:p>
    <w:p>
      <w:pPr>
        <w:pStyle w:val="TextBody"/>
        <w:bidi w:val="0"/>
        <w:spacing w:before="120" w:after="0"/>
        <w:jc w:val="left"/>
        <w:rPr>
          <w:rFonts w:ascii="Arial" w:hAnsi="Arial"/>
          <w:sz w:val="20"/>
        </w:rPr>
      </w:pPr>
      <w:r>
        <w:rPr>
          <w:rFonts w:ascii="Arial" w:hAnsi="Arial"/>
          <w:sz w:val="20"/>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hAnsi="Arial"/>
          <w:sz w:val="20"/>
          <w:u w:val="single"/>
        </w:rPr>
        <w:t>thomsonreuters.com</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NON-IFRS FINANCIAL MEASURES </w:t>
      </w:r>
    </w:p>
    <w:p>
      <w:pPr>
        <w:pStyle w:val="TextBody"/>
        <w:bidi w:val="0"/>
        <w:spacing w:before="120" w:after="0"/>
        <w:jc w:val="left"/>
        <w:rPr>
          <w:rFonts w:ascii="Arial" w:hAnsi="Arial"/>
          <w:i/>
          <w:sz w:val="20"/>
        </w:rPr>
      </w:pPr>
      <w:r>
        <w:rPr>
          <w:rFonts w:ascii="Arial" w:hAnsi="Arial"/>
          <w:i/>
          <w:sz w:val="20"/>
        </w:rPr>
        <w:t xml:space="preserve">Thomson Reuters prepares its financial statements in accordance with International Financial Reporting Standards (IFRS), as issued by the International Accounting Standards Board (IASB). </w:t>
      </w:r>
    </w:p>
    <w:p>
      <w:pPr>
        <w:pStyle w:val="TextBody"/>
        <w:bidi w:val="0"/>
        <w:spacing w:before="240" w:after="0"/>
        <w:jc w:val="left"/>
        <w:rPr>
          <w:rFonts w:ascii="Arial" w:hAnsi="Arial"/>
          <w:i/>
          <w:sz w:val="20"/>
        </w:rPr>
      </w:pPr>
      <w:r>
        <w:rPr>
          <w:rFonts w:ascii="Arial" w:hAnsi="Arial"/>
          <w:i/>
          <w:sz w:val="20"/>
        </w:rPr>
        <w:t xml:space="preserve">This news release includes certain non-IFRS financial measures, which include ratios that incorporate one or more non-IFRS financial measures, such as adjusted EBITDA (other than at the customer segment level) and the related margin, free cash flow, adjusted earnings and the effective tax rate on adjusted earnings, adjusted EPS, accrued capital expenditures expressed as a percentage of revenues, net debt and leverage ratio of net debt to adjusted EBITDA, selected measures excluding the impact of foreign currency, changes in revenues computed on an organic basis as well as all financial measures for the “Big 3” segments. </w:t>
      </w:r>
    </w:p>
    <w:p>
      <w:pPr>
        <w:pStyle w:val="TextBody"/>
        <w:bidi w:val="0"/>
        <w:spacing w:before="240" w:after="0"/>
        <w:jc w:val="left"/>
        <w:rPr>
          <w:rFonts w:ascii="Arial" w:hAnsi="Arial"/>
          <w:i/>
          <w:sz w:val="20"/>
        </w:rPr>
      </w:pPr>
      <w:r>
        <w:rPr>
          <w:rFonts w:ascii="Arial" w:hAnsi="Arial"/>
          <w:i/>
          <w:sz w:val="20"/>
        </w:rPr>
        <w:t xml:space="preserve">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 </w:t>
      </w:r>
    </w:p>
    <w:p>
      <w:pPr>
        <w:pStyle w:val="TextBody"/>
        <w:bidi w:val="0"/>
        <w:spacing w:before="240" w:after="0"/>
        <w:jc w:val="left"/>
        <w:rPr>
          <w:rFonts w:ascii="Arial" w:hAnsi="Arial"/>
          <w:i/>
          <w:sz w:val="20"/>
        </w:rPr>
      </w:pPr>
      <w:r>
        <w:rPr>
          <w:rFonts w:ascii="Arial" w:hAnsi="Arial"/>
          <w:i/>
          <w:sz w:val="20"/>
        </w:rPr>
        <w:t xml:space="preserve">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purposes of its outlook only, the company is unable to reconcile these non-IFRS measures to the most directly comparable IFRS measures because it cannot predict, with reasonable certainty, the impacts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that generally arise from business transactions that the company does not currently anticipate. </w:t>
      </w:r>
    </w:p>
    <w:p>
      <w:pPr>
        <w:pStyle w:val="TextBody"/>
        <w:bidi w:val="0"/>
        <w:spacing w:before="360" w:after="0"/>
        <w:jc w:val="left"/>
        <w:rPr>
          <w:rFonts w:ascii="Arial" w:hAnsi="Arial"/>
          <w:b/>
          <w:sz w:val="20"/>
        </w:rPr>
      </w:pPr>
      <w:r>
        <w:rPr>
          <w:rFonts w:ascii="Arial" w:hAnsi="Arial"/>
          <w:b/>
          <w:sz w:val="20"/>
        </w:rPr>
        <w:t xml:space="preserve">ROUNDING </w:t>
      </w:r>
    </w:p>
    <w:p>
      <w:pPr>
        <w:pStyle w:val="TextBody"/>
        <w:bidi w:val="0"/>
        <w:spacing w:before="120" w:after="0"/>
        <w:jc w:val="left"/>
        <w:rPr>
          <w:rFonts w:ascii="Arial" w:hAnsi="Arial"/>
          <w:i/>
          <w:sz w:val="20"/>
        </w:rPr>
      </w:pPr>
      <w:r>
        <w:rPr>
          <w:rFonts w:ascii="Arial" w:hAnsi="Arial"/>
          <w:i/>
          <w:sz w:val="20"/>
        </w:rPr>
        <w:t xml:space="preserve">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 </w:t>
      </w:r>
    </w:p>
    <w:p>
      <w:pPr>
        <w:pStyle w:val="TextBody"/>
        <w:bidi w:val="0"/>
        <w:spacing w:before="360" w:after="0"/>
        <w:jc w:val="left"/>
        <w:rPr>
          <w:rFonts w:ascii="Arial" w:hAnsi="Arial"/>
          <w:b/>
          <w:sz w:val="20"/>
        </w:rPr>
      </w:pPr>
      <w:r>
        <w:rPr>
          <w:rFonts w:ascii="Arial" w:hAnsi="Arial"/>
          <w:b/>
          <w:sz w:val="20"/>
        </w:rPr>
        <w:t xml:space="preserve">REVISION TO PRIOR-YEAR SEGMENT RESULTS </w:t>
      </w:r>
    </w:p>
    <w:p>
      <w:pPr>
        <w:pStyle w:val="TextBody"/>
        <w:bidi w:val="0"/>
        <w:spacing w:before="120" w:after="0"/>
        <w:jc w:val="left"/>
        <w:rPr>
          <w:rFonts w:ascii="Arial" w:hAnsi="Arial"/>
          <w:sz w:val="20"/>
        </w:rPr>
      </w:pPr>
      <w:r>
        <w:rPr>
          <w:rFonts w:ascii="Arial" w:hAnsi="Arial"/>
          <w:sz w:val="20"/>
        </w:rPr>
        <w:t xml:space="preserve">In the first quarter of 2026, the company changed its segment reporting to reflect how it currently manages its segments. The change reflects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reported amounts. </w:t>
      </w:r>
    </w:p>
    <w:p>
      <w:pPr>
        <w:pStyle w:val="TextBody"/>
        <w:bidi w:val="0"/>
        <w:spacing w:before="240" w:after="0"/>
        <w:jc w:val="left"/>
        <w:rPr>
          <w:rFonts w:ascii="Arial" w:hAnsi="Arial"/>
          <w:sz w:val="20"/>
          <w:u w:val="single"/>
        </w:rPr>
      </w:pPr>
      <w:r>
        <w:rPr>
          <w:rFonts w:ascii="Arial" w:hAnsi="Arial"/>
          <w:sz w:val="20"/>
          <w:u w:val="single"/>
        </w:rPr>
        <w:t xml:space="preserve">Three months ended June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Legal Professionals revenues decreased $5 million to $704 million, adjusted EBITDA was unchanged at $339 million and adjusted EBITDA margin increased 30 basis points to 48.1%; </w:t>
            </w:r>
          </w:p>
        </w:tc>
      </w:tr>
    </w:tbl>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Arial" w:hAnsi="Arial"/>
                <w:sz w:val="20"/>
              </w:rPr>
            </w:pPr>
            <w:r>
              <w:rPr>
                <w:rFonts w:ascii="Arial" w:hAnsi="Arial"/>
                <w:sz w:val="20"/>
              </w:rPr>
              <w:t xml:space="preserve">Corporates revenues increased $8 million to $480 million, adjusted EBITDA increased $3 million to $172 million and adjusted EBITDA margin was unchanged at 35.7%; and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 Audit &amp; Accounting Professionals revenues decreased $3 million to $274 million, adjusted EBITDA decreased $3 million to $110 million and adjusted EBITDA margin decreased 40 basis points to 38.9%.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11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20"/>
          <w:u w:val="single"/>
        </w:rPr>
      </w:pPr>
      <w:r>
        <w:rPr>
          <w:rFonts w:ascii="Arial" w:hAnsi="Arial"/>
          <w:sz w:val="20"/>
          <w:u w:val="single"/>
        </w:rPr>
        <w:t xml:space="preserve">Six months ended June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Legal Professionals revenues decreased $10 million to $1,392 million, adjusted EBITDA was unchanged at $675 million and adjusted EBITDA margin increased 30 basis points to 48.4%;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Corporates revenues increased $15 million to $1,028 million, adjusted EBITDA increased $5 million to $387 million and adjusted EBITDA margin decreased 10 basis points to 37.6%; and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 Audit &amp; Accounting Professionals revenues decreased $5 million to $632 million, adjusted EBITDA decreased $5 million to $318 million and adjusted EBITDA margin decreased 20 basis points to 48.9%. </w:t>
            </w:r>
          </w:p>
        </w:tc>
      </w:tr>
    </w:tbl>
    <w:p>
      <w:pPr>
        <w:pStyle w:val="TextBody"/>
        <w:bidi w:val="0"/>
        <w:spacing w:before="360" w:after="0"/>
        <w:jc w:val="left"/>
        <w:rPr>
          <w:rFonts w:ascii="Arial" w:hAnsi="Arial"/>
          <w:b/>
          <w:sz w:val="20"/>
        </w:rPr>
      </w:pPr>
      <w:r>
        <w:rPr>
          <w:rFonts w:ascii="Arial" w:hAnsi="Arial"/>
          <w:b/>
          <w:sz w:val="20"/>
        </w:rPr>
        <w:t xml:space="preserve">SPECIAL NOTE REGARDING FORWARD-LOOKING STATEMENTS, MATERIAL RISKS AND MATERIAL ASSUMPTIONS </w:t>
      </w:r>
    </w:p>
    <w:p>
      <w:pPr>
        <w:pStyle w:val="TextBody"/>
        <w:bidi w:val="0"/>
        <w:spacing w:before="120" w:after="0"/>
        <w:jc w:val="left"/>
        <w:rPr>
          <w:rFonts w:ascii="Arial" w:hAnsi="Arial"/>
          <w:i/>
          <w:sz w:val="20"/>
        </w:rPr>
      </w:pPr>
      <w:r>
        <w:rPr>
          <w:rFonts w:ascii="Arial" w:hAnsi="Arial"/>
          <w:i/>
          <w:sz w:val="20"/>
        </w:rPr>
        <w:t xml:space="preserve">Certain statements in this news release, including, but not limited to, statements in Mr. Hasker’s comments, the “2026 Outlook” section, and statements regarding the company’s expectations with respect to the Global Print transaction including its current expectation that the transaction will close in the fourth quarter of 2026 are forward 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w:t>
      </w:r>
    </w:p>
    <w:p>
      <w:pPr>
        <w:pStyle w:val="TextBody"/>
        <w:bidi w:val="0"/>
        <w:spacing w:before="240" w:after="0"/>
        <w:jc w:val="left"/>
        <w:rPr>
          <w:rFonts w:ascii="Arial" w:hAnsi="Arial"/>
          <w:sz w:val="20"/>
        </w:rPr>
      </w:pPr>
      <w:r>
        <w:rPr>
          <w:rFonts w:ascii="Arial" w:hAnsi="Arial"/>
          <w:i/>
          <w:sz w:val="20"/>
        </w:rPr>
        <w:t xml:space="preserve">Some of the material risk factors that could cause actual results or events to differ materially from those expressed in or implied by forward-looking statements in this news release include, but are not limited to, those discussed on pages 19-32 in the “Risk Factors” section of the company’s 2025 annual report.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w:t>
      </w:r>
      <w:r>
        <w:rPr>
          <w:rFonts w:ascii="Arial" w:hAnsi="Arial"/>
          <w:sz w:val="20"/>
          <w:u w:val="single"/>
        </w:rPr>
        <w:t>thomsonreuters.com</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i/>
          <w:sz w:val="20"/>
        </w:rPr>
        <w:t>The company’s 2026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2026 business outlook. In particular, the global economy has experienced substantial disruption due to concerns regarding economic effects associated with the macroeconomic backdrop and ongoing geopolitical risks. The company’s 2026 business outlook assumes that uncertain macroeconomic and geopolitical conditions will continue to disrupt the economy and cause periods of volatility, however, these conditions may last substantially longer than expected and any worsening of the global economic or business environment could impact the company’s ability to achieve its outlook and affect its results and other expectations. For a discussion of material assumptions and material risks related to the company’s 2026 outlook see pages 16-17 of the company’s first-quarter management’s discussion and analysis (MD&amp;A) for the period ended March</w:t>
      </w:r>
      <w:r>
        <w:rPr>
          <w:rFonts w:ascii="Arial" w:hAnsi="Arial"/>
          <w:sz w:val="20"/>
        </w:rPr>
        <w:t> </w:t>
      </w:r>
      <w:r>
        <w:rPr>
          <w:rFonts w:ascii="Arial" w:hAnsi="Arial"/>
          <w:i/>
          <w:sz w:val="20"/>
        </w:rPr>
        <w:t xml:space="preserve">31, 2026. The company’s quarterly MD&amp;A and annual report were filed with, or furnished to, the Canadian securities regulatory authorities and the U.S. SEC and are also available in the “Investor Relations” section of </w:t>
      </w:r>
      <w:r>
        <w:rPr>
          <w:rFonts w:ascii="Arial" w:hAnsi="Arial"/>
          <w:sz w:val="20"/>
          <w:u w:val="single"/>
        </w:rPr>
        <w:t>thomsonreuters.com</w:t>
      </w:r>
      <w:r>
        <w:rPr>
          <w:rFonts w:ascii="Arial" w:hAnsi="Arial"/>
          <w:i/>
          <w:sz w:val="20"/>
        </w:rPr>
        <w:t xml:space="preserve">. </w:t>
      </w:r>
    </w:p>
    <w:p>
      <w:pPr>
        <w:pStyle w:val="TextBody"/>
        <w:bidi w:val="0"/>
        <w:spacing w:before="360" w:after="0"/>
        <w:jc w:val="left"/>
        <w:rPr>
          <w:rFonts w:ascii="Arial" w:hAnsi="Arial"/>
          <w:i/>
          <w:sz w:val="20"/>
        </w:rPr>
      </w:pPr>
      <w:r>
        <w:rPr>
          <w:rFonts w:ascii="Arial" w:hAnsi="Arial"/>
          <w:i/>
          <w:sz w:val="20"/>
        </w:rPr>
        <w:t xml:space="preserve">The company has provided an outlook for the purpose of presenting information about current expectations for the period presented. This information may not be appropriate for other purposes. You are cautioned not to place undue reliance on forward-looking statements which reflect expectations only as of the date of this news release. </w:t>
      </w:r>
    </w:p>
    <w:p>
      <w:pPr>
        <w:pStyle w:val="TextBody"/>
        <w:bidi w:val="0"/>
        <w:spacing w:before="360" w:after="0"/>
        <w:jc w:val="left"/>
        <w:rPr>
          <w:rFonts w:ascii="Arial" w:hAnsi="Arial"/>
          <w:i/>
          <w:sz w:val="20"/>
        </w:rPr>
      </w:pPr>
      <w:r>
        <w:rPr>
          <w:rFonts w:ascii="Arial" w:hAnsi="Arial"/>
          <w:i/>
          <w:sz w:val="20"/>
        </w:rPr>
        <w:t xml:space="preserve">Except as may be required by applicable law, Thomson Reuters disclaims any obligation to update or revise any forward-looking statements. </w:t>
      </w:r>
    </w:p>
    <w:p>
      <w:pPr>
        <w:pStyle w:val="TextBody"/>
        <w:bidi w:val="0"/>
        <w:spacing w:before="360" w:after="0"/>
        <w:jc w:val="left"/>
        <w:rPr>
          <w:rFonts w:ascii="Arial" w:hAnsi="Arial"/>
          <w:b/>
          <w:sz w:val="20"/>
        </w:rPr>
      </w:pPr>
      <w:r>
        <w:rPr>
          <w:rFonts w:ascii="Arial" w:hAnsi="Arial"/>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20"/>
        <w:gridCol w:w="4902"/>
      </w:tblGrid>
      <w:tr>
        <w:trPr/>
        <w:tc>
          <w:tcPr>
            <w:tcW w:w="51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r>
      <w:tr>
        <w:trPr/>
        <w:tc>
          <w:tcPr>
            <w:tcW w:w="5183" w:type="dxa"/>
            <w:tcBorders/>
            <w:vAlign w:val="bottom"/>
          </w:tcPr>
          <w:p>
            <w:pPr>
              <w:pStyle w:val="TableContents"/>
              <w:bidi w:val="0"/>
              <w:spacing w:before="0" w:after="0"/>
              <w:jc w:val="left"/>
              <w:rPr>
                <w:rFonts w:ascii="Arial" w:hAnsi="Arial"/>
                <w:sz w:val="20"/>
              </w:rPr>
            </w:pPr>
            <w:r>
              <w:rPr>
                <w:rFonts w:ascii="Arial" w:hAnsi="Arial"/>
                <w:sz w:val="20"/>
              </w:rPr>
              <w:t>MEDIA</w:t>
            </w:r>
          </w:p>
          <w:p>
            <w:pPr>
              <w:pStyle w:val="TableContents"/>
              <w:bidi w:val="0"/>
              <w:spacing w:before="0" w:after="0"/>
              <w:jc w:val="left"/>
              <w:rPr>
                <w:rFonts w:ascii="Arial" w:hAnsi="Arial"/>
                <w:sz w:val="20"/>
              </w:rPr>
            </w:pPr>
            <w:r>
              <w:rPr>
                <w:rFonts w:ascii="Arial" w:hAnsi="Arial"/>
                <w:sz w:val="20"/>
              </w:rPr>
              <w:t>Zoe Zanettos</w:t>
            </w:r>
          </w:p>
          <w:p>
            <w:pPr>
              <w:pStyle w:val="TableContents"/>
              <w:bidi w:val="0"/>
              <w:spacing w:before="0" w:after="0"/>
              <w:jc w:val="left"/>
              <w:rPr>
                <w:rFonts w:ascii="Arial" w:hAnsi="Arial"/>
                <w:sz w:val="20"/>
              </w:rPr>
            </w:pPr>
            <w:r>
              <w:rPr>
                <w:rFonts w:ascii="Arial" w:hAnsi="Arial"/>
                <w:sz w:val="20"/>
              </w:rPr>
              <w:t>Director, Corporate Communications</w:t>
            </w:r>
          </w:p>
          <w:p>
            <w:pPr>
              <w:pStyle w:val="TableContents"/>
              <w:bidi w:val="0"/>
              <w:spacing w:before="0" w:after="0"/>
              <w:jc w:val="left"/>
              <w:rPr>
                <w:rFonts w:ascii="Arial" w:hAnsi="Arial"/>
                <w:sz w:val="20"/>
              </w:rPr>
            </w:pPr>
            <w:r>
              <w:rPr>
                <w:rFonts w:ascii="Arial" w:hAnsi="Arial"/>
                <w:sz w:val="20"/>
              </w:rPr>
              <w:t>+1 647 202 8948</w:t>
            </w:r>
          </w:p>
          <w:p>
            <w:pPr>
              <w:pStyle w:val="TableContents"/>
              <w:bidi w:val="0"/>
              <w:spacing w:before="0" w:after="20"/>
              <w:jc w:val="left"/>
              <w:rPr>
                <w:rFonts w:ascii="Arial" w:hAnsi="Arial"/>
                <w:sz w:val="20"/>
                <w:u w:val="single"/>
              </w:rPr>
            </w:pPr>
            <w:r>
              <w:rPr>
                <w:rFonts w:ascii="Arial" w:hAnsi="Arial"/>
                <w:sz w:val="20"/>
                <w:u w:val="single"/>
              </w:rPr>
              <w:t>zoe.zanettos@thomsonreuters.com</w:t>
            </w:r>
          </w:p>
        </w:tc>
        <w:tc>
          <w:tcPr>
            <w:tcW w:w="120" w:type="dxa"/>
            <w:tcBorders/>
            <w:vAlign w:val="bottom"/>
          </w:tcPr>
          <w:p>
            <w:pPr>
              <w:pStyle w:val="TableContents"/>
              <w:bidi w:val="0"/>
              <w:spacing w:before="0" w:after="283"/>
              <w:jc w:val="left"/>
              <w:rPr/>
            </w:pPr>
            <w:r>
              <w:rPr/>
              <w:t>  </w:t>
            </w:r>
          </w:p>
        </w:tc>
        <w:tc>
          <w:tcPr>
            <w:tcW w:w="4902" w:type="dxa"/>
            <w:tcBorders/>
            <w:vAlign w:val="bottom"/>
          </w:tcPr>
          <w:p>
            <w:pPr>
              <w:pStyle w:val="TableContents"/>
              <w:bidi w:val="0"/>
              <w:spacing w:before="0" w:after="0"/>
              <w:jc w:val="left"/>
              <w:rPr>
                <w:rFonts w:ascii="Arial" w:hAnsi="Arial"/>
                <w:sz w:val="20"/>
              </w:rPr>
            </w:pPr>
            <w:r>
              <w:rPr>
                <w:rFonts w:ascii="Arial" w:hAnsi="Arial"/>
                <w:sz w:val="20"/>
              </w:rPr>
              <w:t>INVESTORS</w:t>
            </w:r>
          </w:p>
          <w:p>
            <w:pPr>
              <w:pStyle w:val="TableContents"/>
              <w:bidi w:val="0"/>
              <w:spacing w:before="0" w:after="0"/>
              <w:jc w:val="left"/>
              <w:rPr>
                <w:rFonts w:ascii="Arial" w:hAnsi="Arial"/>
                <w:sz w:val="20"/>
              </w:rPr>
            </w:pPr>
            <w:r>
              <w:rPr>
                <w:rFonts w:ascii="Arial" w:hAnsi="Arial"/>
                <w:sz w:val="20"/>
              </w:rPr>
              <w:t>Gary Bisbee, CFA</w:t>
            </w:r>
          </w:p>
          <w:p>
            <w:pPr>
              <w:pStyle w:val="TableContents"/>
              <w:bidi w:val="0"/>
              <w:spacing w:before="0" w:after="0"/>
              <w:jc w:val="left"/>
              <w:rPr>
                <w:rFonts w:ascii="Arial" w:hAnsi="Arial"/>
                <w:sz w:val="20"/>
              </w:rPr>
            </w:pPr>
            <w:r>
              <w:rPr>
                <w:rFonts w:ascii="Arial" w:hAnsi="Arial"/>
                <w:sz w:val="20"/>
              </w:rPr>
              <w:t>Head of Investor Relations</w:t>
            </w:r>
          </w:p>
          <w:p>
            <w:pPr>
              <w:pStyle w:val="TableContents"/>
              <w:bidi w:val="0"/>
              <w:spacing w:before="0" w:after="0"/>
              <w:jc w:val="left"/>
              <w:rPr>
                <w:rFonts w:ascii="Arial" w:hAnsi="Arial"/>
                <w:sz w:val="20"/>
              </w:rPr>
            </w:pPr>
            <w:r>
              <w:rPr>
                <w:rFonts w:ascii="Arial" w:hAnsi="Arial"/>
                <w:sz w:val="20"/>
              </w:rPr>
              <w:t>+1 646 540 3249</w:t>
            </w:r>
          </w:p>
          <w:p>
            <w:pPr>
              <w:pStyle w:val="TableContents"/>
              <w:bidi w:val="0"/>
              <w:spacing w:before="0" w:after="20"/>
              <w:jc w:val="left"/>
              <w:rPr>
                <w:rFonts w:ascii="Arial" w:hAnsi="Arial"/>
                <w:sz w:val="20"/>
                <w:u w:val="single"/>
              </w:rPr>
            </w:pPr>
            <w:r>
              <w:rPr>
                <w:rFonts w:ascii="Arial" w:hAnsi="Arial"/>
                <w:sz w:val="20"/>
                <w:u w:val="single"/>
              </w:rPr>
              <w:t>gary.bisbee@thomsonreuters.com</w:t>
            </w:r>
          </w:p>
        </w:tc>
      </w:tr>
    </w:tbl>
    <w:p>
      <w:pPr>
        <w:pStyle w:val="TextBody"/>
        <w:bidi w:val="0"/>
        <w:spacing w:before="360" w:after="0"/>
        <w:jc w:val="left"/>
        <w:rPr>
          <w:rFonts w:ascii="Arial" w:hAnsi="Arial"/>
          <w:b/>
          <w:sz w:val="20"/>
        </w:rPr>
      </w:pPr>
      <w:r>
        <w:rPr>
          <w:rFonts w:ascii="Arial" w:hAnsi="Arial"/>
          <w:b/>
          <w:sz w:val="20"/>
        </w:rPr>
        <w:t xml:space="preserve">Thomson Reuters will webcast a discussion of its second-quarter 2026 results and its 2026 business outlook today beginning at 8:30 a.m. Eastern Daylight Time (EDT). You can access the webcast by visiting </w:t>
      </w:r>
      <w:r>
        <w:rPr>
          <w:rFonts w:ascii="Arial" w:hAnsi="Arial"/>
          <w:b/>
          <w:sz w:val="20"/>
          <w:u w:val="single"/>
        </w:rPr>
        <w:t>ir.thomsonreuters.com</w:t>
      </w:r>
      <w:r>
        <w:rPr>
          <w:rFonts w:ascii="Arial" w:hAnsi="Arial"/>
          <w:b/>
          <w:sz w:val="20"/>
        </w:rPr>
        <w:t xml:space="preserve">. An archive of the webcast will be available following the presentation.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52550"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12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Consolidated Income Statement </w:t>
      </w:r>
    </w:p>
    <w:p>
      <w:pPr>
        <w:pStyle w:val="TextBody"/>
        <w:bidi w:val="0"/>
        <w:spacing w:before="0" w:after="0"/>
        <w:jc w:val="center"/>
        <w:rPr>
          <w:rFonts w:ascii="Arial" w:hAnsi="Arial"/>
          <w:sz w:val="16"/>
        </w:rPr>
      </w:pPr>
      <w:r>
        <w:rPr>
          <w:rFonts w:ascii="Arial" w:hAnsi="Arial"/>
          <w:sz w:val="16"/>
        </w:rPr>
        <w:t xml:space="preserve">(millions of U.S. dollars, except per share data)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11195" w:type="dxa"/>
        <w:jc w:val="center"/>
        <w:tblInd w:w="0" w:type="dxa"/>
        <w:tblLayout w:type="fixed"/>
        <w:tblCellMar>
          <w:top w:w="0" w:type="dxa"/>
          <w:left w:w="0" w:type="dxa"/>
          <w:bottom w:w="0" w:type="dxa"/>
          <w:right w:w="0" w:type="dxa"/>
        </w:tblCellMar>
      </w:tblPr>
      <w:tblGrid>
        <w:gridCol w:w="4835"/>
        <w:gridCol w:w="120"/>
        <w:gridCol w:w="140"/>
        <w:gridCol w:w="1220"/>
        <w:gridCol w:w="155"/>
        <w:gridCol w:w="60"/>
        <w:gridCol w:w="140"/>
        <w:gridCol w:w="1220"/>
        <w:gridCol w:w="155"/>
        <w:gridCol w:w="60"/>
        <w:gridCol w:w="140"/>
        <w:gridCol w:w="1220"/>
        <w:gridCol w:w="155"/>
        <w:gridCol w:w="60"/>
        <w:gridCol w:w="140"/>
        <w:gridCol w:w="1220"/>
        <w:gridCol w:w="155"/>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35"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5" w:type="dxa"/>
            <w:gridSpan w:val="6"/>
            <w:tcBorders/>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b/>
                <w:sz w:val="20"/>
              </w:rPr>
            </w:pPr>
            <w:r>
              <w:rPr>
                <w:rFonts w:ascii="Arial" w:hAnsi="Arial"/>
                <w:b/>
                <w:sz w:val="20"/>
              </w:rPr>
              <w:t>CONTINUING OPERATIONS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835" w:type="dxa"/>
            <w:tcBorders/>
          </w:tcPr>
          <w:p>
            <w:pPr>
              <w:pStyle w:val="TableContents"/>
              <w:bidi w:val="0"/>
              <w:spacing w:before="0" w:after="0"/>
              <w:jc w:val="left"/>
              <w:rPr>
                <w:rFonts w:ascii="Arial" w:hAnsi="Arial"/>
                <w:sz w:val="20"/>
              </w:rPr>
            </w:pPr>
            <w:r>
              <w:rPr>
                <w:rFonts w:ascii="Arial" w:hAnsi="Arial"/>
                <w:sz w:val="20"/>
              </w:rPr>
              <w:t>Revenues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1,785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3,685</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(2,232</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Depreciation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Amortization of software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(352</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Amortization of other identifiable intangible assets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Other operating gains,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Operating profit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Finance costs,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835" w:type="dxa"/>
            <w:tcBorders/>
          </w:tcPr>
          <w:p>
            <w:pPr>
              <w:pStyle w:val="TableContents"/>
              <w:bidi w:val="0"/>
              <w:spacing w:before="0" w:after="0"/>
              <w:jc w:val="left"/>
              <w:rPr>
                <w:rFonts w:ascii="Arial" w:hAnsi="Arial"/>
                <w:sz w:val="20"/>
              </w:rPr>
            </w:pPr>
            <w:r>
              <w:rPr>
                <w:rFonts w:ascii="Arial" w:hAnsi="Arial"/>
                <w:sz w:val="20"/>
              </w:rPr>
              <w:t>Net interest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Other finance income (costs)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Income before tax and equity method investments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Share of post-tax losses in equity method investments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b/>
                <w:sz w:val="20"/>
              </w:rPr>
            </w:pPr>
            <w:r>
              <w:rPr>
                <w:rFonts w:ascii="Arial" w:hAnsi="Arial"/>
                <w:b/>
                <w:sz w:val="20"/>
              </w:rPr>
              <w:t>Earnings from continuing operations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Earnings (loss) from discontinued operations, net of tax</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Net earnings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747</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Earnings attributable to common shareholders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747</w:t>
            </w:r>
          </w:p>
        </w:tc>
        <w:tc>
          <w:tcPr>
            <w:tcW w:w="155"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b/>
                <w:sz w:val="20"/>
              </w:rPr>
            </w:pPr>
            <w:r>
              <w:rPr>
                <w:rFonts w:ascii="Arial" w:hAnsi="Arial"/>
                <w:b/>
                <w:sz w:val="20"/>
              </w:rPr>
              <w:t>Earnings per share: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835" w:type="dxa"/>
            <w:tcBorders/>
          </w:tcPr>
          <w:p>
            <w:pPr>
              <w:pStyle w:val="TableContents"/>
              <w:bidi w:val="0"/>
              <w:spacing w:before="0" w:after="0"/>
              <w:jc w:val="left"/>
              <w:rPr>
                <w:rFonts w:ascii="Arial" w:hAnsi="Arial"/>
                <w:sz w:val="20"/>
              </w:rPr>
            </w:pPr>
            <w:r>
              <w:rPr>
                <w:rFonts w:ascii="Arial" w:hAnsi="Arial"/>
                <w:sz w:val="20"/>
              </w:rPr>
              <w:t>Basic and diluted earnings (loss) per share: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From continuing operations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From discontinued operations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Basic and diluted earnings per share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Arial" w:hAnsi="Arial"/>
                <w:sz w:val="20"/>
              </w:rPr>
            </w:pPr>
            <w:r>
              <w:rPr>
                <w:rFonts w:ascii="Arial" w:hAnsi="Arial"/>
                <w:sz w:val="20"/>
              </w:rPr>
              <w:t>Basic weighted-average common shares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438,500,639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450,673,826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441,515,334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450,481,106</w:t>
            </w:r>
          </w:p>
        </w:tc>
        <w:tc>
          <w:tcPr>
            <w:tcW w:w="15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Arial" w:hAnsi="Arial"/>
                <w:sz w:val="20"/>
              </w:rPr>
            </w:pPr>
            <w:r>
              <w:rPr>
                <w:rFonts w:ascii="Arial" w:hAnsi="Arial"/>
                <w:sz w:val="20"/>
              </w:rPr>
              <w:t>Diluted weighted-average common shares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438,611,374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451,204,832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441,709,328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451,025,807</w:t>
            </w:r>
          </w:p>
        </w:tc>
        <w:tc>
          <w:tcPr>
            <w:tcW w:w="15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13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Consolidated Statement of Financial Position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1"/>
        <w:gridCol w:w="306"/>
        <w:gridCol w:w="149"/>
        <w:gridCol w:w="726"/>
        <w:gridCol w:w="155"/>
        <w:gridCol w:w="264"/>
        <w:gridCol w:w="241"/>
        <w:gridCol w:w="1185"/>
        <w:gridCol w:w="158"/>
      </w:tblGrid>
      <w:tr>
        <w:trPr/>
        <w:tc>
          <w:tcPr>
            <w:tcW w:w="7021"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0"/>
              <w:jc w:val="left"/>
              <w:rPr>
                <w:rFonts w:ascii="Arial" w:hAnsi="Arial"/>
                <w:sz w:val="20"/>
              </w:rPr>
            </w:pPr>
            <w:r>
              <w:rPr>
                <w:rFonts w:ascii="Arial" w:hAnsi="Arial"/>
                <w:sz w:val="20"/>
              </w:rPr>
              <w:t>Cash and cash equivalents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511</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Trade and other receivables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1,127</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1,143</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Other financial assets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94</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449</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480</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b/>
                <w:sz w:val="20"/>
              </w:rPr>
            </w:pPr>
            <w:r>
              <w:rPr>
                <w:rFonts w:ascii="Arial" w:hAnsi="Arial"/>
                <w:b/>
                <w:sz w:val="20"/>
              </w:rPr>
              <w:t>Current assets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2,269</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2,228</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Property and equipment, net</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342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361</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Software, net</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1,711</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1,645</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Other identifiable intangible assets, net</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3,058</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3,102</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Goodwill</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8,094</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7,913</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Equity method investments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202</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Other financial assets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466</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Other non-current assets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705</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680</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Deferred tax</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1,263</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1,343</w:t>
            </w:r>
          </w:p>
        </w:tc>
        <w:tc>
          <w:tcPr>
            <w:tcW w:w="158"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Total assets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18,079</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17,940</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b/>
                <w:sz w:val="20"/>
              </w:rPr>
            </w:pPr>
            <w:r>
              <w:rPr>
                <w:rFonts w:ascii="Arial" w:hAnsi="Arial"/>
                <w:b/>
                <w:sz w:val="20"/>
              </w:rPr>
              <w:t>Liabilities and equity</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Liabilities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0"/>
              <w:jc w:val="left"/>
              <w:rPr>
                <w:rFonts w:ascii="Arial" w:hAnsi="Arial"/>
                <w:sz w:val="20"/>
              </w:rPr>
            </w:pPr>
            <w:r>
              <w:rPr>
                <w:rFonts w:ascii="Arial" w:hAnsi="Arial"/>
                <w:sz w:val="20"/>
              </w:rPr>
              <w:t>Current indebtedness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1,618</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795</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Payables, accruals and provisions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1,014</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1,090</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Current tax liabilities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240</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224</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Deferred revenue</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1,256</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1,251</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Other financial liabilities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108</w:t>
            </w:r>
          </w:p>
        </w:tc>
        <w:tc>
          <w:tcPr>
            <w:tcW w:w="158"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Current liabilities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4,446</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3,468</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Long-term indebtedness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1,323</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1,328</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Provisions and other non-current liabilities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597</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656</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Other financial liabilities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210</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Deferred tax</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382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364</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b/>
                <w:sz w:val="20"/>
              </w:rPr>
            </w:pPr>
            <w:r>
              <w:rPr>
                <w:rFonts w:ascii="Arial" w:hAnsi="Arial"/>
                <w:b/>
                <w:sz w:val="20"/>
              </w:rPr>
              <w:t>Total liabilities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6,954</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6,026</w:t>
            </w:r>
          </w:p>
        </w:tc>
        <w:tc>
          <w:tcPr>
            <w:tcW w:w="158"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Equity</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0"/>
              <w:jc w:val="left"/>
              <w:rPr>
                <w:rFonts w:ascii="Arial" w:hAnsi="Arial"/>
                <w:sz w:val="20"/>
              </w:rPr>
            </w:pPr>
            <w:r>
              <w:rPr>
                <w:rFonts w:ascii="Arial" w:hAnsi="Arial"/>
                <w:sz w:val="20"/>
              </w:rPr>
              <w:t>Capital</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3,031</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3,597</w:t>
            </w:r>
          </w:p>
        </w:tc>
        <w:tc>
          <w:tcPr>
            <w:tcW w:w="158"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sz w:val="20"/>
              </w:rPr>
            </w:pPr>
            <w:r>
              <w:rPr>
                <w:rFonts w:ascii="Arial" w:hAnsi="Arial"/>
                <w:sz w:val="20"/>
              </w:rPr>
              <w:t>Retained earnings</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9,047</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9,220</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sz w:val="20"/>
              </w:rPr>
            </w:pPr>
            <w:r>
              <w:rPr>
                <w:rFonts w:ascii="Arial" w:hAnsi="Arial"/>
                <w:sz w:val="20"/>
              </w:rPr>
              <w:t>Accumulated other comprehensive loss</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(953</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(903</w:t>
            </w:r>
          </w:p>
        </w:tc>
        <w:tc>
          <w:tcPr>
            <w:tcW w:w="158"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Arial" w:hAnsi="Arial"/>
                <w:b/>
                <w:sz w:val="20"/>
              </w:rPr>
            </w:pPr>
            <w:r>
              <w:rPr>
                <w:rFonts w:ascii="Arial" w:hAnsi="Arial"/>
                <w:b/>
                <w:sz w:val="20"/>
              </w:rPr>
              <w:t>Total equity</w:t>
            </w:r>
          </w:p>
        </w:tc>
        <w:tc>
          <w:tcPr>
            <w:tcW w:w="30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11,125</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11,914</w:t>
            </w:r>
          </w:p>
        </w:tc>
        <w:tc>
          <w:tcPr>
            <w:tcW w:w="158"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Arial" w:hAnsi="Arial"/>
                <w:b/>
                <w:sz w:val="20"/>
              </w:rPr>
            </w:pPr>
            <w:r>
              <w:rPr>
                <w:rFonts w:ascii="Arial" w:hAnsi="Arial"/>
                <w:b/>
                <w:sz w:val="20"/>
              </w:rPr>
              <w:t>Total liabilities and equity</w:t>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18,079</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17,940</w:t>
            </w:r>
          </w:p>
        </w:tc>
        <w:tc>
          <w:tcPr>
            <w:tcW w:w="158"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14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16"/>
        </w:rPr>
      </w:pPr>
      <w:r>
        <w:rPr>
          <w:rFonts w:ascii="Arial" w:hAnsi="Arial"/>
          <w:b/>
          <w:sz w:val="16"/>
        </w:rPr>
        <w:t xml:space="preserve">Consolidated Statement of Cash Flow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269"/>
        <w:gridCol w:w="195"/>
        <w:gridCol w:w="638"/>
        <w:gridCol w:w="216"/>
        <w:gridCol w:w="235"/>
        <w:gridCol w:w="195"/>
        <w:gridCol w:w="925"/>
        <w:gridCol w:w="155"/>
        <w:gridCol w:w="214"/>
        <w:gridCol w:w="140"/>
        <w:gridCol w:w="570"/>
        <w:gridCol w:w="155"/>
        <w:gridCol w:w="214"/>
        <w:gridCol w:w="140"/>
        <w:gridCol w:w="692"/>
        <w:gridCol w:w="159"/>
      </w:tblGrid>
      <w:tr>
        <w:trPr/>
        <w:tc>
          <w:tcPr>
            <w:tcW w:w="509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9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b/>
                <w:sz w:val="20"/>
              </w:rPr>
            </w:pPr>
            <w:r>
              <w:rPr>
                <w:rFonts w:ascii="Arial" w:hAnsi="Arial"/>
                <w:b/>
                <w:sz w:val="20"/>
              </w:rPr>
              <w:t>Cash provided by (used in):</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0"/>
              <w:jc w:val="left"/>
              <w:rPr>
                <w:rFonts w:ascii="Arial" w:hAnsi="Arial"/>
                <w:b/>
                <w:sz w:val="20"/>
              </w:rPr>
            </w:pPr>
            <w:r>
              <w:rPr>
                <w:rFonts w:ascii="Arial" w:hAnsi="Arial"/>
                <w:b/>
                <w:sz w:val="20"/>
              </w:rPr>
              <w:t>Operating activities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Earnings from continuing operations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444</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921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722</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Adjustments for:</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Depreciation</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27</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55</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Amortization of software</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201</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394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352</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Amortization of other identifiable intangible assets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25</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49</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Share of post-tax losses in equity method investments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4</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Deferred tax</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12</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Other</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169</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Changes in working capital and other items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207</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(186</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Operating cash flows from continuing operations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921</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742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1,427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1,189</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Operating cash flows from discontinued operations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Net cash provided by operating activities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920</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746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1,425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1,191</w:t>
            </w:r>
          </w:p>
        </w:tc>
        <w:tc>
          <w:tcPr>
            <w:tcW w:w="159" w:type="dxa"/>
            <w:tcBorders/>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b/>
                <w:sz w:val="20"/>
              </w:rPr>
            </w:pPr>
            <w:r>
              <w:rPr>
                <w:rFonts w:ascii="Arial" w:hAnsi="Arial"/>
                <w:b/>
                <w:sz w:val="20"/>
              </w:rPr>
              <w:t>Investing activities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0"/>
              <w:jc w:val="left"/>
              <w:rPr>
                <w:rFonts w:ascii="Arial" w:hAnsi="Arial"/>
                <w:sz w:val="20"/>
              </w:rPr>
            </w:pPr>
            <w:r>
              <w:rPr>
                <w:rFonts w:ascii="Arial" w:hAnsi="Arial"/>
                <w:sz w:val="20"/>
              </w:rPr>
              <w:t>Acquisitions, net of cash acquired</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(36</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(248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(630</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Proceeds related to disposals of businesses and investments, net of taxes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7</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Capital expenditures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(177</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(314</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Other investing activities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Net cash used in investing activities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(206</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(573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(938</w:t>
            </w:r>
          </w:p>
        </w:tc>
        <w:tc>
          <w:tcPr>
            <w:tcW w:w="159" w:type="dxa"/>
            <w:tcBorders/>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b/>
                <w:sz w:val="20"/>
              </w:rPr>
            </w:pPr>
            <w:r>
              <w:rPr>
                <w:rFonts w:ascii="Arial" w:hAnsi="Arial"/>
                <w:b/>
                <w:sz w:val="20"/>
              </w:rPr>
              <w:t>Financing activities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0"/>
              <w:jc w:val="left"/>
              <w:rPr>
                <w:rFonts w:ascii="Arial" w:hAnsi="Arial"/>
                <w:sz w:val="20"/>
              </w:rPr>
            </w:pPr>
            <w:r>
              <w:rPr>
                <w:rFonts w:ascii="Arial" w:hAnsi="Arial"/>
                <w:sz w:val="20"/>
              </w:rPr>
              <w:t>Repayments of debt</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(500</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(999</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Net borrowings under short-term loan facilities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983</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1,305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Payments of lease principal</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(15</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(33</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Payments for return of capital on common shares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(605</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(605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Repurchases of common shares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(100</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(362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Dividends paid on preference shares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Dividends paid on common shares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(275</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(555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(519</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Other financing activities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(24</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Net cash used in financing activities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(537</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(1,275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(785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(1,563</w:t>
            </w:r>
          </w:p>
        </w:tc>
        <w:tc>
          <w:tcPr>
            <w:tcW w:w="159" w:type="dxa"/>
            <w:tcBorders/>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Translation adjustments</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Increase (decrease) in cash and cash equivalents</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177</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(707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(1,304</w:t>
            </w:r>
          </w:p>
        </w:tc>
        <w:tc>
          <w:tcPr>
            <w:tcW w:w="159" w:type="dxa"/>
            <w:tcBorders/>
            <w:vAlign w:val="bottom"/>
          </w:tcPr>
          <w:p>
            <w:pPr>
              <w:pStyle w:val="TableContents"/>
              <w:bidi w:val="0"/>
              <w:spacing w:before="0" w:after="283"/>
              <w:jc w:val="left"/>
              <w:rPr/>
            </w:pPr>
            <w:r>
              <w:rPr/>
              <w:t>) </w:t>
            </w:r>
          </w:p>
        </w:tc>
      </w:tr>
      <w:tr>
        <w:trPr/>
        <w:tc>
          <w:tcPr>
            <w:tcW w:w="5093"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 at beginning of period</w:t>
            </w:r>
          </w:p>
        </w:tc>
        <w:tc>
          <w:tcPr>
            <w:tcW w:w="26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400</w:t>
            </w:r>
          </w:p>
        </w:tc>
        <w:tc>
          <w:tcPr>
            <w:tcW w:w="2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1,371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1,968</w:t>
            </w:r>
          </w:p>
        </w:tc>
        <w:tc>
          <w:tcPr>
            <w:tcW w:w="159" w:type="dxa"/>
            <w:tcBorders/>
            <w:shd w:fill="CCEEFF" w:val="clear"/>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93" w:type="dxa"/>
            <w:tcBorders/>
          </w:tcPr>
          <w:p>
            <w:pPr>
              <w:pStyle w:val="TableContents"/>
              <w:bidi w:val="0"/>
              <w:spacing w:before="0" w:after="0"/>
              <w:jc w:val="left"/>
              <w:rPr>
                <w:rFonts w:ascii="Arial" w:hAnsi="Arial"/>
                <w:sz w:val="20"/>
              </w:rPr>
            </w:pPr>
            <w:r>
              <w:rPr>
                <w:rFonts w:ascii="Arial" w:hAnsi="Arial"/>
                <w:sz w:val="20"/>
              </w:rPr>
              <w:t>Cash and cash equivalents at end of period</w:t>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577</w:t>
            </w:r>
          </w:p>
        </w:tc>
        <w:tc>
          <w:tcPr>
            <w:tcW w:w="21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664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664</w:t>
            </w:r>
          </w:p>
        </w:tc>
        <w:tc>
          <w:tcPr>
            <w:tcW w:w="159" w:type="dxa"/>
            <w:tcBorders/>
            <w:vAlign w:val="bottom"/>
          </w:tcPr>
          <w:p>
            <w:pPr>
              <w:pStyle w:val="TableContents"/>
              <w:bidi w:val="0"/>
              <w:spacing w:before="0" w:after="283"/>
              <w:jc w:val="left"/>
              <w:rPr/>
            </w:pPr>
            <w:r>
              <w:rPr/>
              <w:t> </w:t>
            </w:r>
          </w:p>
        </w:tc>
      </w:tr>
      <w:tr>
        <w:trPr/>
        <w:tc>
          <w:tcPr>
            <w:tcW w:w="509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15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Earnings from Continuing Operations to Adjusted EBITDA(1)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2"/>
        <w:gridCol w:w="207"/>
        <w:gridCol w:w="192"/>
        <w:gridCol w:w="606"/>
        <w:gridCol w:w="449"/>
        <w:gridCol w:w="171"/>
        <w:gridCol w:w="192"/>
        <w:gridCol w:w="610"/>
        <w:gridCol w:w="320"/>
        <w:gridCol w:w="150"/>
        <w:gridCol w:w="140"/>
        <w:gridCol w:w="563"/>
        <w:gridCol w:w="319"/>
        <w:gridCol w:w="150"/>
        <w:gridCol w:w="140"/>
        <w:gridCol w:w="563"/>
        <w:gridCol w:w="320"/>
        <w:gridCol w:w="150"/>
        <w:gridCol w:w="271"/>
        <w:gridCol w:w="1093"/>
        <w:gridCol w:w="327"/>
      </w:tblGrid>
      <w:tr>
        <w:trPr/>
        <w:tc>
          <w:tcPr>
            <w:tcW w:w="327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27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220" w:type="dxa"/>
            <w:gridSpan w:val="6"/>
            <w:tcBorders/>
            <w:vAlign w:val="bottom"/>
          </w:tcPr>
          <w:p>
            <w:pPr>
              <w:pStyle w:val="TableContents"/>
              <w:bidi w:val="0"/>
              <w:spacing w:before="0" w:after="283"/>
              <w:jc w:val="center"/>
              <w:rPr>
                <w:b/>
              </w:rPr>
            </w:pPr>
            <w:r>
              <w:rPr>
                <w:b/>
              </w:rPr>
              <w:t>Three months ended</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75" w:type="dxa"/>
            <w:gridSpan w:val="6"/>
            <w:tcBorders/>
            <w:vAlign w:val="bottom"/>
          </w:tcPr>
          <w:p>
            <w:pPr>
              <w:pStyle w:val="TableContents"/>
              <w:bidi w:val="0"/>
              <w:spacing w:before="0" w:after="283"/>
              <w:jc w:val="center"/>
              <w:rPr>
                <w:b/>
              </w:rPr>
            </w:pPr>
            <w:r>
              <w:rPr>
                <w:b/>
              </w:rPr>
              <w:t>Six months ended</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4" w:type="dxa"/>
            <w:gridSpan w:val="2"/>
            <w:tcBorders/>
            <w:vAlign w:val="bottom"/>
          </w:tcPr>
          <w:p>
            <w:pPr>
              <w:pStyle w:val="TableContents"/>
              <w:bidi w:val="0"/>
              <w:spacing w:before="0" w:after="283"/>
              <w:jc w:val="center"/>
              <w:rPr>
                <w:b/>
              </w:rPr>
            </w:pPr>
            <w:r>
              <w:rPr>
                <w:b/>
              </w:rPr>
              <w:t>Year ended</w:t>
            </w:r>
          </w:p>
        </w:tc>
        <w:tc>
          <w:tcPr>
            <w:tcW w:w="327" w:type="dxa"/>
            <w:tcBorders/>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327" w:type="dxa"/>
            <w:tcBorders/>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7" w:type="dxa"/>
            <w:tcBorders/>
            <w:vAlign w:val="bottom"/>
          </w:tcPr>
          <w:p>
            <w:pPr>
              <w:pStyle w:val="TableContents"/>
              <w:bidi w:val="0"/>
              <w:spacing w:before="0" w:after="283"/>
              <w:jc w:val="left"/>
              <w:rPr/>
            </w:pPr>
            <w:r>
              <w:rPr/>
              <w:t> </w:t>
            </w:r>
          </w:p>
        </w:tc>
      </w:tr>
      <w:tr>
        <w:trPr/>
        <w:tc>
          <w:tcPr>
            <w:tcW w:w="3272" w:type="dxa"/>
            <w:tcBorders/>
            <w:shd w:fill="CCEEFF" w:val="clear"/>
          </w:tcPr>
          <w:p>
            <w:pPr>
              <w:pStyle w:val="TableContents"/>
              <w:bidi w:val="0"/>
              <w:spacing w:before="0" w:after="0"/>
              <w:jc w:val="left"/>
              <w:rPr>
                <w:rFonts w:ascii="Arial" w:hAnsi="Arial"/>
                <w:b/>
                <w:sz w:val="20"/>
              </w:rPr>
            </w:pPr>
            <w:r>
              <w:rPr>
                <w:rFonts w:ascii="Arial" w:hAnsi="Arial"/>
                <w:b/>
                <w:sz w:val="20"/>
              </w:rPr>
              <w:t>Earnings from continuing operations</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444</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297</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921</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722</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1,483</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0"/>
              <w:jc w:val="left"/>
              <w:rPr>
                <w:rFonts w:ascii="Arial" w:hAnsi="Arial"/>
                <w:b/>
                <w:sz w:val="20"/>
              </w:rPr>
            </w:pPr>
            <w:r>
              <w:rPr>
                <w:rFonts w:ascii="Arial" w:hAnsi="Arial"/>
                <w:b/>
                <w:sz w:val="20"/>
              </w:rPr>
              <w:t>Adjustments to remove:</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r>
      <w:tr>
        <w:trPr/>
        <w:tc>
          <w:tcPr>
            <w:tcW w:w="3272"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71</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52</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196</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144</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423</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tcPr>
          <w:p>
            <w:pPr>
              <w:pStyle w:val="TableContents"/>
              <w:bidi w:val="0"/>
              <w:spacing w:before="0" w:after="0"/>
              <w:jc w:val="left"/>
              <w:rPr>
                <w:rFonts w:ascii="Arial" w:hAnsi="Arial"/>
                <w:sz w:val="20"/>
              </w:rPr>
            </w:pPr>
            <w:r>
              <w:rPr>
                <w:rFonts w:ascii="Arial" w:hAnsi="Arial"/>
                <w:sz w:val="20"/>
              </w:rPr>
              <w:t>Other finance (income) costs</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(8</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48</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(17</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58</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55</w:t>
            </w:r>
          </w:p>
        </w:tc>
        <w:tc>
          <w:tcPr>
            <w:tcW w:w="327" w:type="dxa"/>
            <w:tcBorders/>
            <w:vAlign w:val="bottom"/>
          </w:tcPr>
          <w:p>
            <w:pPr>
              <w:pStyle w:val="TableContents"/>
              <w:bidi w:val="0"/>
              <w:spacing w:before="0" w:after="283"/>
              <w:jc w:val="left"/>
              <w:rPr/>
            </w:pPr>
            <w:r>
              <w:rPr/>
              <w:t> </w:t>
            </w:r>
          </w:p>
        </w:tc>
      </w:tr>
      <w:tr>
        <w:trPr/>
        <w:tc>
          <w:tcPr>
            <w:tcW w:w="3272" w:type="dxa"/>
            <w:tcBorders/>
            <w:shd w:fill="CCEEFF" w:val="clear"/>
          </w:tcPr>
          <w:p>
            <w:pPr>
              <w:pStyle w:val="TableContents"/>
              <w:bidi w:val="0"/>
              <w:spacing w:before="0" w:after="0"/>
              <w:jc w:val="left"/>
              <w:rPr>
                <w:rFonts w:ascii="Arial" w:hAnsi="Arial"/>
                <w:sz w:val="20"/>
              </w:rPr>
            </w:pPr>
            <w:r>
              <w:rPr>
                <w:rFonts w:ascii="Arial" w:hAnsi="Arial"/>
                <w:sz w:val="20"/>
              </w:rPr>
              <w:t>Net interest expense</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47</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35</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86</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65</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143</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tcPr>
          <w:p>
            <w:pPr>
              <w:pStyle w:val="TableContents"/>
              <w:bidi w:val="0"/>
              <w:spacing w:before="0" w:after="0"/>
              <w:jc w:val="left"/>
              <w:rPr>
                <w:rFonts w:ascii="Arial" w:hAnsi="Arial"/>
                <w:sz w:val="20"/>
              </w:rPr>
            </w:pPr>
            <w:r>
              <w:rPr>
                <w:rFonts w:ascii="Arial" w:hAnsi="Arial"/>
                <w:sz w:val="20"/>
              </w:rPr>
              <w:t>Amortization of other identifiable intangible assets</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25</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24</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49</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49</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98</w:t>
            </w:r>
          </w:p>
        </w:tc>
        <w:tc>
          <w:tcPr>
            <w:tcW w:w="327" w:type="dxa"/>
            <w:tcBorders/>
            <w:vAlign w:val="bottom"/>
          </w:tcPr>
          <w:p>
            <w:pPr>
              <w:pStyle w:val="TableContents"/>
              <w:bidi w:val="0"/>
              <w:spacing w:before="0" w:after="283"/>
              <w:jc w:val="left"/>
              <w:rPr/>
            </w:pPr>
            <w:r>
              <w:rPr/>
              <w:t> </w:t>
            </w:r>
          </w:p>
        </w:tc>
      </w:tr>
      <w:tr>
        <w:trPr/>
        <w:tc>
          <w:tcPr>
            <w:tcW w:w="3272" w:type="dxa"/>
            <w:tcBorders/>
            <w:shd w:fill="CCEEFF" w:val="clear"/>
          </w:tcPr>
          <w:p>
            <w:pPr>
              <w:pStyle w:val="TableContents"/>
              <w:bidi w:val="0"/>
              <w:spacing w:before="0" w:after="0"/>
              <w:jc w:val="left"/>
              <w:rPr>
                <w:rFonts w:ascii="Arial" w:hAnsi="Arial"/>
                <w:sz w:val="20"/>
              </w:rPr>
            </w:pPr>
            <w:r>
              <w:rPr>
                <w:rFonts w:ascii="Arial" w:hAnsi="Arial"/>
                <w:sz w:val="20"/>
              </w:rPr>
              <w:t>Amortization of software</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201</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178</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394</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352</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721</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tcPr>
          <w:p>
            <w:pPr>
              <w:pStyle w:val="TableContents"/>
              <w:bidi w:val="0"/>
              <w:spacing w:before="0" w:after="0"/>
              <w:jc w:val="left"/>
              <w:rPr>
                <w:rFonts w:ascii="Arial" w:hAnsi="Arial"/>
                <w:sz w:val="20"/>
              </w:rPr>
            </w:pPr>
            <w:r>
              <w:rPr>
                <w:rFonts w:ascii="Arial" w:hAnsi="Arial"/>
                <w:sz w:val="20"/>
              </w:rPr>
              <w:t>Depreciation</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27</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28</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55</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55</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111</w:t>
            </w:r>
          </w:p>
        </w:tc>
        <w:tc>
          <w:tcPr>
            <w:tcW w:w="327" w:type="dxa"/>
            <w:tcBorders/>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3272" w:type="dxa"/>
            <w:tcBorders/>
            <w:shd w:fill="CCEEFF" w:val="clear"/>
          </w:tcPr>
          <w:p>
            <w:pPr>
              <w:pStyle w:val="TableContents"/>
              <w:bidi w:val="0"/>
              <w:spacing w:before="0" w:after="0"/>
              <w:jc w:val="left"/>
              <w:rPr>
                <w:rFonts w:ascii="Arial" w:hAnsi="Arial"/>
                <w:b/>
                <w:sz w:val="20"/>
              </w:rPr>
            </w:pPr>
            <w:r>
              <w:rPr>
                <w:rFonts w:ascii="Arial" w:hAnsi="Arial"/>
                <w:b/>
                <w:sz w:val="20"/>
              </w:rPr>
              <w:t>EBITDA</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807</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662</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1,684</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1,445</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3,034</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0"/>
              <w:jc w:val="left"/>
              <w:rPr>
                <w:rFonts w:ascii="Arial" w:hAnsi="Arial"/>
                <w:b/>
                <w:sz w:val="20"/>
              </w:rPr>
            </w:pPr>
            <w:r>
              <w:rPr>
                <w:rFonts w:ascii="Arial" w:hAnsi="Arial"/>
                <w:b/>
                <w:sz w:val="20"/>
              </w:rPr>
              <w:t>Adjustments to remove:</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r>
      <w:tr>
        <w:trPr/>
        <w:tc>
          <w:tcPr>
            <w:tcW w:w="3272" w:type="dxa"/>
            <w:tcBorders/>
            <w:shd w:fill="CCEEFF" w:val="clear"/>
          </w:tcPr>
          <w:p>
            <w:pPr>
              <w:pStyle w:val="TableContents"/>
              <w:bidi w:val="0"/>
              <w:spacing w:before="0" w:after="0"/>
              <w:jc w:val="left"/>
              <w:rPr>
                <w:rFonts w:ascii="Arial" w:hAnsi="Arial"/>
                <w:sz w:val="20"/>
              </w:rPr>
            </w:pPr>
            <w:r>
              <w:rPr>
                <w:rFonts w:ascii="Arial" w:hAnsi="Arial"/>
                <w:sz w:val="20"/>
              </w:rPr>
              <w:t>Share of post-tax losses in equity method investments</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11</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28</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tcPr>
          <w:p>
            <w:pPr>
              <w:pStyle w:val="TableContents"/>
              <w:bidi w:val="0"/>
              <w:spacing w:before="0" w:after="0"/>
              <w:jc w:val="left"/>
              <w:rPr>
                <w:rFonts w:ascii="Arial" w:hAnsi="Arial"/>
                <w:sz w:val="20"/>
              </w:rPr>
            </w:pPr>
            <w:r>
              <w:rPr>
                <w:rFonts w:ascii="Arial" w:hAnsi="Arial"/>
                <w:sz w:val="20"/>
              </w:rPr>
              <w:t>Other operating gains, net</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(68</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(68</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(164</w:t>
            </w:r>
          </w:p>
        </w:tc>
        <w:tc>
          <w:tcPr>
            <w:tcW w:w="327" w:type="dxa"/>
            <w:tcBorders/>
            <w:vAlign w:val="bottom"/>
          </w:tcPr>
          <w:p>
            <w:pPr>
              <w:pStyle w:val="TableContents"/>
              <w:bidi w:val="0"/>
              <w:spacing w:before="0" w:after="283"/>
              <w:jc w:val="left"/>
              <w:rPr/>
            </w:pPr>
            <w:r>
              <w:rPr/>
              <w:t>) </w:t>
            </w:r>
          </w:p>
        </w:tc>
      </w:tr>
      <w:tr>
        <w:trPr/>
        <w:tc>
          <w:tcPr>
            <w:tcW w:w="3272" w:type="dxa"/>
            <w:tcBorders/>
            <w:shd w:fill="CCEEFF" w:val="clear"/>
          </w:tcPr>
          <w:p>
            <w:pPr>
              <w:pStyle w:val="TableContents"/>
              <w:bidi w:val="0"/>
              <w:spacing w:before="0" w:after="0"/>
              <w:jc w:val="left"/>
              <w:rPr>
                <w:rFonts w:ascii="Arial" w:hAnsi="Arial"/>
                <w:sz w:val="20"/>
              </w:rPr>
            </w:pPr>
            <w:r>
              <w:rPr>
                <w:rFonts w:ascii="Arial" w:hAnsi="Arial"/>
                <w:sz w:val="20"/>
              </w:rPr>
              <w:t>Fair value adjustments*</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w:t>
            </w:r>
          </w:p>
        </w:tc>
        <w:tc>
          <w:tcPr>
            <w:tcW w:w="44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17</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w:t>
            </w:r>
          </w:p>
        </w:tc>
        <w:tc>
          <w:tcPr>
            <w:tcW w:w="31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34</w:t>
            </w:r>
          </w:p>
        </w:tc>
        <w:tc>
          <w:tcPr>
            <w:tcW w:w="3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38</w:t>
            </w:r>
          </w:p>
        </w:tc>
        <w:tc>
          <w:tcPr>
            <w:tcW w:w="327" w:type="dxa"/>
            <w:tcBorders/>
            <w:shd w:fill="CCEEFF" w:val="clear"/>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3272" w:type="dxa"/>
            <w:tcBorders/>
            <w:vAlign w:val="bottom"/>
          </w:tcPr>
          <w:p>
            <w:pPr>
              <w:pStyle w:val="TableContents"/>
              <w:bidi w:val="0"/>
              <w:spacing w:before="0" w:after="0"/>
              <w:jc w:val="left"/>
              <w:rPr>
                <w:rFonts w:ascii="Arial" w:hAnsi="Arial"/>
                <w:b/>
                <w:sz w:val="20"/>
              </w:rPr>
            </w:pPr>
            <w:r>
              <w:rPr>
                <w:rFonts w:ascii="Arial" w:hAnsi="Arial"/>
                <w:b/>
                <w:sz w:val="20"/>
              </w:rPr>
              <w:t>Adjusted EBITDA(1)</w:t>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b/>
              </w:rPr>
            </w:pPr>
            <w:r>
              <w:rPr>
                <w:b/>
              </w:rPr>
              <w:t>$</w:t>
            </w:r>
          </w:p>
        </w:tc>
        <w:tc>
          <w:tcPr>
            <w:tcW w:w="606" w:type="dxa"/>
            <w:tcBorders/>
            <w:vAlign w:val="bottom"/>
          </w:tcPr>
          <w:p>
            <w:pPr>
              <w:pStyle w:val="TableContents"/>
              <w:bidi w:val="0"/>
              <w:spacing w:before="0" w:after="283"/>
              <w:jc w:val="right"/>
              <w:rPr>
                <w:b/>
              </w:rPr>
            </w:pPr>
            <w:r>
              <w:rPr>
                <w:b/>
              </w:rPr>
              <w:t>745</w:t>
            </w:r>
          </w:p>
        </w:tc>
        <w:tc>
          <w:tcPr>
            <w:tcW w:w="44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b/>
              </w:rPr>
            </w:pPr>
            <w:r>
              <w:rPr>
                <w:b/>
              </w:rPr>
              <w:t>$</w:t>
            </w:r>
          </w:p>
        </w:tc>
        <w:tc>
          <w:tcPr>
            <w:tcW w:w="610" w:type="dxa"/>
            <w:tcBorders/>
            <w:vAlign w:val="bottom"/>
          </w:tcPr>
          <w:p>
            <w:pPr>
              <w:pStyle w:val="TableContents"/>
              <w:bidi w:val="0"/>
              <w:spacing w:before="0" w:after="283"/>
              <w:jc w:val="right"/>
              <w:rPr>
                <w:b/>
              </w:rPr>
            </w:pPr>
            <w:r>
              <w:rPr>
                <w:b/>
              </w:rPr>
              <w:t>678</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1,626</w:t>
            </w:r>
          </w:p>
        </w:tc>
        <w:tc>
          <w:tcPr>
            <w:tcW w:w="31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1,487</w:t>
            </w:r>
          </w:p>
        </w:tc>
        <w:tc>
          <w:tcPr>
            <w:tcW w:w="3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093" w:type="dxa"/>
            <w:tcBorders/>
            <w:vAlign w:val="bottom"/>
          </w:tcPr>
          <w:p>
            <w:pPr>
              <w:pStyle w:val="TableContents"/>
              <w:bidi w:val="0"/>
              <w:spacing w:before="0" w:after="283"/>
              <w:jc w:val="right"/>
              <w:rPr>
                <w:b/>
              </w:rPr>
            </w:pPr>
            <w:r>
              <w:rPr>
                <w:b/>
              </w:rPr>
              <w:t>2,936</w:t>
            </w:r>
          </w:p>
        </w:tc>
        <w:tc>
          <w:tcPr>
            <w:tcW w:w="327" w:type="dxa"/>
            <w:tcBorders/>
            <w:vAlign w:val="bottom"/>
          </w:tcPr>
          <w:p>
            <w:pPr>
              <w:pStyle w:val="TableContents"/>
              <w:bidi w:val="0"/>
              <w:spacing w:before="0" w:after="283"/>
              <w:jc w:val="left"/>
              <w:rPr/>
            </w:pPr>
            <w:r>
              <w:rPr/>
              <w:t> </w:t>
            </w:r>
          </w:p>
        </w:tc>
      </w:tr>
      <w:tr>
        <w:trPr/>
        <w:tc>
          <w:tcPr>
            <w:tcW w:w="327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3272"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Adjusted EBITDA margin(1)</w:t>
            </w:r>
          </w:p>
        </w:tc>
        <w:tc>
          <w:tcPr>
            <w:tcW w:w="2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b/>
              </w:rPr>
            </w:pPr>
            <w:r>
              <w:rPr>
                <w:b/>
              </w:rPr>
              <w:t>38.1</w:t>
            </w:r>
          </w:p>
        </w:tc>
        <w:tc>
          <w:tcPr>
            <w:tcW w:w="449"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37.8</w:t>
            </w:r>
          </w:p>
        </w:tc>
        <w:tc>
          <w:tcPr>
            <w:tcW w:w="320" w:type="dxa"/>
            <w:tcBorders/>
            <w:shd w:fill="CCEEFF" w:val="clear"/>
            <w:vAlign w:val="bottom"/>
          </w:tcPr>
          <w:p>
            <w:pPr>
              <w:pStyle w:val="TableContents"/>
              <w:bidi w:val="0"/>
              <w:spacing w:before="0" w:after="283"/>
              <w:jc w:val="left"/>
              <w:rPr>
                <w:b/>
              </w:rPr>
            </w:pPr>
            <w:r>
              <w:rPr>
                <w:b/>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40.2</w:t>
            </w:r>
          </w:p>
        </w:tc>
        <w:tc>
          <w:tcPr>
            <w:tcW w:w="319" w:type="dxa"/>
            <w:tcBorders/>
            <w:shd w:fill="CCEEFF" w:val="clear"/>
            <w:vAlign w:val="bottom"/>
          </w:tcPr>
          <w:p>
            <w:pPr>
              <w:pStyle w:val="TableContents"/>
              <w:bidi w:val="0"/>
              <w:spacing w:before="0" w:after="283"/>
              <w:jc w:val="left"/>
              <w:rPr>
                <w:b/>
              </w:rPr>
            </w:pPr>
            <w:r>
              <w:rPr>
                <w:b/>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40.1</w:t>
            </w:r>
          </w:p>
        </w:tc>
        <w:tc>
          <w:tcPr>
            <w:tcW w:w="320" w:type="dxa"/>
            <w:tcBorders/>
            <w:shd w:fill="CCEEFF" w:val="clear"/>
            <w:vAlign w:val="bottom"/>
          </w:tcPr>
          <w:p>
            <w:pPr>
              <w:pStyle w:val="TableContents"/>
              <w:bidi w:val="0"/>
              <w:spacing w:before="0" w:after="283"/>
              <w:jc w:val="left"/>
              <w:rPr>
                <w:b/>
              </w:rPr>
            </w:pPr>
            <w:r>
              <w:rPr>
                <w:b/>
              </w:rPr>
              <w:t>% </w:t>
            </w:r>
          </w:p>
        </w:tc>
        <w:tc>
          <w:tcPr>
            <w:tcW w:w="15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b/>
              </w:rPr>
            </w:pPr>
            <w:r>
              <w:rPr>
                <w:b/>
              </w:rPr>
              <w:t>39.2</w:t>
            </w:r>
          </w:p>
        </w:tc>
        <w:tc>
          <w:tcPr>
            <w:tcW w:w="327" w:type="dxa"/>
            <w:tcBorders/>
            <w:shd w:fill="CCEEFF" w:val="clear"/>
            <w:vAlign w:val="bottom"/>
          </w:tcPr>
          <w:p>
            <w:pPr>
              <w:pStyle w:val="TableContents"/>
              <w:bidi w:val="0"/>
              <w:spacing w:before="0" w:after="283"/>
              <w:jc w:val="left"/>
              <w:rPr>
                <w:b/>
              </w:rPr>
            </w:pPr>
            <w:r>
              <w:rPr>
                <w:b/>
              </w:rPr>
              <w:t>% </w:t>
            </w:r>
          </w:p>
        </w:tc>
      </w:tr>
      <w:tr>
        <w:trPr/>
        <w:tc>
          <w:tcPr>
            <w:tcW w:w="327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Arial" w:hAnsi="Arial"/>
                <w:i/>
                <w:sz w:val="16"/>
              </w:rPr>
            </w:pPr>
            <w:r>
              <w:rPr>
                <w:rFonts w:ascii="Arial" w:hAnsi="Arial"/>
                <w:i/>
                <w:sz w:val="16"/>
              </w:rPr>
              <w:t xml:space="preserve">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 </w:t>
            </w:r>
          </w:p>
        </w:tc>
      </w:tr>
    </w:tbl>
    <w:p>
      <w:pPr>
        <w:pStyle w:val="TextBody"/>
        <w:bidi w:val="0"/>
        <w:spacing w:before="24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Net Cash Provided By Operating Activities to Free Cash Flow(1)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4"/>
        <w:gridCol w:w="186"/>
        <w:gridCol w:w="211"/>
        <w:gridCol w:w="689"/>
        <w:gridCol w:w="233"/>
        <w:gridCol w:w="160"/>
        <w:gridCol w:w="211"/>
        <w:gridCol w:w="691"/>
        <w:gridCol w:w="155"/>
        <w:gridCol w:w="133"/>
        <w:gridCol w:w="157"/>
        <w:gridCol w:w="640"/>
        <w:gridCol w:w="174"/>
        <w:gridCol w:w="139"/>
        <w:gridCol w:w="157"/>
        <w:gridCol w:w="641"/>
        <w:gridCol w:w="155"/>
        <w:gridCol w:w="133"/>
        <w:gridCol w:w="280"/>
        <w:gridCol w:w="1122"/>
        <w:gridCol w:w="164"/>
      </w:tblGrid>
      <w:tr>
        <w:trPr/>
        <w:tc>
          <w:tcPr>
            <w:tcW w:w="377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95"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908" w:type="dxa"/>
            <w:gridSpan w:val="6"/>
            <w:tcBorders/>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2" w:type="dxa"/>
            <w:gridSpan w:val="2"/>
            <w:tcBorders/>
            <w:vAlign w:val="bottom"/>
          </w:tcPr>
          <w:p>
            <w:pPr>
              <w:pStyle w:val="TableContents"/>
              <w:bidi w:val="0"/>
              <w:spacing w:before="0" w:after="283"/>
              <w:jc w:val="center"/>
              <w:rPr>
                <w:b/>
              </w:rPr>
            </w:pPr>
            <w:r>
              <w:rPr>
                <w:b/>
              </w:rPr>
              <w:t>Year ended</w:t>
            </w:r>
          </w:p>
        </w:tc>
        <w:tc>
          <w:tcPr>
            <w:tcW w:w="164"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4"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3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Arial" w:hAnsi="Arial"/>
                <w:b/>
                <w:sz w:val="20"/>
              </w:rPr>
            </w:pPr>
            <w:r>
              <w:rPr>
                <w:rFonts w:ascii="Arial" w:hAnsi="Arial"/>
                <w:b/>
                <w:sz w:val="20"/>
              </w:rPr>
              <w:t>Net cash provided by operating activities</w:t>
            </w:r>
          </w:p>
        </w:tc>
        <w:tc>
          <w:tcPr>
            <w:tcW w:w="18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920</w:t>
            </w:r>
          </w:p>
        </w:tc>
        <w:tc>
          <w:tcPr>
            <w:tcW w:w="23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746</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1,425</w:t>
            </w:r>
          </w:p>
        </w:tc>
        <w:tc>
          <w:tcPr>
            <w:tcW w:w="17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1,191</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2,651</w:t>
            </w:r>
          </w:p>
        </w:tc>
        <w:tc>
          <w:tcPr>
            <w:tcW w:w="164" w:type="dxa"/>
            <w:tcBorders/>
            <w:shd w:fill="CCEEFF" w:val="clear"/>
            <w:vAlign w:val="bottom"/>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Arial" w:hAnsi="Arial"/>
                <w:sz w:val="20"/>
              </w:rPr>
            </w:pPr>
            <w:r>
              <w:rPr>
                <w:rFonts w:ascii="Arial" w:hAnsi="Arial"/>
                <w:sz w:val="20"/>
              </w:rPr>
              <w:t>Capital expenditures</w:t>
            </w:r>
          </w:p>
        </w:tc>
        <w:tc>
          <w:tcPr>
            <w:tcW w:w="18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(177</w:t>
            </w:r>
          </w:p>
        </w:tc>
        <w:tc>
          <w:tcPr>
            <w:tcW w:w="23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(333</w:t>
            </w:r>
          </w:p>
        </w:tc>
        <w:tc>
          <w:tcPr>
            <w:tcW w:w="17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(634</w:t>
            </w:r>
          </w:p>
        </w:tc>
        <w:tc>
          <w:tcPr>
            <w:tcW w:w="164" w:type="dxa"/>
            <w:tcBorders/>
            <w:vAlign w:val="bottom"/>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Arial" w:hAnsi="Arial"/>
                <w:sz w:val="20"/>
              </w:rPr>
            </w:pPr>
            <w:r>
              <w:rPr>
                <w:rFonts w:ascii="Arial" w:hAnsi="Arial"/>
                <w:sz w:val="20"/>
              </w:rPr>
              <w:t>Other investing activities</w:t>
            </w:r>
          </w:p>
        </w:tc>
        <w:tc>
          <w:tcPr>
            <w:tcW w:w="18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w:t>
            </w:r>
          </w:p>
        </w:tc>
        <w:tc>
          <w:tcPr>
            <w:tcW w:w="164" w:type="dxa"/>
            <w:tcBorders/>
            <w:shd w:fill="CCEEFF" w:val="clear"/>
            <w:vAlign w:val="bottom"/>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Arial" w:hAnsi="Arial"/>
                <w:sz w:val="20"/>
              </w:rPr>
            </w:pPr>
            <w:r>
              <w:rPr>
                <w:rFonts w:ascii="Arial" w:hAnsi="Arial"/>
                <w:sz w:val="20"/>
              </w:rPr>
              <w:t>Payments of lease principal</w:t>
            </w:r>
          </w:p>
        </w:tc>
        <w:tc>
          <w:tcPr>
            <w:tcW w:w="18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(15</w:t>
            </w:r>
          </w:p>
        </w:tc>
        <w:tc>
          <w:tcPr>
            <w:tcW w:w="23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(31</w:t>
            </w:r>
          </w:p>
        </w:tc>
        <w:tc>
          <w:tcPr>
            <w:tcW w:w="17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(64</w:t>
            </w:r>
          </w:p>
        </w:tc>
        <w:tc>
          <w:tcPr>
            <w:tcW w:w="164" w:type="dxa"/>
            <w:tcBorders/>
            <w:vAlign w:val="bottom"/>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Arial" w:hAnsi="Arial"/>
                <w:sz w:val="20"/>
              </w:rPr>
            </w:pPr>
            <w:r>
              <w:rPr>
                <w:rFonts w:ascii="Arial" w:hAnsi="Arial"/>
                <w:sz w:val="20"/>
              </w:rPr>
              <w:t>Dividends paid on preference shares</w:t>
            </w:r>
          </w:p>
        </w:tc>
        <w:tc>
          <w:tcPr>
            <w:tcW w:w="18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w:t>
            </w:r>
          </w:p>
        </w:tc>
        <w:tc>
          <w:tcPr>
            <w:tcW w:w="23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w:t>
            </w:r>
          </w:p>
        </w:tc>
        <w:tc>
          <w:tcPr>
            <w:tcW w:w="17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w:t>
            </w:r>
          </w:p>
        </w:tc>
        <w:tc>
          <w:tcPr>
            <w:tcW w:w="164" w:type="dxa"/>
            <w:tcBorders/>
            <w:shd w:fill="CCEEFF" w:val="clear"/>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Arial" w:hAnsi="Arial"/>
                <w:b/>
                <w:sz w:val="20"/>
              </w:rPr>
            </w:pPr>
            <w:r>
              <w:rPr>
                <w:rFonts w:ascii="Arial" w:hAnsi="Arial"/>
                <w:b/>
                <w:sz w:val="20"/>
              </w:rPr>
              <w:t>Free cash flow(1)</w:t>
            </w:r>
          </w:p>
        </w:tc>
        <w:tc>
          <w:tcPr>
            <w:tcW w:w="18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727</w:t>
            </w:r>
          </w:p>
        </w:tc>
        <w:tc>
          <w:tcPr>
            <w:tcW w:w="23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91" w:type="dxa"/>
            <w:tcBorders/>
            <w:vAlign w:val="bottom"/>
          </w:tcPr>
          <w:p>
            <w:pPr>
              <w:pStyle w:val="TableContents"/>
              <w:bidi w:val="0"/>
              <w:spacing w:before="0" w:after="283"/>
              <w:jc w:val="right"/>
              <w:rPr>
                <w:b/>
              </w:rPr>
            </w:pPr>
            <w:r>
              <w:rPr>
                <w:b/>
              </w:rPr>
              <w:t>566</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1,059</w:t>
            </w:r>
          </w:p>
        </w:tc>
        <w:tc>
          <w:tcPr>
            <w:tcW w:w="17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b/>
              </w:rPr>
            </w:pPr>
            <w:r>
              <w:rPr>
                <w:b/>
              </w:rPr>
              <w:t>$</w:t>
            </w:r>
          </w:p>
        </w:tc>
        <w:tc>
          <w:tcPr>
            <w:tcW w:w="641" w:type="dxa"/>
            <w:tcBorders/>
            <w:vAlign w:val="bottom"/>
          </w:tcPr>
          <w:p>
            <w:pPr>
              <w:pStyle w:val="TableContents"/>
              <w:bidi w:val="0"/>
              <w:spacing w:before="0" w:after="283"/>
              <w:jc w:val="right"/>
              <w:rPr>
                <w:b/>
              </w:rPr>
            </w:pPr>
            <w:r>
              <w:rPr>
                <w:b/>
              </w:rPr>
              <w:t>843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122" w:type="dxa"/>
            <w:tcBorders/>
            <w:vAlign w:val="bottom"/>
          </w:tcPr>
          <w:p>
            <w:pPr>
              <w:pStyle w:val="TableContents"/>
              <w:bidi w:val="0"/>
              <w:spacing w:before="0" w:after="283"/>
              <w:jc w:val="right"/>
              <w:rPr>
                <w:b/>
              </w:rPr>
            </w:pPr>
            <w:r>
              <w:rPr>
                <w:b/>
              </w:rPr>
              <w:t>1,950</w:t>
            </w:r>
          </w:p>
        </w:tc>
        <w:tc>
          <w:tcPr>
            <w:tcW w:w="164"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48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Capital Expenditures to Accrued Capital Expenditures(1)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25"/>
        <w:gridCol w:w="701"/>
        <w:gridCol w:w="362"/>
        <w:gridCol w:w="995"/>
        <w:gridCol w:w="322"/>
      </w:tblGrid>
      <w:tr>
        <w:trPr/>
        <w:tc>
          <w:tcPr>
            <w:tcW w:w="7825"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7825" w:type="dxa"/>
            <w:vMerge w:val="restart"/>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center"/>
              <w:rPr>
                <w:b/>
              </w:rPr>
            </w:pPr>
            <w:r>
              <w:rPr>
                <w:b/>
              </w:rPr>
              <w:t>Year ended</w:t>
            </w:r>
          </w:p>
        </w:tc>
        <w:tc>
          <w:tcPr>
            <w:tcW w:w="322" w:type="dxa"/>
            <w:tcBorders/>
            <w:vAlign w:val="bottom"/>
          </w:tcPr>
          <w:p>
            <w:pPr>
              <w:pStyle w:val="TableContents"/>
              <w:bidi w:val="0"/>
              <w:spacing w:before="0" w:after="283"/>
              <w:jc w:val="left"/>
              <w:rPr/>
            </w:pPr>
            <w:r>
              <w:rPr/>
              <w:t> </w:t>
            </w:r>
          </w:p>
        </w:tc>
      </w:tr>
      <w:tr>
        <w:trPr/>
        <w:tc>
          <w:tcPr>
            <w:tcW w:w="7825" w:type="dxa"/>
            <w:vMerge w:val="continue"/>
            <w:tcBorders/>
            <w:vAlign w:val="bottom"/>
          </w:tcPr>
          <w:p>
            <w:pPr>
              <w:pStyle w:val="Normal"/>
              <w:bidi w:val="0"/>
              <w:jc w:val="left"/>
              <w:rPr/>
            </w:pPr>
            <w:r>
              <w:rPr/>
            </w:r>
          </w:p>
        </w:tc>
        <w:tc>
          <w:tcPr>
            <w:tcW w:w="701"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322" w:type="dxa"/>
            <w:tcBorders/>
            <w:vAlign w:val="bottom"/>
          </w:tcPr>
          <w:p>
            <w:pPr>
              <w:pStyle w:val="TableContents"/>
              <w:bidi w:val="0"/>
              <w:spacing w:before="0" w:after="283"/>
              <w:jc w:val="left"/>
              <w:rPr/>
            </w:pPr>
            <w:r>
              <w:rPr/>
              <w:t> </w:t>
            </w:r>
          </w:p>
        </w:tc>
      </w:tr>
      <w:tr>
        <w:trPr/>
        <w:tc>
          <w:tcPr>
            <w:tcW w:w="7825"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2" w:type="dxa"/>
            <w:tcBorders/>
            <w:vAlign w:val="bottom"/>
          </w:tcPr>
          <w:p>
            <w:pPr>
              <w:pStyle w:val="TableContents"/>
              <w:bidi w:val="0"/>
              <w:spacing w:before="0" w:after="283"/>
              <w:jc w:val="left"/>
              <w:rPr/>
            </w:pPr>
            <w:r>
              <w:rPr/>
              <w:t> </w:t>
            </w:r>
          </w:p>
        </w:tc>
      </w:tr>
      <w:tr>
        <w:trPr/>
        <w:tc>
          <w:tcPr>
            <w:tcW w:w="7825" w:type="dxa"/>
            <w:tcBorders/>
            <w:shd w:fill="CCEEFF" w:val="clear"/>
          </w:tcPr>
          <w:p>
            <w:pPr>
              <w:pStyle w:val="TableContents"/>
              <w:bidi w:val="0"/>
              <w:spacing w:before="0" w:after="0"/>
              <w:jc w:val="left"/>
              <w:rPr>
                <w:rFonts w:ascii="Arial" w:hAnsi="Arial"/>
                <w:b/>
                <w:sz w:val="20"/>
              </w:rPr>
            </w:pPr>
            <w:r>
              <w:rPr>
                <w:rFonts w:ascii="Arial" w:hAnsi="Arial"/>
                <w:b/>
                <w:sz w:val="20"/>
              </w:rPr>
              <w:t>Capital expenditures</w:t>
            </w:r>
          </w:p>
        </w:tc>
        <w:tc>
          <w:tcPr>
            <w:tcW w:w="7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634</w:t>
            </w:r>
          </w:p>
        </w:tc>
        <w:tc>
          <w:tcPr>
            <w:tcW w:w="322" w:type="dxa"/>
            <w:tcBorders/>
            <w:shd w:fill="CCEEFF" w:val="clear"/>
            <w:vAlign w:val="bottom"/>
          </w:tcPr>
          <w:p>
            <w:pPr>
              <w:pStyle w:val="TableContents"/>
              <w:bidi w:val="0"/>
              <w:spacing w:before="0" w:after="283"/>
              <w:jc w:val="left"/>
              <w:rPr/>
            </w:pPr>
            <w:r>
              <w:rPr/>
              <w:t> </w:t>
            </w:r>
          </w:p>
        </w:tc>
      </w:tr>
      <w:tr>
        <w:trPr/>
        <w:tc>
          <w:tcPr>
            <w:tcW w:w="7825" w:type="dxa"/>
            <w:tcBorders/>
          </w:tcPr>
          <w:p>
            <w:pPr>
              <w:pStyle w:val="TableContents"/>
              <w:bidi w:val="0"/>
              <w:spacing w:before="0" w:after="0"/>
              <w:jc w:val="left"/>
              <w:rPr>
                <w:rFonts w:ascii="Arial" w:hAnsi="Arial"/>
                <w:sz w:val="20"/>
              </w:rPr>
            </w:pPr>
            <w:r>
              <w:rPr>
                <w:rFonts w:ascii="Arial" w:hAnsi="Arial"/>
                <w:sz w:val="20"/>
              </w:rPr>
              <w:t>Remove: IFRS adjustment to cash basis</w:t>
            </w:r>
          </w:p>
        </w:tc>
        <w:tc>
          <w:tcPr>
            <w:tcW w:w="701"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(18</w:t>
            </w:r>
          </w:p>
        </w:tc>
        <w:tc>
          <w:tcPr>
            <w:tcW w:w="322" w:type="dxa"/>
            <w:tcBorders/>
            <w:vAlign w:val="bottom"/>
          </w:tcPr>
          <w:p>
            <w:pPr>
              <w:pStyle w:val="TableContents"/>
              <w:bidi w:val="0"/>
              <w:spacing w:before="0" w:after="283"/>
              <w:jc w:val="left"/>
              <w:rPr/>
            </w:pPr>
            <w:r>
              <w:rPr/>
              <w:t>) </w:t>
            </w:r>
          </w:p>
        </w:tc>
      </w:tr>
      <w:tr>
        <w:trPr/>
        <w:tc>
          <w:tcPr>
            <w:tcW w:w="7825"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pPr>
            <w:r>
              <w:rPr/>
              <w:t>  </w:t>
            </w:r>
          </w:p>
        </w:tc>
        <w:tc>
          <w:tcPr>
            <w:tcW w:w="362"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7825" w:type="dxa"/>
            <w:tcBorders/>
            <w:shd w:fill="CCEEFF" w:val="clear"/>
          </w:tcPr>
          <w:p>
            <w:pPr>
              <w:pStyle w:val="TableContents"/>
              <w:bidi w:val="0"/>
              <w:spacing w:before="0" w:after="0"/>
              <w:jc w:val="left"/>
              <w:rPr>
                <w:rFonts w:ascii="Arial" w:hAnsi="Arial"/>
                <w:b/>
                <w:sz w:val="20"/>
              </w:rPr>
            </w:pPr>
            <w:r>
              <w:rPr>
                <w:rFonts w:ascii="Arial" w:hAnsi="Arial"/>
                <w:b/>
                <w:sz w:val="20"/>
              </w:rPr>
              <w:t>Accrued capital expenditures(1)</w:t>
            </w:r>
          </w:p>
        </w:tc>
        <w:tc>
          <w:tcPr>
            <w:tcW w:w="701"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b/>
              </w:rPr>
            </w:pPr>
            <w:r>
              <w:rPr>
                <w:b/>
              </w:rPr>
              <w:t>$</w:t>
            </w:r>
          </w:p>
        </w:tc>
        <w:tc>
          <w:tcPr>
            <w:tcW w:w="995" w:type="dxa"/>
            <w:tcBorders/>
            <w:shd w:fill="CCEEFF" w:val="clear"/>
            <w:vAlign w:val="bottom"/>
          </w:tcPr>
          <w:p>
            <w:pPr>
              <w:pStyle w:val="TableContents"/>
              <w:bidi w:val="0"/>
              <w:spacing w:before="0" w:after="283"/>
              <w:jc w:val="right"/>
              <w:rPr>
                <w:b/>
              </w:rPr>
            </w:pPr>
            <w:r>
              <w:rPr>
                <w:b/>
              </w:rPr>
              <w:t>616</w:t>
            </w:r>
          </w:p>
        </w:tc>
        <w:tc>
          <w:tcPr>
            <w:tcW w:w="322" w:type="dxa"/>
            <w:tcBorders/>
            <w:shd w:fill="CCEEFF" w:val="clear"/>
            <w:vAlign w:val="bottom"/>
          </w:tcPr>
          <w:p>
            <w:pPr>
              <w:pStyle w:val="TableContents"/>
              <w:bidi w:val="0"/>
              <w:spacing w:before="0" w:after="283"/>
              <w:jc w:val="left"/>
              <w:rPr/>
            </w:pPr>
            <w:r>
              <w:rPr/>
              <w:t> </w:t>
            </w:r>
          </w:p>
        </w:tc>
      </w:tr>
      <w:tr>
        <w:trPr/>
        <w:tc>
          <w:tcPr>
            <w:tcW w:w="7825"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pPr>
            <w:r>
              <w:rPr/>
              <w:t>  </w:t>
            </w:r>
          </w:p>
        </w:tc>
        <w:tc>
          <w:tcPr>
            <w:tcW w:w="362"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7825" w:type="dxa"/>
            <w:tcBorders/>
          </w:tcPr>
          <w:p>
            <w:pPr>
              <w:pStyle w:val="TableContents"/>
              <w:bidi w:val="0"/>
              <w:spacing w:before="0" w:after="0"/>
              <w:jc w:val="left"/>
              <w:rPr>
                <w:rFonts w:ascii="Arial" w:hAnsi="Arial"/>
                <w:b/>
                <w:sz w:val="20"/>
              </w:rPr>
            </w:pPr>
            <w:r>
              <w:rPr>
                <w:rFonts w:ascii="Arial" w:hAnsi="Arial"/>
                <w:b/>
                <w:sz w:val="20"/>
              </w:rPr>
              <w:t>Accrued capital expenditures as a percentage of revenues(1)</w:t>
            </w:r>
          </w:p>
        </w:tc>
        <w:tc>
          <w:tcPr>
            <w:tcW w:w="701"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8.2</w:t>
            </w:r>
          </w:p>
        </w:tc>
        <w:tc>
          <w:tcPr>
            <w:tcW w:w="322" w:type="dxa"/>
            <w:tcBorders/>
            <w:vAlign w:val="bottom"/>
          </w:tcPr>
          <w:p>
            <w:pPr>
              <w:pStyle w:val="TableContents"/>
              <w:bidi w:val="0"/>
              <w:spacing w:before="0" w:after="283"/>
              <w:jc w:val="left"/>
              <w:rPr>
                <w:b/>
              </w:rPr>
            </w:pPr>
            <w:r>
              <w:rPr>
                <w:b/>
              </w:rPr>
              <w:t>% </w:t>
            </w:r>
          </w:p>
        </w:tc>
      </w:tr>
      <w:tr>
        <w:trPr/>
        <w:tc>
          <w:tcPr>
            <w:tcW w:w="7825"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pPr>
            <w:r>
              <w:rPr/>
              <w:t>  </w:t>
            </w:r>
          </w:p>
        </w:tc>
        <w:tc>
          <w:tcPr>
            <w:tcW w:w="362"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16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Net Earnings to Adjusted Earnings(1) </w:t>
      </w:r>
    </w:p>
    <w:p>
      <w:pPr>
        <w:pStyle w:val="TextBody"/>
        <w:bidi w:val="0"/>
        <w:spacing w:before="0" w:after="0"/>
        <w:jc w:val="center"/>
        <w:rPr>
          <w:rFonts w:ascii="Arial" w:hAnsi="Arial"/>
          <w:b/>
          <w:sz w:val="20"/>
        </w:rPr>
      </w:pPr>
      <w:r>
        <w:rPr>
          <w:rFonts w:ascii="Arial" w:hAnsi="Arial"/>
          <w:b/>
          <w:sz w:val="20"/>
        </w:rPr>
        <w:t xml:space="preserve">Reconciliation of Total Change in Adjusted EPS to Change in Constant Currency(1) </w:t>
      </w:r>
    </w:p>
    <w:p>
      <w:pPr>
        <w:pStyle w:val="TextBody"/>
        <w:bidi w:val="0"/>
        <w:spacing w:before="0" w:after="0"/>
        <w:jc w:val="center"/>
        <w:rPr>
          <w:rFonts w:ascii="Arial" w:hAnsi="Arial"/>
          <w:sz w:val="16"/>
        </w:rPr>
      </w:pPr>
      <w:r>
        <w:rPr>
          <w:rFonts w:ascii="Arial" w:hAnsi="Arial"/>
          <w:sz w:val="16"/>
        </w:rPr>
        <w:t xml:space="preserve">(millions of U.S. dollars, except for share and per share data)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1"/>
        <w:gridCol w:w="215"/>
        <w:gridCol w:w="171"/>
        <w:gridCol w:w="711"/>
        <w:gridCol w:w="350"/>
        <w:gridCol w:w="170"/>
        <w:gridCol w:w="171"/>
        <w:gridCol w:w="712"/>
        <w:gridCol w:w="155"/>
        <w:gridCol w:w="158"/>
        <w:gridCol w:w="140"/>
        <w:gridCol w:w="560"/>
        <w:gridCol w:w="275"/>
        <w:gridCol w:w="158"/>
        <w:gridCol w:w="140"/>
        <w:gridCol w:w="560"/>
        <w:gridCol w:w="154"/>
        <w:gridCol w:w="158"/>
        <w:gridCol w:w="271"/>
        <w:gridCol w:w="1121"/>
        <w:gridCol w:w="164"/>
      </w:tblGrid>
      <w:tr>
        <w:trPr/>
        <w:tc>
          <w:tcPr>
            <w:tcW w:w="369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b/>
                <w:sz w:val="20"/>
              </w:rPr>
            </w:pPr>
            <w:r>
              <w:rPr>
                <w:rFonts w:ascii="Arial" w:hAnsi="Arial"/>
                <w:b/>
                <w:sz w:val="20"/>
              </w:rPr>
              <w:t>Net earnings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448</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313</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907</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747</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1,502</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b/>
                <w:sz w:val="20"/>
              </w:rPr>
            </w:pPr>
            <w:r>
              <w:rPr>
                <w:rFonts w:ascii="Arial" w:hAnsi="Arial"/>
                <w:b/>
                <w:sz w:val="20"/>
              </w:rPr>
              <w:t>Adjustments to remove:</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Fair value adjustments*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38</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sz w:val="20"/>
              </w:rPr>
            </w:pPr>
            <w:r>
              <w:rPr>
                <w:rFonts w:ascii="Arial" w:hAnsi="Arial"/>
                <w:sz w:val="20"/>
              </w:rPr>
              <w:t>Amortization of acquired software</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60</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116</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206</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Amortization of other identifiable intangible assets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98</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sz w:val="20"/>
              </w:rPr>
            </w:pPr>
            <w:r>
              <w:rPr>
                <w:rFonts w:ascii="Arial" w:hAnsi="Arial"/>
                <w:sz w:val="20"/>
              </w:rPr>
              <w:t>Other operating gains, net</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(68</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(164</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Other finance (income) costs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55</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sz w:val="20"/>
              </w:rPr>
            </w:pPr>
            <w:r>
              <w:rPr>
                <w:rFonts w:ascii="Arial" w:hAnsi="Arial"/>
                <w:sz w:val="20"/>
              </w:rPr>
              <w:t>Share of post-tax losses in equity method investments</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28</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Tax on above items(1)</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(46</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(35</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sz w:val="20"/>
              </w:rPr>
            </w:pPr>
            <w:r>
              <w:rPr>
                <w:rFonts w:ascii="Arial" w:hAnsi="Arial"/>
                <w:sz w:val="20"/>
              </w:rPr>
              <w:t>Tax items impacting comparability(1)</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57</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(Earnings) loss from discontinued operations, net of tax</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(19</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sz w:val="20"/>
              </w:rPr>
            </w:pPr>
            <w:r>
              <w:rPr>
                <w:rFonts w:ascii="Arial" w:hAnsi="Arial"/>
                <w:sz w:val="20"/>
              </w:rPr>
              <w:t>Interim period effective tax rate normalization(1)</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Dividends declared on preference shares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w:t>
            </w:r>
          </w:p>
        </w:tc>
        <w:tc>
          <w:tcPr>
            <w:tcW w:w="164"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Arial" w:hAnsi="Arial"/>
                <w:b/>
                <w:sz w:val="20"/>
              </w:rPr>
            </w:pPr>
            <w:r>
              <w:rPr>
                <w:rFonts w:ascii="Arial" w:hAnsi="Arial"/>
                <w:b/>
                <w:sz w:val="20"/>
              </w:rPr>
              <w:t>Adjusted earnings(1)</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711" w:type="dxa"/>
            <w:tcBorders/>
            <w:vAlign w:val="bottom"/>
          </w:tcPr>
          <w:p>
            <w:pPr>
              <w:pStyle w:val="TableContents"/>
              <w:bidi w:val="0"/>
              <w:spacing w:before="0" w:after="283"/>
              <w:jc w:val="right"/>
              <w:rPr>
                <w:b/>
              </w:rPr>
            </w:pPr>
            <w:r>
              <w:rPr>
                <w:b/>
              </w:rPr>
              <w:t>435</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394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982</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900</w:t>
            </w:r>
          </w:p>
        </w:tc>
        <w:tc>
          <w:tcPr>
            <w:tcW w:w="15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121" w:type="dxa"/>
            <w:tcBorders/>
            <w:vAlign w:val="bottom"/>
          </w:tcPr>
          <w:p>
            <w:pPr>
              <w:pStyle w:val="TableContents"/>
              <w:bidi w:val="0"/>
              <w:spacing w:before="0" w:after="283"/>
              <w:jc w:val="right"/>
              <w:rPr>
                <w:b/>
              </w:rPr>
            </w:pPr>
            <w:r>
              <w:rPr>
                <w:b/>
              </w:rPr>
              <w:t>1,762</w:t>
            </w:r>
          </w:p>
        </w:tc>
        <w:tc>
          <w:tcPr>
            <w:tcW w:w="164"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Arial" w:hAnsi="Arial"/>
                <w:b/>
                <w:sz w:val="20"/>
              </w:rPr>
            </w:pPr>
            <w:r>
              <w:rPr>
                <w:rFonts w:ascii="Arial" w:hAnsi="Arial"/>
                <w:b/>
                <w:sz w:val="20"/>
              </w:rPr>
              <w:t>Adjusted EPS(1)</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b/>
              </w:rPr>
            </w:pPr>
            <w:r>
              <w:rPr>
                <w:b/>
              </w:rPr>
              <w:t>$</w:t>
            </w:r>
          </w:p>
        </w:tc>
        <w:tc>
          <w:tcPr>
            <w:tcW w:w="711" w:type="dxa"/>
            <w:tcBorders/>
            <w:shd w:fill="CCEEFF" w:val="clear"/>
            <w:vAlign w:val="bottom"/>
          </w:tcPr>
          <w:p>
            <w:pPr>
              <w:pStyle w:val="TableContents"/>
              <w:bidi w:val="0"/>
              <w:spacing w:before="0" w:after="283"/>
              <w:jc w:val="right"/>
              <w:rPr>
                <w:b/>
              </w:rPr>
            </w:pPr>
            <w:r>
              <w:rPr>
                <w:b/>
              </w:rPr>
              <w:t>0.99</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0.87</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2.22</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2.00</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Arial" w:hAnsi="Arial"/>
                <w:sz w:val="20"/>
              </w:rPr>
            </w:pPr>
            <w:r>
              <w:rPr>
                <w:rFonts w:ascii="Arial" w:hAnsi="Arial"/>
                <w:sz w:val="20"/>
              </w:rPr>
              <w:t>Total change</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Foreign currency</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Arial" w:hAnsi="Arial"/>
                <w:sz w:val="20"/>
              </w:rPr>
            </w:pPr>
            <w:r>
              <w:rPr>
                <w:rFonts w:ascii="Arial" w:hAnsi="Arial"/>
                <w:sz w:val="20"/>
              </w:rPr>
              <w:t>Constant currency</w:t>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13</w:t>
            </w:r>
          </w:p>
        </w:tc>
        <w:tc>
          <w:tcPr>
            <w:tcW w:w="3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Arial" w:hAnsi="Arial"/>
                <w:sz w:val="20"/>
              </w:rPr>
            </w:pPr>
            <w:r>
              <w:rPr>
                <w:rFonts w:ascii="Arial" w:hAnsi="Arial"/>
                <w:sz w:val="20"/>
              </w:rPr>
              <w:t>Diluted weighted-average common shares (millions)</w:t>
            </w:r>
          </w:p>
        </w:tc>
        <w:tc>
          <w:tcPr>
            <w:tcW w:w="21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438.6</w:t>
            </w:r>
          </w:p>
        </w:tc>
        <w:tc>
          <w:tcPr>
            <w:tcW w:w="3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451.2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441.7</w:t>
            </w:r>
          </w:p>
        </w:tc>
        <w:tc>
          <w:tcPr>
            <w:tcW w:w="2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451.0</w:t>
            </w:r>
          </w:p>
        </w:tc>
        <w:tc>
          <w:tcPr>
            <w:tcW w:w="15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17"/>
        <w:gridCol w:w="309"/>
        <w:gridCol w:w="271"/>
        <w:gridCol w:w="1085"/>
        <w:gridCol w:w="323"/>
      </w:tblGrid>
      <w:tr>
        <w:trPr/>
        <w:tc>
          <w:tcPr>
            <w:tcW w:w="821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217" w:type="dxa"/>
            <w:tcBorders/>
            <w:vAlign w:val="bottom"/>
          </w:tcPr>
          <w:p>
            <w:pPr>
              <w:pStyle w:val="TableContents"/>
              <w:bidi w:val="0"/>
              <w:spacing w:before="0" w:after="283"/>
              <w:jc w:val="left"/>
              <w:rPr>
                <w:b/>
                <w:sz w:val="20"/>
              </w:rPr>
            </w:pPr>
            <w:r>
              <w:rPr>
                <w:b/>
                <w:sz w:val="20"/>
              </w:rPr>
              <w:t>Reconciliation of Full-Year Effective Tax Rate on Adjusted Earnings(1)</w:t>
            </w:r>
          </w:p>
        </w:tc>
        <w:tc>
          <w:tcPr>
            <w:tcW w:w="309"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323" w:type="dxa"/>
            <w:tcBorders/>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3" w:type="dxa"/>
            <w:tcBorders/>
            <w:vAlign w:val="bottom"/>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b/>
                <w:sz w:val="20"/>
              </w:rPr>
            </w:pPr>
            <w:r>
              <w:rPr>
                <w:rFonts w:ascii="Arial" w:hAnsi="Arial"/>
                <w:b/>
                <w:sz w:val="20"/>
              </w:rPr>
              <w:t>Adjusted earnings</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1085" w:type="dxa"/>
            <w:tcBorders/>
            <w:shd w:fill="CCEEFF" w:val="clear"/>
            <w:vAlign w:val="bottom"/>
          </w:tcPr>
          <w:p>
            <w:pPr>
              <w:pStyle w:val="TableContents"/>
              <w:bidi w:val="0"/>
              <w:spacing w:before="0" w:after="283"/>
              <w:jc w:val="right"/>
              <w:rPr>
                <w:b/>
              </w:rPr>
            </w:pPr>
            <w:r>
              <w:rPr>
                <w:b/>
              </w:rPr>
              <w:t>1,762</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Plus: Dividends declared on preference shares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w:t>
            </w:r>
          </w:p>
        </w:tc>
        <w:tc>
          <w:tcPr>
            <w:tcW w:w="323" w:type="dxa"/>
            <w:tcBorders/>
            <w:vAlign w:val="bottom"/>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Plus: Tax expense on adjusted earnings</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401</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b/>
                <w:sz w:val="20"/>
              </w:rPr>
            </w:pPr>
            <w:r>
              <w:rPr>
                <w:rFonts w:ascii="Arial" w:hAnsi="Arial"/>
                <w:b/>
                <w:sz w:val="20"/>
              </w:rPr>
              <w:t>Pre-tax adjusted earnings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2,167</w:t>
            </w:r>
          </w:p>
        </w:tc>
        <w:tc>
          <w:tcPr>
            <w:tcW w:w="323" w:type="dxa"/>
            <w:tcBorders/>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b/>
                <w:sz w:val="20"/>
              </w:rPr>
            </w:pPr>
            <w:r>
              <w:rPr>
                <w:rFonts w:ascii="Arial" w:hAnsi="Arial"/>
                <w:b/>
                <w:sz w:val="20"/>
              </w:rPr>
              <w:t>IFRS tax expense</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1085" w:type="dxa"/>
            <w:tcBorders/>
            <w:shd w:fill="CCEEFF" w:val="clear"/>
            <w:vAlign w:val="bottom"/>
          </w:tcPr>
          <w:p>
            <w:pPr>
              <w:pStyle w:val="TableContents"/>
              <w:bidi w:val="0"/>
              <w:spacing w:before="0" w:after="283"/>
              <w:jc w:val="right"/>
              <w:rPr>
                <w:b/>
              </w:rPr>
            </w:pPr>
            <w:r>
              <w:rPr>
                <w:b/>
              </w:rPr>
              <w:t>423</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Remove tax related to:</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Amortization of acquired software</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46</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Amortization of other identifiable intangible assets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23</w:t>
            </w:r>
          </w:p>
        </w:tc>
        <w:tc>
          <w:tcPr>
            <w:tcW w:w="323" w:type="dxa"/>
            <w:tcBorders/>
            <w:vAlign w:val="bottom"/>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Share of post-tax losses in equity method investments</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Other finance costs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w:t>
            </w:r>
          </w:p>
        </w:tc>
        <w:tc>
          <w:tcPr>
            <w:tcW w:w="323" w:type="dxa"/>
            <w:tcBorders/>
            <w:vAlign w:val="bottom"/>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Other operating gains, net</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(43</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Other items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w:t>
            </w:r>
          </w:p>
        </w:tc>
        <w:tc>
          <w:tcPr>
            <w:tcW w:w="323" w:type="dxa"/>
            <w:tcBorders/>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Subtotal – Remove tax benefit on pre-tax items removed from adjusted earnings</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35</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sz w:val="20"/>
              </w:rPr>
            </w:pPr>
            <w:r>
              <w:rPr>
                <w:rFonts w:ascii="Arial" w:hAnsi="Arial"/>
                <w:sz w:val="20"/>
              </w:rPr>
              <w:t>Remove: Tax items impacting comparability</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(57</w:t>
            </w:r>
          </w:p>
        </w:tc>
        <w:tc>
          <w:tcPr>
            <w:tcW w:w="323" w:type="dxa"/>
            <w:tcBorders/>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sz w:val="20"/>
              </w:rPr>
            </w:pPr>
            <w:r>
              <w:rPr>
                <w:rFonts w:ascii="Arial" w:hAnsi="Arial"/>
                <w:sz w:val="20"/>
              </w:rPr>
              <w:t>Total – Remove all items impacting comparability</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(22</w:t>
            </w:r>
          </w:p>
        </w:tc>
        <w:tc>
          <w:tcPr>
            <w:tcW w:w="323" w:type="dxa"/>
            <w:tcBorders/>
            <w:shd w:fill="CCEEFF" w:val="clear"/>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tcPr>
          <w:p>
            <w:pPr>
              <w:pStyle w:val="TableContents"/>
              <w:bidi w:val="0"/>
              <w:spacing w:before="0" w:after="0"/>
              <w:jc w:val="left"/>
              <w:rPr>
                <w:rFonts w:ascii="Arial" w:hAnsi="Arial"/>
                <w:b/>
                <w:sz w:val="20"/>
              </w:rPr>
            </w:pPr>
            <w:r>
              <w:rPr>
                <w:rFonts w:ascii="Arial" w:hAnsi="Arial"/>
                <w:b/>
                <w:sz w:val="20"/>
              </w:rPr>
              <w:t>Tax expense on adjusted earnings</w:t>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401</w:t>
            </w:r>
          </w:p>
        </w:tc>
        <w:tc>
          <w:tcPr>
            <w:tcW w:w="323" w:type="dxa"/>
            <w:tcBorders/>
            <w:vAlign w:val="bottom"/>
          </w:tcPr>
          <w:p>
            <w:pPr>
              <w:pStyle w:val="TableContents"/>
              <w:bidi w:val="0"/>
              <w:spacing w:before="0" w:after="283"/>
              <w:jc w:val="left"/>
              <w:rPr/>
            </w:pPr>
            <w:r>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8217" w:type="dxa"/>
            <w:tcBorders/>
            <w:shd w:fill="CCEEFF" w:val="clear"/>
          </w:tcPr>
          <w:p>
            <w:pPr>
              <w:pStyle w:val="TableContents"/>
              <w:bidi w:val="0"/>
              <w:spacing w:before="0" w:after="0"/>
              <w:jc w:val="left"/>
              <w:rPr>
                <w:rFonts w:ascii="Arial" w:hAnsi="Arial"/>
                <w:b/>
                <w:sz w:val="20"/>
              </w:rPr>
            </w:pPr>
            <w:r>
              <w:rPr>
                <w:rFonts w:ascii="Arial" w:hAnsi="Arial"/>
                <w:b/>
                <w:sz w:val="20"/>
              </w:rPr>
              <w:t>Effective tax rate on adjusted earnings</w:t>
            </w:r>
          </w:p>
        </w:tc>
        <w:tc>
          <w:tcPr>
            <w:tcW w:w="30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18.5</w:t>
            </w:r>
          </w:p>
        </w:tc>
        <w:tc>
          <w:tcPr>
            <w:tcW w:w="323" w:type="dxa"/>
            <w:tcBorders/>
            <w:shd w:fill="CCEEFF" w:val="clear"/>
            <w:vAlign w:val="bottom"/>
          </w:tcPr>
          <w:p>
            <w:pPr>
              <w:pStyle w:val="TableContents"/>
              <w:bidi w:val="0"/>
              <w:spacing w:before="0" w:after="283"/>
              <w:jc w:val="left"/>
              <w:rPr>
                <w:b/>
              </w:rPr>
            </w:pPr>
            <w:r>
              <w:rPr>
                <w:b/>
              </w:rPr>
              <w:t>% </w:t>
            </w:r>
          </w:p>
        </w:tc>
      </w:tr>
      <w:tr>
        <w:trPr/>
        <w:tc>
          <w:tcPr>
            <w:tcW w:w="821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Arial" w:hAnsi="Arial"/>
                <w:sz w:val="16"/>
              </w:rPr>
            </w:pPr>
            <w:r>
              <w:rPr>
                <w:rFonts w:ascii="Arial" w:hAnsi="Arial"/>
                <w:i/>
                <w:sz w:val="16"/>
              </w:rPr>
              <w:t>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w:t>
            </w:r>
            <w:r>
              <w:rPr>
                <w:rFonts w:ascii="Arial" w:hAnsi="Arial"/>
                <w:sz w:val="16"/>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17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Changes in Revenues to Changes in Revenues on a Constant Currency(1) and Organic Basis(1)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10640" w:type="dxa"/>
        <w:jc w:val="center"/>
        <w:tblInd w:w="0" w:type="dxa"/>
        <w:tblLayout w:type="fixed"/>
        <w:tblCellMar>
          <w:top w:w="0" w:type="dxa"/>
          <w:left w:w="0" w:type="dxa"/>
          <w:bottom w:w="0" w:type="dxa"/>
          <w:right w:w="0" w:type="dxa"/>
        </w:tblCellMar>
      </w:tblPr>
      <w:tblGrid>
        <w:gridCol w:w="1250"/>
        <w:gridCol w:w="120"/>
        <w:gridCol w:w="183"/>
        <w:gridCol w:w="735"/>
        <w:gridCol w:w="203"/>
        <w:gridCol w:w="78"/>
        <w:gridCol w:w="183"/>
        <w:gridCol w:w="738"/>
        <w:gridCol w:w="155"/>
        <w:gridCol w:w="60"/>
        <w:gridCol w:w="105"/>
        <w:gridCol w:w="455"/>
        <w:gridCol w:w="320"/>
        <w:gridCol w:w="60"/>
        <w:gridCol w:w="220"/>
        <w:gridCol w:w="790"/>
        <w:gridCol w:w="320"/>
        <w:gridCol w:w="60"/>
        <w:gridCol w:w="254"/>
        <w:gridCol w:w="1101"/>
        <w:gridCol w:w="320"/>
        <w:gridCol w:w="60"/>
        <w:gridCol w:w="248"/>
        <w:gridCol w:w="1077"/>
        <w:gridCol w:w="320"/>
        <w:gridCol w:w="60"/>
        <w:gridCol w:w="158"/>
        <w:gridCol w:w="687"/>
        <w:gridCol w:w="320"/>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1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20"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u w:val="single"/>
              </w:rPr>
              <w:t>SUBTOTAL</w:t>
              <w:br/>
            </w:r>
            <w:r>
              <w:rPr>
                <w:b/>
              </w:rPr>
              <w:t>Constant</w:t>
              <w:br/>
              <w:t>Currency</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Acquisitions/</w:t>
              <w:br/>
              <w:t>(Disposals)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Organic</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b/>
                <w:sz w:val="20"/>
                <w:u w:val="single"/>
              </w:rPr>
            </w:pPr>
            <w:r>
              <w:rPr>
                <w:rFonts w:ascii="Arial" w:hAnsi="Arial"/>
                <w:b/>
                <w:sz w:val="20"/>
                <w:u w:val="single"/>
              </w:rPr>
              <w:t>Total Revenues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772</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704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Corporates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537</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311</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w:t>
            </w:r>
          </w:p>
        </w:tc>
        <w:tc>
          <w:tcPr>
            <w:tcW w:w="320"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pPr>
            <w:r>
              <w:rPr/>
              <w:t>“</w:t>
            </w:r>
            <w:r>
              <w:rPr>
                <w:rFonts w:ascii="Arial" w:hAnsi="Arial"/>
                <w:sz w:val="20"/>
              </w:rPr>
              <w:t>Big 3” Segments Combined(1)</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1,620</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1,458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Reuters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229</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Global Print</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111</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(6</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Revenues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1,954</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8" w:type="dxa"/>
            <w:tcBorders/>
            <w:shd w:fill="CCEEFF" w:val="clear"/>
            <w:vAlign w:val="bottom"/>
          </w:tcPr>
          <w:p>
            <w:pPr>
              <w:pStyle w:val="TableContents"/>
              <w:bidi w:val="0"/>
              <w:spacing w:before="0" w:after="283"/>
              <w:jc w:val="right"/>
              <w:rPr>
                <w:b/>
              </w:rPr>
            </w:pPr>
            <w:r>
              <w:rPr>
                <w:b/>
              </w:rPr>
              <w:t>1,785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8</w:t>
            </w:r>
          </w:p>
        </w:tc>
        <w:tc>
          <w:tcPr>
            <w:tcW w:w="320" w:type="dxa"/>
            <w:tcBorders/>
            <w:shd w:fill="CCEEFF" w:val="clear"/>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b/>
                <w:sz w:val="20"/>
                <w:u w:val="single"/>
              </w:rPr>
            </w:pPr>
            <w:r>
              <w:rPr>
                <w:rFonts w:ascii="Arial" w:hAnsi="Arial"/>
                <w:b/>
                <w:sz w:val="20"/>
                <w:u w:val="single"/>
              </w:rPr>
              <w:t>Recurring Revenues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748</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684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462</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421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209</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1,419</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1,292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188</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(6</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Recurring Revenues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1,601</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8" w:type="dxa"/>
            <w:tcBorders/>
            <w:shd w:fill="CCEEFF" w:val="clear"/>
            <w:vAlign w:val="bottom"/>
          </w:tcPr>
          <w:p>
            <w:pPr>
              <w:pStyle w:val="TableContents"/>
              <w:bidi w:val="0"/>
              <w:spacing w:before="0" w:after="283"/>
              <w:jc w:val="right"/>
              <w:rPr>
                <w:b/>
              </w:rPr>
            </w:pPr>
            <w:r>
              <w:rPr>
                <w:b/>
              </w:rPr>
              <w:t>1,463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b/>
              </w:rPr>
            </w:pPr>
            <w:r>
              <w:rPr>
                <w:b/>
              </w:rPr>
              <w:t>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b/>
                <w:sz w:val="20"/>
                <w:u w:val="single"/>
              </w:rPr>
            </w:pPr>
            <w:r>
              <w:rPr>
                <w:rFonts w:ascii="Arial" w:hAnsi="Arial"/>
                <w:b/>
                <w:sz w:val="20"/>
                <w:u w:val="single"/>
              </w:rPr>
              <w:t>Transactions Revenues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24</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18</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75</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102</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201</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w:t>
            </w:r>
          </w:p>
        </w:tc>
        <w:tc>
          <w:tcPr>
            <w:tcW w:w="32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41</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Transactions Revenues</w:t>
            </w:r>
          </w:p>
        </w:tc>
        <w:tc>
          <w:tcPr>
            <w:tcW w:w="12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242</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38" w:type="dxa"/>
            <w:tcBorders/>
            <w:shd w:fill="CCEEFF" w:val="clear"/>
            <w:vAlign w:val="bottom"/>
          </w:tcPr>
          <w:p>
            <w:pPr>
              <w:pStyle w:val="TableContents"/>
              <w:bidi w:val="0"/>
              <w:spacing w:before="0" w:after="283"/>
              <w:jc w:val="right"/>
              <w:rPr>
                <w:b/>
              </w:rPr>
            </w:pPr>
            <w:r>
              <w:rPr>
                <w:b/>
              </w:rPr>
              <w:t>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16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16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b/>
              </w:rPr>
            </w:pPr>
            <w:r>
              <w:rPr>
                <w:b/>
              </w:rPr>
              <w:t>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11</w:t>
            </w:r>
          </w:p>
        </w:tc>
        <w:tc>
          <w:tcPr>
            <w:tcW w:w="320" w:type="dxa"/>
            <w:tcBorders/>
            <w:shd w:fill="CCEEFF" w:val="clear"/>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i/>
          <w:sz w:val="16"/>
        </w:rPr>
      </w:pPr>
      <w:r>
        <w:rPr>
          <w:rFonts w:ascii="Arial" w:hAnsi="Arial"/>
          <w:i/>
          <w:sz w:val="16"/>
        </w:rPr>
        <w:t xml:space="preserve">Growth percentages are computed using whole dollars. As a result, percentages calculated from reported amounts may differ from those presented, and growth components may not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18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Changes in Revenues to Changes in Revenues on a Constant Currency(1) and Organic Basis(1)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1"/>
        <w:gridCol w:w="123"/>
        <w:gridCol w:w="140"/>
        <w:gridCol w:w="560"/>
        <w:gridCol w:w="155"/>
        <w:gridCol w:w="63"/>
        <w:gridCol w:w="140"/>
        <w:gridCol w:w="560"/>
        <w:gridCol w:w="155"/>
        <w:gridCol w:w="63"/>
        <w:gridCol w:w="105"/>
        <w:gridCol w:w="455"/>
        <w:gridCol w:w="320"/>
        <w:gridCol w:w="63"/>
        <w:gridCol w:w="219"/>
        <w:gridCol w:w="790"/>
        <w:gridCol w:w="320"/>
        <w:gridCol w:w="63"/>
        <w:gridCol w:w="254"/>
        <w:gridCol w:w="1101"/>
        <w:gridCol w:w="320"/>
        <w:gridCol w:w="63"/>
        <w:gridCol w:w="201"/>
        <w:gridCol w:w="1125"/>
        <w:gridCol w:w="319"/>
        <w:gridCol w:w="63"/>
        <w:gridCol w:w="158"/>
        <w:gridCol w:w="687"/>
        <w:gridCol w:w="329"/>
      </w:tblGrid>
      <w:tr>
        <w:trPr/>
        <w:tc>
          <w:tcPr>
            <w:tcW w:w="129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2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u w:val="single"/>
              </w:rPr>
              <w:t>SUBTOTAL</w:t>
              <w:br/>
            </w:r>
            <w:r>
              <w:rPr>
                <w:b/>
              </w:rPr>
              <w:t>Constant</w:t>
              <w:br/>
              <w:t>Currency</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Acquisitions/</w:t>
              <w:br/>
              <w:t>(Disposals)</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Organic</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b/>
                <w:sz w:val="20"/>
                <w:u w:val="single"/>
              </w:rPr>
            </w:pPr>
            <w:r>
              <w:rPr>
                <w:rFonts w:ascii="Arial" w:hAnsi="Arial"/>
                <w:b/>
                <w:sz w:val="20"/>
                <w:u w:val="single"/>
              </w:rPr>
              <w:t>Total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25"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1291" w:type="dxa"/>
            <w:tcBorders/>
          </w:tcPr>
          <w:p>
            <w:pPr>
              <w:pStyle w:val="TableContents"/>
              <w:bidi w:val="0"/>
              <w:spacing w:before="0" w:after="0"/>
              <w:jc w:val="left"/>
              <w:rPr>
                <w:rFonts w:ascii="Arial" w:hAnsi="Arial"/>
                <w:sz w:val="20"/>
              </w:rPr>
            </w:pPr>
            <w:r>
              <w:rPr>
                <w:rFonts w:ascii="Arial" w:hAnsi="Arial"/>
                <w:sz w:val="20"/>
              </w:rPr>
              <w:t>Legal Professionals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1,528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1,392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0</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Corporates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0</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Tax, Audit &amp; Accounting Professionals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14</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13</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3</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w:t>
            </w:r>
          </w:p>
        </w:tc>
        <w:tc>
          <w:tcPr>
            <w:tcW w:w="32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pPr>
            <w:r>
              <w:rPr/>
              <w:t>“</w:t>
            </w:r>
            <w:r>
              <w:rPr>
                <w:rFonts w:ascii="Arial" w:hAnsi="Arial"/>
                <w:sz w:val="20"/>
              </w:rPr>
              <w:t>Big 3” Segments Combined(1)</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3,394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3,052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Reuters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414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Global Print</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0</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4,041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3,685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10</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w:t>
            </w:r>
          </w:p>
        </w:tc>
        <w:tc>
          <w:tcPr>
            <w:tcW w:w="319"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8</w:t>
            </w:r>
          </w:p>
        </w:tc>
        <w:tc>
          <w:tcPr>
            <w:tcW w:w="329" w:type="dxa"/>
            <w:tcBorders/>
            <w:shd w:fill="CCEEFF" w:val="clear"/>
            <w:vAlign w:val="bottom"/>
          </w:tcPr>
          <w:p>
            <w:pPr>
              <w:pStyle w:val="TableContents"/>
              <w:bidi w:val="0"/>
              <w:spacing w:before="0" w:after="283"/>
              <w:jc w:val="left"/>
              <w:rPr>
                <w:b/>
              </w:rPr>
            </w:pPr>
            <w:r>
              <w:rPr>
                <w:b/>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b/>
                <w:sz w:val="20"/>
                <w:u w:val="single"/>
              </w:rPr>
            </w:pPr>
            <w:r>
              <w:rPr>
                <w:rFonts w:ascii="Arial" w:hAnsi="Arial"/>
                <w:b/>
                <w:sz w:val="20"/>
                <w:u w:val="single"/>
              </w:rPr>
              <w:t>Recurring Revenues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1,487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1,354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0</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Corporates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8</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0</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392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12</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0</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pPr>
            <w:r>
              <w:rPr/>
              <w:t>“</w:t>
            </w:r>
            <w:r>
              <w:rPr>
                <w:rFonts w:ascii="Arial" w:hAnsi="Arial"/>
                <w:sz w:val="20"/>
              </w:rPr>
              <w:t>Big 3” Segments Combined(1)</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2,836</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2,574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0</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7</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Recurring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3,196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2,914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10</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9</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0</w:t>
            </w:r>
          </w:p>
        </w:tc>
        <w:tc>
          <w:tcPr>
            <w:tcW w:w="319"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8</w:t>
            </w:r>
          </w:p>
        </w:tc>
        <w:tc>
          <w:tcPr>
            <w:tcW w:w="329" w:type="dxa"/>
            <w:tcBorders/>
            <w:shd w:fill="CCEEFF" w:val="clear"/>
            <w:vAlign w:val="bottom"/>
          </w:tcPr>
          <w:p>
            <w:pPr>
              <w:pStyle w:val="TableContents"/>
              <w:bidi w:val="0"/>
              <w:spacing w:before="0" w:after="283"/>
              <w:jc w:val="left"/>
              <w:rPr>
                <w:b/>
              </w:rPr>
            </w:pPr>
            <w:r>
              <w:rPr>
                <w:b/>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b/>
                <w:sz w:val="20"/>
                <w:u w:val="single"/>
              </w:rPr>
            </w:pPr>
            <w:r>
              <w:rPr>
                <w:rFonts w:ascii="Arial" w:hAnsi="Arial"/>
                <w:b/>
                <w:sz w:val="20"/>
                <w:u w:val="single"/>
              </w:rPr>
              <w:t>Transactions Revenues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Corporates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234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16</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9</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pPr>
            <w:r>
              <w:rPr/>
              <w:t>“</w:t>
            </w:r>
            <w:r>
              <w:rPr>
                <w:rFonts w:ascii="Arial" w:hAnsi="Arial"/>
                <w:sz w:val="20"/>
              </w:rPr>
              <w:t>Big 3” Segments Combined(1)</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478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12</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6</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Transactions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622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541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15</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0</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15</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4</w:t>
            </w:r>
          </w:p>
        </w:tc>
        <w:tc>
          <w:tcPr>
            <w:tcW w:w="319"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10</w:t>
            </w:r>
          </w:p>
        </w:tc>
        <w:tc>
          <w:tcPr>
            <w:tcW w:w="329" w:type="dxa"/>
            <w:tcBorders/>
            <w:shd w:fill="CCEEFF" w:val="clear"/>
            <w:vAlign w:val="bottom"/>
          </w:tcPr>
          <w:p>
            <w:pPr>
              <w:pStyle w:val="TableContents"/>
              <w:bidi w:val="0"/>
              <w:spacing w:before="0" w:after="283"/>
              <w:jc w:val="left"/>
              <w:rPr>
                <w:b/>
              </w:rPr>
            </w:pPr>
            <w:r>
              <w:rPr>
                <w:b/>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rHeight w:val="240" w:hRule="atLeast"/>
        </w:trPr>
        <w:tc>
          <w:tcPr>
            <w:tcW w:w="1291" w:type="dxa"/>
            <w:tcBorders/>
            <w:vAlign w:val="center"/>
          </w:tcPr>
          <w:p>
            <w:pPr>
              <w:pStyle w:val="TableContents"/>
              <w:bidi w:val="0"/>
              <w:spacing w:before="0" w:after="283"/>
              <w:jc w:val="left"/>
              <w:rPr>
                <w:sz w:val="4"/>
                <w:szCs w:val="4"/>
              </w:rPr>
            </w:pPr>
            <w:r>
              <w:rPr>
                <w:sz w:val="4"/>
                <w:szCs w:val="4"/>
              </w:rPr>
            </w:r>
          </w:p>
        </w:tc>
        <w:tc>
          <w:tcPr>
            <w:tcW w:w="1896" w:type="dxa"/>
            <w:gridSpan w:val="8"/>
            <w:tcBorders/>
            <w:vAlign w:val="center"/>
          </w:tcPr>
          <w:p>
            <w:pPr>
              <w:pStyle w:val="TableContents"/>
              <w:bidi w:val="0"/>
              <w:spacing w:before="0" w:after="283"/>
              <w:jc w:val="left"/>
              <w:rPr>
                <w:sz w:val="4"/>
                <w:szCs w:val="4"/>
              </w:rPr>
            </w:pPr>
            <w:r>
              <w:rPr>
                <w:sz w:val="4"/>
                <w:szCs w:val="4"/>
              </w:rPr>
            </w:r>
          </w:p>
        </w:tc>
        <w:tc>
          <w:tcPr>
            <w:tcW w:w="7018" w:type="dxa"/>
            <w:gridSpan w:val="20"/>
            <w:tcBorders/>
            <w:vAlign w:val="center"/>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2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u w:val="single"/>
              </w:rPr>
              <w:t>SUBTOTAL</w:t>
              <w:br/>
            </w:r>
            <w:r>
              <w:rPr>
                <w:b/>
              </w:rPr>
              <w:t>Constant</w:t>
              <w:br/>
              <w:t>Currency</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Acquisitions/</w:t>
              <w:br/>
              <w:t>(Disposals)</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Organic</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b/>
                <w:sz w:val="20"/>
                <w:u w:val="single"/>
              </w:rPr>
            </w:pPr>
            <w:r>
              <w:rPr>
                <w:rFonts w:ascii="Arial" w:hAnsi="Arial"/>
                <w:b/>
                <w:sz w:val="20"/>
                <w:u w:val="single"/>
              </w:rPr>
              <w:t>Total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25"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1291" w:type="dxa"/>
            <w:tcBorders/>
          </w:tcPr>
          <w:p>
            <w:pPr>
              <w:pStyle w:val="TableContents"/>
              <w:bidi w:val="0"/>
              <w:spacing w:before="0" w:after="0"/>
              <w:jc w:val="left"/>
              <w:rPr>
                <w:rFonts w:ascii="Arial" w:hAnsi="Arial"/>
                <w:sz w:val="20"/>
              </w:rPr>
            </w:pPr>
            <w:r>
              <w:rPr>
                <w:rFonts w:ascii="Arial" w:hAnsi="Arial"/>
                <w:sz w:val="20"/>
              </w:rPr>
              <w:t>Legal Professionals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2,843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2,902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-10</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Corporates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2,023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1,875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8</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Tax, Audit &amp; Accounting Professionals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1,291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1,154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12</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13</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3</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11</w:t>
            </w:r>
          </w:p>
        </w:tc>
        <w:tc>
          <w:tcPr>
            <w:tcW w:w="32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pPr>
            <w:r>
              <w:rPr/>
              <w:t>“</w:t>
            </w:r>
            <w:r>
              <w:rPr>
                <w:rFonts w:ascii="Arial" w:hAnsi="Arial"/>
                <w:sz w:val="20"/>
              </w:rPr>
              <w:t>Big 3” Segments Combined(1)</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6,157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5,931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-5</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Reuters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832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w:t>
            </w:r>
          </w:p>
        </w:tc>
        <w:tc>
          <w:tcPr>
            <w:tcW w:w="31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w:t>
            </w:r>
          </w:p>
        </w:tc>
        <w:tc>
          <w:tcPr>
            <w:tcW w:w="32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Arial" w:hAnsi="Arial"/>
                <w:sz w:val="20"/>
              </w:rPr>
            </w:pPr>
            <w:r>
              <w:rPr>
                <w:rFonts w:ascii="Arial" w:hAnsi="Arial"/>
                <w:sz w:val="20"/>
              </w:rPr>
              <w:t>Global Print</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519</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0</w:t>
            </w:r>
          </w:p>
        </w:tc>
        <w:tc>
          <w:tcPr>
            <w:tcW w:w="31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w:t>
            </w:r>
          </w:p>
        </w:tc>
        <w:tc>
          <w:tcPr>
            <w:tcW w:w="32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Arial" w:hAnsi="Arial"/>
                <w:sz w:val="20"/>
              </w:rPr>
            </w:pPr>
            <w:r>
              <w:rPr>
                <w:rFonts w:ascii="Arial" w:hAnsi="Arial"/>
                <w:sz w:val="20"/>
              </w:rPr>
              <w:t>Eliminations/Rounding</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1291"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Revenues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7,476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7,258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b/>
              </w:rPr>
            </w:pPr>
            <w:r>
              <w:rPr>
                <w:b/>
              </w:rPr>
              <w:t>0</w:t>
            </w:r>
          </w:p>
        </w:tc>
        <w:tc>
          <w:tcPr>
            <w:tcW w:w="320" w:type="dxa"/>
            <w:tcBorders/>
            <w:shd w:fill="CCEEFF" w:val="clear"/>
            <w:vAlign w:val="bottom"/>
          </w:tcPr>
          <w:p>
            <w:pPr>
              <w:pStyle w:val="TableContents"/>
              <w:bidi w:val="0"/>
              <w:spacing w:before="0" w:after="283"/>
              <w:jc w:val="left"/>
              <w:rPr/>
            </w:pPr>
            <w:r>
              <w:rPr>
                <w:b/>
              </w:rPr>
              <w:t>%</w:t>
            </w:r>
            <w:r>
              <w:rPr/>
              <w:t> </w:t>
            </w:r>
          </w:p>
        </w:tc>
        <w:tc>
          <w:tcPr>
            <w:tcW w:w="63"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-4</w:t>
            </w:r>
          </w:p>
        </w:tc>
        <w:tc>
          <w:tcPr>
            <w:tcW w:w="319"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7</w:t>
            </w:r>
          </w:p>
        </w:tc>
        <w:tc>
          <w:tcPr>
            <w:tcW w:w="329" w:type="dxa"/>
            <w:tcBorders/>
            <w:shd w:fill="CCEEFF" w:val="clear"/>
            <w:vAlign w:val="bottom"/>
          </w:tcPr>
          <w:p>
            <w:pPr>
              <w:pStyle w:val="TableContents"/>
              <w:bidi w:val="0"/>
              <w:spacing w:before="0" w:after="283"/>
              <w:jc w:val="left"/>
              <w:rPr>
                <w:b/>
              </w:rPr>
            </w:pPr>
            <w:r>
              <w:rPr>
                <w:b/>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i/>
          <w:sz w:val="16"/>
        </w:rPr>
      </w:pPr>
      <w:r>
        <w:rPr>
          <w:rFonts w:ascii="Arial" w:hAnsi="Arial"/>
          <w:i/>
          <w:sz w:val="16"/>
        </w:rPr>
        <w:t xml:space="preserve">Growth percentages are computed using whole dollars. As a result, percentages calculated from reported amounts may differ from those presented, and growth components may not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19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Changes in Adjusted EBITDA (1) and Related Margin(1) to Changes on a Constant Currency Basis(1)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3"/>
        <w:gridCol w:w="206"/>
        <w:gridCol w:w="192"/>
        <w:gridCol w:w="606"/>
        <w:gridCol w:w="449"/>
        <w:gridCol w:w="170"/>
        <w:gridCol w:w="192"/>
        <w:gridCol w:w="610"/>
        <w:gridCol w:w="320"/>
        <w:gridCol w:w="148"/>
        <w:gridCol w:w="60"/>
        <w:gridCol w:w="620"/>
        <w:gridCol w:w="320"/>
        <w:gridCol w:w="149"/>
        <w:gridCol w:w="95"/>
        <w:gridCol w:w="932"/>
        <w:gridCol w:w="320"/>
        <w:gridCol w:w="149"/>
        <w:gridCol w:w="89"/>
        <w:gridCol w:w="937"/>
        <w:gridCol w:w="328"/>
      </w:tblGrid>
      <w:tr>
        <w:trPr/>
        <w:tc>
          <w:tcPr>
            <w:tcW w:w="3313"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31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2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28" w:type="dxa"/>
            <w:tcBorders/>
            <w:vAlign w:val="bottom"/>
          </w:tcPr>
          <w:p>
            <w:pPr>
              <w:pStyle w:val="TableContents"/>
              <w:bidi w:val="0"/>
              <w:spacing w:before="0" w:after="283"/>
              <w:jc w:val="left"/>
              <w:rPr/>
            </w:pPr>
            <w:r>
              <w:rPr/>
              <w:t> </w:t>
            </w:r>
          </w:p>
        </w:tc>
      </w:tr>
      <w:tr>
        <w:trPr/>
        <w:tc>
          <w:tcPr>
            <w:tcW w:w="331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Constant</w:t>
              <w:br/>
              <w:t>Currency</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b/>
                <w:sz w:val="20"/>
                <w:u w:val="single"/>
              </w:rPr>
              <w:t>Adjusted EBITDA</w:t>
            </w:r>
            <w:r>
              <w:rPr>
                <w:rFonts w:ascii="Arial" w:hAnsi="Arial"/>
                <w:sz w:val="13"/>
              </w:rPr>
              <w:t>(1)</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93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3313" w:type="dxa"/>
            <w:tcBorders/>
          </w:tcPr>
          <w:p>
            <w:pPr>
              <w:pStyle w:val="TableContents"/>
              <w:bidi w:val="0"/>
              <w:spacing w:before="0" w:after="0"/>
              <w:jc w:val="left"/>
              <w:rPr>
                <w:rFonts w:ascii="Arial" w:hAnsi="Arial"/>
                <w:sz w:val="20"/>
              </w:rPr>
            </w:pPr>
            <w:r>
              <w:rPr>
                <w:rFonts w:ascii="Arial" w:hAnsi="Arial"/>
                <w:sz w:val="20"/>
              </w:rPr>
              <w:t>Legal Professionals</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371</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610" w:type="dxa"/>
            <w:tcBorders/>
            <w:vAlign w:val="bottom"/>
          </w:tcPr>
          <w:p>
            <w:pPr>
              <w:pStyle w:val="TableContents"/>
              <w:bidi w:val="0"/>
              <w:spacing w:before="0" w:after="283"/>
              <w:jc w:val="right"/>
              <w:rPr/>
            </w:pPr>
            <w:r>
              <w:rPr/>
              <w:t>339</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9</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sz w:val="20"/>
              </w:rPr>
              <w:t>Corporates</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200</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172</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17</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15</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sz w:val="20"/>
              </w:rPr>
              <w:t>Tax, Audit &amp; Accounting Professionals</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120</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110</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9</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w:t>
            </w:r>
          </w:p>
        </w:tc>
        <w:tc>
          <w:tcPr>
            <w:tcW w:w="328" w:type="dxa"/>
            <w:tcBorders/>
            <w:vAlign w:val="bottom"/>
          </w:tcPr>
          <w:p>
            <w:pPr>
              <w:pStyle w:val="TableContents"/>
              <w:bidi w:val="0"/>
              <w:spacing w:before="0" w:after="283"/>
              <w:jc w:val="left"/>
              <w:rPr/>
            </w:pPr>
            <w:r>
              <w:rPr/>
              <w:t>% </w:t>
            </w:r>
          </w:p>
        </w:tc>
      </w:tr>
      <w:tr>
        <w:trPr/>
        <w:tc>
          <w:tcPr>
            <w:tcW w:w="331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pPr>
            <w:r>
              <w:rPr/>
              <w:t>“</w:t>
            </w:r>
            <w:r>
              <w:rPr>
                <w:rFonts w:ascii="Arial" w:hAnsi="Arial"/>
                <w:sz w:val="20"/>
              </w:rPr>
              <w:t>Big 3” Segments Combined(1)</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691</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621</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12</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sz w:val="20"/>
              </w:rPr>
              <w:t>Reuters</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48</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45</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sz w:val="20"/>
              </w:rPr>
              <w:t>Global Print</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42</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41</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sz w:val="20"/>
              </w:rPr>
              <w:t>Corporate costs</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(36</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(29</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n/a</w:t>
            </w:r>
          </w:p>
        </w:tc>
        <w:tc>
          <w:tcPr>
            <w:tcW w:w="328" w:type="dxa"/>
            <w:tcBorders/>
            <w:vAlign w:val="bottom"/>
          </w:tcPr>
          <w:p>
            <w:pPr>
              <w:pStyle w:val="TableContents"/>
              <w:bidi w:val="0"/>
              <w:spacing w:before="0" w:after="283"/>
              <w:jc w:val="left"/>
              <w:rPr/>
            </w:pPr>
            <w:r>
              <w:rPr/>
              <w:t> </w:t>
            </w:r>
          </w:p>
        </w:tc>
      </w:tr>
      <w:tr>
        <w:trPr/>
        <w:tc>
          <w:tcPr>
            <w:tcW w:w="331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313"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Adjusted EBITDA</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606" w:type="dxa"/>
            <w:tcBorders/>
            <w:shd w:fill="CCEEFF" w:val="clear"/>
            <w:vAlign w:val="bottom"/>
          </w:tcPr>
          <w:p>
            <w:pPr>
              <w:pStyle w:val="TableContents"/>
              <w:bidi w:val="0"/>
              <w:spacing w:before="0" w:after="283"/>
              <w:jc w:val="right"/>
              <w:rPr>
                <w:b/>
              </w:rPr>
            </w:pPr>
            <w:r>
              <w:rPr>
                <w:b/>
              </w:rPr>
              <w:t>745</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b/>
              </w:rPr>
            </w:pPr>
            <w:r>
              <w:rPr>
                <w:b/>
              </w:rPr>
              <w:t>$</w:t>
            </w:r>
          </w:p>
        </w:tc>
        <w:tc>
          <w:tcPr>
            <w:tcW w:w="610" w:type="dxa"/>
            <w:tcBorders/>
            <w:shd w:fill="CCEEFF" w:val="clear"/>
            <w:vAlign w:val="bottom"/>
          </w:tcPr>
          <w:p>
            <w:pPr>
              <w:pStyle w:val="TableContents"/>
              <w:bidi w:val="0"/>
              <w:spacing w:before="0" w:after="283"/>
              <w:jc w:val="right"/>
              <w:rPr>
                <w:b/>
              </w:rPr>
            </w:pPr>
            <w:r>
              <w:rPr>
                <w:b/>
              </w:rPr>
              <w:t>678</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b/>
              </w:rPr>
            </w:pPr>
            <w:r>
              <w:rPr>
                <w:b/>
              </w:rPr>
              <w:t>10</w:t>
            </w:r>
          </w:p>
        </w:tc>
        <w:tc>
          <w:tcPr>
            <w:tcW w:w="320"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b/>
              </w:rPr>
            </w:pPr>
            <w:r>
              <w:rPr>
                <w:b/>
              </w:rPr>
              <w:t>1</w:t>
            </w:r>
          </w:p>
        </w:tc>
        <w:tc>
          <w:tcPr>
            <w:tcW w:w="320"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9</w:t>
            </w:r>
          </w:p>
        </w:tc>
        <w:tc>
          <w:tcPr>
            <w:tcW w:w="328" w:type="dxa"/>
            <w:tcBorders/>
            <w:shd w:fill="CCEEFF" w:val="clear"/>
            <w:vAlign w:val="bottom"/>
          </w:tcPr>
          <w:p>
            <w:pPr>
              <w:pStyle w:val="TableContents"/>
              <w:bidi w:val="0"/>
              <w:spacing w:before="0" w:after="283"/>
              <w:jc w:val="left"/>
              <w:rPr>
                <w:b/>
              </w:rPr>
            </w:pPr>
            <w:r>
              <w:rPr>
                <w:b/>
              </w:rPr>
              <w:t>% </w:t>
            </w:r>
          </w:p>
        </w:tc>
      </w:tr>
      <w:tr>
        <w:trPr/>
        <w:tc>
          <w:tcPr>
            <w:tcW w:w="331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44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93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b/>
                <w:sz w:val="20"/>
                <w:u w:val="single"/>
              </w:rPr>
              <w:t>Adjusted EBITDA Margin</w:t>
            </w:r>
            <w:r>
              <w:rPr>
                <w:rFonts w:ascii="Arial" w:hAnsi="Arial"/>
                <w:sz w:val="13"/>
              </w:rPr>
              <w:t>(1)</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93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48.1</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48.1</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-10bp</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sz w:val="20"/>
              </w:rPr>
              <w:t>Corporates</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37.2</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35.7</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150bp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20bp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130bp</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38.7</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38.9</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-40bp</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pPr>
            <w:r>
              <w:rPr/>
              <w:t>“</w:t>
            </w:r>
            <w:r>
              <w:rPr>
                <w:rFonts w:ascii="Arial" w:hAnsi="Arial"/>
                <w:sz w:val="20"/>
              </w:rPr>
              <w:t>Big 3” Segments Combined(1)</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42.7</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42.3</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40bp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30bp</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20.8</w:t>
            </w:r>
          </w:p>
        </w:tc>
        <w:tc>
          <w:tcPr>
            <w:tcW w:w="4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20.8</w:t>
            </w:r>
          </w:p>
        </w:tc>
        <w:tc>
          <w:tcPr>
            <w:tcW w:w="3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-80bp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80bp</w:t>
            </w:r>
          </w:p>
        </w:tc>
        <w:tc>
          <w:tcPr>
            <w:tcW w:w="328" w:type="dxa"/>
            <w:tcBorders/>
            <w:shd w:fill="CCEEFF" w:val="clear"/>
            <w:vAlign w:val="bottom"/>
          </w:tcPr>
          <w:p>
            <w:pPr>
              <w:pStyle w:val="TableContents"/>
              <w:bidi w:val="0"/>
              <w:spacing w:before="0" w:after="283"/>
              <w:jc w:val="left"/>
              <w:rPr/>
            </w:pPr>
            <w:r>
              <w:rPr/>
              <w:t> </w:t>
            </w:r>
          </w:p>
        </w:tc>
      </w:tr>
      <w:tr>
        <w:trPr/>
        <w:tc>
          <w:tcPr>
            <w:tcW w:w="3313" w:type="dxa"/>
            <w:tcBorders/>
          </w:tcPr>
          <w:p>
            <w:pPr>
              <w:pStyle w:val="TableContents"/>
              <w:bidi w:val="0"/>
              <w:spacing w:before="0" w:after="0"/>
              <w:jc w:val="left"/>
              <w:rPr>
                <w:rFonts w:ascii="Arial" w:hAnsi="Arial"/>
                <w:sz w:val="20"/>
              </w:rPr>
            </w:pPr>
            <w:r>
              <w:rPr>
                <w:rFonts w:ascii="Arial" w:hAnsi="Arial"/>
                <w:sz w:val="20"/>
              </w:rPr>
              <w:t>Global Print</w:t>
            </w:r>
          </w:p>
        </w:tc>
        <w:tc>
          <w:tcPr>
            <w:tcW w:w="20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37.7</w:t>
            </w:r>
          </w:p>
        </w:tc>
        <w:tc>
          <w:tcPr>
            <w:tcW w:w="4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36.0</w:t>
            </w:r>
          </w:p>
        </w:tc>
        <w:tc>
          <w:tcPr>
            <w:tcW w:w="3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170bp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20bp</w:t>
            </w:r>
          </w:p>
        </w:tc>
        <w:tc>
          <w:tcPr>
            <w:tcW w:w="3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150bp</w:t>
            </w:r>
          </w:p>
        </w:tc>
        <w:tc>
          <w:tcPr>
            <w:tcW w:w="328" w:type="dxa"/>
            <w:tcBorders/>
            <w:vAlign w:val="bottom"/>
          </w:tcPr>
          <w:p>
            <w:pPr>
              <w:pStyle w:val="TableContents"/>
              <w:bidi w:val="0"/>
              <w:spacing w:before="0" w:after="283"/>
              <w:jc w:val="left"/>
              <w:rPr/>
            </w:pPr>
            <w:r>
              <w:rPr/>
              <w:t> </w:t>
            </w:r>
          </w:p>
        </w:tc>
      </w:tr>
      <w:tr>
        <w:trPr/>
        <w:tc>
          <w:tcPr>
            <w:tcW w:w="3313"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Total Adjusted EBITDA Margin</w:t>
            </w:r>
          </w:p>
        </w:tc>
        <w:tc>
          <w:tcPr>
            <w:tcW w:w="20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b/>
              </w:rPr>
            </w:pPr>
            <w:r>
              <w:rPr>
                <w:b/>
              </w:rPr>
              <w:t>38.1</w:t>
            </w:r>
          </w:p>
        </w:tc>
        <w:tc>
          <w:tcPr>
            <w:tcW w:w="449" w:type="dxa"/>
            <w:tcBorders/>
            <w:shd w:fill="CCEEFF" w:val="clear"/>
            <w:vAlign w:val="bottom"/>
          </w:tcPr>
          <w:p>
            <w:pPr>
              <w:pStyle w:val="TableContents"/>
              <w:bidi w:val="0"/>
              <w:spacing w:before="0" w:after="283"/>
              <w:jc w:val="left"/>
              <w:rPr>
                <w:b/>
              </w:rPr>
            </w:pPr>
            <w:r>
              <w:rPr>
                <w:b/>
              </w:rPr>
              <w:t>% </w:t>
            </w:r>
          </w:p>
        </w:tc>
        <w:tc>
          <w:tcPr>
            <w:tcW w:w="17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37.8</w:t>
            </w:r>
          </w:p>
        </w:tc>
        <w:tc>
          <w:tcPr>
            <w:tcW w:w="320"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b/>
              </w:rPr>
            </w:pPr>
            <w:r>
              <w:rPr>
                <w:b/>
              </w:rPr>
              <w:t>30bp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b/>
              </w:rPr>
            </w:pPr>
            <w:r>
              <w:rPr>
                <w:b/>
              </w:rPr>
              <w:t>10bp</w:t>
            </w:r>
          </w:p>
        </w:tc>
        <w:tc>
          <w:tcPr>
            <w:tcW w:w="3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20bp</w:t>
            </w:r>
          </w:p>
        </w:tc>
        <w:tc>
          <w:tcPr>
            <w:tcW w:w="32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Changes in Adjusted EBITDA (1) and Related Margin(1) to Changes on a Constant Currency Basis(1)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9"/>
        <w:gridCol w:w="182"/>
        <w:gridCol w:w="143"/>
        <w:gridCol w:w="586"/>
        <w:gridCol w:w="329"/>
        <w:gridCol w:w="129"/>
        <w:gridCol w:w="143"/>
        <w:gridCol w:w="588"/>
        <w:gridCol w:w="323"/>
        <w:gridCol w:w="128"/>
        <w:gridCol w:w="60"/>
        <w:gridCol w:w="696"/>
        <w:gridCol w:w="323"/>
        <w:gridCol w:w="127"/>
        <w:gridCol w:w="80"/>
        <w:gridCol w:w="943"/>
        <w:gridCol w:w="323"/>
        <w:gridCol w:w="128"/>
        <w:gridCol w:w="80"/>
        <w:gridCol w:w="943"/>
        <w:gridCol w:w="332"/>
      </w:tblGrid>
      <w:tr>
        <w:trPr/>
        <w:tc>
          <w:tcPr>
            <w:tcW w:w="361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61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9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70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32" w:type="dxa"/>
            <w:tcBorders/>
            <w:vAlign w:val="bottom"/>
          </w:tcPr>
          <w:p>
            <w:pPr>
              <w:pStyle w:val="TableContents"/>
              <w:bidi w:val="0"/>
              <w:spacing w:before="0" w:after="283"/>
              <w:jc w:val="left"/>
              <w:rPr/>
            </w:pPr>
            <w:r>
              <w:rPr/>
              <w:t> </w:t>
            </w:r>
          </w:p>
        </w:tc>
      </w:tr>
      <w:tr>
        <w:trPr/>
        <w:tc>
          <w:tcPr>
            <w:tcW w:w="361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Constant</w:t>
              <w:br/>
              <w:t>Currency</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b/>
                <w:sz w:val="20"/>
                <w:u w:val="single"/>
              </w:rPr>
            </w:pPr>
            <w:r>
              <w:rPr>
                <w:rFonts w:ascii="Arial" w:hAnsi="Arial"/>
                <w:b/>
                <w:sz w:val="20"/>
                <w:u w:val="single"/>
              </w:rPr>
              <w:t>Adjusted EBITDA(1)</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43"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0"/>
              <w:jc w:val="left"/>
              <w:rPr>
                <w:rFonts w:ascii="Arial" w:hAnsi="Arial"/>
                <w:sz w:val="20"/>
              </w:rPr>
            </w:pPr>
            <w:r>
              <w:rPr>
                <w:rFonts w:ascii="Arial" w:hAnsi="Arial"/>
                <w:sz w:val="20"/>
              </w:rPr>
              <w:t>Legal Professionals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736</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675</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9</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9</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sz w:val="20"/>
              </w:rPr>
            </w:pPr>
            <w:r>
              <w:rPr>
                <w:rFonts w:ascii="Arial" w:hAnsi="Arial"/>
                <w:sz w:val="20"/>
              </w:rPr>
              <w:t>Corporates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443</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387</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15</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14</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sz w:val="20"/>
              </w:rPr>
            </w:pPr>
            <w:r>
              <w:rPr>
                <w:rFonts w:ascii="Arial" w:hAnsi="Arial"/>
                <w:sz w:val="20"/>
              </w:rPr>
              <w:t>Tax, Audit &amp; Accounting Professionals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341</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318</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6</w:t>
            </w:r>
          </w:p>
        </w:tc>
        <w:tc>
          <w:tcPr>
            <w:tcW w:w="332" w:type="dxa"/>
            <w:tcBorders/>
            <w:vAlign w:val="bottom"/>
          </w:tcPr>
          <w:p>
            <w:pPr>
              <w:pStyle w:val="TableContents"/>
              <w:bidi w:val="0"/>
              <w:spacing w:before="0" w:after="283"/>
              <w:jc w:val="left"/>
              <w:rPr/>
            </w:pPr>
            <w:r>
              <w:rPr/>
              <w:t>% </w:t>
            </w:r>
          </w:p>
        </w:tc>
      </w:tr>
      <w:tr>
        <w:trPr/>
        <w:tc>
          <w:tcPr>
            <w:tcW w:w="361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pPr>
            <w:r>
              <w:rPr/>
              <w:t>“</w:t>
            </w:r>
            <w:r>
              <w:rPr>
                <w:rFonts w:ascii="Arial" w:hAnsi="Arial"/>
                <w:sz w:val="20"/>
              </w:rPr>
              <w:t>Big 3” Segments Combined(1)</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1,520</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1,380</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10</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9</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sz w:val="20"/>
              </w:rPr>
            </w:pPr>
            <w:r>
              <w:rPr>
                <w:rFonts w:ascii="Arial" w:hAnsi="Arial"/>
                <w:sz w:val="20"/>
              </w:rPr>
              <w:t>Reuters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82</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84</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-7</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4</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sz w:val="20"/>
              </w:rPr>
            </w:pPr>
            <w:r>
              <w:rPr>
                <w:rFonts w:ascii="Arial" w:hAnsi="Arial"/>
                <w:sz w:val="20"/>
              </w:rPr>
              <w:t>Global Print</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85</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85</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0</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sz w:val="20"/>
              </w:rPr>
            </w:pPr>
            <w:r>
              <w:rPr>
                <w:rFonts w:ascii="Arial" w:hAnsi="Arial"/>
                <w:sz w:val="20"/>
              </w:rPr>
              <w:t>Corporate costs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(61</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(62</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n/a</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n/a</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n/a</w:t>
            </w:r>
          </w:p>
        </w:tc>
        <w:tc>
          <w:tcPr>
            <w:tcW w:w="332" w:type="dxa"/>
            <w:tcBorders/>
            <w:vAlign w:val="bottom"/>
          </w:tcPr>
          <w:p>
            <w:pPr>
              <w:pStyle w:val="TableContents"/>
              <w:bidi w:val="0"/>
              <w:spacing w:before="0" w:after="283"/>
              <w:jc w:val="left"/>
              <w:rPr/>
            </w:pPr>
            <w:r>
              <w:rPr/>
              <w:t> </w:t>
            </w:r>
          </w:p>
        </w:tc>
      </w:tr>
      <w:tr>
        <w:trPr/>
        <w:tc>
          <w:tcPr>
            <w:tcW w:w="361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b/>
                <w:sz w:val="20"/>
              </w:rPr>
            </w:pPr>
            <w:r>
              <w:rPr>
                <w:rFonts w:ascii="Arial" w:hAnsi="Arial"/>
                <w:b/>
                <w:sz w:val="20"/>
              </w:rPr>
              <w:t>Total Adjusted EBITDA</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1,626</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588" w:type="dxa"/>
            <w:tcBorders/>
            <w:shd w:fill="CCEEFF" w:val="clear"/>
            <w:vAlign w:val="bottom"/>
          </w:tcPr>
          <w:p>
            <w:pPr>
              <w:pStyle w:val="TableContents"/>
              <w:bidi w:val="0"/>
              <w:spacing w:before="0" w:after="283"/>
              <w:jc w:val="right"/>
              <w:rPr>
                <w:b/>
              </w:rPr>
            </w:pPr>
            <w:r>
              <w:rPr>
                <w:b/>
              </w:rPr>
              <w:t>1,487</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b/>
              </w:rPr>
            </w:pPr>
            <w:r>
              <w:rPr>
                <w:b/>
              </w:rPr>
              <w:t>9</w:t>
            </w:r>
          </w:p>
        </w:tc>
        <w:tc>
          <w:tcPr>
            <w:tcW w:w="323" w:type="dxa"/>
            <w:tcBorders/>
            <w:shd w:fill="CCEEFF" w:val="clear"/>
            <w:vAlign w:val="bottom"/>
          </w:tcPr>
          <w:p>
            <w:pPr>
              <w:pStyle w:val="TableContents"/>
              <w:bidi w:val="0"/>
              <w:spacing w:before="0" w:after="283"/>
              <w:jc w:val="left"/>
              <w:rPr>
                <w:b/>
              </w:rPr>
            </w:pPr>
            <w:r>
              <w:rPr>
                <w:b/>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b/>
              </w:rPr>
            </w:pPr>
            <w:r>
              <w:rPr>
                <w:b/>
              </w:rPr>
              <w:t>0</w:t>
            </w:r>
          </w:p>
        </w:tc>
        <w:tc>
          <w:tcPr>
            <w:tcW w:w="323"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b/>
              </w:rPr>
            </w:pPr>
            <w:r>
              <w:rPr>
                <w:b/>
              </w:rPr>
              <w:t>9</w:t>
            </w:r>
          </w:p>
        </w:tc>
        <w:tc>
          <w:tcPr>
            <w:tcW w:w="332" w:type="dxa"/>
            <w:tcBorders/>
            <w:shd w:fill="CCEEFF" w:val="clear"/>
            <w:vAlign w:val="bottom"/>
          </w:tcPr>
          <w:p>
            <w:pPr>
              <w:pStyle w:val="TableContents"/>
              <w:bidi w:val="0"/>
              <w:spacing w:before="0" w:after="283"/>
              <w:jc w:val="left"/>
              <w:rPr>
                <w:b/>
              </w:rPr>
            </w:pPr>
            <w:r>
              <w:rPr>
                <w:b/>
              </w:rPr>
              <w:t>% </w:t>
            </w:r>
          </w:p>
        </w:tc>
      </w:tr>
      <w:tr>
        <w:trPr/>
        <w:tc>
          <w:tcPr>
            <w:tcW w:w="361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b/>
                <w:sz w:val="20"/>
                <w:u w:val="single"/>
              </w:rPr>
            </w:pPr>
            <w:r>
              <w:rPr>
                <w:rFonts w:ascii="Arial" w:hAnsi="Arial"/>
                <w:b/>
                <w:sz w:val="20"/>
                <w:u w:val="single"/>
              </w:rPr>
              <w:t>Adjusted EBITDA Margin(1)</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3619"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48.2</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48.4</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-20bp</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0bp</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-20bp</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sz w:val="20"/>
              </w:rPr>
            </w:pPr>
            <w:r>
              <w:rPr>
                <w:rFonts w:ascii="Arial" w:hAnsi="Arial"/>
                <w:sz w:val="20"/>
              </w:rPr>
              <w:t>Corporates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38.7</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37.6</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110bp</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-20bp</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130bp</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47.3</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48.9</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-160bp</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-20bp</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-140bp</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pPr>
            <w:r>
              <w:rPr/>
              <w:t>“</w:t>
            </w:r>
            <w:r>
              <w:rPr>
                <w:rFonts w:ascii="Arial" w:hAnsi="Arial"/>
                <w:sz w:val="20"/>
              </w:rPr>
              <w:t>Big 3” Segments Combined(1)</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44.8</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44.9</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-10bp</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-10bp</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0bp</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18.6</w:t>
            </w:r>
          </w:p>
        </w:tc>
        <w:tc>
          <w:tcPr>
            <w:tcW w:w="32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20.4</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-180bp</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-130bp</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-50bp</w:t>
            </w:r>
          </w:p>
        </w:tc>
        <w:tc>
          <w:tcPr>
            <w:tcW w:w="332" w:type="dxa"/>
            <w:tcBorders/>
            <w:shd w:fill="CCEEFF" w:val="clear"/>
            <w:vAlign w:val="bottom"/>
          </w:tcPr>
          <w:p>
            <w:pPr>
              <w:pStyle w:val="TableContents"/>
              <w:bidi w:val="0"/>
              <w:spacing w:before="0" w:after="283"/>
              <w:jc w:val="left"/>
              <w:rPr/>
            </w:pPr>
            <w:r>
              <w:rPr/>
              <w:t> </w:t>
            </w:r>
          </w:p>
        </w:tc>
      </w:tr>
      <w:tr>
        <w:trPr/>
        <w:tc>
          <w:tcPr>
            <w:tcW w:w="3619" w:type="dxa"/>
            <w:tcBorders/>
          </w:tcPr>
          <w:p>
            <w:pPr>
              <w:pStyle w:val="TableContents"/>
              <w:bidi w:val="0"/>
              <w:spacing w:before="0" w:after="0"/>
              <w:jc w:val="left"/>
              <w:rPr>
                <w:rFonts w:ascii="Arial" w:hAnsi="Arial"/>
                <w:sz w:val="20"/>
              </w:rPr>
            </w:pPr>
            <w:r>
              <w:rPr>
                <w:rFonts w:ascii="Arial" w:hAnsi="Arial"/>
                <w:sz w:val="20"/>
              </w:rPr>
              <w:t>Global Print</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38.2</w:t>
            </w:r>
          </w:p>
        </w:tc>
        <w:tc>
          <w:tcPr>
            <w:tcW w:w="32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36.9</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130bp</w:t>
            </w:r>
          </w:p>
        </w:tc>
        <w:tc>
          <w:tcPr>
            <w:tcW w:w="3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10bp</w:t>
            </w:r>
          </w:p>
        </w:tc>
        <w:tc>
          <w:tcPr>
            <w:tcW w:w="32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120bp</w:t>
            </w:r>
          </w:p>
        </w:tc>
        <w:tc>
          <w:tcPr>
            <w:tcW w:w="332" w:type="dxa"/>
            <w:tcBorders/>
            <w:vAlign w:val="bottom"/>
          </w:tcPr>
          <w:p>
            <w:pPr>
              <w:pStyle w:val="TableContents"/>
              <w:bidi w:val="0"/>
              <w:spacing w:before="0" w:after="283"/>
              <w:jc w:val="left"/>
              <w:rPr/>
            </w:pPr>
            <w:r>
              <w:rPr/>
              <w:t> </w:t>
            </w:r>
          </w:p>
        </w:tc>
      </w:tr>
      <w:tr>
        <w:trPr/>
        <w:tc>
          <w:tcPr>
            <w:tcW w:w="3619" w:type="dxa"/>
            <w:tcBorders/>
            <w:shd w:fill="CCEEFF" w:val="clear"/>
          </w:tcPr>
          <w:p>
            <w:pPr>
              <w:pStyle w:val="TableContents"/>
              <w:bidi w:val="0"/>
              <w:spacing w:before="0" w:after="0"/>
              <w:jc w:val="left"/>
              <w:rPr>
                <w:rFonts w:ascii="Arial" w:hAnsi="Arial"/>
                <w:b/>
                <w:sz w:val="20"/>
              </w:rPr>
            </w:pPr>
            <w:r>
              <w:rPr>
                <w:rFonts w:ascii="Arial" w:hAnsi="Arial"/>
                <w:b/>
                <w:sz w:val="20"/>
              </w:rPr>
              <w:t>Total Adjusted EBITDA Margin</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40.2</w:t>
            </w:r>
          </w:p>
        </w:tc>
        <w:tc>
          <w:tcPr>
            <w:tcW w:w="329"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40.1</w:t>
            </w:r>
          </w:p>
        </w:tc>
        <w:tc>
          <w:tcPr>
            <w:tcW w:w="323"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b/>
              </w:rPr>
            </w:pPr>
            <w:r>
              <w:rPr>
                <w:b/>
              </w:rPr>
              <w:t>10bp</w:t>
            </w:r>
          </w:p>
        </w:tc>
        <w:tc>
          <w:tcPr>
            <w:tcW w:w="3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b/>
              </w:rPr>
            </w:pPr>
            <w:r>
              <w:rPr>
                <w:b/>
              </w:rPr>
              <w:t>-20bp</w:t>
            </w:r>
          </w:p>
        </w:tc>
        <w:tc>
          <w:tcPr>
            <w:tcW w:w="32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b/>
              </w:rPr>
            </w:pPr>
            <w:r>
              <w:rPr>
                <w:b/>
              </w:rPr>
              <w:t>30bp</w:t>
            </w:r>
          </w:p>
        </w:tc>
        <w:tc>
          <w:tcPr>
            <w:tcW w:w="332"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Arial" w:hAnsi="Arial"/>
          <w:i/>
          <w:sz w:val="16"/>
        </w:rPr>
      </w:pPr>
      <w:r>
        <w:rPr>
          <w:rFonts w:ascii="Arial" w:hAnsi="Arial"/>
          <w:i/>
          <w:sz w:val="16"/>
        </w:rPr>
        <w:t xml:space="preserve">n/a: not applicable </w:t>
      </w:r>
    </w:p>
    <w:p>
      <w:pPr>
        <w:pStyle w:val="TextBody"/>
        <w:bidi w:val="0"/>
        <w:spacing w:before="120" w:after="0"/>
        <w:jc w:val="left"/>
        <w:rPr>
          <w:rFonts w:ascii="Arial" w:hAnsi="Arial"/>
          <w:i/>
          <w:sz w:val="16"/>
        </w:rPr>
      </w:pPr>
      <w:r>
        <w:rPr>
          <w:rFonts w:ascii="Arial" w:hAnsi="Arial"/>
          <w:i/>
          <w:sz w:val="16"/>
        </w:rPr>
        <w:t xml:space="preserve">Growth percentages and margins are computed using whole dollars. As a result, percentages and margins calculated from reported amounts may differ from those presented, and growth components may not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20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Reconciliation of adjusted EBITDA margin(1) </w:t>
      </w:r>
    </w:p>
    <w:p>
      <w:pPr>
        <w:pStyle w:val="TextBody"/>
        <w:bidi w:val="0"/>
        <w:spacing w:before="120" w:after="0"/>
        <w:jc w:val="left"/>
        <w:rPr>
          <w:rFonts w:ascii="Arial" w:hAnsi="Arial"/>
          <w:sz w:val="20"/>
        </w:rPr>
      </w:pPr>
      <w:r>
        <w:rPr>
          <w:rFonts w:ascii="Arial" w:hAnsi="Arial"/>
          <w:sz w:val="20"/>
        </w:rPr>
        <w:t xml:space="preserve">To compute segment and consolidated adjusted EBITDA margin, the company excludes fair value adjustments related to acquired deferred revenue from its IFRS revenues. The charts below reconcile IFRS revenues to revenues used in the calculation of adjusted EBITDA margin, which excludes fair value adjustments related to acquired deferred revenue. </w:t>
      </w:r>
    </w:p>
    <w:p>
      <w:pPr>
        <w:pStyle w:val="TextBody"/>
        <w:bidi w:val="0"/>
        <w:spacing w:before="0" w:after="0"/>
        <w:jc w:val="left"/>
        <w:rPr/>
      </w:pPr>
      <w:r>
        <w:rPr/>
        <w:t> </w:t>
      </w:r>
    </w:p>
    <w:tbl>
      <w:tblPr>
        <w:tblW w:w="13340" w:type="dxa"/>
        <w:jc w:val="center"/>
        <w:tblInd w:w="0" w:type="dxa"/>
        <w:tblLayout w:type="fixed"/>
        <w:tblCellMar>
          <w:top w:w="0" w:type="dxa"/>
          <w:left w:w="0" w:type="dxa"/>
          <w:bottom w:w="0" w:type="dxa"/>
          <w:right w:w="0" w:type="dxa"/>
        </w:tblCellMar>
      </w:tblPr>
      <w:tblGrid>
        <w:gridCol w:w="2780"/>
        <w:gridCol w:w="120"/>
        <w:gridCol w:w="307"/>
        <w:gridCol w:w="1228"/>
        <w:gridCol w:w="155"/>
        <w:gridCol w:w="60"/>
        <w:gridCol w:w="502"/>
        <w:gridCol w:w="1363"/>
        <w:gridCol w:w="60"/>
        <w:gridCol w:w="120"/>
        <w:gridCol w:w="406"/>
        <w:gridCol w:w="1624"/>
        <w:gridCol w:w="155"/>
        <w:gridCol w:w="60"/>
        <w:gridCol w:w="391"/>
        <w:gridCol w:w="1564"/>
        <w:gridCol w:w="155"/>
        <w:gridCol w:w="60"/>
        <w:gridCol w:w="234"/>
        <w:gridCol w:w="1721"/>
        <w:gridCol w:w="275"/>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 xml:space="preserve">(millions of U.S. dollars) </w:t>
            </w:r>
            <w:r>
              <w:rPr>
                <w:rFonts w:ascii="Arial" w:hAnsi="Arial"/>
                <w:b/>
                <w:sz w:val="16"/>
              </w:rPr>
              <w:br/>
            </w:r>
            <w:r>
              <w:rPr>
                <w:rFonts w:ascii="Arial" w:hAnsi="Arial"/>
                <w:sz w:val="16"/>
              </w:rPr>
              <w:t xml:space="preserve">(unaudited) </w:t>
            </w:r>
            <w:r>
              <w:rPr>
                <w:rFonts w:ascii="Arial" w:hAnsi="Arial"/>
                <w:b/>
                <w:sz w:val="16"/>
              </w:rPr>
              <w:br/>
              <w:t>Three months ended June 30, 2026</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 revenues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Remove fair value</w:t>
              <w:br/>
              <w:t>adjustments to</w:t>
              <w:br/>
              <w:t>acquired deferred</w:t>
              <w:br/>
              <w:t>revenue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Revenues excluding</w:t>
              <w:br/>
              <w:t>fair value</w:t>
              <w:br/>
              <w:t>adjustments to</w:t>
              <w:br/>
              <w:t>acquired deferred</w:t>
              <w:br/>
              <w:t>revenue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 EBITDA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 EBITDA</w:t>
              <w:br/>
              <w:t>Margin</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772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772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371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537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37.2</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311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38.7</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691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42.7</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Global Print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37.7</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n/a</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 costs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Consolidated totals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38.1</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rHeight w:val="240" w:hRule="atLeast"/>
        </w:trPr>
        <w:tc>
          <w:tcPr>
            <w:tcW w:w="2780" w:type="dxa"/>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c>
          <w:tcPr>
            <w:tcW w:w="2170" w:type="dxa"/>
            <w:gridSpan w:val="4"/>
            <w:tcBorders/>
            <w:vAlign w:val="center"/>
          </w:tcPr>
          <w:p>
            <w:pPr>
              <w:pStyle w:val="TableContents"/>
              <w:bidi w:val="0"/>
              <w:spacing w:before="0" w:after="283"/>
              <w:jc w:val="left"/>
              <w:rPr>
                <w:sz w:val="4"/>
                <w:szCs w:val="4"/>
              </w:rPr>
            </w:pPr>
            <w:r>
              <w:rPr>
                <w:sz w:val="4"/>
                <w:szCs w:val="4"/>
              </w:rPr>
            </w:r>
          </w:p>
        </w:tc>
        <w:tc>
          <w:tcPr>
            <w:tcW w:w="229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Six months ended June 30, 2026</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736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48.2</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1,145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443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38.7</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721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341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47.3</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3,394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1,520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44.8</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441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Global Print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38.2</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n/a</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 costs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Consolidated totals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4,041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1,626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40.2</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rHeight w:val="240" w:hRule="atLeast"/>
        </w:trPr>
        <w:tc>
          <w:tcPr>
            <w:tcW w:w="2780" w:type="dxa"/>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c>
          <w:tcPr>
            <w:tcW w:w="2170" w:type="dxa"/>
            <w:gridSpan w:val="4"/>
            <w:tcBorders/>
            <w:vAlign w:val="center"/>
          </w:tcPr>
          <w:p>
            <w:pPr>
              <w:pStyle w:val="TableContents"/>
              <w:bidi w:val="0"/>
              <w:spacing w:before="0" w:after="283"/>
              <w:jc w:val="left"/>
              <w:rPr>
                <w:sz w:val="4"/>
                <w:szCs w:val="4"/>
              </w:rPr>
            </w:pPr>
            <w:r>
              <w:rPr>
                <w:sz w:val="4"/>
                <w:szCs w:val="4"/>
              </w:rPr>
            </w:r>
          </w:p>
        </w:tc>
        <w:tc>
          <w:tcPr>
            <w:tcW w:w="229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Three months ended June 30, 2025</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704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704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35.7</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38.9</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1,468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621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42.3</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Global Print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36.0</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n/a</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 costs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Consolidated totals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1,795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678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37.8</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rHeight w:val="240" w:hRule="atLeast"/>
        </w:trPr>
        <w:tc>
          <w:tcPr>
            <w:tcW w:w="2780" w:type="dxa"/>
            <w:tcBorders/>
            <w:vAlign w:val="center"/>
          </w:tcPr>
          <w:p>
            <w:pPr>
              <w:pStyle w:val="TableContents"/>
              <w:bidi w:val="0"/>
              <w:spacing w:before="0" w:after="283"/>
              <w:jc w:val="left"/>
              <w:rPr>
                <w:sz w:val="4"/>
                <w:szCs w:val="4"/>
              </w:rPr>
            </w:pPr>
            <w:r>
              <w:rPr>
                <w:sz w:val="4"/>
                <w:szCs w:val="4"/>
              </w:rPr>
            </w:r>
          </w:p>
        </w:tc>
        <w:tc>
          <w:tcPr>
            <w:tcW w:w="181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305" w:type="dxa"/>
            <w:gridSpan w:val="4"/>
            <w:tcBorders/>
            <w:vAlign w:val="center"/>
          </w:tcPr>
          <w:p>
            <w:pPr>
              <w:pStyle w:val="TableContents"/>
              <w:bidi w:val="0"/>
              <w:spacing w:before="0" w:after="283"/>
              <w:jc w:val="left"/>
              <w:rPr>
                <w:sz w:val="4"/>
                <w:szCs w:val="4"/>
              </w:rPr>
            </w:pPr>
            <w:r>
              <w:rPr>
                <w:sz w:val="4"/>
                <w:szCs w:val="4"/>
              </w:rPr>
            </w:r>
          </w:p>
        </w:tc>
        <w:tc>
          <w:tcPr>
            <w:tcW w:w="2170" w:type="dxa"/>
            <w:gridSpan w:val="4"/>
            <w:tcBorders/>
            <w:vAlign w:val="center"/>
          </w:tcPr>
          <w:p>
            <w:pPr>
              <w:pStyle w:val="TableContents"/>
              <w:bidi w:val="0"/>
              <w:spacing w:before="0" w:after="283"/>
              <w:jc w:val="left"/>
              <w:rPr>
                <w:sz w:val="4"/>
                <w:szCs w:val="4"/>
              </w:rPr>
            </w:pPr>
            <w:r>
              <w:rPr>
                <w:sz w:val="4"/>
                <w:szCs w:val="4"/>
              </w:rPr>
            </w:r>
          </w:p>
        </w:tc>
        <w:tc>
          <w:tcPr>
            <w:tcW w:w="229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Six months ended June 30, 2025</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1,392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1,392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48.4</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37.6</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48.9</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pPr>
            <w:r>
              <w:rPr/>
              <w:t>“</w:t>
            </w:r>
            <w:r>
              <w:rPr>
                <w:rFonts w:ascii="Arial" w:hAnsi="Arial"/>
                <w:sz w:val="20"/>
              </w:rPr>
              <w:t>Big 3” Segments Combined(1)</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3,052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3,072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44.9</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Global Print</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36.9</w:t>
            </w:r>
          </w:p>
        </w:tc>
        <w:tc>
          <w:tcPr>
            <w:tcW w:w="275"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Eliminations/Rounding</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n/a</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Arial" w:hAnsi="Arial"/>
                <w:sz w:val="20"/>
              </w:rPr>
            </w:pPr>
            <w:r>
              <w:rPr>
                <w:rFonts w:ascii="Arial" w:hAnsi="Arial"/>
                <w:sz w:val="20"/>
              </w:rPr>
              <w:t>Corporate costs</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Arial" w:hAnsi="Arial"/>
                <w:sz w:val="20"/>
              </w:rPr>
            </w:pPr>
            <w:r>
              <w:rPr>
                <w:rFonts w:ascii="Arial" w:hAnsi="Arial"/>
                <w:sz w:val="20"/>
              </w:rPr>
              <w:t>Consolidated totals</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3,685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3,705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1,487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40.1</w:t>
            </w:r>
          </w:p>
        </w:tc>
        <w:tc>
          <w:tcPr>
            <w:tcW w:w="2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i/>
          <w:sz w:val="16"/>
        </w:rPr>
      </w:pPr>
      <w:r>
        <w:rPr>
          <w:rFonts w:ascii="Arial" w:hAnsi="Arial"/>
          <w:i/>
          <w:sz w:val="16"/>
        </w:rPr>
        <w:t xml:space="preserve">n/a: not applicable </w:t>
      </w:r>
    </w:p>
    <w:p>
      <w:pPr>
        <w:pStyle w:val="TextBody"/>
        <w:bidi w:val="0"/>
        <w:spacing w:before="120" w:after="0"/>
        <w:jc w:val="left"/>
        <w:rPr>
          <w:rFonts w:ascii="Arial" w:hAnsi="Arial"/>
          <w:i/>
          <w:sz w:val="16"/>
        </w:rPr>
      </w:pPr>
      <w:r>
        <w:rPr>
          <w:rFonts w:ascii="Arial" w:hAnsi="Arial"/>
          <w:i/>
          <w:sz w:val="16"/>
        </w:rPr>
        <w:t xml:space="preserve">Margins are computed using whole dollars, as a result, margins calculated from reported amounts may differ from those presented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21 of 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pPr>
      <w:r>
        <w:rPr/>
        <w:t>“</w:t>
      </w:r>
      <w:r>
        <w:rPr>
          <w:rFonts w:ascii="Arial" w:hAnsi="Arial"/>
          <w:b/>
          <w:sz w:val="20"/>
        </w:rPr>
        <w:t xml:space="preserve">Big 3” Segments and Consolidated Adjusted EBITDA(1) and the Related Margins(1)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94"/>
        <w:gridCol w:w="561"/>
        <w:gridCol w:w="271"/>
        <w:gridCol w:w="1101"/>
        <w:gridCol w:w="278"/>
      </w:tblGrid>
      <w:tr>
        <w:trPr/>
        <w:tc>
          <w:tcPr>
            <w:tcW w:w="7994"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994"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372" w:type="dxa"/>
            <w:gridSpan w:val="2"/>
            <w:tcBorders/>
            <w:vAlign w:val="bottom"/>
          </w:tcPr>
          <w:p>
            <w:pPr>
              <w:pStyle w:val="TableContents"/>
              <w:bidi w:val="0"/>
              <w:spacing w:before="0" w:after="283"/>
              <w:jc w:val="center"/>
              <w:rPr>
                <w:b/>
              </w:rPr>
            </w:pPr>
            <w:r>
              <w:rPr>
                <w:b/>
              </w:rPr>
              <w:t>Year ended</w:t>
            </w:r>
          </w:p>
        </w:tc>
        <w:tc>
          <w:tcPr>
            <w:tcW w:w="278" w:type="dxa"/>
            <w:tcBorders/>
            <w:vAlign w:val="bottom"/>
          </w:tcPr>
          <w:p>
            <w:pPr>
              <w:pStyle w:val="TableContents"/>
              <w:bidi w:val="0"/>
              <w:spacing w:before="0" w:after="283"/>
              <w:jc w:val="left"/>
              <w:rPr/>
            </w:pPr>
            <w:r>
              <w:rPr/>
              <w:t> </w:t>
            </w:r>
          </w:p>
        </w:tc>
      </w:tr>
      <w:tr>
        <w:trPr/>
        <w:tc>
          <w:tcPr>
            <w:tcW w:w="7994"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78" w:type="dxa"/>
            <w:tcBorders/>
            <w:vAlign w:val="bottom"/>
          </w:tcPr>
          <w:p>
            <w:pPr>
              <w:pStyle w:val="TableContents"/>
              <w:bidi w:val="0"/>
              <w:spacing w:before="0" w:after="283"/>
              <w:jc w:val="left"/>
              <w:rPr/>
            </w:pPr>
            <w:r>
              <w:rPr/>
              <w:t> </w:t>
            </w:r>
          </w:p>
        </w:tc>
      </w:tr>
      <w:tr>
        <w:trPr/>
        <w:tc>
          <w:tcPr>
            <w:tcW w:w="7994"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994" w:type="dxa"/>
            <w:tcBorders/>
          </w:tcPr>
          <w:p>
            <w:pPr>
              <w:pStyle w:val="TableContents"/>
              <w:bidi w:val="0"/>
              <w:spacing w:before="0" w:after="0"/>
              <w:jc w:val="left"/>
              <w:rPr>
                <w:rFonts w:ascii="Arial" w:hAnsi="Arial"/>
                <w:b/>
                <w:sz w:val="20"/>
              </w:rPr>
            </w:pPr>
            <w:r>
              <w:rPr>
                <w:rFonts w:ascii="Arial" w:hAnsi="Arial"/>
                <w:b/>
                <w:sz w:val="20"/>
                <w:u w:val="single"/>
              </w:rPr>
              <w:t>Adjusted EBITDA</w:t>
            </w:r>
            <w:r>
              <w:rPr>
                <w:rFonts w:ascii="Arial" w:hAnsi="Arial"/>
                <w:b/>
                <w:sz w:val="20"/>
              </w:rPr>
              <w:t>(1)</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Legal Professionals</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1,354</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rFonts w:ascii="Arial" w:hAnsi="Arial"/>
                <w:sz w:val="20"/>
              </w:rPr>
            </w:pPr>
            <w:r>
              <w:rPr>
                <w:rFonts w:ascii="Arial" w:hAnsi="Arial"/>
                <w:sz w:val="20"/>
              </w:rPr>
              <w:t>Corporates</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727</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Tax, Audit &amp; Accounting Professionals</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614</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pPr>
            <w:r>
              <w:rPr/>
              <w:t>“</w:t>
            </w:r>
            <w:r>
              <w:rPr>
                <w:rFonts w:ascii="Arial" w:hAnsi="Arial"/>
                <w:sz w:val="20"/>
              </w:rPr>
              <w:t>Big 3” Segments Combined(1)</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2,695</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Reuters</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174</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rFonts w:ascii="Arial" w:hAnsi="Arial"/>
                <w:sz w:val="20"/>
              </w:rPr>
            </w:pPr>
            <w:r>
              <w:rPr>
                <w:rFonts w:ascii="Arial" w:hAnsi="Arial"/>
                <w:sz w:val="20"/>
              </w:rPr>
              <w:t>Global Print</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185</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Corporate costs</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(118</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rFonts w:ascii="Arial" w:hAnsi="Arial"/>
                <w:b/>
                <w:sz w:val="20"/>
              </w:rPr>
            </w:pPr>
            <w:r>
              <w:rPr>
                <w:rFonts w:ascii="Arial" w:hAnsi="Arial"/>
                <w:b/>
                <w:sz w:val="20"/>
              </w:rPr>
              <w:t>Total Adjusted EBITDA</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1101" w:type="dxa"/>
            <w:tcBorders/>
            <w:vAlign w:val="bottom"/>
          </w:tcPr>
          <w:p>
            <w:pPr>
              <w:pStyle w:val="TableContents"/>
              <w:bidi w:val="0"/>
              <w:spacing w:before="0" w:after="283"/>
              <w:jc w:val="right"/>
              <w:rPr>
                <w:b/>
              </w:rPr>
            </w:pPr>
            <w:r>
              <w:rPr>
                <w:b/>
              </w:rPr>
              <w:t>2,936</w:t>
            </w:r>
          </w:p>
        </w:tc>
        <w:tc>
          <w:tcPr>
            <w:tcW w:w="278" w:type="dxa"/>
            <w:tcBorders/>
            <w:vAlign w:val="bottom"/>
          </w:tcPr>
          <w:p>
            <w:pPr>
              <w:pStyle w:val="TableContents"/>
              <w:bidi w:val="0"/>
              <w:spacing w:before="0" w:after="283"/>
              <w:jc w:val="left"/>
              <w:rPr/>
            </w:pPr>
            <w:r>
              <w:rPr/>
              <w:t> </w:t>
            </w:r>
          </w:p>
        </w:tc>
      </w:tr>
      <w:tr>
        <w:trPr/>
        <w:tc>
          <w:tcPr>
            <w:tcW w:w="7994"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pPr>
            <w:r>
              <w:rPr>
                <w:u w:val="single"/>
              </w:rPr>
              <w:t>“</w:t>
            </w:r>
            <w:r>
              <w:rPr>
                <w:rFonts w:ascii="Arial" w:hAnsi="Arial"/>
                <w:b/>
                <w:sz w:val="20"/>
                <w:u w:val="single"/>
              </w:rPr>
              <w:t>Big 3” Segments Combined</w:t>
            </w:r>
            <w:r>
              <w:rPr>
                <w:rFonts w:ascii="Arial" w:hAnsi="Arial"/>
                <w:b/>
                <w:sz w:val="20"/>
              </w:rPr>
              <w:t>(1)</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994" w:type="dxa"/>
            <w:tcBorders/>
          </w:tcPr>
          <w:p>
            <w:pPr>
              <w:pStyle w:val="TableContents"/>
              <w:bidi w:val="0"/>
              <w:spacing w:before="0" w:after="0"/>
              <w:jc w:val="left"/>
              <w:rPr>
                <w:rFonts w:ascii="Arial" w:hAnsi="Arial"/>
                <w:sz w:val="20"/>
              </w:rPr>
            </w:pPr>
            <w:r>
              <w:rPr>
                <w:rFonts w:ascii="Arial" w:hAnsi="Arial"/>
                <w:sz w:val="20"/>
              </w:rPr>
              <w:t>Adjusted EBITDA</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2,695</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Revenues, excluding $20 million of fair value adjustments to acquired deferred revenue</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6,177</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rFonts w:ascii="Arial" w:hAnsi="Arial"/>
                <w:sz w:val="20"/>
              </w:rPr>
            </w:pPr>
            <w:r>
              <w:rPr>
                <w:rFonts w:ascii="Arial" w:hAnsi="Arial"/>
                <w:sz w:val="20"/>
              </w:rPr>
              <w:t>Adjusted EBITDA margin</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43.6</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b/>
                <w:sz w:val="20"/>
              </w:rPr>
            </w:pPr>
            <w:r>
              <w:rPr>
                <w:rFonts w:ascii="Arial" w:hAnsi="Arial"/>
                <w:b/>
                <w:sz w:val="20"/>
                <w:u w:val="single"/>
              </w:rPr>
              <w:t>Consolidated</w:t>
            </w:r>
            <w:r>
              <w:rPr>
                <w:rFonts w:ascii="Arial" w:hAnsi="Arial"/>
                <w:b/>
                <w:sz w:val="20"/>
              </w:rPr>
              <w:t>(1)</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994" w:type="dxa"/>
            <w:tcBorders/>
          </w:tcPr>
          <w:p>
            <w:pPr>
              <w:pStyle w:val="TableContents"/>
              <w:bidi w:val="0"/>
              <w:spacing w:before="0" w:after="0"/>
              <w:jc w:val="left"/>
              <w:rPr>
                <w:rFonts w:ascii="Arial" w:hAnsi="Arial"/>
                <w:sz w:val="20"/>
              </w:rPr>
            </w:pPr>
            <w:r>
              <w:rPr>
                <w:rFonts w:ascii="Arial" w:hAnsi="Arial"/>
                <w:sz w:val="20"/>
              </w:rPr>
              <w:t>Adjusted EBITDA</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2,936</w:t>
            </w:r>
          </w:p>
        </w:tc>
        <w:tc>
          <w:tcPr>
            <w:tcW w:w="278" w:type="dxa"/>
            <w:tcBorders/>
            <w:vAlign w:val="bottom"/>
          </w:tcPr>
          <w:p>
            <w:pPr>
              <w:pStyle w:val="TableContents"/>
              <w:bidi w:val="0"/>
              <w:spacing w:before="0" w:after="283"/>
              <w:jc w:val="left"/>
              <w:rPr/>
            </w:pPr>
            <w:r>
              <w:rPr/>
              <w:t> </w:t>
            </w:r>
          </w:p>
        </w:tc>
      </w:tr>
      <w:tr>
        <w:trPr/>
        <w:tc>
          <w:tcPr>
            <w:tcW w:w="7994" w:type="dxa"/>
            <w:tcBorders/>
            <w:shd w:fill="CCEEFF" w:val="clear"/>
          </w:tcPr>
          <w:p>
            <w:pPr>
              <w:pStyle w:val="TableContents"/>
              <w:bidi w:val="0"/>
              <w:spacing w:before="0" w:after="0"/>
              <w:jc w:val="left"/>
              <w:rPr>
                <w:rFonts w:ascii="Arial" w:hAnsi="Arial"/>
                <w:sz w:val="20"/>
              </w:rPr>
            </w:pPr>
            <w:r>
              <w:rPr>
                <w:rFonts w:ascii="Arial" w:hAnsi="Arial"/>
                <w:sz w:val="20"/>
              </w:rPr>
              <w:t>Revenues, excluding $20 million of fair value adjustments to acquired deferred revenue</w:t>
            </w:r>
          </w:p>
        </w:tc>
        <w:tc>
          <w:tcPr>
            <w:tcW w:w="56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7,496</w:t>
            </w:r>
          </w:p>
        </w:tc>
        <w:tc>
          <w:tcPr>
            <w:tcW w:w="278" w:type="dxa"/>
            <w:tcBorders/>
            <w:shd w:fill="CCEEFF" w:val="clear"/>
            <w:vAlign w:val="bottom"/>
          </w:tcPr>
          <w:p>
            <w:pPr>
              <w:pStyle w:val="TableContents"/>
              <w:bidi w:val="0"/>
              <w:spacing w:before="0" w:after="283"/>
              <w:jc w:val="left"/>
              <w:rPr/>
            </w:pPr>
            <w:r>
              <w:rPr/>
              <w:t> </w:t>
            </w:r>
          </w:p>
        </w:tc>
      </w:tr>
      <w:tr>
        <w:trPr/>
        <w:tc>
          <w:tcPr>
            <w:tcW w:w="7994" w:type="dxa"/>
            <w:tcBorders/>
          </w:tcPr>
          <w:p>
            <w:pPr>
              <w:pStyle w:val="TableContents"/>
              <w:bidi w:val="0"/>
              <w:spacing w:before="0" w:after="0"/>
              <w:jc w:val="left"/>
              <w:rPr>
                <w:rFonts w:ascii="Arial" w:hAnsi="Arial"/>
                <w:sz w:val="20"/>
              </w:rPr>
            </w:pPr>
            <w:r>
              <w:rPr>
                <w:rFonts w:ascii="Arial" w:hAnsi="Arial"/>
                <w:sz w:val="20"/>
              </w:rPr>
              <w:t>Adjusted EBITDA margin</w:t>
            </w:r>
          </w:p>
        </w:tc>
        <w:tc>
          <w:tcPr>
            <w:tcW w:w="56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39.2</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i/>
          <w:sz w:val="16"/>
        </w:rPr>
      </w:pPr>
      <w:r>
        <w:rPr>
          <w:rFonts w:ascii="Arial" w:hAnsi="Arial"/>
          <w:i/>
          <w:sz w:val="16"/>
        </w:rPr>
        <w:t xml:space="preserve">Margins are computed using whole dollars, as a result, margins calculated from reported amounts may differ from those presented due to rounding. </w:t>
      </w:r>
    </w:p>
    <w:p>
      <w:pPr>
        <w:pStyle w:val="TextBody"/>
        <w:bidi w:val="0"/>
        <w:spacing w:before="360" w:after="0"/>
        <w:jc w:val="center"/>
        <w:rPr>
          <w:rFonts w:ascii="Arial" w:hAnsi="Arial"/>
          <w:b/>
          <w:sz w:val="20"/>
        </w:rPr>
      </w:pPr>
      <w:r>
        <w:rPr>
          <w:rFonts w:ascii="Arial" w:hAnsi="Arial"/>
          <w:b/>
          <w:sz w:val="20"/>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Reconciliation of Net Debt(1) and Leverage Ratio of Net Debt to Adjusted EBITDA(1) </w:t>
      </w:r>
    </w:p>
    <w:p>
      <w:pPr>
        <w:pStyle w:val="TextBody"/>
        <w:bidi w:val="0"/>
        <w:spacing w:before="0" w:after="0"/>
        <w:jc w:val="center"/>
        <w:rPr>
          <w:rFonts w:ascii="Arial" w:hAnsi="Arial"/>
          <w:sz w:val="16"/>
        </w:rPr>
      </w:pPr>
      <w:r>
        <w:rPr>
          <w:rFonts w:ascii="Arial" w:hAnsi="Arial"/>
          <w:sz w:val="16"/>
        </w:rPr>
        <w:t xml:space="preserve">(millions of U.S. dollars) </w:t>
      </w:r>
    </w:p>
    <w:p>
      <w:pPr>
        <w:pStyle w:val="TextBody"/>
        <w:bidi w:val="0"/>
        <w:spacing w:before="0" w:after="0"/>
        <w:jc w:val="center"/>
        <w:rPr>
          <w:rFonts w:ascii="Arial" w:hAnsi="Arial"/>
          <w:sz w:val="16"/>
        </w:rPr>
      </w:pPr>
      <w:r>
        <w:rPr>
          <w:rFonts w:ascii="Arial" w:hAnsi="Arial"/>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9"/>
        <w:gridCol w:w="309"/>
        <w:gridCol w:w="175"/>
        <w:gridCol w:w="704"/>
        <w:gridCol w:w="155"/>
        <w:gridCol w:w="261"/>
        <w:gridCol w:w="298"/>
        <w:gridCol w:w="1194"/>
        <w:gridCol w:w="160"/>
      </w:tblGrid>
      <w:tr>
        <w:trPr/>
        <w:tc>
          <w:tcPr>
            <w:tcW w:w="6949"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0"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Current indebtedness</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1,618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795</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Long-term indebtedness</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1,323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1,328</w:t>
            </w:r>
          </w:p>
        </w:tc>
        <w:tc>
          <w:tcPr>
            <w:tcW w:w="160" w:type="dxa"/>
            <w:tcBorders/>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Total debt</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2,941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2,123</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Swaps</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16</w:t>
            </w:r>
          </w:p>
        </w:tc>
        <w:tc>
          <w:tcPr>
            <w:tcW w:w="160" w:type="dxa"/>
            <w:tcBorders/>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Total debt after swaps</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2,964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2,139</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Remove fair value adjustments for hedges</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Total debt after hedging arrangements</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2,961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2,137</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Collateral assets</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Remove transaction costs, premiums or discounts, included in the carrying value of debt</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28</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Add: Lease liabilities (current and non-current)</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249</w:t>
            </w:r>
          </w:p>
        </w:tc>
        <w:tc>
          <w:tcPr>
            <w:tcW w:w="160"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Less: Cash and cash equivalents</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(511</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20"/>
              </w:rPr>
            </w:pPr>
            <w:r>
              <w:rPr>
                <w:rFonts w:ascii="Arial" w:hAnsi="Arial"/>
                <w:sz w:val="20"/>
              </w:rPr>
              <w:t>Net debt</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2,628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1,896</w:t>
            </w:r>
          </w:p>
        </w:tc>
        <w:tc>
          <w:tcPr>
            <w:tcW w:w="160" w:type="dxa"/>
            <w:tcBorders/>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Leverage ratio of net debt to adjusted EBITDA</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49" w:type="dxa"/>
            <w:tcBorders/>
          </w:tcPr>
          <w:p>
            <w:pPr>
              <w:pStyle w:val="TableContents"/>
              <w:bidi w:val="0"/>
              <w:spacing w:before="0" w:after="0"/>
              <w:jc w:val="left"/>
              <w:rPr>
                <w:rFonts w:ascii="Arial" w:hAnsi="Arial"/>
                <w:sz w:val="20"/>
              </w:rPr>
            </w:pPr>
            <w:r>
              <w:rPr>
                <w:rFonts w:ascii="Arial" w:hAnsi="Arial"/>
                <w:sz w:val="20"/>
              </w:rPr>
              <w:t>Adjusted EBITDA</w:t>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3,075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2,936</w:t>
            </w:r>
          </w:p>
        </w:tc>
        <w:tc>
          <w:tcPr>
            <w:tcW w:w="160"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20"/>
              </w:rPr>
            </w:pPr>
            <w:r>
              <w:rPr>
                <w:rFonts w:ascii="Arial" w:hAnsi="Arial"/>
                <w:sz w:val="20"/>
              </w:rPr>
              <w:t>Net debt/adjusted EBITDA</w:t>
            </w:r>
          </w:p>
        </w:tc>
        <w:tc>
          <w:tcPr>
            <w:tcW w:w="3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0.9:1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0.6:1</w:t>
            </w:r>
          </w:p>
        </w:tc>
        <w:tc>
          <w:tcPr>
            <w:tcW w:w="160" w:type="dxa"/>
            <w:tcBorders/>
            <w:shd w:fill="CCEEFF" w:val="clear"/>
            <w:vAlign w:val="bottom"/>
          </w:tcPr>
          <w:p>
            <w:pPr>
              <w:pStyle w:val="TableContents"/>
              <w:bidi w:val="0"/>
              <w:spacing w:before="0" w:after="283"/>
              <w:jc w:val="left"/>
              <w:rPr/>
            </w:pPr>
            <w:r>
              <w:rPr/>
              <w:t> </w:t>
            </w:r>
          </w:p>
        </w:tc>
      </w:tr>
      <w:tr>
        <w:trPr/>
        <w:tc>
          <w:tcPr>
            <w:tcW w:w="694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Refer to page 22 for additional information on non-IFRS financial measures.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52550" cy="504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52550" cy="5048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Thomson Reuters Reports Second-Quarter 2026 Results </w:t>
      </w:r>
    </w:p>
    <w:p>
      <w:pPr>
        <w:pStyle w:val="TextBody"/>
        <w:bidi w:val="0"/>
        <w:spacing w:before="0" w:after="0"/>
        <w:jc w:val="left"/>
        <w:rPr>
          <w:rFonts w:ascii="Arial" w:hAnsi="Arial"/>
          <w:sz w:val="20"/>
        </w:rPr>
      </w:pPr>
      <w:r>
        <w:rPr>
          <w:rFonts w:ascii="Arial" w:hAnsi="Arial"/>
          <w:sz w:val="20"/>
        </w:rPr>
        <w:t xml:space="preserve">Page 22 of 22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4"/>
        <w:gridCol w:w="214"/>
        <w:gridCol w:w="4169"/>
        <w:gridCol w:w="121"/>
        <w:gridCol w:w="3947"/>
      </w:tblGrid>
      <w:tr>
        <w:trPr/>
        <w:tc>
          <w:tcPr>
            <w:tcW w:w="175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41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17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rPr>
            </w:pPr>
            <w:r>
              <w:rPr>
                <w:b/>
              </w:rPr>
              <w:t>Non-IFRS Financial Measures</w:t>
            </w:r>
          </w:p>
        </w:tc>
        <w:tc>
          <w:tcPr>
            <w:tcW w:w="2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6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Definition</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94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Why Useful to the Company and Investors</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Adjusted EBITDA and the related margin</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Represents earnings or losses from continuing operations before tax expense or benefit, net interest expense, other finance costs or income, depreciation, amortization of software and other identifiable intangible assets, Thomson Reuters share of post-tax earnings or losses in equity method investments, other operating gains and losses, certain asset impairment charges and fair value adjustments, including those related to acquired deferred revenue. The related margin is adjusted EBITDA expressed as a percentage of revenues. For purposes of this calculation, revenues are before fair value adjustments to acquired deferred revenue.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Provides a consistent basis to evaluate operating profitability and performance trends by excluding items that the company does not consider to be controllable activities for this purpose. Also, represents a measure commonly reported and widely used by investors as a valuation metric, as well as to assess the company’s ability to incur and service debt.</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Adjusted earnings and adjusted EPS</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0"/>
              <w:jc w:val="left"/>
              <w:rPr>
                <w:rFonts w:ascii="Arial" w:hAnsi="Arial"/>
                <w:sz w:val="20"/>
              </w:rPr>
            </w:pPr>
            <w:r>
              <w:rPr>
                <w:rFonts w:ascii="Arial" w:hAnsi="Arial"/>
                <w:sz w:val="20"/>
              </w:rPr>
              <w:t>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software), other operating gains and losses, certain asset impairment charges, other finance costs or income, Thomson Reuters share of post-tax earnings or losses in equity method investments, discontinued operations and other items affecting comparability. Acquired intangible assets contribute to the generation of revenues from acquired companies, which are included in the company’s computation of adjusted earnings.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post-tax amount of each item is excluded from adjusted earnings based on the specific tax rules and tax rates associated with the nature and jurisdiction of each item.</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Adjusted EPS is calculated from adjusted earnings using diluted weighted-average shares and does not represent actual earnings or loss per share attributable to shareholders.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0"/>
              <w:jc w:val="left"/>
              <w:rPr>
                <w:rFonts w:ascii="Arial" w:hAnsi="Arial"/>
                <w:sz w:val="20"/>
              </w:rPr>
            </w:pPr>
            <w:r>
              <w:rPr>
                <w:rFonts w:ascii="Arial" w:hAnsi="Arial"/>
                <w:sz w:val="20"/>
              </w:rPr>
              <w:t>Provides a more comparable basis to analyze earnings.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These measures are commonly used by shareholders to measure performance.</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Effective tax rate on adjusted earnings</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0"/>
              <w:jc w:val="left"/>
              <w:rPr>
                <w:rFonts w:ascii="Arial" w:hAnsi="Arial"/>
                <w:sz w:val="20"/>
              </w:rPr>
            </w:pPr>
            <w:r>
              <w:rPr>
                <w:rFonts w:ascii="Arial" w:hAnsi="Arial"/>
                <w:sz w:val="20"/>
              </w:rPr>
              <w:t>Adjusted tax expense divided by pre-tax adjusted earnings. Adjusted tax expense is computed as income tax expense or benefit plus or minus the income tax impacts of all items impacting adjusted earnings (as described above), and other tax items impacting comparability.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In interim periods, the company also makes an adjustment to reflect income taxes based on the estimated full-year effective tax rate. Earnings or losses for interim periods under IFRS reflect income taxes based on the estimated effective tax rates of each of the jurisdictions in which Thomson Reuters operates. The non-IFRS adjustment reallocates estimated full-year income taxes between interim periods but has no effect on full-year income taxes.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0"/>
              <w:jc w:val="left"/>
              <w:rPr>
                <w:rFonts w:ascii="Arial" w:hAnsi="Arial"/>
                <w:sz w:val="20"/>
              </w:rPr>
            </w:pPr>
            <w:r>
              <w:rPr>
                <w:rFonts w:ascii="Arial" w:hAnsi="Arial"/>
                <w:sz w:val="20"/>
              </w:rPr>
              <w:t>Provides a basis to analyze the effective tax rate associated with adjusted earnings.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company’s effective tax rate computed in accordance with IFRS may be more volatile by quarter because the geographical mix of pre-tax profits and losses in interim periods may be different from that for the full year. Therefore, the company believes that using the expected full-year effective tax rate provides more comparability among interim periods.</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Free cash flow</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Net cash provided by operating activities and other investing activities, less capital expenditures, payments of lease principal and dividends paid on the company’s preference shares.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Helps assess the company’s ability, over the long term, to create value for its shareholders as it represents cash available to repay debt, pay common dividends, fund share repurchases and acquisitions.</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Changes before the impact of foreign currency or at constant currency</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The changes in revenues, adjusted EBITDA and the related margin, and adjusted EPS before currency (at constant currency or excluding the effects of currency) are determined by converting the current and equivalent prior period’s local currency results using the same foreign currency exchange rate.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Provides better comparability of business trends from period to period.</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Changes in revenues computed on an organic basis</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Represent changes in revenues of the company’s existing businesses at constant currency. The metric excludes the distortive impacts of acquisitions and dispositions from not owning the business in both comparable periods.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Provides further insight into the performance of the company’s existing businesses by excluding distortive impacts and serves as a better measure of the company’s ability to grow its business over the long term.</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Accrued capital expenditures as a percentage of revenues</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Accrued capital expenditures divided by revenues, where accrued capital expenditures include amounts that remain unpaid at the end of the reporting period. For purposes of this calculation, revenues are before fair value adjustments to acquired deferred revenue.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Reflects the basis on which the company manages capital expenditures for internal planning purposes.</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pPr>
            <w:r>
              <w:rPr/>
              <w:t>“</w:t>
            </w:r>
            <w:r>
              <w:rPr>
                <w:rFonts w:ascii="Arial" w:hAnsi="Arial"/>
                <w:sz w:val="20"/>
              </w:rPr>
              <w:t>Big 3” segments</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283"/>
              <w:jc w:val="left"/>
              <w:rPr/>
            </w:pPr>
            <w:r>
              <w:rPr/>
              <w:t>The company’s combined Legal Professionals, Corporates and Tax, Audit &amp; Accounting Professionals segments. All measures reported for the “Big 3” segments are non-IFRS financial measures.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283"/>
              <w:jc w:val="left"/>
              <w:rPr/>
            </w:pPr>
            <w:r>
              <w:rPr/>
              <w:t>The “Big 3” segments comprised approximately 80% of revenues and represent the core of the company’s business information service product offerings.</w:t>
            </w:r>
          </w:p>
        </w:tc>
      </w:tr>
      <w:tr>
        <w:trPr>
          <w:trHeight w:val="120" w:hRule="atLeast"/>
        </w:trPr>
        <w:tc>
          <w:tcPr>
            <w:tcW w:w="175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38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0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754" w:type="dxa"/>
            <w:tcBorders>
              <w:left w:val="single" w:sz="2" w:space="0" w:color="000000"/>
              <w:bottom w:val="single" w:sz="2" w:space="0" w:color="000000"/>
              <w:right w:val="single" w:sz="2" w:space="0" w:color="000000"/>
            </w:tcBorders>
            <w:tcMar>
              <w:left w:w="160" w:type="dxa"/>
              <w:bottom w:w="60" w:type="dxa"/>
              <w:right w:w="28" w:type="dxa"/>
            </w:tcMar>
          </w:tcPr>
          <w:p>
            <w:pPr>
              <w:pStyle w:val="TableContents"/>
              <w:bidi w:val="0"/>
              <w:spacing w:before="0" w:after="0"/>
              <w:jc w:val="left"/>
              <w:rPr>
                <w:rFonts w:ascii="Arial" w:hAnsi="Arial"/>
                <w:sz w:val="20"/>
              </w:rPr>
            </w:pPr>
            <w:r>
              <w:rPr>
                <w:rFonts w:ascii="Arial" w:hAnsi="Arial"/>
                <w:sz w:val="20"/>
              </w:rPr>
              <w:t>Net debt and leverage ratio of net debt to adjusted EBITDA</w:t>
            </w:r>
          </w:p>
        </w:tc>
        <w:tc>
          <w:tcPr>
            <w:tcW w:w="21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69" w:type="dxa"/>
            <w:tcBorders>
              <w:bottom w:val="single" w:sz="2" w:space="0" w:color="000000"/>
              <w:right w:val="single" w:sz="2" w:space="0" w:color="000000"/>
            </w:tcBorders>
            <w:tcMar>
              <w:bottom w:w="60" w:type="dxa"/>
              <w:right w:w="28" w:type="dxa"/>
            </w:tcMar>
          </w:tcPr>
          <w:p>
            <w:pPr>
              <w:pStyle w:val="TableContents"/>
              <w:bidi w:val="0"/>
              <w:spacing w:before="0" w:after="0"/>
              <w:jc w:val="left"/>
              <w:rPr>
                <w:rFonts w:ascii="Arial" w:hAnsi="Arial"/>
                <w:sz w:val="20"/>
              </w:rPr>
            </w:pPr>
            <w:r>
              <w:rPr>
                <w:rFonts w:ascii="Arial" w:hAnsi="Arial"/>
                <w:sz w:val="20"/>
              </w:rPr>
              <w:t>Net debt is total debt, plus related hedging instruments and collateral balances, along with lease liabilities, excluding unamortized transaction costs and any premiums or discounts on debt, minus cash and cash equivalents. We exclude specific hedging components to reflect the net cash outflow upon debt maturity.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Net debt to adjusted EBITDA is net debt divided by adjusted EBITDA for the previous twelve-month period ending with the current fiscal quarter.</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47" w:type="dxa"/>
            <w:tcBorders>
              <w:bottom w:val="single" w:sz="2" w:space="0" w:color="000000"/>
              <w:right w:val="single" w:sz="2" w:space="0" w:color="000000"/>
            </w:tcBorders>
            <w:tcMar>
              <w:bottom w:w="60" w:type="dxa"/>
              <w:right w:w="40" w:type="dxa"/>
            </w:tcMar>
          </w:tcPr>
          <w:p>
            <w:pPr>
              <w:pStyle w:val="TableContents"/>
              <w:bidi w:val="0"/>
              <w:spacing w:before="0" w:after="0"/>
              <w:jc w:val="left"/>
              <w:rPr>
                <w:rFonts w:ascii="Arial" w:hAnsi="Arial"/>
                <w:sz w:val="20"/>
              </w:rPr>
            </w:pPr>
            <w:r>
              <w:rPr>
                <w:rFonts w:ascii="Arial" w:hAnsi="Arial"/>
                <w:sz w:val="20"/>
              </w:rPr>
              <w:t>Provides a commonly used measure of a company’s leverage and its ability to pay its debt. Given that the company hedges some of its debt to manage risk, the company includes hedging instruments as it believes it provides a better measure of the total obligation associated with its outstanding debt. Since the company plans to hold its debt and related hedges until maturity, the net debt calculation is adjusted to reflect the net cash outflow at maturity, after deducting cash and cash equivalents.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company’s non-IFRS measure is aligned with the calculation of its internal target leverage ratio and is more conservative than the maximum ratio allowed under the contractual covenants in its credit facility.</w:t>
            </w:r>
          </w:p>
        </w:tc>
      </w:tr>
    </w:tbl>
    <w:p>
      <w:pPr>
        <w:pStyle w:val="TextBody"/>
        <w:bidi w:val="0"/>
        <w:spacing w:before="240" w:after="0"/>
        <w:jc w:val="left"/>
        <w:rPr>
          <w:rFonts w:ascii="Arial" w:hAnsi="Arial"/>
          <w:i/>
          <w:sz w:val="16"/>
        </w:rPr>
      </w:pPr>
      <w:r>
        <w:rPr>
          <w:rFonts w:ascii="Arial" w:hAnsi="Arial"/>
          <w:i/>
          <w:sz w:val="16"/>
        </w:rPr>
        <w:t xml:space="preserve">Please refer to reconciliations for the most directly comparable IFRS financial measures.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10137</Words>
  <Characters>51899</Characters>
  <CharactersWithSpaces>66756</CharactersWithSpaces>
  <Paragraphs>9506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EX-99.1 - EARNINGS RELEASE</dc:title>
</cp:coreProperties>
</file>