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246380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REPORT OF FOREIGN PRIVATE ISSUER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RULE 13a-16 OR 15d-16</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UNDER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247650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 Duncan Street</w:t>
      </w:r>
    </w:p>
    <w:p>
      <w:pPr>
        <w:spacing w:after="0" w:line="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Toronto, Ontario M5H 3H1, Canada</w:t>
      </w:r>
    </w:p>
    <w:p>
      <w:pPr>
        <w:spacing w:after="0" w:line="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224790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information contained in Exhibit 99.1 of this Form 6-K is incorporated by reference into, or as an additional exhibit to, as applicable, the registrant’s outstanding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00"/>
          </w:cols>
          <w:pgMar w:left="480" w:top="373" w:right="519"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(Registrant)</w:t>
      </w:r>
    </w:p>
    <w:p>
      <w:pPr>
        <w:spacing w:after="0" w:line="2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15875</wp:posOffset>
            </wp:positionV>
            <wp:extent cx="2539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3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Title:     Deputy Company Secretary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15, 2026</w:t>
      </w:r>
    </w:p>
    <w:p>
      <w:pPr>
        <w:sectPr>
          <w:pgSz w:w="11900" w:h="16838" w:orient="portrait"/>
          <w:cols w:equalWidth="0" w:num="1">
            <w:col w:w="10180"/>
          </w:cols>
          <w:pgMar w:left="480" w:top="264" w:right="1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7940" w:type="dxa"/>
            <w:vAlign w:val="bottom"/>
            <w:gridSpan w:val="3"/>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7"/>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7940" w:type="dxa"/>
            <w:vAlign w:val="bottom"/>
            <w:gridSpan w:val="3"/>
          </w:tcPr>
          <w:p>
            <w:pPr>
              <w:ind w:left="5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1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9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w w:val="98"/>
              </w:rPr>
              <w:t>Notice of Annual Meeting of Shareholders and Management Proxy Circular dated April 15, 2026</w:t>
            </w: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9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Form of Proxy for Registered Shareholders</w:t>
            </w: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9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Notice of Availability of Proxy Materials</w:t>
            </w: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79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Corporate Governance Guidelines</w:t>
            </w:r>
          </w:p>
        </w:tc>
      </w:tr>
    </w:tbl>
    <w:p>
      <w:pPr>
        <w:ind w:left="1000"/>
        <w:spacing w:after="0"/>
        <w:rPr>
          <w:sz w:val="20"/>
          <w:szCs w:val="20"/>
          <w:color w:val="auto"/>
        </w:rPr>
        <w:sectPr>
          <w:pgSz w:w="11900" w:h="16838" w:orient="portrait"/>
          <w:cols w:equalWidth="0" w:num="1">
            <w:col w:w="9979"/>
          </w:cols>
          <w:pgMar w:left="480" w:top="264" w:right="1440"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20955</wp:posOffset>
            </wp:positionV>
            <wp:extent cx="2038350" cy="679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8350"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700"/>
        <w:spacing w:after="0" w:line="258" w:lineRule="auto"/>
        <w:rPr>
          <w:sz w:val="20"/>
          <w:szCs w:val="20"/>
          <w:color w:val="auto"/>
        </w:rPr>
      </w:pPr>
      <w:r>
        <w:rPr>
          <w:rFonts w:ascii="Arial" w:cs="Arial" w:eastAsia="Arial" w:hAnsi="Arial"/>
          <w:sz w:val="64"/>
          <w:szCs w:val="64"/>
          <w:color w:val="D64000"/>
        </w:rPr>
        <w:t>Management Proxy Circular and Notice of Annual Meeting of Shareholders</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791210</wp:posOffset>
            </wp:positionV>
            <wp:extent cx="3966210" cy="322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66210"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6820" w:type="dxa"/>
            <w:vAlign w:val="bottom"/>
          </w:tcPr>
          <w:p>
            <w:pPr>
              <w:jc w:val="center"/>
              <w:ind w:right="1220"/>
              <w:spacing w:after="0"/>
              <w:rPr>
                <w:sz w:val="20"/>
                <w:szCs w:val="20"/>
                <w:color w:val="auto"/>
              </w:rPr>
            </w:pPr>
            <w:r>
              <w:rPr>
                <w:rFonts w:ascii="Arial" w:cs="Arial" w:eastAsia="Arial" w:hAnsi="Arial"/>
                <w:sz w:val="16"/>
                <w:szCs w:val="16"/>
                <w:b w:val="1"/>
                <w:bCs w:val="1"/>
                <w:color w:val="auto"/>
                <w:w w:val="99"/>
              </w:rPr>
              <w:t>YOUR VOTE AND PARTICIPATION AS A SHAREHOLDER IS IMPORTANT.</w:t>
            </w:r>
          </w:p>
        </w:tc>
        <w:tc>
          <w:tcPr>
            <w:tcW w:w="1340" w:type="dxa"/>
            <w:vAlign w:val="bottom"/>
          </w:tcPr>
          <w:p>
            <w:pPr>
              <w:spacing w:after="0"/>
              <w:rPr>
                <w:sz w:val="16"/>
                <w:szCs w:val="16"/>
                <w:color w:val="auto"/>
              </w:rPr>
            </w:pPr>
          </w:p>
        </w:tc>
      </w:tr>
      <w:tr>
        <w:trPr>
          <w:trHeight w:val="221"/>
        </w:trPr>
        <w:tc>
          <w:tcPr>
            <w:tcW w:w="6820" w:type="dxa"/>
            <w:vAlign w:val="bottom"/>
          </w:tcPr>
          <w:p>
            <w:pPr>
              <w:jc w:val="center"/>
              <w:ind w:right="1200"/>
              <w:spacing w:after="0"/>
              <w:rPr>
                <w:sz w:val="20"/>
                <w:szCs w:val="20"/>
                <w:color w:val="auto"/>
              </w:rPr>
            </w:pPr>
            <w:r>
              <w:rPr>
                <w:rFonts w:ascii="Arial" w:cs="Arial" w:eastAsia="Arial" w:hAnsi="Arial"/>
                <w:sz w:val="16"/>
                <w:szCs w:val="16"/>
                <w:b w:val="1"/>
                <w:bCs w:val="1"/>
                <w:color w:val="auto"/>
              </w:rPr>
              <w:t>Please read this document and vote.</w:t>
            </w:r>
          </w:p>
        </w:tc>
        <w:tc>
          <w:tcPr>
            <w:tcW w:w="1340" w:type="dxa"/>
            <w:vAlign w:val="bottom"/>
          </w:tcPr>
          <w:p>
            <w:pPr>
              <w:ind w:left="1300"/>
              <w:spacing w:after="0"/>
              <w:rPr>
                <w:sz w:val="20"/>
                <w:szCs w:val="20"/>
                <w:color w:val="auto"/>
              </w:rPr>
            </w:pPr>
            <w:r>
              <w:rPr>
                <w:rFonts w:ascii="Arial" w:cs="Arial" w:eastAsia="Arial" w:hAnsi="Arial"/>
                <w:sz w:val="2"/>
                <w:szCs w:val="2"/>
                <w:color w:val="FFFFFF"/>
                <w:w w:val="97"/>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094855" cy="4798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4855" cy="4798060"/>
                    </a:xfrm>
                    <a:prstGeom prst="rect">
                      <a:avLst/>
                    </a:prstGeom>
                    <a:noFill/>
                  </pic:spPr>
                </pic:pic>
              </a:graphicData>
            </a:graphic>
          </wp:anchor>
        </w:drawing>
      </w:r>
    </w:p>
    <w:p>
      <w:pPr>
        <w:sectPr>
          <w:pgSz w:w="11900" w:h="16838" w:orient="portrait"/>
          <w:cols w:equalWidth="0" w:num="1">
            <w:col w:w="10920"/>
          </w:cols>
          <w:pgMar w:left="480" w:top="124" w:right="499" w:bottom="1440" w:gutter="0" w:footer="0" w:header="0"/>
        </w:sectPr>
      </w:pPr>
    </w:p>
    <w:bookmarkStart w:id="4" w:name="page5"/>
    <w:bookmarkEnd w:id="4"/>
    <w:p>
      <w:pPr>
        <w:ind w:right="1120"/>
        <w:spacing w:after="0" w:line="286" w:lineRule="auto"/>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 of Annual Meeting of Shareholders of Thomson Reuters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We are pleased to invite you to attend our 2026 annual meeting of shareholders.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840" w:type="dxa"/>
            <w:vAlign w:val="bottom"/>
            <w:vMerge w:val="restart"/>
          </w:tcPr>
          <w:p>
            <w:pPr>
              <w:spacing w:after="0"/>
              <w:rPr>
                <w:sz w:val="20"/>
                <w:szCs w:val="20"/>
                <w:color w:val="auto"/>
              </w:rPr>
            </w:pPr>
            <w:r>
              <w:rPr>
                <w:rFonts w:ascii="Arial" w:cs="Arial" w:eastAsia="Arial" w:hAnsi="Arial"/>
                <w:sz w:val="18"/>
                <w:szCs w:val="18"/>
                <w:color w:val="auto"/>
              </w:rPr>
              <w:t xml:space="preserve">          </w:t>
            </w:r>
          </w:p>
        </w:tc>
        <w:tc>
          <w:tcPr>
            <w:tcW w:w="3680" w:type="dxa"/>
            <w:vAlign w:val="bottom"/>
          </w:tcPr>
          <w:p>
            <w:pPr>
              <w:ind w:left="260"/>
              <w:spacing w:after="0"/>
              <w:rPr>
                <w:sz w:val="20"/>
                <w:szCs w:val="20"/>
                <w:color w:val="auto"/>
              </w:rPr>
            </w:pPr>
            <w:r>
              <w:rPr>
                <w:rFonts w:ascii="Arial" w:cs="Arial" w:eastAsia="Arial" w:hAnsi="Arial"/>
                <w:sz w:val="25"/>
                <w:szCs w:val="25"/>
                <w:b w:val="1"/>
                <w:bCs w:val="1"/>
                <w:color w:val="auto"/>
              </w:rPr>
              <w:t>When</w:t>
            </w:r>
          </w:p>
        </w:tc>
        <w:tc>
          <w:tcPr>
            <w:tcW w:w="6080" w:type="dxa"/>
            <w:vAlign w:val="bottom"/>
          </w:tcPr>
          <w:p>
            <w:pPr>
              <w:ind w:left="960"/>
              <w:spacing w:after="0"/>
              <w:rPr>
                <w:sz w:val="20"/>
                <w:szCs w:val="20"/>
                <w:color w:val="auto"/>
              </w:rPr>
            </w:pPr>
            <w:r>
              <w:rPr>
                <w:rFonts w:ascii="Arial" w:cs="Arial" w:eastAsia="Arial" w:hAnsi="Arial"/>
                <w:sz w:val="25"/>
                <w:szCs w:val="25"/>
                <w:b w:val="1"/>
                <w:bCs w:val="1"/>
                <w:color w:val="auto"/>
              </w:rPr>
              <w:t>Where</w:t>
            </w: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3680" w:type="dxa"/>
            <w:vAlign w:val="bottom"/>
          </w:tcPr>
          <w:p>
            <w:pPr>
              <w:ind w:left="260"/>
              <w:spacing w:after="0"/>
              <w:rPr>
                <w:sz w:val="20"/>
                <w:szCs w:val="20"/>
                <w:color w:val="auto"/>
              </w:rPr>
            </w:pPr>
            <w:r>
              <w:rPr>
                <w:rFonts w:ascii="Arial" w:cs="Arial" w:eastAsia="Arial" w:hAnsi="Arial"/>
                <w:sz w:val="16"/>
                <w:szCs w:val="16"/>
                <w:color w:val="auto"/>
              </w:rPr>
              <w:t>Wednesday, June 10, 2026</w:t>
            </w:r>
          </w:p>
        </w:tc>
        <w:tc>
          <w:tcPr>
            <w:tcW w:w="6080" w:type="dxa"/>
            <w:vAlign w:val="bottom"/>
          </w:tcPr>
          <w:p>
            <w:pPr>
              <w:ind w:left="960"/>
              <w:spacing w:after="0"/>
              <w:rPr>
                <w:sz w:val="20"/>
                <w:szCs w:val="20"/>
                <w:color w:val="auto"/>
              </w:rPr>
            </w:pPr>
            <w:r>
              <w:rPr>
                <w:rFonts w:ascii="Arial" w:cs="Arial" w:eastAsia="Arial" w:hAnsi="Arial"/>
                <w:sz w:val="16"/>
                <w:szCs w:val="16"/>
                <w:color w:val="auto"/>
              </w:rPr>
              <w:t>Roy Thomson Hall</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3680" w:type="dxa"/>
            <w:vAlign w:val="bottom"/>
          </w:tcPr>
          <w:p>
            <w:pPr>
              <w:ind w:left="260"/>
              <w:spacing w:after="0"/>
              <w:rPr>
                <w:sz w:val="20"/>
                <w:szCs w:val="20"/>
                <w:color w:val="auto"/>
              </w:rPr>
            </w:pPr>
            <w:r>
              <w:rPr>
                <w:rFonts w:ascii="Arial" w:cs="Arial" w:eastAsia="Arial" w:hAnsi="Arial"/>
                <w:sz w:val="16"/>
                <w:szCs w:val="16"/>
                <w:color w:val="auto"/>
              </w:rPr>
              <w:t>12:00 p.m. (Eastern Daylight Time)</w:t>
            </w:r>
          </w:p>
        </w:tc>
        <w:tc>
          <w:tcPr>
            <w:tcW w:w="6080" w:type="dxa"/>
            <w:vAlign w:val="bottom"/>
          </w:tcPr>
          <w:p>
            <w:pPr>
              <w:ind w:left="960"/>
              <w:spacing w:after="0"/>
              <w:rPr>
                <w:sz w:val="20"/>
                <w:szCs w:val="20"/>
                <w:color w:val="auto"/>
              </w:rPr>
            </w:pPr>
            <w:r>
              <w:rPr>
                <w:rFonts w:ascii="Arial" w:cs="Arial" w:eastAsia="Arial" w:hAnsi="Arial"/>
                <w:sz w:val="16"/>
                <w:szCs w:val="16"/>
                <w:color w:val="auto"/>
              </w:rPr>
              <w:t>60 Simcoe Street</w:t>
            </w: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080" w:type="dxa"/>
            <w:vAlign w:val="bottom"/>
          </w:tcPr>
          <w:p>
            <w:pPr>
              <w:ind w:left="960"/>
              <w:spacing w:after="0"/>
              <w:rPr>
                <w:sz w:val="20"/>
                <w:szCs w:val="20"/>
                <w:color w:val="auto"/>
              </w:rPr>
            </w:pPr>
            <w:r>
              <w:rPr>
                <w:rFonts w:ascii="Arial" w:cs="Arial" w:eastAsia="Arial" w:hAnsi="Arial"/>
                <w:sz w:val="16"/>
                <w:szCs w:val="16"/>
                <w:color w:val="auto"/>
              </w:rPr>
              <w:t>Toronto, Ontario, Canada</w:t>
            </w: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6080" w:type="dxa"/>
            <w:vAlign w:val="bottom"/>
          </w:tcPr>
          <w:p>
            <w:pPr>
              <w:ind w:left="960"/>
              <w:spacing w:after="0"/>
              <w:rPr>
                <w:sz w:val="20"/>
                <w:szCs w:val="20"/>
                <w:color w:val="auto"/>
              </w:rPr>
            </w:pPr>
            <w:r>
              <w:rPr>
                <w:rFonts w:ascii="Arial" w:cs="Arial" w:eastAsia="Arial" w:hAnsi="Arial"/>
                <w:sz w:val="16"/>
                <w:szCs w:val="16"/>
                <w:color w:val="auto"/>
              </w:rPr>
              <w:t>A live audio webcast will be available on our website at</w:t>
            </w: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080" w:type="dxa"/>
            <w:vAlign w:val="bottom"/>
          </w:tcPr>
          <w:p>
            <w:pPr>
              <w:ind w:left="960"/>
              <w:spacing w:after="0"/>
              <w:rPr>
                <w:sz w:val="20"/>
                <w:szCs w:val="20"/>
                <w:color w:val="auto"/>
              </w:rPr>
            </w:pPr>
            <w:r>
              <w:rPr>
                <w:rFonts w:ascii="Arial" w:cs="Arial" w:eastAsia="Arial" w:hAnsi="Arial"/>
                <w:sz w:val="16"/>
                <w:szCs w:val="16"/>
                <w:color w:val="auto"/>
                <w:w w:val="99"/>
              </w:rPr>
              <w:t>www.thomsonreuters.com. A replay of the webcast will be posted on our</w:t>
            </w: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080" w:type="dxa"/>
            <w:vAlign w:val="bottom"/>
          </w:tcPr>
          <w:p>
            <w:pPr>
              <w:ind w:left="960"/>
              <w:spacing w:after="0"/>
              <w:rPr>
                <w:sz w:val="20"/>
                <w:szCs w:val="20"/>
                <w:color w:val="auto"/>
              </w:rPr>
            </w:pPr>
            <w:r>
              <w:rPr>
                <w:rFonts w:ascii="Arial" w:cs="Arial" w:eastAsia="Arial" w:hAnsi="Arial"/>
                <w:sz w:val="16"/>
                <w:szCs w:val="16"/>
                <w:color w:val="auto"/>
              </w:rPr>
              <w:t>website after the meeting.</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72" w:lineRule="exact"/>
        <w:rPr>
          <w:sz w:val="20"/>
          <w:szCs w:val="20"/>
          <w:color w:val="auto"/>
        </w:rPr>
      </w:pPr>
    </w:p>
    <w:p>
      <w:pPr>
        <w:jc w:val="both"/>
        <w:ind w:right="140"/>
        <w:spacing w:after="0" w:line="241" w:lineRule="auto"/>
        <w:rPr>
          <w:sz w:val="20"/>
          <w:szCs w:val="20"/>
          <w:color w:val="auto"/>
        </w:rPr>
      </w:pPr>
      <w:r>
        <w:rPr>
          <w:rFonts w:ascii="Arial" w:cs="Arial" w:eastAsia="Arial" w:hAnsi="Arial"/>
          <w:sz w:val="17"/>
          <w:szCs w:val="17"/>
          <w:color w:val="auto"/>
        </w:rPr>
        <w:t>We are pleased to invite you to attend the 2026 Thomson Reuters annual meeting of shareholders on Wednesday, June 10, 2026 at 12:00 p.m. (Eastern Daylight Time). Our company will be holding this meeting in-person at Roy Thomson Hall, 60 Simcoe Street, Toronto, Ontario, Canada. A live audio webcast of the meeting will also be available on our website at www.thomsonreuters.com. A replay of the webcast will be posted on our website after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Business of the Meeting</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 the meeting, shareholders will be asked to:</w:t>
      </w:r>
    </w:p>
    <w:p>
      <w:pPr>
        <w:spacing w:after="0" w:line="85" w:lineRule="exact"/>
        <w:rPr>
          <w:sz w:val="20"/>
          <w:szCs w:val="20"/>
          <w:color w:val="auto"/>
        </w:rPr>
      </w:pPr>
    </w:p>
    <w:p>
      <w:pPr>
        <w:ind w:left="200" w:hanging="193"/>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Receive our consolidated financial statements for the year ended December 31, 2025 and the auditor’s report on those statements;</w:t>
      </w:r>
    </w:p>
    <w:p>
      <w:pPr>
        <w:spacing w:after="0" w:line="72" w:lineRule="exact"/>
        <w:rPr>
          <w:rFonts w:ascii="Arial" w:cs="Arial" w:eastAsia="Arial" w:hAnsi="Arial"/>
          <w:sz w:val="17"/>
          <w:szCs w:val="17"/>
          <w:color w:val="auto"/>
        </w:rPr>
      </w:pPr>
    </w:p>
    <w:p>
      <w:pPr>
        <w:ind w:left="200" w:hanging="193"/>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Elect directors;</w:t>
      </w:r>
    </w:p>
    <w:p>
      <w:pPr>
        <w:spacing w:after="0" w:line="85" w:lineRule="exact"/>
        <w:rPr>
          <w:rFonts w:ascii="Arial" w:cs="Arial" w:eastAsia="Arial" w:hAnsi="Arial"/>
          <w:sz w:val="17"/>
          <w:szCs w:val="17"/>
          <w:color w:val="auto"/>
        </w:rPr>
      </w:pPr>
    </w:p>
    <w:p>
      <w:pPr>
        <w:ind w:left="200" w:hanging="193"/>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Appoint PricewaterhouseCoopers LLP as the auditor and authorize the directors to fix the auditor’s remuneration;</w:t>
      </w:r>
    </w:p>
    <w:p>
      <w:pPr>
        <w:spacing w:after="0" w:line="85" w:lineRule="exact"/>
        <w:rPr>
          <w:rFonts w:ascii="Arial" w:cs="Arial" w:eastAsia="Arial" w:hAnsi="Arial"/>
          <w:sz w:val="17"/>
          <w:szCs w:val="17"/>
          <w:color w:val="auto"/>
        </w:rPr>
      </w:pPr>
    </w:p>
    <w:p>
      <w:pPr>
        <w:ind w:left="200" w:hanging="193"/>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Consider an advisory resolution on executive compensation;</w:t>
      </w:r>
    </w:p>
    <w:p>
      <w:pPr>
        <w:spacing w:after="0" w:line="98" w:lineRule="exact"/>
        <w:rPr>
          <w:rFonts w:ascii="Arial" w:cs="Arial" w:eastAsia="Arial" w:hAnsi="Arial"/>
          <w:sz w:val="17"/>
          <w:szCs w:val="17"/>
          <w:color w:val="auto"/>
        </w:rPr>
      </w:pPr>
    </w:p>
    <w:p>
      <w:pPr>
        <w:ind w:left="200" w:hanging="193"/>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Consider the shareholder proposal set forth in the accompanying management information circular; and</w:t>
      </w:r>
    </w:p>
    <w:p>
      <w:pPr>
        <w:spacing w:after="0" w:line="72" w:lineRule="exact"/>
        <w:rPr>
          <w:rFonts w:ascii="Arial" w:cs="Arial" w:eastAsia="Arial" w:hAnsi="Arial"/>
          <w:sz w:val="17"/>
          <w:szCs w:val="17"/>
          <w:color w:val="auto"/>
        </w:rPr>
      </w:pPr>
    </w:p>
    <w:p>
      <w:pPr>
        <w:ind w:left="200" w:hanging="193"/>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Transact any other business properly brought before the meeting and any adjourned or postponed meeting.</w:t>
      </w:r>
    </w:p>
    <w:p>
      <w:pPr>
        <w:spacing w:after="0" w:line="85" w:lineRule="exact"/>
        <w:rPr>
          <w:sz w:val="20"/>
          <w:szCs w:val="20"/>
          <w:color w:val="auto"/>
        </w:rPr>
      </w:pPr>
    </w:p>
    <w:p>
      <w:pPr>
        <w:jc w:val="both"/>
        <w:ind w:right="360"/>
        <w:spacing w:after="0" w:line="246" w:lineRule="auto"/>
        <w:rPr>
          <w:sz w:val="20"/>
          <w:szCs w:val="20"/>
          <w:color w:val="auto"/>
        </w:rPr>
      </w:pPr>
      <w:r>
        <w:rPr>
          <w:rFonts w:ascii="Arial" w:cs="Arial" w:eastAsia="Arial" w:hAnsi="Arial"/>
          <w:sz w:val="17"/>
          <w:szCs w:val="17"/>
          <w:color w:val="auto"/>
        </w:rPr>
        <w:t>You can read about each of these items in more detail in the accompanying management proxy circular. At the meeting, you will also have an opportunity to hear about our 2025 performance and our plans for Thomson Reuters going forward. Shareholders in attendance will have an opportunity to ask questions.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Participating in the Meeting</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process for participating in the meeting depends on whether you’re a registered or non-registered shareholder. You can find more information about these terms in the “Voting Information and How to Attend” section of the accompanying management proxy circular.</w:t>
      </w:r>
    </w:p>
    <w:p>
      <w:pPr>
        <w:spacing w:after="0" w:line="40" w:lineRule="exact"/>
        <w:rPr>
          <w:sz w:val="20"/>
          <w:szCs w:val="20"/>
          <w:color w:val="auto"/>
        </w:rPr>
      </w:pPr>
    </w:p>
    <w:p>
      <w:pPr>
        <w:ind w:left="320" w:right="260" w:hanging="313"/>
        <w:spacing w:after="0" w:line="263" w:lineRule="auto"/>
        <w:tabs>
          <w:tab w:leader="none" w:pos="320" w:val="left"/>
        </w:tabs>
        <w:numPr>
          <w:ilvl w:val="0"/>
          <w:numId w:val="2"/>
        </w:numPr>
        <w:rPr>
          <w:rFonts w:ascii="Arial" w:cs="Arial" w:eastAsia="Arial" w:hAnsi="Arial"/>
          <w:sz w:val="17"/>
          <w:szCs w:val="17"/>
          <w:color w:val="D64000"/>
        </w:rPr>
      </w:pPr>
      <w:r>
        <w:rPr>
          <w:rFonts w:ascii="Arial" w:cs="Arial" w:eastAsia="Arial" w:hAnsi="Arial"/>
          <w:sz w:val="17"/>
          <w:szCs w:val="17"/>
          <w:color w:val="auto"/>
        </w:rPr>
        <w:t>Registered shareholders and duly appointed proxyholders (including non-registered shareholders who have duly appointed themselves as proxyholder) will be able to attend the meeting, submit or ask questions and vote at the meeting in person.</w:t>
      </w:r>
    </w:p>
    <w:p>
      <w:pPr>
        <w:spacing w:after="0" w:line="39" w:lineRule="exact"/>
        <w:rPr>
          <w:rFonts w:ascii="Arial" w:cs="Arial" w:eastAsia="Arial" w:hAnsi="Arial"/>
          <w:sz w:val="17"/>
          <w:szCs w:val="17"/>
          <w:color w:val="D64000"/>
        </w:rPr>
      </w:pPr>
    </w:p>
    <w:p>
      <w:pPr>
        <w:ind w:left="320" w:hanging="313"/>
        <w:spacing w:after="0" w:line="256" w:lineRule="auto"/>
        <w:tabs>
          <w:tab w:leader="none" w:pos="320" w:val="left"/>
        </w:tabs>
        <w:numPr>
          <w:ilvl w:val="0"/>
          <w:numId w:val="2"/>
        </w:numPr>
        <w:rPr>
          <w:rFonts w:ascii="Arial" w:cs="Arial" w:eastAsia="Arial" w:hAnsi="Arial"/>
          <w:sz w:val="16"/>
          <w:szCs w:val="16"/>
          <w:color w:val="D64000"/>
        </w:rPr>
      </w:pPr>
      <w:r>
        <w:rPr>
          <w:rFonts w:ascii="Arial" w:cs="Arial" w:eastAsia="Arial" w:hAnsi="Arial"/>
          <w:sz w:val="16"/>
          <w:szCs w:val="16"/>
          <w:b w:val="1"/>
          <w:bCs w:val="1"/>
          <w:color w:val="auto"/>
        </w:rPr>
        <w:t>If you are a non-registered shareholder (or “beneficial owner”) who wishes to attend the meeting, submit or ask questions and vote in-person, you have to appoint yourself as proxyholder first and then also register with our transfer agent, Computershare Trust Company of Canada. If you’re a non-registered shareholder and don’t appoint yourself as proxyholder, you can still attend the meeting as a guest, but you won’t be able to submit or ask questions or vote at the meeting. If you are a non-registered shareholder located in the United States and wish to appoint yourself as a proxyholder in order to attend, participate or vote at the meeting, you MUST also obtain a valid legal proxy from your intermediary and submit it to Computershare Trust Company of Canada.</w:t>
      </w:r>
    </w:p>
    <w:p>
      <w:pPr>
        <w:spacing w:after="0" w:line="26" w:lineRule="exact"/>
        <w:rPr>
          <w:rFonts w:ascii="Arial" w:cs="Arial" w:eastAsia="Arial" w:hAnsi="Arial"/>
          <w:sz w:val="16"/>
          <w:szCs w:val="16"/>
          <w:color w:val="D64000"/>
        </w:rPr>
      </w:pPr>
    </w:p>
    <w:p>
      <w:pPr>
        <w:ind w:left="340" w:right="20"/>
        <w:spacing w:after="0" w:line="263" w:lineRule="auto"/>
        <w:rPr>
          <w:rFonts w:ascii="Arial" w:cs="Arial" w:eastAsia="Arial" w:hAnsi="Arial"/>
          <w:sz w:val="16"/>
          <w:szCs w:val="16"/>
          <w:color w:val="D64000"/>
        </w:rPr>
      </w:pPr>
      <w:r>
        <w:rPr>
          <w:rFonts w:ascii="Arial" w:cs="Arial" w:eastAsia="Arial" w:hAnsi="Arial"/>
          <w:sz w:val="17"/>
          <w:szCs w:val="17"/>
          <w:color w:val="auto"/>
        </w:rPr>
        <w:t>Please carefully follow the instructions in the “Voting Information and How to Attend” section of the accompanying management proxy circular and on your form of proxy or voting instruction form (VIF).</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Record Date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You are entitled to vote at the meeting, and any adjourned or postponed meeting, if you were a holder of our common shares as of 5:00 p.m.</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(Eastern Daylight Time) on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6929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Notice-And-Access</w:t>
      </w:r>
    </w:p>
    <w:p>
      <w:pPr>
        <w:spacing w:after="0" w:line="10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 xml:space="preserve">We are using the “notice-and-access” system for the delivery of our proxy materials through our website, </w:t>
      </w:r>
      <w:r>
        <w:rPr>
          <w:rFonts w:ascii="Arial" w:cs="Arial" w:eastAsia="Arial" w:hAnsi="Arial"/>
          <w:sz w:val="17"/>
          <w:szCs w:val="17"/>
          <w:b w:val="1"/>
          <w:bCs w:val="1"/>
          <w:color w:val="auto"/>
        </w:rPr>
        <w:t>www.thomsonreuters.com</w:t>
      </w:r>
      <w:r>
        <w:rPr>
          <w:rFonts w:ascii="Arial" w:cs="Arial" w:eastAsia="Arial" w:hAnsi="Arial"/>
          <w:sz w:val="17"/>
          <w:szCs w:val="17"/>
          <w:color w:val="auto"/>
        </w:rPr>
        <w:t>,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 Electronic delivery reduces the cost and environmental impact of producing and distributing paper copies of documents in very large quantities. It also provides shareholders with faster access to information about Thomson Reuters.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Shareholders who have already signed up for electronic delivery of proxy materials will continue to receive them by e-mail.</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w:t>
      </w:r>
    </w:p>
    <w:p>
      <w:pPr>
        <w:spacing w:after="0" w:line="103"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Your vote is important. If you’re unable to attend the meeting in person, please vote by proxy. A proxy is a document that authorizes someone else to attend the meeting and cast votes for you. The proxy form contains instructions on how to complete and send your voting instructions. If you hold your shares through a broker or other intermediary, you should follow the procedures provided by your broker or intermediary.</w:t>
      </w:r>
    </w:p>
    <w:p>
      <w:pPr>
        <w:spacing w:after="0" w:line="54"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If you’re a registered shareholder, our transfer agent, Computershare Trust Company of Canada, must receive your proxy or voting instructions no later than 5:00 p.m. (Eastern Daylight Time) on Monday, June 8, 2026 or if the meeting is adjourned or postponed, no later than 48 hours (excluding Saturdays, Sundays and holidays) before any adjourned or postponed meeting.</w:t>
      </w:r>
    </w:p>
    <w:p>
      <w:pPr>
        <w:spacing w:after="0" w:line="4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If you’re a registered shareholder and have any questions or need assistance voting your shares, please call Computershare Trust Company of Canada, toll-free in Canada and the United States, at 1.800.564.6253.</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Non-registered/beneficial shareholders will be subject to earlier voting deadlines as specified in their proxy or voting instructions.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continued support of, and interest in, Thomson Reuters.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1095375" cy="297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5375" cy="29718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484505</wp:posOffset>
            </wp:positionV>
            <wp:extent cx="1656080" cy="28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608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20"/>
                <w:szCs w:val="20"/>
                <w:color w:val="auto"/>
              </w:rPr>
            </w:pPr>
            <w:r>
              <w:rPr>
                <w:rFonts w:ascii="Arial" w:cs="Arial" w:eastAsia="Arial" w:hAnsi="Arial"/>
                <w:sz w:val="17"/>
                <w:szCs w:val="17"/>
                <w:b w:val="1"/>
                <w:bCs w:val="1"/>
                <w:color w:val="auto"/>
              </w:rPr>
              <w:t>David Thomson</w:t>
            </w:r>
          </w:p>
        </w:tc>
        <w:tc>
          <w:tcPr>
            <w:tcW w:w="7600" w:type="dxa"/>
            <w:vAlign w:val="bottom"/>
          </w:tcPr>
          <w:p>
            <w:pPr>
              <w:ind w:left="2380"/>
              <w:spacing w:after="0"/>
              <w:rPr>
                <w:sz w:val="20"/>
                <w:szCs w:val="20"/>
                <w:color w:val="auto"/>
              </w:rPr>
            </w:pPr>
            <w:r>
              <w:rPr>
                <w:rFonts w:ascii="Arial" w:cs="Arial" w:eastAsia="Arial" w:hAnsi="Arial"/>
                <w:sz w:val="17"/>
                <w:szCs w:val="17"/>
                <w:b w:val="1"/>
                <w:bCs w:val="1"/>
                <w:color w:val="auto"/>
              </w:rPr>
              <w:t>Steve Hasker</w:t>
            </w:r>
          </w:p>
        </w:tc>
      </w:tr>
      <w:tr>
        <w:trPr>
          <w:trHeight w:val="223"/>
        </w:trPr>
        <w:tc>
          <w:tcPr>
            <w:tcW w:w="3320" w:type="dxa"/>
            <w:vAlign w:val="bottom"/>
          </w:tcPr>
          <w:p>
            <w:pPr>
              <w:spacing w:after="0"/>
              <w:rPr>
                <w:sz w:val="20"/>
                <w:szCs w:val="20"/>
                <w:color w:val="auto"/>
              </w:rPr>
            </w:pPr>
            <w:r>
              <w:rPr>
                <w:rFonts w:ascii="Arial" w:cs="Arial" w:eastAsia="Arial" w:hAnsi="Arial"/>
                <w:sz w:val="17"/>
                <w:szCs w:val="17"/>
                <w:color w:val="auto"/>
              </w:rPr>
              <w:t>Chairman of the Board</w:t>
            </w:r>
          </w:p>
        </w:tc>
        <w:tc>
          <w:tcPr>
            <w:tcW w:w="7600" w:type="dxa"/>
            <w:vAlign w:val="bottom"/>
          </w:tcPr>
          <w:p>
            <w:pPr>
              <w:ind w:left="2380"/>
              <w:spacing w:after="0"/>
              <w:rPr>
                <w:sz w:val="20"/>
                <w:szCs w:val="20"/>
                <w:color w:val="auto"/>
              </w:rPr>
            </w:pPr>
            <w:r>
              <w:rPr>
                <w:rFonts w:ascii="Arial" w:cs="Arial" w:eastAsia="Arial" w:hAnsi="Arial"/>
                <w:sz w:val="17"/>
                <w:szCs w:val="17"/>
                <w:color w:val="auto"/>
              </w:rPr>
              <w:t>President &amp; Chief Executive Officer</w:t>
            </w:r>
          </w:p>
        </w:tc>
      </w:tr>
      <w:tr>
        <w:trPr>
          <w:trHeight w:val="281"/>
        </w:trPr>
        <w:tc>
          <w:tcPr>
            <w:tcW w:w="3320" w:type="dxa"/>
            <w:vAlign w:val="bottom"/>
          </w:tcPr>
          <w:p>
            <w:pPr>
              <w:spacing w:after="0"/>
              <w:rPr>
                <w:sz w:val="20"/>
                <w:szCs w:val="20"/>
                <w:color w:val="auto"/>
              </w:rPr>
            </w:pPr>
            <w:r>
              <w:rPr>
                <w:rFonts w:ascii="Arial" w:cs="Arial" w:eastAsia="Arial" w:hAnsi="Arial"/>
                <w:sz w:val="17"/>
                <w:szCs w:val="17"/>
                <w:color w:val="auto"/>
              </w:rPr>
              <w:t>April 15, 2026</w:t>
            </w:r>
          </w:p>
        </w:tc>
        <w:tc>
          <w:tcPr>
            <w:tcW w:w="7600" w:type="dxa"/>
            <w:vAlign w:val="bottom"/>
          </w:tcPr>
          <w:p>
            <w:pPr>
              <w:spacing w:after="0"/>
              <w:rPr>
                <w:sz w:val="24"/>
                <w:szCs w:val="24"/>
                <w:color w:val="auto"/>
              </w:rPr>
            </w:pPr>
          </w:p>
        </w:tc>
      </w:tr>
      <w:tr>
        <w:trPr>
          <w:trHeight w:val="173"/>
        </w:trPr>
        <w:tc>
          <w:tcPr>
            <w:tcW w:w="3320" w:type="dxa"/>
            <w:vAlign w:val="bottom"/>
            <w:tcBorders>
              <w:bottom w:val="single" w:sz="8" w:color="7F7F7F"/>
            </w:tcBorders>
          </w:tcPr>
          <w:p>
            <w:pPr>
              <w:spacing w:after="0"/>
              <w:rPr>
                <w:sz w:val="15"/>
                <w:szCs w:val="15"/>
                <w:color w:val="auto"/>
              </w:rPr>
            </w:pPr>
          </w:p>
        </w:tc>
        <w:tc>
          <w:tcPr>
            <w:tcW w:w="7600" w:type="dxa"/>
            <w:vAlign w:val="bottom"/>
            <w:tcBorders>
              <w:bottom w:val="single" w:sz="8" w:color="7F7F7F"/>
            </w:tcBorders>
          </w:tcPr>
          <w:p>
            <w:pPr>
              <w:spacing w:after="0"/>
              <w:rPr>
                <w:sz w:val="15"/>
                <w:szCs w:val="15"/>
                <w:color w:val="auto"/>
              </w:rPr>
            </w:pPr>
          </w:p>
        </w:tc>
      </w:tr>
      <w:tr>
        <w:trPr>
          <w:trHeight w:val="229"/>
        </w:trPr>
        <w:tc>
          <w:tcPr>
            <w:tcW w:w="3320" w:type="dxa"/>
            <w:vAlign w:val="bottom"/>
          </w:tcPr>
          <w:p>
            <w:pPr>
              <w:spacing w:after="0"/>
              <w:rPr>
                <w:sz w:val="19"/>
                <w:szCs w:val="19"/>
                <w:color w:val="auto"/>
              </w:rPr>
            </w:pPr>
          </w:p>
        </w:tc>
        <w:tc>
          <w:tcPr>
            <w:tcW w:w="7600" w:type="dxa"/>
            <w:vAlign w:val="bottom"/>
          </w:tcPr>
          <w:p>
            <w:pPr>
              <w:ind w:left="1600"/>
              <w:spacing w:after="0"/>
              <w:rPr>
                <w:sz w:val="20"/>
                <w:szCs w:val="20"/>
                <w:color w:val="auto"/>
              </w:rPr>
            </w:pPr>
            <w:r>
              <w:rPr>
                <w:rFonts w:ascii="Arial" w:cs="Arial" w:eastAsia="Arial" w:hAnsi="Arial"/>
                <w:sz w:val="17"/>
                <w:szCs w:val="17"/>
                <w:b w:val="1"/>
                <w:bCs w:val="1"/>
                <w:color w:val="auto"/>
                <w:w w:val="99"/>
              </w:rPr>
              <w:t>Management Proxy Circular and Notice of Annual Meeting of Shareholders</w:t>
            </w:r>
          </w:p>
        </w:tc>
      </w:tr>
    </w:tbl>
    <w:p>
      <w:pPr>
        <w:sectPr>
          <w:pgSz w:w="11900" w:h="16838" w:orient="portrait"/>
          <w:cols w:equalWidth="0" w:num="1">
            <w:col w:w="10920"/>
          </w:cols>
          <w:pgMar w:left="480" w:top="262" w:right="499" w:bottom="1440" w:gutter="0" w:footer="0" w:header="0"/>
        </w:sectPr>
      </w:pPr>
    </w:p>
    <w:bookmarkStart w:id="6" w:name="page7"/>
    <w:bookmarkEnd w:id="6"/>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938010" cy="331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8010" cy="331470"/>
                    </a:xfrm>
                    <a:prstGeom prst="rect">
                      <a:avLst/>
                    </a:prstGeom>
                    <a:noFill/>
                  </pic:spPr>
                </pic:pic>
              </a:graphicData>
            </a:graphic>
          </wp:anchor>
        </w:drawing>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We will be holding this year’s annual meeting of shareholders </w:t>
      </w:r>
      <w:r>
        <w:rPr>
          <w:rFonts w:ascii="Arial" w:cs="Arial" w:eastAsia="Arial" w:hAnsi="Arial"/>
          <w:sz w:val="17"/>
          <w:szCs w:val="17"/>
          <w:b w:val="1"/>
          <w:bCs w:val="1"/>
          <w:color w:val="auto"/>
        </w:rPr>
        <w:t>in-person</w:t>
      </w:r>
      <w:r>
        <w:rPr>
          <w:rFonts w:ascii="Arial" w:cs="Arial" w:eastAsia="Arial" w:hAnsi="Arial"/>
          <w:sz w:val="17"/>
          <w:szCs w:val="17"/>
          <w:color w:val="auto"/>
        </w:rPr>
        <w:t xml:space="preserve"> at Roy Thomson Hall, 60 Simcoe Street, Toronto, Ontario, Canada.</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This circular provides information and instructions regarding how to participate in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7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Technology advancements and disruptions continue to alter the business landscape. Thomson Reuters remains steadfast in its commitment to our customers — delivering trusted solutions that empower them to move faster, make smarter decisions, and lead with confidence. In 2025, we solidified our position as a leading artificial intelligence (AI) technology company with unmatched expertise, authoritative content, and seamlessly connected workflows.</w:t>
      </w:r>
    </w:p>
    <w:p>
      <w:pPr>
        <w:spacing w:after="0" w:line="57"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witnessed a pivotal shift from generative AI to agentic AI, and led the way for our customers. We pushed the boundaries of AI innovation and maintained a disciplined approach to building and deploying these capabilities responsibly. The latter commitment strengthens the trust our customers place in us as we shape the future of professional work together.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Achievements</w:t>
      </w:r>
    </w:p>
    <w:p>
      <w:pPr>
        <w:spacing w:after="0" w:line="84"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We continue to advance our “Build, Partner, Buy” strategy at pace by leveraging our scale, expertise, and curated content to deliver industry-leading AI solutions, while safeguarding our customers’ data.</w:t>
      </w:r>
    </w:p>
    <w:p>
      <w:pPr>
        <w:spacing w:after="0" w:line="26"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Our disciplined approach accelerates innovation and ensures we deliver trusted solutions faster, creating sustainable value for customers and shareholders. We are confident in our competitive differentiators which include our comprehensive authoritative content and tools — such as Westlaw, Practical Law and Checkpoint — enriched by more than 1,500 attorney editors and 2,500 subject matter experts, with decades of experience serving high-stakes workflows where accuracy and reliability are non-negotiable.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Industry-Leading Solutions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2025 marked an important milestone in our agentic AI journey — building systems that can plan, reason, act, and adapt inside professionals’ daily workflows.</w:t>
      </w:r>
    </w:p>
    <w:p>
      <w:pPr>
        <w:spacing w:after="0" w:line="40"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CoCounsel Legal, powered by Deep Research grounded in Westlaw and Practical Law, is purpose-built to deliver rigorous, end-to-end legal research results. For Tax, Audit &amp; Accounting Professionals, we launched CoCounsel for Tax &amp; Audit. For corporate professionals, ONESOURCE+ is an intelligent compliance network that helps enterprises drive efficiency, reduce risk, and unlock growth. These solutions are transforming how our customers work, helping them make decisions faster, and with greater confidence.</w:t>
      </w:r>
    </w:p>
    <w:p>
      <w:pPr>
        <w:spacing w:after="0" w:line="44"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Thomson Reuters is building its first vertical — specific legal Large Language Model (LLM) for professional workflows, leveraging talent and technology acquired through the Safe Sign acquisition and Thomson Reuters proprietary content and domain expertise.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AI-Powered Solutions</w:t>
      </w:r>
    </w:p>
    <w:p>
      <w:pPr>
        <w:spacing w:after="0" w:line="84"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In 2025, we invested $843 million on acquisitions, with a focus on accelerating generative and agentic AI capabilities. We acquired SafeSend, a cloud-native provider that automates the last mile of the tax preparation workflow, and Additive, which uses cutting-edge AI to automate tax document processing. Also, as part of our international business growth strategy, we acquired TimeBase, a leading provider of information in Australia to find, search, and track legislation.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Growth and Impact</w:t>
      </w:r>
    </w:p>
    <w:p>
      <w:pPr>
        <w:spacing w:after="0" w:line="84"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Thomson Reuters has been positioned as a leader in two IDC MarketScape reports for its ONESOURCE Global Trade product, which manages trade compliance for cross border shipments, including classification, customs requirements, and duties.</w:t>
      </w:r>
    </w:p>
    <w:p>
      <w:pPr>
        <w:spacing w:after="0" w:line="2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also released our third annual Future of Professionals Report, which surveyed 2,200-plus knowledge workers. The study found that organizations with a visible and clearly articulated AI strategy stated they are twice as likely to experience revenue growth compared to those with ad hoc approaches. The findings reinforce our commitment to aiding professionals to effectively leverage AI to drive value and growth.</w:t>
      </w:r>
    </w:p>
    <w:p>
      <w:pPr>
        <w:spacing w:after="0" w:line="5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 year of breakthrough innovation was matched by another year of good financial results, meeting 2025 guidance metrics for organic revenue growth, adjusted EBITDA margin and free cash flow. Our company’s revenues increased 3%, while organic revenues increased by 7%*, driven by 9%* organic growth for the “Big 3” segments — Legal Professionals, Corporates, and Tax, Audit and Accounting Professionals. Operating profit was $2.1 billion, and our diluted earnings per share was $3.33. Our adjusted EBITDA for the year increased 6% to $2.9 billion* and the related margin rose 100bp to 39.2%*. Adjusted earnings per share grew to $3.92*, compared to $3.77* in 2024. We generated net cash from operating activities of over $2.6 billion and free cash flow of over $1.9 billion*.</w:t>
      </w:r>
    </w:p>
    <w:p>
      <w:pPr>
        <w:spacing w:after="0" w:line="59" w:lineRule="exact"/>
        <w:rPr>
          <w:sz w:val="20"/>
          <w:szCs w:val="20"/>
          <w:color w:val="auto"/>
        </w:rPr>
      </w:pPr>
    </w:p>
    <w:p>
      <w:pPr>
        <w:ind w:right="780"/>
        <w:spacing w:after="0" w:line="263" w:lineRule="auto"/>
        <w:rPr>
          <w:sz w:val="20"/>
          <w:szCs w:val="20"/>
          <w:color w:val="auto"/>
        </w:rPr>
      </w:pPr>
      <w:r>
        <w:rPr>
          <w:rFonts w:ascii="Arial" w:cs="Arial" w:eastAsia="Arial" w:hAnsi="Arial"/>
          <w:sz w:val="17"/>
          <w:szCs w:val="17"/>
          <w:color w:val="auto"/>
        </w:rPr>
        <w:t>We also proudly joined the Nasdaq-100, an important milestone reflecting our evolution from a trusted content company to a pioneering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p>
      <w:pPr>
        <w:sectPr>
          <w:pgSz w:w="11900" w:h="16838" w:orient="portrait"/>
          <w:cols w:equalWidth="0" w:num="1">
            <w:col w:w="10900"/>
          </w:cols>
          <w:pgMar w:left="480" w:top="234" w:right="519" w:bottom="1440" w:gutter="0" w:footer="0" w:header="0"/>
        </w:sectPr>
      </w:pPr>
    </w:p>
    <w:bookmarkStart w:id="7" w:name="page8"/>
    <w:bookmarkEnd w:id="7"/>
    <w:p>
      <w:pPr>
        <w:ind w:right="80"/>
        <w:spacing w:after="0" w:line="24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Amid ongoing geopolitical volatility, Reuters continues to provide award-winning journalism to a worldwide audience. Our newsroom was recognized with a Pulitzer Prize for investigative reporting on the fentanyl trade, along with awards from the Overseas Press Club, Pictures of the Year International, Society of Publishers in Asia, and more. Reuters journalist Ivan Lyubysh-Kirdey received Ukraine’s Gongadze Prize, honoring his bravery and integrity chronicling the Ukraine-Russia conflict.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8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Thomson Reuters has devoted decades to assisting professionals find, verify, and use trusted information to make business-critical decisions. As AI evolves from answering questions to handling multi-step tasks, the stakes are higher than ever, especially in legal, tax, risk and compliance where accuracy remains paramount.</w:t>
      </w:r>
    </w:p>
    <w:p>
      <w:pPr>
        <w:spacing w:after="0" w:line="4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Naturally, we are doubling down in 2026 and continue to advance AI through our Build, Partner, Buy strategy. We are building key capabilities in-house, partnering where it speeds time-to-market, and acquiring when it strengthens our offering. With approximately $9 billion of capacity for M&amp;A and organic investment through to 2028, we will accelerate innovation and deliver trusted solutions faster, creating sustainable value for customers and shareholders.</w:t>
      </w:r>
    </w:p>
    <w:p>
      <w:pPr>
        <w:spacing w:after="0" w:line="57"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Leading in AI starts with our people. We are building and developing teams and talent with deep expertise in AI, product development, security, and the domains we serve. Our colleagues truly understand both the technology and the high-stakes environments where AI is deployed. We are committed to maintaining a work environment where our colleagues can apply their creativity and expertise to creating systems that meet the highest professional standards and solve problems that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Role in the World</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Guided by our Purpose and Trust Principles, our focus continues to be about putting our customers at the center of everything we do. The mindset shapes how we work, innovate, and deliver — helping our customers to navigate the most complex challenges of our time. The relentless focus on our customers is fueled by a commitment and dedication of our colleagues whose contributions drive our success every day.</w:t>
      </w:r>
    </w:p>
    <w:p>
      <w:pPr>
        <w:spacing w:after="0" w:line="4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We are reimagining the future of work itself, as we continue to build our AI-first culture with our 27,000-plus colleagues around the globe. 85% of employees to date actively incorporate AI tools into their workflow. As usage expands, we remain guided by our Data and AI Ethics Principles, which ensure trustworthiness in how we design, develop, and deploy AI.</w:t>
      </w:r>
    </w:p>
    <w:p>
      <w:pPr>
        <w:spacing w:after="0" w:line="5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In an era of heightened geopolitical uncertainty and escalating conflicts worldwide, our Reuters colleagues carry a profound responsibility to report world events with accuracy, integrity, and freedom from bias — and to do so safely. We were deeply saddened by the tragic deaths of our Reuters colleagues, cameraman Hussam al-Masri and freelance visual journalist Moaz Abu Taha while reporting in Gaza. Their loss underscores the vital importance of independent journalism and our ongoing commitment to the safety of journalists worldwide.</w:t>
      </w:r>
    </w:p>
    <w:p>
      <w:pPr>
        <w:spacing w:after="0" w:line="57"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Through our Social Impact Institute, we uphold our human rights and environmental commitments while fostering innovation, community investment, and sustainable corporate citizenship. Our colleagues contributed more than 63,000 volunteer hours in 2025 through initiatives like the Social Impact Sprint and Global Volunteer Day. In addition, the Thomson Reuters Institute’s partnership with the National Center for State Courts continues to focus on enabling the courts to make better informed decisions about AI adoption and use.</w:t>
      </w:r>
    </w:p>
    <w:p>
      <w:pPr>
        <w:spacing w:after="0" w:line="4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We were deeply saddened by the passing of our board colleague, Michael E. Daniels, in March 2026. Mike brought exceptional judgment, perspective, and integrity to Thomson Reuters, informed by a distinguished 36-year career at IBM, where he held senior leadership roles through periods of significant growth and transformation. We remain grateful for his many contributions to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sectPr>
      </w:pPr>
    </w:p>
    <w:bookmarkStart w:id="8" w:name="page9"/>
    <w:bookmarkEnd w:id="8"/>
    <w:p>
      <w:pPr>
        <w:ind w:right="120"/>
        <w:spacing w:after="0" w:line="24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we continue our growth as a world-leading AI technology company, our Purpose to Inform the Way Forward unites our work across every dimension — delivering innovative solutions for our customers, fostering an AI-first culture with our colleagues, upholding the integrity of independent journalism and advancing justice and opportunity in society. Thomson Reuters is buoyed by the opportunities ahead and remains deeply grateful to our shareholders for your continued support in this vital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492125</wp:posOffset>
            </wp:positionV>
            <wp:extent cx="1095375" cy="305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5375" cy="30543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492125</wp:posOffset>
            </wp:positionV>
            <wp:extent cx="1656080" cy="288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608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20"/>
                <w:szCs w:val="20"/>
                <w:color w:val="auto"/>
              </w:rPr>
            </w:pPr>
            <w:r>
              <w:rPr>
                <w:rFonts w:ascii="Arial" w:cs="Arial" w:eastAsia="Arial" w:hAnsi="Arial"/>
                <w:sz w:val="18"/>
                <w:szCs w:val="18"/>
                <w:b w:val="1"/>
                <w:bCs w:val="1"/>
                <w:color w:val="auto"/>
              </w:rPr>
              <w:t>David Thomson</w:t>
            </w:r>
          </w:p>
        </w:tc>
        <w:tc>
          <w:tcPr>
            <w:tcW w:w="4680" w:type="dxa"/>
            <w:vAlign w:val="bottom"/>
          </w:tcPr>
          <w:p>
            <w:pPr>
              <w:ind w:left="1900"/>
              <w:spacing w:after="0"/>
              <w:rPr>
                <w:sz w:val="20"/>
                <w:szCs w:val="20"/>
                <w:color w:val="auto"/>
              </w:rPr>
            </w:pPr>
            <w:r>
              <w:rPr>
                <w:rFonts w:ascii="Arial" w:cs="Arial" w:eastAsia="Arial" w:hAnsi="Arial"/>
                <w:sz w:val="18"/>
                <w:szCs w:val="18"/>
                <w:b w:val="1"/>
                <w:bCs w:val="1"/>
                <w:color w:val="auto"/>
              </w:rPr>
              <w:t>Steve Hasker</w:t>
            </w: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Chairman of the Board</w:t>
            </w:r>
          </w:p>
        </w:tc>
        <w:tc>
          <w:tcPr>
            <w:tcW w:w="4680" w:type="dxa"/>
            <w:vAlign w:val="bottom"/>
          </w:tcPr>
          <w:p>
            <w:pPr>
              <w:ind w:left="1900"/>
              <w:spacing w:after="0"/>
              <w:rPr>
                <w:sz w:val="20"/>
                <w:szCs w:val="20"/>
                <w:color w:val="auto"/>
              </w:rPr>
            </w:pPr>
            <w:r>
              <w:rPr>
                <w:rFonts w:ascii="Arial" w:cs="Arial" w:eastAsia="Arial" w:hAnsi="Arial"/>
                <w:sz w:val="18"/>
                <w:szCs w:val="18"/>
                <w:color w:val="auto"/>
                <w:w w:val="98"/>
              </w:rPr>
              <w:t>President &amp; Chief Executive Officer</w:t>
            </w:r>
          </w:p>
        </w:tc>
      </w:tr>
    </w:tbl>
    <w:p>
      <w:pPr>
        <w:spacing w:after="0" w:line="200" w:lineRule="exact"/>
        <w:rPr>
          <w:sz w:val="20"/>
          <w:szCs w:val="20"/>
          <w:color w:val="auto"/>
        </w:rPr>
      </w:pPr>
    </w:p>
    <w:p>
      <w:pPr>
        <w:spacing w:after="0" w:line="36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Certain statements in the letter are forward-looking. These forward-looking statements are based on certain assumptions and reflect our current expectations. As a result, forward-looking statements are subject to a number of risks and uncertainties that could cause actual results or events to differ materially from current expectations. Some of the factors that could cause actual results to differ materially from current expectations are discussed in the “Risk Factors” section of our 2025 annual report as well as in other materials that we from time to time file with, or furnish to, the Canadian securities regulatory authorities and the U.S. Securities and Exchange Commission (SEC). There is no assurance that any forward-looking statements will materialize. You are cautioned not to place undue reliance on forward-looking statements, which reflect expectations only as of this date. Except as may be required by applicable law, we disclaim any intention or obligation to update or revise any forward-looking statements.</w:t>
      </w:r>
    </w:p>
    <w:p>
      <w:pPr>
        <w:spacing w:after="0" w:line="64" w:lineRule="exact"/>
        <w:rPr>
          <w:sz w:val="20"/>
          <w:szCs w:val="20"/>
          <w:color w:val="auto"/>
        </w:rPr>
      </w:pPr>
    </w:p>
    <w:p>
      <w:pPr>
        <w:ind w:left="220" w:hanging="213"/>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Non-International Financial Reporting Standards (non-IFRS) financial measures. Please see the note in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99695</wp:posOffset>
            </wp:positionV>
            <wp:extent cx="6114415" cy="4662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466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REUTERS/Agustin Marcarian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p>
      <w:pPr>
        <w:sectPr>
          <w:pgSz w:w="11900" w:h="16838" w:orient="portrait"/>
          <w:cols w:equalWidth="0" w:num="1">
            <w:col w:w="10740"/>
          </w:cols>
          <w:pgMar w:left="480" w:top="264" w:right="6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533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140"/>
        <w:spacing w:after="0"/>
        <w:rPr>
          <w:sz w:val="20"/>
          <w:szCs w:val="20"/>
          <w:color w:val="auto"/>
        </w:rPr>
      </w:pPr>
      <w:r>
        <w:rPr>
          <w:rFonts w:ascii="Arial" w:cs="Arial" w:eastAsia="Arial" w:hAnsi="Arial"/>
          <w:sz w:val="17"/>
          <w:szCs w:val="17"/>
          <w:color w:val="auto"/>
        </w:rPr>
        <w:t>REUTERS/Jorge Silva</w:t>
      </w:r>
    </w:p>
    <w:p>
      <w:pPr>
        <w:spacing w:after="0" w:line="108" w:lineRule="exact"/>
        <w:rPr>
          <w:sz w:val="20"/>
          <w:szCs w:val="20"/>
          <w:color w:val="auto"/>
        </w:rPr>
      </w:pPr>
    </w:p>
    <w:p>
      <w:pPr>
        <w:spacing w:after="0"/>
        <w:rPr>
          <w:sz w:val="20"/>
          <w:szCs w:val="20"/>
          <w:color w:val="auto"/>
        </w:rPr>
      </w:pPr>
      <w:r>
        <w:rPr>
          <w:rFonts w:ascii="Arial" w:cs="Arial" w:eastAsia="Arial" w:hAnsi="Arial"/>
          <w:sz w:val="46"/>
          <w:szCs w:val="46"/>
          <w:b w:val="1"/>
          <w:bCs w:val="1"/>
          <w:color w:val="D64000"/>
        </w:rPr>
        <w:t>Shareholder resources on our website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of Shareholders</w:t>
      </w:r>
    </w:p>
    <w:p>
      <w:pPr>
        <w:spacing w:after="0" w:line="85" w:lineRule="exact"/>
        <w:rPr>
          <w:sz w:val="20"/>
          <w:szCs w:val="20"/>
          <w:color w:val="auto"/>
        </w:rPr>
      </w:pPr>
    </w:p>
    <w:p>
      <w:pPr>
        <w:ind w:left="640" w:hanging="312"/>
        <w:spacing w:after="0"/>
        <w:tabs>
          <w:tab w:leader="none" w:pos="640" w:val="left"/>
        </w:tabs>
        <w:numPr>
          <w:ilvl w:val="0"/>
          <w:numId w:val="4"/>
        </w:numPr>
        <w:rPr>
          <w:rFonts w:ascii="Arial" w:cs="Arial" w:eastAsia="Arial" w:hAnsi="Arial"/>
          <w:sz w:val="17"/>
          <w:szCs w:val="17"/>
          <w:color w:val="D64000"/>
        </w:rPr>
      </w:pPr>
      <w:r>
        <w:rPr>
          <w:rFonts w:ascii="Arial" w:cs="Arial" w:eastAsia="Arial" w:hAnsi="Arial"/>
          <w:sz w:val="17"/>
          <w:szCs w:val="17"/>
          <w:color w:val="auto"/>
        </w:rPr>
        <w:t xml:space="preserve">Management proxy circular – </w:t>
      </w:r>
      <w:r>
        <w:rPr>
          <w:rFonts w:ascii="Arial" w:cs="Arial" w:eastAsia="Arial" w:hAnsi="Arial"/>
          <w:sz w:val="17"/>
          <w:szCs w:val="17"/>
          <w:b w:val="1"/>
          <w:bCs w:val="1"/>
          <w:color w:val="auto"/>
        </w:rPr>
        <w:t>www.thomsonreuters.com/2026AGMcircular/</w:t>
      </w:r>
    </w:p>
    <w:p>
      <w:pPr>
        <w:spacing w:after="0" w:line="85" w:lineRule="exact"/>
        <w:rPr>
          <w:rFonts w:ascii="Arial" w:cs="Arial" w:eastAsia="Arial" w:hAnsi="Arial"/>
          <w:sz w:val="17"/>
          <w:szCs w:val="17"/>
          <w:color w:val="D64000"/>
        </w:rPr>
      </w:pPr>
    </w:p>
    <w:p>
      <w:pPr>
        <w:ind w:left="640" w:hanging="312"/>
        <w:spacing w:after="0"/>
        <w:tabs>
          <w:tab w:leader="none" w:pos="640" w:val="left"/>
        </w:tabs>
        <w:numPr>
          <w:ilvl w:val="0"/>
          <w:numId w:val="4"/>
        </w:numPr>
        <w:rPr>
          <w:rFonts w:ascii="Arial" w:cs="Arial" w:eastAsia="Arial" w:hAnsi="Arial"/>
          <w:sz w:val="17"/>
          <w:szCs w:val="17"/>
          <w:color w:val="D64000"/>
        </w:rPr>
      </w:pPr>
      <w:r>
        <w:rPr>
          <w:rFonts w:ascii="Arial" w:cs="Arial" w:eastAsia="Arial" w:hAnsi="Arial"/>
          <w:sz w:val="17"/>
          <w:szCs w:val="17"/>
          <w:color w:val="auto"/>
        </w:rPr>
        <w:t xml:space="preserve">Annual report – </w:t>
      </w:r>
      <w:r>
        <w:rPr>
          <w:rFonts w:ascii="Arial" w:cs="Arial" w:eastAsia="Arial" w:hAnsi="Arial"/>
          <w:sz w:val="17"/>
          <w:szCs w:val="17"/>
          <w:b w:val="1"/>
          <w:bCs w:val="1"/>
          <w:color w:val="auto"/>
        </w:rPr>
        <w:t>www.thomsonreuters.com/2025annualreport/</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Documents</w:t>
      </w:r>
    </w:p>
    <w:p>
      <w:pPr>
        <w:spacing w:after="0" w:line="112" w:lineRule="exact"/>
        <w:rPr>
          <w:sz w:val="20"/>
          <w:szCs w:val="20"/>
          <w:color w:val="auto"/>
        </w:rPr>
      </w:pPr>
    </w:p>
    <w:p>
      <w:pPr>
        <w:ind w:left="640" w:right="800" w:hanging="312"/>
        <w:spacing w:after="0" w:line="273" w:lineRule="auto"/>
        <w:tabs>
          <w:tab w:leader="none" w:pos="640" w:val="left"/>
        </w:tabs>
        <w:numPr>
          <w:ilvl w:val="0"/>
          <w:numId w:val="5"/>
        </w:numPr>
        <w:rPr>
          <w:rFonts w:ascii="Arial" w:cs="Arial" w:eastAsia="Arial" w:hAnsi="Arial"/>
          <w:sz w:val="17"/>
          <w:szCs w:val="17"/>
          <w:color w:val="D64000"/>
        </w:rPr>
      </w:pPr>
      <w:r>
        <w:rPr>
          <w:rFonts w:ascii="Arial" w:cs="Arial" w:eastAsia="Arial" w:hAnsi="Arial"/>
          <w:sz w:val="17"/>
          <w:szCs w:val="17"/>
          <w:color w:val="auto"/>
        </w:rPr>
        <w:t xml:space="preserve">Corporate Governance Guidelines, Board committee charters, and position descriptions – </w:t>
      </w:r>
      <w:r>
        <w:rPr>
          <w:rFonts w:ascii="Arial" w:cs="Arial" w:eastAsia="Arial" w:hAnsi="Arial"/>
          <w:sz w:val="17"/>
          <w:szCs w:val="17"/>
          <w:b w:val="1"/>
          <w:bCs w:val="1"/>
          <w:color w:val="auto"/>
        </w:rPr>
        <w:t>ir.thomsonreuters.com/corporate-governance/governance-highlights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84" w:lineRule="exact"/>
        <w:rPr>
          <w:sz w:val="20"/>
          <w:szCs w:val="20"/>
          <w:color w:val="auto"/>
        </w:rPr>
      </w:pPr>
    </w:p>
    <w:p>
      <w:pPr>
        <w:ind w:left="640" w:hanging="312"/>
        <w:spacing w:after="0"/>
        <w:tabs>
          <w:tab w:leader="none" w:pos="640" w:val="left"/>
        </w:tabs>
        <w:numPr>
          <w:ilvl w:val="0"/>
          <w:numId w:val="6"/>
        </w:numPr>
        <w:rPr>
          <w:rFonts w:ascii="Arial" w:cs="Arial" w:eastAsia="Arial" w:hAnsi="Arial"/>
          <w:sz w:val="17"/>
          <w:szCs w:val="17"/>
          <w:color w:val="D64000"/>
        </w:rPr>
      </w:pPr>
      <w:r>
        <w:rPr>
          <w:rFonts w:ascii="Arial" w:cs="Arial" w:eastAsia="Arial" w:hAnsi="Arial"/>
          <w:sz w:val="17"/>
          <w:szCs w:val="17"/>
          <w:color w:val="auto"/>
        </w:rPr>
        <w:t xml:space="preserve">Social Impact &amp; ESG Report – </w:t>
      </w:r>
      <w:r>
        <w:rPr>
          <w:rFonts w:ascii="Arial" w:cs="Arial" w:eastAsia="Arial" w:hAnsi="Arial"/>
          <w:sz w:val="17"/>
          <w:szCs w:val="17"/>
          <w:b w:val="1"/>
          <w:bCs w:val="1"/>
          <w:color w:val="auto"/>
        </w:rPr>
        <w:t>www.thomsonreuters.com/en/about-us/social-impact.html</w:t>
      </w:r>
    </w:p>
    <w:p>
      <w:pPr>
        <w:spacing w:after="0" w:line="85" w:lineRule="exact"/>
        <w:rPr>
          <w:rFonts w:ascii="Arial" w:cs="Arial" w:eastAsia="Arial" w:hAnsi="Arial"/>
          <w:sz w:val="17"/>
          <w:szCs w:val="17"/>
          <w:color w:val="D64000"/>
        </w:rPr>
      </w:pPr>
    </w:p>
    <w:p>
      <w:pPr>
        <w:ind w:left="640" w:hanging="312"/>
        <w:spacing w:after="0"/>
        <w:tabs>
          <w:tab w:leader="none" w:pos="640" w:val="left"/>
        </w:tabs>
        <w:numPr>
          <w:ilvl w:val="0"/>
          <w:numId w:val="6"/>
        </w:numPr>
        <w:rPr>
          <w:rFonts w:ascii="Arial" w:cs="Arial" w:eastAsia="Arial" w:hAnsi="Arial"/>
          <w:sz w:val="17"/>
          <w:szCs w:val="17"/>
          <w:color w:val="D64000"/>
        </w:rPr>
      </w:pPr>
      <w:r>
        <w:rPr>
          <w:rFonts w:ascii="Arial" w:cs="Arial" w:eastAsia="Arial" w:hAnsi="Arial"/>
          <w:sz w:val="17"/>
          <w:szCs w:val="17"/>
          <w:color w:val="auto"/>
        </w:rPr>
        <w:t xml:space="preserve">Code of Business Conduct and Ethics – </w:t>
      </w:r>
      <w:r>
        <w:rPr>
          <w:rFonts w:ascii="Arial" w:cs="Arial" w:eastAsia="Arial" w:hAnsi="Arial"/>
          <w:sz w:val="17"/>
          <w:szCs w:val="17"/>
          <w:b w:val="1"/>
          <w:bCs w:val="1"/>
          <w:color w:val="auto"/>
        </w:rPr>
        <w:t>ir.thomsonreuters.com/corporate-governance/code-conduct</w:t>
      </w:r>
    </w:p>
    <w:p>
      <w:pPr>
        <w:spacing w:after="0" w:line="85" w:lineRule="exact"/>
        <w:rPr>
          <w:rFonts w:ascii="Arial" w:cs="Arial" w:eastAsia="Arial" w:hAnsi="Arial"/>
          <w:sz w:val="17"/>
          <w:szCs w:val="17"/>
          <w:color w:val="D64000"/>
        </w:rPr>
      </w:pPr>
    </w:p>
    <w:p>
      <w:pPr>
        <w:ind w:left="640" w:hanging="312"/>
        <w:spacing w:after="0"/>
        <w:tabs>
          <w:tab w:leader="none" w:pos="640" w:val="left"/>
        </w:tabs>
        <w:numPr>
          <w:ilvl w:val="0"/>
          <w:numId w:val="6"/>
        </w:numPr>
        <w:rPr>
          <w:rFonts w:ascii="Arial" w:cs="Arial" w:eastAsia="Arial" w:hAnsi="Arial"/>
          <w:sz w:val="17"/>
          <w:szCs w:val="17"/>
          <w:color w:val="D64000"/>
        </w:rPr>
      </w:pPr>
      <w:r>
        <w:rPr>
          <w:rFonts w:ascii="Arial" w:cs="Arial" w:eastAsia="Arial" w:hAnsi="Arial"/>
          <w:sz w:val="17"/>
          <w:szCs w:val="17"/>
          <w:color w:val="auto"/>
        </w:rPr>
        <w:t xml:space="preserve">Supply Chain Ethical Code – </w:t>
      </w:r>
      <w:r>
        <w:rPr>
          <w:rFonts w:ascii="Arial" w:cs="Arial" w:eastAsia="Arial" w:hAnsi="Arial"/>
          <w:sz w:val="17"/>
          <w:szCs w:val="17"/>
          <w:b w:val="1"/>
          <w:bCs w:val="1"/>
          <w:color w:val="auto"/>
        </w:rPr>
        <w:t>www.thomsonreuters.com/en/resources/global-sourcing-procurement.html</w:t>
      </w:r>
    </w:p>
    <w:p>
      <w:pPr>
        <w:spacing w:after="0" w:line="85" w:lineRule="exact"/>
        <w:rPr>
          <w:rFonts w:ascii="Arial" w:cs="Arial" w:eastAsia="Arial" w:hAnsi="Arial"/>
          <w:sz w:val="17"/>
          <w:szCs w:val="17"/>
          <w:color w:val="D64000"/>
        </w:rPr>
      </w:pPr>
    </w:p>
    <w:p>
      <w:pPr>
        <w:ind w:left="640" w:hanging="312"/>
        <w:spacing w:after="0"/>
        <w:tabs>
          <w:tab w:leader="none" w:pos="640" w:val="left"/>
        </w:tabs>
        <w:numPr>
          <w:ilvl w:val="0"/>
          <w:numId w:val="6"/>
        </w:numPr>
        <w:rPr>
          <w:rFonts w:ascii="Arial" w:cs="Arial" w:eastAsia="Arial" w:hAnsi="Arial"/>
          <w:sz w:val="17"/>
          <w:szCs w:val="17"/>
          <w:color w:val="D64000"/>
        </w:rPr>
      </w:pPr>
      <w:r>
        <w:rPr>
          <w:rFonts w:ascii="Arial" w:cs="Arial" w:eastAsia="Arial" w:hAnsi="Arial"/>
          <w:sz w:val="17"/>
          <w:szCs w:val="17"/>
          <w:color w:val="auto"/>
        </w:rPr>
        <w:t xml:space="preserve">Human Rights Policy – </w:t>
      </w:r>
      <w:r>
        <w:rPr>
          <w:rFonts w:ascii="Arial" w:cs="Arial" w:eastAsia="Arial" w:hAnsi="Arial"/>
          <w:sz w:val="17"/>
          <w:szCs w:val="17"/>
          <w:b w:val="1"/>
          <w:bCs w:val="1"/>
          <w:color w:val="auto"/>
        </w:rPr>
        <w:t>www.thomsonreuters.com/en/policies/human-rights-policy.html</w:t>
      </w:r>
    </w:p>
    <w:p>
      <w:pPr>
        <w:spacing w:after="0" w:line="85" w:lineRule="exact"/>
        <w:rPr>
          <w:rFonts w:ascii="Arial" w:cs="Arial" w:eastAsia="Arial" w:hAnsi="Arial"/>
          <w:sz w:val="17"/>
          <w:szCs w:val="17"/>
          <w:color w:val="D64000"/>
        </w:rPr>
      </w:pPr>
    </w:p>
    <w:p>
      <w:pPr>
        <w:ind w:left="640" w:hanging="312"/>
        <w:spacing w:after="0"/>
        <w:tabs>
          <w:tab w:leader="none" w:pos="640" w:val="left"/>
        </w:tabs>
        <w:numPr>
          <w:ilvl w:val="0"/>
          <w:numId w:val="6"/>
        </w:numPr>
        <w:rPr>
          <w:rFonts w:ascii="Arial" w:cs="Arial" w:eastAsia="Arial" w:hAnsi="Arial"/>
          <w:sz w:val="17"/>
          <w:szCs w:val="17"/>
          <w:color w:val="D64000"/>
        </w:rPr>
      </w:pPr>
      <w:r>
        <w:rPr>
          <w:rFonts w:ascii="Arial" w:cs="Arial" w:eastAsia="Arial" w:hAnsi="Arial"/>
          <w:sz w:val="17"/>
          <w:szCs w:val="17"/>
          <w:color w:val="auto"/>
        </w:rPr>
        <w:t xml:space="preserve">Modern Slavery Act Transparency Statement – </w:t>
      </w:r>
      <w:r>
        <w:rPr>
          <w:rFonts w:ascii="Arial" w:cs="Arial" w:eastAsia="Arial" w:hAnsi="Arial"/>
          <w:sz w:val="17"/>
          <w:szCs w:val="17"/>
          <w:b w:val="1"/>
          <w:bCs w:val="1"/>
          <w:color w:val="auto"/>
        </w:rPr>
        <w:t>www.thomsonreuters.com/en/modern-slavery-act.html</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 – www.thomsonreuters.com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 ir.thomsonreuters.com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929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p>
      <w:pPr>
        <w:sectPr>
          <w:pgSz w:w="11900" w:h="16838" w:orient="portrait"/>
          <w:cols w:equalWidth="0" w:num="1">
            <w:col w:w="10920"/>
          </w:cols>
          <w:pgMar w:left="480" w:top="1440" w:right="499" w:bottom="1440" w:gutter="0" w:footer="0" w:header="0"/>
        </w:sectPr>
      </w:pPr>
    </w:p>
    <w:bookmarkStart w:id="10" w:name="page11"/>
    <w:bookmarkEnd w:id="10"/>
    <w:p>
      <w:pPr>
        <w:spacing w:after="0"/>
        <w:rPr>
          <w:sz w:val="20"/>
          <w:szCs w:val="20"/>
          <w:color w:val="auto"/>
        </w:rPr>
      </w:pPr>
      <w:r>
        <w:rPr>
          <w:rFonts w:ascii="Arial" w:cs="Arial" w:eastAsia="Arial" w:hAnsi="Arial"/>
          <w:sz w:val="45"/>
          <w:szCs w:val="45"/>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65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155" cy="9265285"/>
                    </a:xfrm>
                    <a:prstGeom prst="rect">
                      <a:avLst/>
                    </a:prstGeom>
                    <a:noFill/>
                  </pic:spPr>
                </pic:pic>
              </a:graphicData>
            </a:graphic>
          </wp:anchor>
        </w:drawing>
        <w:t>   Frequently Referenced Information</w:t>
      </w:r>
    </w:p>
    <w:p>
      <w:pPr>
        <w:spacing w:after="0" w:line="267"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Auditor Fees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Director Biographies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Director Compensation</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Director Independence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ESG</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Executive Compensation</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Financial Performance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Human Capital Management</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Peer Groups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Say on Pay</w:t>
      </w:r>
    </w:p>
    <w:p>
      <w:pPr>
        <w:spacing w:after="0" w:line="191" w:lineRule="exact"/>
        <w:rPr>
          <w:sz w:val="20"/>
          <w:szCs w:val="20"/>
          <w:color w:val="auto"/>
        </w:rPr>
      </w:pPr>
    </w:p>
    <w:p>
      <w:pPr>
        <w:spacing w:after="0"/>
        <w:rPr>
          <w:sz w:val="20"/>
          <w:szCs w:val="20"/>
          <w:color w:val="auto"/>
        </w:rPr>
      </w:pPr>
      <w:r>
        <w:rPr>
          <w:rFonts w:ascii="Arial" w:cs="Arial" w:eastAsia="Arial" w:hAnsi="Arial"/>
          <w:sz w:val="46"/>
          <w:szCs w:val="46"/>
          <w:color w:val="D64000"/>
        </w:rPr>
        <w:t>   Table of Contents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Fast Facts About Thomson Reuters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About this Circular and Related Proxy Materials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Business of the Meeting</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Voting Information and How to Attend</w:t>
      </w:r>
    </w:p>
    <w:p>
      <w:pPr>
        <w:spacing w:after="0" w:line="106" w:lineRule="exact"/>
        <w:rPr>
          <w:sz w:val="20"/>
          <w:szCs w:val="20"/>
          <w:color w:val="auto"/>
        </w:rPr>
      </w:pPr>
    </w:p>
    <w:p>
      <w:pPr>
        <w:ind w:left="560" w:right="2820"/>
        <w:spacing w:after="0" w:line="345" w:lineRule="auto"/>
        <w:rPr>
          <w:sz w:val="20"/>
          <w:szCs w:val="20"/>
          <w:color w:val="auto"/>
        </w:rPr>
      </w:pPr>
      <w:r>
        <w:rPr>
          <w:rFonts w:ascii="Arial" w:cs="Arial" w:eastAsia="Arial" w:hAnsi="Arial"/>
          <w:sz w:val="21"/>
          <w:szCs w:val="21"/>
          <w:b w:val="1"/>
          <w:bCs w:val="1"/>
          <w:u w:val="single" w:color="auto"/>
          <w:color w:val="0000EE"/>
        </w:rPr>
        <w:t>Annual and Quarterly Financial Statements and Related MD&amp;A Notice-and-Access</w:t>
      </w:r>
    </w:p>
    <w:p>
      <w:pPr>
        <w:spacing w:after="0" w:line="1" w:lineRule="exact"/>
        <w:rPr>
          <w:sz w:val="20"/>
          <w:szCs w:val="20"/>
          <w:color w:val="auto"/>
        </w:rPr>
      </w:pPr>
    </w:p>
    <w:p>
      <w:pPr>
        <w:ind w:left="560" w:right="3880"/>
        <w:spacing w:after="0" w:line="320" w:lineRule="auto"/>
        <w:rPr>
          <w:sz w:val="20"/>
          <w:szCs w:val="20"/>
          <w:color w:val="auto"/>
        </w:rPr>
      </w:pPr>
      <w:r>
        <w:rPr>
          <w:rFonts w:ascii="Arial" w:cs="Arial" w:eastAsia="Arial" w:hAnsi="Arial"/>
          <w:sz w:val="21"/>
          <w:szCs w:val="21"/>
          <w:b w:val="1"/>
          <w:bCs w:val="1"/>
          <w:u w:val="single" w:color="auto"/>
          <w:color w:val="0000EE"/>
        </w:rPr>
        <w:t>Electronic Delivery of Shareholder Communications Principal Shareholder and Share Capital About Our Directors</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Nominee Information</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Director Compensation and Share Ownership</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Corporate Governance Practices</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Board Composition and Responsibilities</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Director Attendance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Controlled Company</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Board Committees</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Audit Committee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Corporate Governance Committee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HR Committee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Risk Committee</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EE"/>
        </w:rPr>
        <w:t>Joint Audit Committee and Risk Committee Meetings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About Our Independent Auditor</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Stakeholder Engagement</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ESG</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21"/>
          <w:szCs w:val="21"/>
          <w:b w:val="1"/>
          <w:bCs w:val="1"/>
          <w:u w:val="single" w:color="auto"/>
          <w:color w:val="0000EE"/>
        </w:rPr>
        <w:t>Advisory Resolution on Executive Compensation (Say on Pay)</w:t>
      </w:r>
    </w:p>
    <w:p>
      <w:pPr>
        <w:spacing w:after="0" w:line="193" w:lineRule="exact"/>
        <w:rPr>
          <w:sz w:val="20"/>
          <w:szCs w:val="20"/>
          <w:color w:val="auto"/>
        </w:rPr>
      </w:pPr>
    </w:p>
    <w:p>
      <w:pPr>
        <w:spacing w:after="0"/>
        <w:rPr>
          <w:sz w:val="20"/>
          <w:szCs w:val="20"/>
          <w:color w:val="auto"/>
        </w:rPr>
      </w:pPr>
      <w:r>
        <w:rPr>
          <w:rFonts w:ascii="Arial" w:cs="Arial" w:eastAsia="Arial" w:hAnsi="Arial"/>
          <w:sz w:val="71"/>
          <w:szCs w:val="71"/>
          <w:color w:val="auto"/>
        </w:rPr>
        <w:t> </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 Management Proxy Circular and Notice of Annual Meeting of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51</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19-26</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27-30</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17</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53-55</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83-94</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58</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49</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66-67</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3</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4</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8</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13</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13</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13</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14</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15</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31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39</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51</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52</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53</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56</w:t>
      </w:r>
    </w:p>
    <w:p>
      <w:pPr>
        <w:sectPr>
          <w:pgSz w:w="11900" w:h="16838" w:orient="portrait"/>
          <w:cols w:equalWidth="0" w:num="2">
            <w:col w:w="9720" w:space="720"/>
            <w:col w:w="420"/>
          </w:cols>
          <w:pgMar w:left="480" w:top="1092"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65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155" cy="9265285"/>
                    </a:xfrm>
                    <a:prstGeom prst="rect">
                      <a:avLst/>
                    </a:prstGeom>
                    <a:noFill/>
                  </pic:spPr>
                </pic:pic>
              </a:graphicData>
            </a:graphic>
          </wp:anchor>
        </w:drawing>
        <w:t> </w:t>
      </w:r>
    </w:p>
    <w:tbl>
      <w:tblPr>
        <w:tblLayout w:type="fixed"/>
        <w:tblInd w:w="560" w:type="dxa"/>
        <w:tblCellMar>
          <w:top w:w="0" w:type="dxa"/>
          <w:left w:w="0" w:type="dxa"/>
          <w:bottom w:w="0" w:type="dxa"/>
          <w:right w:w="0" w:type="dxa"/>
        </w:tblCellMar>
      </w:tblPr>
      <w:tr>
        <w:trPr>
          <w:trHeight w:val="213"/>
        </w:trPr>
        <w:tc>
          <w:tcPr>
            <w:tcW w:w="5500" w:type="dxa"/>
            <w:vAlign w:val="bottom"/>
            <w:gridSpan w:val="11"/>
          </w:tcPr>
          <w:p>
            <w:pPr>
              <w:spacing w:after="0" w:line="193" w:lineRule="exact"/>
              <w:rPr>
                <w:sz w:val="20"/>
                <w:szCs w:val="20"/>
                <w:color w:val="auto"/>
              </w:rPr>
            </w:pPr>
            <w:r>
              <w:rPr>
                <w:rFonts w:ascii="Arial" w:cs="Arial" w:eastAsia="Arial" w:hAnsi="Arial"/>
                <w:sz w:val="21"/>
                <w:szCs w:val="21"/>
                <w:b w:val="1"/>
                <w:bCs w:val="1"/>
                <w:color w:val="0000EE"/>
              </w:rPr>
              <w:t>Compensation Discussion and Analysis</w:t>
            </w:r>
          </w:p>
        </w:tc>
        <w:tc>
          <w:tcPr>
            <w:tcW w:w="48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EE"/>
            </w:tcBorders>
          </w:tcPr>
          <w:p>
            <w:pPr>
              <w:spacing w:after="0"/>
              <w:rPr>
                <w:sz w:val="15"/>
                <w:szCs w:val="15"/>
                <w:color w:val="auto"/>
              </w:rPr>
            </w:pPr>
          </w:p>
        </w:tc>
        <w:tc>
          <w:tcPr>
            <w:tcW w:w="3740" w:type="dxa"/>
            <w:vAlign w:val="bottom"/>
            <w:tcBorders>
              <w:top w:val="single" w:sz="8" w:color="0000EE"/>
            </w:tcBorders>
            <w:gridSpan w:val="7"/>
          </w:tcPr>
          <w:p>
            <w:pPr>
              <w:spacing w:after="0" w:line="181" w:lineRule="exact"/>
              <w:rPr>
                <w:sz w:val="20"/>
                <w:szCs w:val="20"/>
                <w:color w:val="auto"/>
              </w:rPr>
            </w:pPr>
            <w:r>
              <w:rPr>
                <w:rFonts w:ascii="Arial" w:cs="Arial" w:eastAsia="Arial" w:hAnsi="Arial"/>
                <w:sz w:val="16"/>
                <w:szCs w:val="16"/>
                <w:color w:val="0000EE"/>
              </w:rPr>
              <w:t>Executive Summary</w:t>
            </w:r>
          </w:p>
        </w:tc>
        <w:tc>
          <w:tcPr>
            <w:tcW w:w="1440" w:type="dxa"/>
            <w:vAlign w:val="bottom"/>
            <w:gridSpan w:val="3"/>
          </w:tcPr>
          <w:p>
            <w:pPr>
              <w:spacing w:after="0"/>
              <w:rPr>
                <w:sz w:val="15"/>
                <w:szCs w:val="15"/>
                <w:color w:val="auto"/>
              </w:rPr>
            </w:pPr>
          </w:p>
        </w:tc>
        <w:tc>
          <w:tcPr>
            <w:tcW w:w="4800" w:type="dxa"/>
            <w:vAlign w:val="bottom"/>
          </w:tcPr>
          <w:p>
            <w:pPr>
              <w:jc w:val="right"/>
              <w:spacing w:after="0" w:line="181"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line="20" w:lineRule="exact"/>
              <w:rPr>
                <w:sz w:val="1"/>
                <w:szCs w:val="1"/>
                <w:color w:val="auto"/>
              </w:rPr>
            </w:pPr>
          </w:p>
        </w:tc>
      </w:tr>
      <w:tr>
        <w:trPr>
          <w:trHeight w:val="167"/>
        </w:trPr>
        <w:tc>
          <w:tcPr>
            <w:tcW w:w="320" w:type="dxa"/>
            <w:vAlign w:val="bottom"/>
          </w:tcPr>
          <w:p>
            <w:pPr>
              <w:spacing w:after="0"/>
              <w:rPr>
                <w:sz w:val="14"/>
                <w:szCs w:val="14"/>
                <w:color w:val="auto"/>
              </w:rPr>
            </w:pPr>
          </w:p>
        </w:tc>
        <w:tc>
          <w:tcPr>
            <w:tcW w:w="5180" w:type="dxa"/>
            <w:vAlign w:val="bottom"/>
            <w:gridSpan w:val="10"/>
          </w:tcPr>
          <w:p>
            <w:pPr>
              <w:spacing w:after="0" w:line="168" w:lineRule="exact"/>
              <w:rPr>
                <w:sz w:val="20"/>
                <w:szCs w:val="20"/>
                <w:color w:val="auto"/>
              </w:rPr>
            </w:pPr>
            <w:r>
              <w:rPr>
                <w:rFonts w:ascii="Arial" w:cs="Arial" w:eastAsia="Arial" w:hAnsi="Arial"/>
                <w:sz w:val="16"/>
                <w:szCs w:val="16"/>
                <w:color w:val="0000EE"/>
              </w:rPr>
              <w:t>Key 2026 Compensation Developments and Decisions</w:t>
            </w: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3880" w:type="dxa"/>
            <w:vAlign w:val="bottom"/>
            <w:tcBorders>
              <w:top w:val="single" w:sz="8" w:color="0000EE"/>
            </w:tcBorders>
            <w:gridSpan w:val="8"/>
          </w:tcPr>
          <w:p>
            <w:pPr>
              <w:spacing w:after="0" w:line="168" w:lineRule="exact"/>
              <w:rPr>
                <w:sz w:val="20"/>
                <w:szCs w:val="20"/>
                <w:color w:val="auto"/>
              </w:rPr>
            </w:pPr>
            <w:r>
              <w:rPr>
                <w:rFonts w:ascii="Arial" w:cs="Arial" w:eastAsia="Arial" w:hAnsi="Arial"/>
                <w:sz w:val="16"/>
                <w:szCs w:val="16"/>
                <w:color w:val="0000EE"/>
              </w:rPr>
              <w:t>Our 2025 Compensation Program</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0" w:type="dxa"/>
            <w:vAlign w:val="bottom"/>
          </w:tcPr>
          <w:p>
            <w:pPr>
              <w:jc w:val="right"/>
              <w:spacing w:after="0" w:line="168"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420" w:type="dxa"/>
            <w:vAlign w:val="bottom"/>
            <w:tcBorders>
              <w:top w:val="single" w:sz="8" w:color="0000EE"/>
            </w:tcBorders>
            <w:gridSpan w:val="5"/>
          </w:tcPr>
          <w:p>
            <w:pPr>
              <w:spacing w:after="0" w:line="168" w:lineRule="exact"/>
              <w:rPr>
                <w:sz w:val="20"/>
                <w:szCs w:val="20"/>
                <w:color w:val="auto"/>
              </w:rPr>
            </w:pPr>
            <w:r>
              <w:rPr>
                <w:rFonts w:ascii="Arial" w:cs="Arial" w:eastAsia="Arial" w:hAnsi="Arial"/>
                <w:sz w:val="16"/>
                <w:szCs w:val="16"/>
                <w:color w:val="0000EE"/>
              </w:rPr>
              <w:t>Our Process for Designing and</w:t>
            </w:r>
          </w:p>
        </w:tc>
        <w:tc>
          <w:tcPr>
            <w:tcW w:w="2760" w:type="dxa"/>
            <w:vAlign w:val="bottom"/>
            <w:gridSpan w:val="5"/>
          </w:tcPr>
          <w:p>
            <w:pPr>
              <w:spacing w:after="0" w:line="168" w:lineRule="exact"/>
              <w:rPr>
                <w:sz w:val="20"/>
                <w:szCs w:val="20"/>
                <w:color w:val="auto"/>
              </w:rPr>
            </w:pPr>
            <w:r>
              <w:rPr>
                <w:rFonts w:ascii="Arial" w:cs="Arial" w:eastAsia="Arial" w:hAnsi="Arial"/>
                <w:sz w:val="16"/>
                <w:szCs w:val="16"/>
                <w:color w:val="0000EE"/>
              </w:rPr>
              <w:t>Determining Executive Compensation</w:t>
            </w:r>
          </w:p>
        </w:tc>
        <w:tc>
          <w:tcPr>
            <w:tcW w:w="4800" w:type="dxa"/>
            <w:vAlign w:val="bottom"/>
          </w:tcPr>
          <w:p>
            <w:pPr>
              <w:jc w:val="right"/>
              <w:spacing w:after="0" w:line="168"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4920" w:type="dxa"/>
            <w:vAlign w:val="bottom"/>
            <w:tcBorders>
              <w:top w:val="single" w:sz="8" w:color="0000EE"/>
            </w:tcBorders>
            <w:gridSpan w:val="9"/>
          </w:tcPr>
          <w:p>
            <w:pPr>
              <w:spacing w:after="0" w:line="168" w:lineRule="exact"/>
              <w:rPr>
                <w:sz w:val="20"/>
                <w:szCs w:val="20"/>
                <w:color w:val="auto"/>
              </w:rPr>
            </w:pPr>
            <w:r>
              <w:rPr>
                <w:rFonts w:ascii="Arial" w:cs="Arial" w:eastAsia="Arial" w:hAnsi="Arial"/>
                <w:sz w:val="16"/>
                <w:szCs w:val="16"/>
                <w:color w:val="0000EE"/>
              </w:rPr>
              <w:t>Our Key Compensation Principles</w:t>
            </w:r>
          </w:p>
        </w:tc>
        <w:tc>
          <w:tcPr>
            <w:tcW w:w="260" w:type="dxa"/>
            <w:vAlign w:val="bottom"/>
          </w:tcPr>
          <w:p>
            <w:pPr>
              <w:spacing w:after="0"/>
              <w:rPr>
                <w:sz w:val="14"/>
                <w:szCs w:val="14"/>
                <w:color w:val="auto"/>
              </w:rPr>
            </w:pPr>
          </w:p>
        </w:tc>
        <w:tc>
          <w:tcPr>
            <w:tcW w:w="4800" w:type="dxa"/>
            <w:vAlign w:val="bottom"/>
          </w:tcPr>
          <w:p>
            <w:pPr>
              <w:jc w:val="right"/>
              <w:spacing w:after="0" w:line="168"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spacing w:after="0" w:line="168" w:lineRule="exact"/>
              <w:rPr>
                <w:sz w:val="20"/>
                <w:szCs w:val="20"/>
                <w:color w:val="auto"/>
              </w:rPr>
            </w:pPr>
            <w:r>
              <w:rPr>
                <w:rFonts w:ascii="Arial" w:cs="Arial" w:eastAsia="Arial" w:hAnsi="Arial"/>
                <w:sz w:val="16"/>
                <w:szCs w:val="16"/>
                <w:color w:val="0000EE"/>
                <w:w w:val="99"/>
              </w:rPr>
              <w:t>2025 Compensation</w:t>
            </w:r>
          </w:p>
        </w:tc>
        <w:tc>
          <w:tcPr>
            <w:tcW w:w="960" w:type="dxa"/>
            <w:vAlign w:val="bottom"/>
            <w:tcBorders>
              <w:top w:val="single" w:sz="8" w:color="0000EE"/>
            </w:tcBorders>
            <w:gridSpan w:val="2"/>
          </w:tcPr>
          <w:p>
            <w:pPr>
              <w:spacing w:after="0"/>
              <w:rPr>
                <w:sz w:val="14"/>
                <w:szCs w:val="14"/>
                <w:color w:val="auto"/>
              </w:rPr>
            </w:pPr>
          </w:p>
        </w:tc>
        <w:tc>
          <w:tcPr>
            <w:tcW w:w="1020" w:type="dxa"/>
            <w:vAlign w:val="bottom"/>
            <w:gridSpan w:val="2"/>
          </w:tcPr>
          <w:p>
            <w:pPr>
              <w:spacing w:after="0"/>
              <w:rPr>
                <w:sz w:val="14"/>
                <w:szCs w:val="14"/>
                <w:color w:val="auto"/>
              </w:rPr>
            </w:pPr>
          </w:p>
        </w:tc>
        <w:tc>
          <w:tcPr>
            <w:tcW w:w="1760" w:type="dxa"/>
            <w:vAlign w:val="bottom"/>
            <w:gridSpan w:val="4"/>
          </w:tcPr>
          <w:p>
            <w:pPr>
              <w:spacing w:after="0"/>
              <w:rPr>
                <w:sz w:val="14"/>
                <w:szCs w:val="14"/>
                <w:color w:val="auto"/>
              </w:rPr>
            </w:pPr>
          </w:p>
        </w:tc>
        <w:tc>
          <w:tcPr>
            <w:tcW w:w="4800" w:type="dxa"/>
            <w:vAlign w:val="bottom"/>
          </w:tcPr>
          <w:p>
            <w:pPr>
              <w:jc w:val="right"/>
              <w:spacing w:after="0" w:line="168"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5180" w:type="dxa"/>
            <w:vAlign w:val="bottom"/>
            <w:tcBorders>
              <w:bottom w:val="single" w:sz="8" w:color="0000EE"/>
            </w:tcBorders>
            <w:gridSpan w:val="10"/>
          </w:tcPr>
          <w:p>
            <w:pPr>
              <w:spacing w:after="0" w:line="168" w:lineRule="exact"/>
              <w:rPr>
                <w:sz w:val="20"/>
                <w:szCs w:val="20"/>
                <w:color w:val="auto"/>
              </w:rPr>
            </w:pPr>
            <w:r>
              <w:rPr>
                <w:rFonts w:ascii="Arial" w:cs="Arial" w:eastAsia="Arial" w:hAnsi="Arial"/>
                <w:sz w:val="16"/>
                <w:szCs w:val="16"/>
                <w:color w:val="0000EE"/>
                <w:w w:val="99"/>
              </w:rPr>
              <w:t>2025 Named Executive Officer Compensation and Key Accomplishments</w:t>
            </w:r>
          </w:p>
        </w:tc>
        <w:tc>
          <w:tcPr>
            <w:tcW w:w="4800" w:type="dxa"/>
            <w:vAlign w:val="bottom"/>
          </w:tcPr>
          <w:p>
            <w:pPr>
              <w:jc w:val="right"/>
              <w:spacing w:after="0" w:line="168"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5180" w:type="dxa"/>
            <w:vAlign w:val="bottom"/>
            <w:gridSpan w:val="10"/>
          </w:tcPr>
          <w:p>
            <w:pPr>
              <w:spacing w:after="0" w:line="168" w:lineRule="exact"/>
              <w:rPr>
                <w:sz w:val="20"/>
                <w:szCs w:val="20"/>
                <w:color w:val="auto"/>
              </w:rPr>
            </w:pPr>
            <w:r>
              <w:rPr>
                <w:rFonts w:ascii="Arial" w:cs="Arial" w:eastAsia="Arial" w:hAnsi="Arial"/>
                <w:sz w:val="16"/>
                <w:szCs w:val="16"/>
                <w:color w:val="0000EE"/>
              </w:rPr>
              <w:t>Performance Graphs</w:t>
            </w:r>
          </w:p>
        </w:tc>
        <w:tc>
          <w:tcPr>
            <w:tcW w:w="4800" w:type="dxa"/>
            <w:vAlign w:val="bottom"/>
          </w:tcPr>
          <w:p>
            <w:pPr>
              <w:jc w:val="right"/>
              <w:spacing w:after="0" w:line="168"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80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line="20" w:lineRule="exact"/>
              <w:rPr>
                <w:sz w:val="1"/>
                <w:szCs w:val="1"/>
                <w:color w:val="auto"/>
              </w:rPr>
            </w:pPr>
          </w:p>
        </w:tc>
      </w:tr>
      <w:tr>
        <w:trPr>
          <w:trHeight w:val="167"/>
        </w:trPr>
        <w:tc>
          <w:tcPr>
            <w:tcW w:w="320" w:type="dxa"/>
            <w:vAlign w:val="bottom"/>
          </w:tcPr>
          <w:p>
            <w:pPr>
              <w:spacing w:after="0"/>
              <w:rPr>
                <w:sz w:val="14"/>
                <w:szCs w:val="14"/>
                <w:color w:val="auto"/>
              </w:rPr>
            </w:pPr>
          </w:p>
        </w:tc>
        <w:tc>
          <w:tcPr>
            <w:tcW w:w="5180" w:type="dxa"/>
            <w:vAlign w:val="bottom"/>
            <w:gridSpan w:val="10"/>
          </w:tcPr>
          <w:p>
            <w:pPr>
              <w:spacing w:after="0" w:line="168" w:lineRule="exact"/>
              <w:rPr>
                <w:sz w:val="20"/>
                <w:szCs w:val="20"/>
                <w:color w:val="auto"/>
              </w:rPr>
            </w:pPr>
            <w:r>
              <w:rPr>
                <w:rFonts w:ascii="Arial" w:cs="Arial" w:eastAsia="Arial" w:hAnsi="Arial"/>
                <w:sz w:val="16"/>
                <w:szCs w:val="16"/>
                <w:color w:val="0000EE"/>
              </w:rPr>
              <w:t>Historic Named Executive Officer Compensation</w:t>
            </w: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tbl>
      <w:tblPr>
        <w:tblLayout w:type="fixed"/>
        <w:tblInd w:w="560" w:type="dxa"/>
        <w:tblCellMar>
          <w:top w:w="0" w:type="dxa"/>
          <w:left w:w="0" w:type="dxa"/>
          <w:bottom w:w="0" w:type="dxa"/>
          <w:right w:w="0" w:type="dxa"/>
        </w:tblCellMar>
      </w:tblPr>
      <w:tr>
        <w:trPr>
          <w:trHeight w:val="261"/>
        </w:trPr>
        <w:tc>
          <w:tcPr>
            <w:tcW w:w="8240" w:type="dxa"/>
            <w:vAlign w:val="bottom"/>
            <w:gridSpan w:val="20"/>
          </w:tcPr>
          <w:p>
            <w:pPr>
              <w:spacing w:after="0"/>
              <w:rPr>
                <w:sz w:val="20"/>
                <w:szCs w:val="20"/>
                <w:color w:val="auto"/>
              </w:rPr>
            </w:pPr>
            <w:r>
              <w:rPr>
                <w:rFonts w:ascii="Arial" w:cs="Arial" w:eastAsia="Arial" w:hAnsi="Arial"/>
                <w:sz w:val="21"/>
                <w:szCs w:val="21"/>
                <w:b w:val="1"/>
                <w:bCs w:val="1"/>
                <w:color w:val="0000EE"/>
              </w:rPr>
              <w:t>Executive Compensation</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EE"/>
            </w:tcBorders>
          </w:tcPr>
          <w:p>
            <w:pPr>
              <w:spacing w:after="0"/>
              <w:rPr>
                <w:sz w:val="15"/>
                <w:szCs w:val="15"/>
                <w:color w:val="auto"/>
              </w:rPr>
            </w:pPr>
          </w:p>
        </w:tc>
        <w:tc>
          <w:tcPr>
            <w:tcW w:w="2220" w:type="dxa"/>
            <w:vAlign w:val="bottom"/>
            <w:tcBorders>
              <w:top w:val="single" w:sz="8" w:color="0000EE"/>
            </w:tcBorders>
            <w:gridSpan w:val="9"/>
          </w:tcPr>
          <w:p>
            <w:pPr>
              <w:spacing w:after="0" w:line="181" w:lineRule="exact"/>
              <w:rPr>
                <w:sz w:val="20"/>
                <w:szCs w:val="20"/>
                <w:color w:val="auto"/>
              </w:rPr>
            </w:pPr>
            <w:r>
              <w:rPr>
                <w:rFonts w:ascii="Arial" w:cs="Arial" w:eastAsia="Arial" w:hAnsi="Arial"/>
                <w:sz w:val="16"/>
                <w:szCs w:val="16"/>
                <w:color w:val="0000EE"/>
                <w:w w:val="99"/>
              </w:rPr>
              <w:t>Summary Compensation Table</w:t>
            </w:r>
          </w:p>
        </w:tc>
        <w:tc>
          <w:tcPr>
            <w:tcW w:w="5700" w:type="dxa"/>
            <w:vAlign w:val="bottom"/>
            <w:gridSpan w:val="10"/>
          </w:tcPr>
          <w:p>
            <w:pPr>
              <w:spacing w:after="0"/>
              <w:rPr>
                <w:sz w:val="15"/>
                <w:szCs w:val="15"/>
                <w:color w:val="auto"/>
              </w:rPr>
            </w:pPr>
          </w:p>
        </w:tc>
        <w:tc>
          <w:tcPr>
            <w:tcW w:w="2060" w:type="dxa"/>
            <w:vAlign w:val="bottom"/>
          </w:tcPr>
          <w:p>
            <w:pPr>
              <w:jc w:val="right"/>
              <w:spacing w:after="0" w:line="181"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200" w:type="dxa"/>
            <w:vAlign w:val="bottom"/>
            <w:tcBorders>
              <w:top w:val="single" w:sz="8" w:color="0000EE"/>
            </w:tcBorders>
            <w:gridSpan w:val="8"/>
          </w:tcPr>
          <w:p>
            <w:pPr>
              <w:spacing w:after="0" w:line="168" w:lineRule="exact"/>
              <w:rPr>
                <w:sz w:val="20"/>
                <w:szCs w:val="20"/>
                <w:color w:val="auto"/>
              </w:rPr>
            </w:pPr>
            <w:r>
              <w:rPr>
                <w:rFonts w:ascii="Arial" w:cs="Arial" w:eastAsia="Arial" w:hAnsi="Arial"/>
                <w:sz w:val="16"/>
                <w:szCs w:val="16"/>
                <w:color w:val="0000EE"/>
              </w:rPr>
              <w:t>Incentive Plan Awards</w:t>
            </w:r>
          </w:p>
        </w:tc>
        <w:tc>
          <w:tcPr>
            <w:tcW w:w="5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line="20" w:lineRule="exact"/>
              <w:rPr>
                <w:sz w:val="1"/>
                <w:szCs w:val="1"/>
                <w:color w:val="auto"/>
              </w:rPr>
            </w:pPr>
          </w:p>
        </w:tc>
      </w:tr>
      <w:tr>
        <w:trPr>
          <w:trHeight w:val="167"/>
        </w:trPr>
        <w:tc>
          <w:tcPr>
            <w:tcW w:w="320" w:type="dxa"/>
            <w:vAlign w:val="bottom"/>
          </w:tcPr>
          <w:p>
            <w:pPr>
              <w:spacing w:after="0"/>
              <w:rPr>
                <w:sz w:val="14"/>
                <w:szCs w:val="14"/>
                <w:color w:val="auto"/>
              </w:rPr>
            </w:pPr>
          </w:p>
        </w:tc>
        <w:tc>
          <w:tcPr>
            <w:tcW w:w="7920" w:type="dxa"/>
            <w:vAlign w:val="bottom"/>
            <w:gridSpan w:val="19"/>
          </w:tcPr>
          <w:p>
            <w:pPr>
              <w:spacing w:after="0" w:line="168" w:lineRule="exact"/>
              <w:rPr>
                <w:sz w:val="20"/>
                <w:szCs w:val="20"/>
                <w:color w:val="auto"/>
              </w:rPr>
            </w:pPr>
            <w:r>
              <w:rPr>
                <w:rFonts w:ascii="Arial" w:cs="Arial" w:eastAsia="Arial" w:hAnsi="Arial"/>
                <w:sz w:val="16"/>
                <w:szCs w:val="16"/>
                <w:color w:val="0000EE"/>
              </w:rPr>
              <w:t>Pension and Other Retirement Benefits</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460" w:type="dxa"/>
            <w:vAlign w:val="bottom"/>
            <w:tcBorders>
              <w:top w:val="single" w:sz="8" w:color="0000EE"/>
              <w:bottom w:val="single" w:sz="8" w:color="0000EE"/>
            </w:tcBorders>
          </w:tcPr>
          <w:p>
            <w:pPr>
              <w:spacing w:after="0" w:line="168" w:lineRule="exact"/>
              <w:rPr>
                <w:sz w:val="20"/>
                <w:szCs w:val="20"/>
                <w:color w:val="auto"/>
              </w:rPr>
            </w:pPr>
            <w:r>
              <w:rPr>
                <w:rFonts w:ascii="Arial" w:cs="Arial" w:eastAsia="Arial" w:hAnsi="Arial"/>
                <w:sz w:val="16"/>
                <w:szCs w:val="16"/>
                <w:color w:val="0000EE"/>
                <w:w w:val="98"/>
              </w:rPr>
              <w:t>Termination Benefits</w:t>
            </w:r>
          </w:p>
        </w:tc>
        <w:tc>
          <w:tcPr>
            <w:tcW w:w="1320" w:type="dxa"/>
            <w:vAlign w:val="bottom"/>
            <w:tcBorders>
              <w:top w:val="single" w:sz="8" w:color="0000EE"/>
            </w:tcBorders>
            <w:gridSpan w:val="9"/>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14"/>
        </w:trPr>
        <w:tc>
          <w:tcPr>
            <w:tcW w:w="5200" w:type="dxa"/>
            <w:vAlign w:val="bottom"/>
            <w:tcBorders>
              <w:bottom w:val="single" w:sz="8" w:color="0000EE"/>
            </w:tcBorders>
            <w:gridSpan w:val="15"/>
          </w:tcPr>
          <w:p>
            <w:pPr>
              <w:spacing w:after="0"/>
              <w:rPr>
                <w:sz w:val="20"/>
                <w:szCs w:val="20"/>
                <w:color w:val="auto"/>
              </w:rPr>
            </w:pPr>
            <w:r>
              <w:rPr>
                <w:rFonts w:ascii="Arial" w:cs="Arial" w:eastAsia="Arial" w:hAnsi="Arial"/>
                <w:sz w:val="21"/>
                <w:szCs w:val="21"/>
                <w:b w:val="1"/>
                <w:bCs w:val="1"/>
                <w:color w:val="0000EE"/>
              </w:rPr>
              <w:t>Indebtedness of Officers, Directors and Employees</w:t>
            </w:r>
          </w:p>
        </w:tc>
        <w:tc>
          <w:tcPr>
            <w:tcW w:w="3040" w:type="dxa"/>
            <w:vAlign w:val="bottom"/>
            <w:gridSpan w:val="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0" w:type="dxa"/>
            <w:vAlign w:val="bottom"/>
          </w:tcPr>
          <w:p>
            <w:pPr>
              <w:spacing w:after="0"/>
              <w:rPr>
                <w:sz w:val="1"/>
                <w:szCs w:val="1"/>
                <w:color w:val="auto"/>
              </w:rPr>
            </w:pPr>
          </w:p>
        </w:tc>
      </w:tr>
      <w:tr>
        <w:trPr>
          <w:trHeight w:val="328"/>
        </w:trPr>
        <w:tc>
          <w:tcPr>
            <w:tcW w:w="5520" w:type="dxa"/>
            <w:vAlign w:val="bottom"/>
            <w:tcBorders>
              <w:bottom w:val="single" w:sz="8" w:color="0000EE"/>
            </w:tcBorders>
            <w:gridSpan w:val="16"/>
          </w:tcPr>
          <w:p>
            <w:pPr>
              <w:spacing w:after="0"/>
              <w:rPr>
                <w:sz w:val="20"/>
                <w:szCs w:val="20"/>
                <w:color w:val="auto"/>
              </w:rPr>
            </w:pPr>
            <w:r>
              <w:rPr>
                <w:rFonts w:ascii="Arial" w:cs="Arial" w:eastAsia="Arial" w:hAnsi="Arial"/>
                <w:sz w:val="21"/>
                <w:szCs w:val="21"/>
                <w:b w:val="1"/>
                <w:bCs w:val="1"/>
                <w:color w:val="0000EE"/>
              </w:rPr>
              <w:t>Directors’ and Officers’ Indemnification and Insurance</w:t>
            </w:r>
          </w:p>
        </w:tc>
        <w:tc>
          <w:tcPr>
            <w:tcW w:w="272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0" w:type="dxa"/>
            <w:vAlign w:val="bottom"/>
          </w:tcPr>
          <w:p>
            <w:pPr>
              <w:spacing w:after="0"/>
              <w:rPr>
                <w:sz w:val="1"/>
                <w:szCs w:val="1"/>
                <w:color w:val="auto"/>
              </w:rPr>
            </w:pPr>
          </w:p>
        </w:tc>
      </w:tr>
      <w:tr>
        <w:trPr>
          <w:trHeight w:val="328"/>
        </w:trPr>
        <w:tc>
          <w:tcPr>
            <w:tcW w:w="2280" w:type="dxa"/>
            <w:vAlign w:val="bottom"/>
            <w:tcBorders>
              <w:bottom w:val="single" w:sz="8" w:color="0000EE"/>
            </w:tcBorders>
            <w:gridSpan w:val="6"/>
          </w:tcPr>
          <w:p>
            <w:pPr>
              <w:spacing w:after="0"/>
              <w:rPr>
                <w:sz w:val="20"/>
                <w:szCs w:val="20"/>
                <w:color w:val="auto"/>
              </w:rPr>
            </w:pPr>
            <w:r>
              <w:rPr>
                <w:rFonts w:ascii="Arial" w:cs="Arial" w:eastAsia="Arial" w:hAnsi="Arial"/>
                <w:sz w:val="21"/>
                <w:szCs w:val="21"/>
                <w:b w:val="1"/>
                <w:bCs w:val="1"/>
                <w:color w:val="0000EE"/>
              </w:rPr>
              <w:t>Additional Information</w:t>
            </w:r>
          </w:p>
        </w:tc>
        <w:tc>
          <w:tcPr>
            <w:tcW w:w="5960" w:type="dxa"/>
            <w:vAlign w:val="bottom"/>
            <w:gridSpan w:val="1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7920" w:type="dxa"/>
            <w:vAlign w:val="bottom"/>
            <w:gridSpan w:val="19"/>
          </w:tcPr>
          <w:p>
            <w:pPr>
              <w:spacing w:after="0" w:line="181" w:lineRule="exact"/>
              <w:rPr>
                <w:sz w:val="20"/>
                <w:szCs w:val="20"/>
                <w:color w:val="auto"/>
              </w:rPr>
            </w:pPr>
            <w:r>
              <w:rPr>
                <w:rFonts w:ascii="Arial" w:cs="Arial" w:eastAsia="Arial" w:hAnsi="Arial"/>
                <w:sz w:val="16"/>
                <w:szCs w:val="16"/>
                <w:color w:val="0000EE"/>
              </w:rPr>
              <w:t>Non-IFRS Financial Measures</w:t>
            </w:r>
          </w:p>
        </w:tc>
        <w:tc>
          <w:tcPr>
            <w:tcW w:w="2060" w:type="dxa"/>
            <w:vAlign w:val="bottom"/>
          </w:tcPr>
          <w:p>
            <w:pPr>
              <w:jc w:val="right"/>
              <w:spacing w:after="0" w:line="181"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140" w:type="dxa"/>
            <w:vAlign w:val="bottom"/>
            <w:tcBorders>
              <w:top w:val="single" w:sz="8" w:color="0000EE"/>
            </w:tcBorders>
            <w:gridSpan w:val="6"/>
          </w:tcPr>
          <w:p>
            <w:pPr>
              <w:spacing w:after="0" w:line="168" w:lineRule="exact"/>
              <w:rPr>
                <w:sz w:val="20"/>
                <w:szCs w:val="20"/>
                <w:color w:val="auto"/>
              </w:rPr>
            </w:pPr>
            <w:r>
              <w:rPr>
                <w:rFonts w:ascii="Arial" w:cs="Arial" w:eastAsia="Arial" w:hAnsi="Arial"/>
                <w:sz w:val="16"/>
                <w:szCs w:val="16"/>
                <w:color w:val="0000EE"/>
              </w:rPr>
              <w:t>How to Contact the Board</w:t>
            </w:r>
          </w:p>
        </w:tc>
        <w:tc>
          <w:tcPr>
            <w:tcW w:w="20" w:type="dxa"/>
            <w:vAlign w:val="bottom"/>
          </w:tcPr>
          <w:p>
            <w:pPr>
              <w:spacing w:after="0"/>
              <w:rPr>
                <w:sz w:val="14"/>
                <w:szCs w:val="14"/>
                <w:color w:val="auto"/>
              </w:rPr>
            </w:pPr>
          </w:p>
        </w:tc>
        <w:tc>
          <w:tcPr>
            <w:tcW w:w="116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840" w:type="dxa"/>
            <w:vAlign w:val="bottom"/>
            <w:tcBorders>
              <w:top w:val="single" w:sz="8" w:color="0000EE"/>
            </w:tcBorders>
            <w:gridSpan w:val="4"/>
          </w:tcPr>
          <w:p>
            <w:pPr>
              <w:spacing w:after="0" w:line="168" w:lineRule="exact"/>
              <w:rPr>
                <w:sz w:val="20"/>
                <w:szCs w:val="20"/>
                <w:color w:val="auto"/>
              </w:rPr>
            </w:pPr>
            <w:r>
              <w:rPr>
                <w:rFonts w:ascii="Arial" w:cs="Arial" w:eastAsia="Arial" w:hAnsi="Arial"/>
                <w:sz w:val="16"/>
                <w:szCs w:val="16"/>
                <w:color w:val="0000EE"/>
              </w:rPr>
              <w:t>2026 Annual Meeting –</w:t>
            </w:r>
          </w:p>
        </w:tc>
        <w:tc>
          <w:tcPr>
            <w:tcW w:w="6080" w:type="dxa"/>
            <w:vAlign w:val="bottom"/>
            <w:gridSpan w:val="15"/>
          </w:tcPr>
          <w:p>
            <w:pPr>
              <w:jc w:val="center"/>
              <w:ind w:right="4140"/>
              <w:spacing w:after="0" w:line="168" w:lineRule="exact"/>
              <w:rPr>
                <w:sz w:val="20"/>
                <w:szCs w:val="20"/>
                <w:color w:val="auto"/>
              </w:rPr>
            </w:pPr>
            <w:r>
              <w:rPr>
                <w:rFonts w:ascii="Arial" w:cs="Arial" w:eastAsia="Arial" w:hAnsi="Arial"/>
                <w:sz w:val="16"/>
                <w:szCs w:val="16"/>
                <w:color w:val="0000EE"/>
                <w:w w:val="93"/>
              </w:rPr>
              <w:t>Questions from Shareholders</w:t>
            </w: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3780" w:type="dxa"/>
            <w:vAlign w:val="bottom"/>
            <w:tcBorders>
              <w:top w:val="single" w:sz="8" w:color="0000EE"/>
            </w:tcBorders>
            <w:gridSpan w:val="13"/>
          </w:tcPr>
          <w:p>
            <w:pPr>
              <w:spacing w:after="0" w:line="168" w:lineRule="exact"/>
              <w:rPr>
                <w:sz w:val="20"/>
                <w:szCs w:val="20"/>
                <w:color w:val="auto"/>
              </w:rPr>
            </w:pPr>
            <w:r>
              <w:rPr>
                <w:rFonts w:ascii="Arial" w:cs="Arial" w:eastAsia="Arial" w:hAnsi="Arial"/>
                <w:sz w:val="16"/>
                <w:szCs w:val="16"/>
                <w:color w:val="0000EE"/>
                <w:w w:val="99"/>
              </w:rPr>
              <w:t>Where to find Corporate Governance and Continuous</w:t>
            </w:r>
          </w:p>
        </w:tc>
        <w:tc>
          <w:tcPr>
            <w:tcW w:w="4140" w:type="dxa"/>
            <w:vAlign w:val="bottom"/>
            <w:gridSpan w:val="6"/>
          </w:tcPr>
          <w:p>
            <w:pPr>
              <w:ind w:left="60"/>
              <w:spacing w:after="0" w:line="168" w:lineRule="exact"/>
              <w:rPr>
                <w:sz w:val="20"/>
                <w:szCs w:val="20"/>
                <w:color w:val="auto"/>
              </w:rPr>
            </w:pPr>
            <w:r>
              <w:rPr>
                <w:rFonts w:ascii="Arial" w:cs="Arial" w:eastAsia="Arial" w:hAnsi="Arial"/>
                <w:sz w:val="16"/>
                <w:szCs w:val="16"/>
                <w:color w:val="0000EE"/>
              </w:rPr>
              <w:t>Disclosure Documents</w:t>
            </w: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5440" w:type="dxa"/>
            <w:vAlign w:val="bottom"/>
            <w:tcBorders>
              <w:top w:val="single" w:sz="8" w:color="0000EE"/>
            </w:tcBorders>
            <w:gridSpan w:val="16"/>
          </w:tcPr>
          <w:p>
            <w:pPr>
              <w:spacing w:after="0" w:line="168" w:lineRule="exact"/>
              <w:rPr>
                <w:sz w:val="20"/>
                <w:szCs w:val="20"/>
                <w:color w:val="auto"/>
              </w:rPr>
            </w:pPr>
            <w:r>
              <w:rPr>
                <w:rFonts w:ascii="Arial" w:cs="Arial" w:eastAsia="Arial" w:hAnsi="Arial"/>
                <w:sz w:val="16"/>
                <w:szCs w:val="16"/>
                <w:color w:val="0000EE"/>
              </w:rPr>
              <w:t>Thomson Reuters Trust Principles and Thomson Reuters Founders Share</w:t>
            </w:r>
          </w:p>
        </w:tc>
        <w:tc>
          <w:tcPr>
            <w:tcW w:w="2480" w:type="dxa"/>
            <w:vAlign w:val="bottom"/>
            <w:gridSpan w:val="3"/>
          </w:tcPr>
          <w:p>
            <w:pPr>
              <w:spacing w:after="0" w:line="168" w:lineRule="exact"/>
              <w:rPr>
                <w:sz w:val="20"/>
                <w:szCs w:val="20"/>
                <w:color w:val="auto"/>
              </w:rPr>
            </w:pPr>
            <w:r>
              <w:rPr>
                <w:rFonts w:ascii="Arial" w:cs="Arial" w:eastAsia="Arial" w:hAnsi="Arial"/>
                <w:sz w:val="16"/>
                <w:szCs w:val="16"/>
                <w:color w:val="0000EE"/>
              </w:rPr>
              <w:t>Company</w:t>
            </w: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5980" w:type="dxa"/>
            <w:vAlign w:val="bottom"/>
            <w:tcBorders>
              <w:top w:val="single" w:sz="8" w:color="0000EE"/>
            </w:tcBorders>
            <w:gridSpan w:val="17"/>
          </w:tcPr>
          <w:p>
            <w:pPr>
              <w:spacing w:after="0" w:line="168" w:lineRule="exact"/>
              <w:rPr>
                <w:sz w:val="20"/>
                <w:szCs w:val="20"/>
                <w:color w:val="auto"/>
              </w:rPr>
            </w:pPr>
            <w:r>
              <w:rPr>
                <w:rFonts w:ascii="Arial" w:cs="Arial" w:eastAsia="Arial" w:hAnsi="Arial"/>
                <w:sz w:val="16"/>
                <w:szCs w:val="16"/>
                <w:color w:val="0000EE"/>
              </w:rPr>
              <w:t>Additional Director Information</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2160" w:type="dxa"/>
            <w:vAlign w:val="bottom"/>
            <w:tcBorders>
              <w:top w:val="single" w:sz="8" w:color="0000EE"/>
              <w:bottom w:val="single" w:sz="8" w:color="0000EE"/>
            </w:tcBorders>
            <w:gridSpan w:val="7"/>
          </w:tcPr>
          <w:p>
            <w:pPr>
              <w:spacing w:after="0" w:line="168" w:lineRule="exact"/>
              <w:rPr>
                <w:sz w:val="20"/>
                <w:szCs w:val="20"/>
                <w:color w:val="auto"/>
              </w:rPr>
            </w:pPr>
            <w:r>
              <w:rPr>
                <w:rFonts w:ascii="Arial" w:cs="Arial" w:eastAsia="Arial" w:hAnsi="Arial"/>
                <w:sz w:val="16"/>
                <w:szCs w:val="16"/>
                <w:color w:val="0000EE"/>
              </w:rPr>
              <w:t>Share Repurchases – Normal</w:t>
            </w:r>
          </w:p>
        </w:tc>
        <w:tc>
          <w:tcPr>
            <w:tcW w:w="1280" w:type="dxa"/>
            <w:vAlign w:val="bottom"/>
            <w:tcBorders>
              <w:bottom w:val="single" w:sz="8" w:color="0000EE"/>
            </w:tcBorders>
            <w:gridSpan w:val="5"/>
          </w:tcPr>
          <w:p>
            <w:pPr>
              <w:jc w:val="center"/>
              <w:spacing w:after="0" w:line="168" w:lineRule="exact"/>
              <w:rPr>
                <w:sz w:val="20"/>
                <w:szCs w:val="20"/>
                <w:color w:val="auto"/>
              </w:rPr>
            </w:pPr>
            <w:r>
              <w:rPr>
                <w:rFonts w:ascii="Arial" w:cs="Arial" w:eastAsia="Arial" w:hAnsi="Arial"/>
                <w:sz w:val="16"/>
                <w:szCs w:val="16"/>
                <w:color w:val="0000EE"/>
              </w:rPr>
              <w:t>Course Issuer Bid</w:t>
            </w:r>
          </w:p>
        </w:tc>
        <w:tc>
          <w:tcPr>
            <w:tcW w:w="4480" w:type="dxa"/>
            <w:vAlign w:val="bottom"/>
            <w:gridSpan w:val="7"/>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14"/>
        </w:trPr>
        <w:tc>
          <w:tcPr>
            <w:tcW w:w="8240" w:type="dxa"/>
            <w:vAlign w:val="bottom"/>
            <w:gridSpan w:val="20"/>
          </w:tcPr>
          <w:p>
            <w:pPr>
              <w:spacing w:after="0"/>
              <w:rPr>
                <w:sz w:val="20"/>
                <w:szCs w:val="20"/>
                <w:color w:val="auto"/>
              </w:rPr>
            </w:pPr>
            <w:r>
              <w:rPr>
                <w:rFonts w:ascii="Arial" w:cs="Arial" w:eastAsia="Arial" w:hAnsi="Arial"/>
                <w:sz w:val="21"/>
                <w:szCs w:val="21"/>
                <w:b w:val="1"/>
                <w:bCs w:val="1"/>
                <w:color w:val="0000EE"/>
              </w:rPr>
              <w:t>Directors’ Approval</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20"/>
        </w:trPr>
        <w:tc>
          <w:tcPr>
            <w:tcW w:w="1980" w:type="dxa"/>
            <w:vAlign w:val="bottom"/>
            <w:gridSpan w:val="4"/>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440" w:type="dxa"/>
            <w:vAlign w:val="bottom"/>
            <w:tcBorders>
              <w:bottom w:val="single" w:sz="8" w:color="0000EE"/>
            </w:tcBorders>
            <w:gridSpan w:val="19"/>
          </w:tcPr>
          <w:p>
            <w:pPr>
              <w:spacing w:after="0"/>
              <w:rPr>
                <w:sz w:val="20"/>
                <w:szCs w:val="20"/>
                <w:color w:val="auto"/>
              </w:rPr>
            </w:pPr>
            <w:r>
              <w:rPr>
                <w:rFonts w:ascii="Arial" w:cs="Arial" w:eastAsia="Arial" w:hAnsi="Arial"/>
                <w:sz w:val="21"/>
                <w:szCs w:val="21"/>
                <w:b w:val="1"/>
                <w:bCs w:val="1"/>
                <w:color w:val="0000EE"/>
              </w:rPr>
              <w:t>Appendix A – Equity Compensation and Other Plan Information</w:t>
            </w:r>
          </w:p>
        </w:tc>
        <w:tc>
          <w:tcPr>
            <w:tcW w:w="18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A-1</w:t>
            </w:r>
          </w:p>
        </w:tc>
        <w:tc>
          <w:tcPr>
            <w:tcW w:w="0" w:type="dxa"/>
            <w:vAlign w:val="bottom"/>
          </w:tcPr>
          <w:p>
            <w:pPr>
              <w:spacing w:after="0"/>
              <w:rPr>
                <w:sz w:val="1"/>
                <w:szCs w:val="1"/>
                <w:color w:val="auto"/>
              </w:rPr>
            </w:pPr>
          </w:p>
        </w:tc>
      </w:tr>
      <w:tr>
        <w:trPr>
          <w:trHeight w:val="328"/>
        </w:trPr>
        <w:tc>
          <w:tcPr>
            <w:tcW w:w="8240" w:type="dxa"/>
            <w:vAlign w:val="bottom"/>
            <w:gridSpan w:val="20"/>
          </w:tcPr>
          <w:p>
            <w:pPr>
              <w:spacing w:after="0"/>
              <w:rPr>
                <w:sz w:val="20"/>
                <w:szCs w:val="20"/>
                <w:color w:val="auto"/>
              </w:rPr>
            </w:pPr>
            <w:r>
              <w:rPr>
                <w:rFonts w:ascii="Arial" w:cs="Arial" w:eastAsia="Arial" w:hAnsi="Arial"/>
                <w:sz w:val="21"/>
                <w:szCs w:val="21"/>
                <w:b w:val="1"/>
                <w:bCs w:val="1"/>
                <w:color w:val="0000EE"/>
              </w:rPr>
              <w:t>Appendix B – Shareholder Proposal</w:t>
            </w:r>
          </w:p>
        </w:tc>
        <w:tc>
          <w:tcPr>
            <w:tcW w:w="2060" w:type="dxa"/>
            <w:vAlign w:val="bottom"/>
          </w:tcPr>
          <w:p>
            <w:pPr>
              <w:jc w:val="right"/>
              <w:spacing w:after="0"/>
              <w:rPr>
                <w:sz w:val="20"/>
                <w:szCs w:val="20"/>
                <w:color w:val="auto"/>
              </w:rPr>
            </w:pPr>
            <w:r>
              <w:rPr>
                <w:rFonts w:ascii="Arial" w:cs="Arial" w:eastAsia="Arial" w:hAnsi="Arial"/>
                <w:sz w:val="16"/>
                <w:szCs w:val="16"/>
                <w:b w:val="1"/>
                <w:bCs w:val="1"/>
                <w:color w:val="auto"/>
              </w:rPr>
              <w:t>B-1</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p>
      <w:pPr>
        <w:sectPr>
          <w:pgSz w:w="11900" w:h="16838" w:orient="portrait"/>
          <w:cols w:equalWidth="0" w:num="1">
            <w:col w:w="10920"/>
          </w:cols>
          <w:pgMar w:left="480" w:top="1231" w:right="499" w:bottom="1440" w:gutter="0" w:footer="0" w:header="0"/>
        </w:sectPr>
      </w:pPr>
    </w:p>
    <w:bookmarkStart w:id="12" w:name="page13"/>
    <w:bookmarkEnd w:id="12"/>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Fast Facts About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160"/>
        <w:spacing w:after="0" w:line="254" w:lineRule="auto"/>
        <w:rPr>
          <w:sz w:val="20"/>
          <w:szCs w:val="20"/>
          <w:color w:val="auto"/>
        </w:rPr>
      </w:pPr>
      <w:r>
        <w:rPr>
          <w:rFonts w:ascii="Arial" w:cs="Arial" w:eastAsia="Arial" w:hAnsi="Arial"/>
          <w:sz w:val="26"/>
          <w:szCs w:val="26"/>
          <w:color w:val="auto"/>
        </w:rPr>
        <w:t>Thomson Reuters powers business-critical professions with AI they can trust in the moments that matter. We unite unparalleled expertise, proprietary content, and seamless workflows to help our customers move with speed, think with clarity, and lead with confidence. Across our products, we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6929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describes some of our key operating characteristics:</w:t>
      </w:r>
    </w:p>
    <w:p>
      <w:pPr>
        <w:sectPr>
          <w:pgSz w:w="11900" w:h="16838" w:orient="portrait"/>
          <w:cols w:equalWidth="0" w:num="1">
            <w:col w:w="10940"/>
          </w:cols>
          <w:pgMar w:left="480" w:top="234" w:right="479" w:bottom="1440" w:gutter="0" w:footer="0" w:header="0"/>
        </w:sectPr>
      </w:pPr>
    </w:p>
    <w:p>
      <w:pPr>
        <w:spacing w:after="0" w:line="230"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D64000"/>
        </w:rPr>
        <w:t>Attractive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-166370</wp:posOffset>
            </wp:positionV>
            <wp:extent cx="8255" cy="2462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246253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-166370</wp:posOffset>
            </wp:positionV>
            <wp:extent cx="8255" cy="2462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2462530"/>
                    </a:xfrm>
                    <a:prstGeom prst="rect">
                      <a:avLst/>
                    </a:prstGeom>
                    <a:noFill/>
                  </pic:spPr>
                </pic:pic>
              </a:graphicData>
            </a:graphic>
          </wp:anchor>
        </w:drawing>
      </w:r>
    </w:p>
    <w:p>
      <w:pPr>
        <w:spacing w:after="0" w:line="13"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D64000"/>
        </w:rPr>
        <w:t>Industry</w:t>
      </w:r>
    </w:p>
    <w:p>
      <w:pPr>
        <w:spacing w:after="0" w:line="85" w:lineRule="exact"/>
        <w:rPr>
          <w:sz w:val="20"/>
          <w:szCs w:val="20"/>
          <w:color w:val="auto"/>
        </w:rPr>
      </w:pPr>
    </w:p>
    <w:p>
      <w:pPr>
        <w:jc w:val="both"/>
        <w:ind w:left="480" w:right="100" w:hanging="236"/>
        <w:spacing w:after="0" w:line="251" w:lineRule="auto"/>
        <w:tabs>
          <w:tab w:leader="none" w:pos="480" w:val="left"/>
        </w:tabs>
        <w:numPr>
          <w:ilvl w:val="0"/>
          <w:numId w:val="7"/>
        </w:numPr>
        <w:rPr>
          <w:rFonts w:ascii="Arial" w:cs="Arial" w:eastAsia="Arial" w:hAnsi="Arial"/>
          <w:sz w:val="16"/>
          <w:szCs w:val="16"/>
          <w:color w:val="D64000"/>
        </w:rPr>
      </w:pPr>
      <w:r>
        <w:rPr>
          <w:rFonts w:ascii="Arial" w:cs="Arial" w:eastAsia="Arial" w:hAnsi="Arial"/>
          <w:sz w:val="16"/>
          <w:szCs w:val="16"/>
          <w:color w:val="auto"/>
        </w:rPr>
        <w:t>Currently our “Big 3” segments operate in an estimated</w:t>
      </w:r>
    </w:p>
    <w:p>
      <w:pPr>
        <w:ind w:left="480"/>
        <w:spacing w:after="0" w:line="249" w:lineRule="auto"/>
        <w:rPr>
          <w:rFonts w:ascii="Arial" w:cs="Arial" w:eastAsia="Arial" w:hAnsi="Arial"/>
          <w:sz w:val="16"/>
          <w:szCs w:val="16"/>
          <w:color w:val="D64000"/>
        </w:rPr>
      </w:pPr>
      <w:r>
        <w:rPr>
          <w:rFonts w:ascii="Arial" w:cs="Arial" w:eastAsia="Arial" w:hAnsi="Arial"/>
          <w:sz w:val="16"/>
          <w:szCs w:val="16"/>
          <w:color w:val="auto"/>
        </w:rPr>
        <w:t>$31 billion market expected to grow between 8% and 11% over the next 5 years</w:t>
      </w:r>
    </w:p>
    <w:p>
      <w:pPr>
        <w:spacing w:after="0" w:line="63" w:lineRule="exact"/>
        <w:rPr>
          <w:rFonts w:ascii="Arial" w:cs="Arial" w:eastAsia="Arial" w:hAnsi="Arial"/>
          <w:sz w:val="16"/>
          <w:szCs w:val="16"/>
          <w:color w:val="D64000"/>
        </w:rPr>
      </w:pPr>
    </w:p>
    <w:p>
      <w:pPr>
        <w:ind w:left="480" w:right="20" w:hanging="236"/>
        <w:spacing w:after="0" w:line="256" w:lineRule="auto"/>
        <w:tabs>
          <w:tab w:leader="none" w:pos="480" w:val="left"/>
        </w:tabs>
        <w:numPr>
          <w:ilvl w:val="0"/>
          <w:numId w:val="7"/>
        </w:numPr>
        <w:rPr>
          <w:rFonts w:ascii="Arial" w:cs="Arial" w:eastAsia="Arial" w:hAnsi="Arial"/>
          <w:sz w:val="16"/>
          <w:szCs w:val="16"/>
          <w:color w:val="D64000"/>
        </w:rPr>
      </w:pPr>
      <w:r>
        <w:rPr>
          <w:rFonts w:ascii="Arial" w:cs="Arial" w:eastAsia="Arial" w:hAnsi="Arial"/>
          <w:sz w:val="16"/>
          <w:szCs w:val="16"/>
          <w:color w:val="auto"/>
        </w:rPr>
        <w:t>Legal, Tax &amp; Risk markets are prime for content-driven innovation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100" w:type="dxa"/>
            <w:vAlign w:val="bottom"/>
          </w:tcPr>
          <w:p>
            <w:pPr>
              <w:spacing w:after="0"/>
              <w:rPr>
                <w:sz w:val="24"/>
                <w:szCs w:val="24"/>
                <w:color w:val="auto"/>
              </w:rPr>
            </w:pPr>
          </w:p>
        </w:tc>
        <w:tc>
          <w:tcPr>
            <w:tcW w:w="1920" w:type="dxa"/>
            <w:vAlign w:val="bottom"/>
            <w:tcBorders>
              <w:right w:val="single" w:sz="8" w:color="D64000"/>
            </w:tcBorders>
          </w:tcPr>
          <w:p>
            <w:pPr>
              <w:jc w:val="center"/>
              <w:ind w:right="91"/>
              <w:spacing w:after="0"/>
              <w:rPr>
                <w:sz w:val="20"/>
                <w:szCs w:val="20"/>
                <w:color w:val="auto"/>
              </w:rPr>
            </w:pPr>
            <w:r>
              <w:rPr>
                <w:rFonts w:ascii="Arial" w:cs="Arial" w:eastAsia="Arial" w:hAnsi="Arial"/>
                <w:sz w:val="25"/>
                <w:szCs w:val="25"/>
                <w:b w:val="1"/>
                <w:bCs w:val="1"/>
                <w:color w:val="D64000"/>
                <w:w w:val="99"/>
              </w:rPr>
              <w:t>Balanced and</w:t>
            </w:r>
          </w:p>
        </w:tc>
        <w:tc>
          <w:tcPr>
            <w:tcW w:w="3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5"/>
                <w:szCs w:val="25"/>
                <w:b w:val="1"/>
                <w:bCs w:val="1"/>
                <w:color w:val="D64000"/>
              </w:rPr>
              <w:t>Attractive</w:t>
            </w:r>
          </w:p>
        </w:tc>
        <w:tc>
          <w:tcPr>
            <w:tcW w:w="0" w:type="dxa"/>
            <w:vAlign w:val="bottom"/>
          </w:tcPr>
          <w:p>
            <w:pPr>
              <w:spacing w:after="0"/>
              <w:rPr>
                <w:sz w:val="1"/>
                <w:szCs w:val="1"/>
                <w:color w:val="auto"/>
              </w:rPr>
            </w:pPr>
          </w:p>
        </w:tc>
      </w:tr>
      <w:tr>
        <w:trPr>
          <w:trHeight w:val="294"/>
        </w:trPr>
        <w:tc>
          <w:tcPr>
            <w:tcW w:w="100" w:type="dxa"/>
            <w:vAlign w:val="bottom"/>
          </w:tcPr>
          <w:p>
            <w:pPr>
              <w:spacing w:after="0"/>
              <w:rPr>
                <w:sz w:val="24"/>
                <w:szCs w:val="24"/>
                <w:color w:val="auto"/>
              </w:rPr>
            </w:pPr>
          </w:p>
        </w:tc>
        <w:tc>
          <w:tcPr>
            <w:tcW w:w="1920" w:type="dxa"/>
            <w:vAlign w:val="bottom"/>
            <w:tcBorders>
              <w:right w:val="single" w:sz="8" w:color="D64000"/>
            </w:tcBorders>
          </w:tcPr>
          <w:p>
            <w:pPr>
              <w:jc w:val="center"/>
              <w:ind w:right="111"/>
              <w:spacing w:after="0"/>
              <w:rPr>
                <w:sz w:val="20"/>
                <w:szCs w:val="20"/>
                <w:color w:val="auto"/>
              </w:rPr>
            </w:pPr>
            <w:r>
              <w:rPr>
                <w:rFonts w:ascii="Arial" w:cs="Arial" w:eastAsia="Arial" w:hAnsi="Arial"/>
                <w:sz w:val="25"/>
                <w:szCs w:val="25"/>
                <w:b w:val="1"/>
                <w:bCs w:val="1"/>
                <w:color w:val="D64000"/>
              </w:rPr>
              <w:t>Diversified</w:t>
            </w:r>
          </w:p>
        </w:tc>
        <w:tc>
          <w:tcPr>
            <w:tcW w:w="3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5"/>
                <w:szCs w:val="25"/>
                <w:b w:val="1"/>
                <w:bCs w:val="1"/>
                <w:color w:val="D64000"/>
              </w:rPr>
              <w:t>Business</w:t>
            </w: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1920" w:type="dxa"/>
            <w:vAlign w:val="bottom"/>
            <w:tcBorders>
              <w:right w:val="single" w:sz="8" w:color="D64000"/>
            </w:tcBorders>
          </w:tcPr>
          <w:p>
            <w:pPr>
              <w:jc w:val="center"/>
              <w:ind w:right="111"/>
              <w:spacing w:after="0"/>
              <w:rPr>
                <w:sz w:val="20"/>
                <w:szCs w:val="20"/>
                <w:color w:val="auto"/>
              </w:rPr>
            </w:pPr>
            <w:r>
              <w:rPr>
                <w:rFonts w:ascii="Arial" w:cs="Arial" w:eastAsia="Arial" w:hAnsi="Arial"/>
                <w:sz w:val="25"/>
                <w:szCs w:val="25"/>
                <w:b w:val="1"/>
                <w:bCs w:val="1"/>
                <w:color w:val="D64000"/>
                <w:w w:val="98"/>
              </w:rPr>
              <w:t>Leadership</w:t>
            </w:r>
          </w:p>
        </w:tc>
        <w:tc>
          <w:tcPr>
            <w:tcW w:w="3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25"/>
                <w:szCs w:val="25"/>
                <w:b w:val="1"/>
                <w:bCs w:val="1"/>
                <w:color w:val="D64000"/>
                <w:w w:val="99"/>
              </w:rPr>
              <w:t>Model</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0"/>
                <w:szCs w:val="20"/>
                <w:color w:val="auto"/>
              </w:rPr>
            </w:pPr>
            <w:r>
              <w:rPr>
                <w:rFonts w:ascii="Arial" w:cs="Arial" w:eastAsia="Arial" w:hAnsi="Arial"/>
                <w:sz w:val="16"/>
                <w:szCs w:val="16"/>
                <w:color w:val="D64000"/>
              </w:rPr>
              <w:t>•</w:t>
            </w: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A leader in our “Big 3”</w:t>
            </w:r>
          </w:p>
        </w:tc>
        <w:tc>
          <w:tcPr>
            <w:tcW w:w="320" w:type="dxa"/>
            <w:vAlign w:val="bottom"/>
          </w:tcPr>
          <w:p>
            <w:pPr>
              <w:ind w:left="160"/>
              <w:spacing w:after="0"/>
              <w:rPr>
                <w:sz w:val="20"/>
                <w:szCs w:val="20"/>
                <w:color w:val="auto"/>
              </w:rPr>
            </w:pPr>
            <w:r>
              <w:rPr>
                <w:rFonts w:ascii="Arial" w:cs="Arial" w:eastAsia="Arial" w:hAnsi="Arial"/>
                <w:sz w:val="16"/>
                <w:szCs w:val="16"/>
                <w:color w:val="D64000"/>
              </w:rPr>
              <w:t>•</w:t>
            </w:r>
          </w:p>
        </w:tc>
        <w:tc>
          <w:tcPr>
            <w:tcW w:w="1680" w:type="dxa"/>
            <w:vAlign w:val="bottom"/>
          </w:tcPr>
          <w:p>
            <w:pPr>
              <w:ind w:left="80"/>
              <w:spacing w:after="0"/>
              <w:rPr>
                <w:sz w:val="20"/>
                <w:szCs w:val="20"/>
                <w:color w:val="auto"/>
              </w:rPr>
            </w:pPr>
            <w:r>
              <w:rPr>
                <w:rFonts w:ascii="Arial" w:cs="Arial" w:eastAsia="Arial" w:hAnsi="Arial"/>
                <w:sz w:val="16"/>
                <w:szCs w:val="16"/>
                <w:color w:val="auto"/>
                <w:w w:val="99"/>
              </w:rPr>
              <w:t>81% of revenues were</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and Reuters segments</w:t>
            </w:r>
          </w:p>
        </w:tc>
        <w:tc>
          <w:tcPr>
            <w:tcW w:w="32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Arial" w:cs="Arial" w:eastAsia="Arial" w:hAnsi="Arial"/>
                <w:sz w:val="16"/>
                <w:szCs w:val="16"/>
                <w:color w:val="auto"/>
              </w:rPr>
              <w:t>recurring in 2025</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0"/>
                <w:szCs w:val="20"/>
                <w:color w:val="auto"/>
              </w:rPr>
            </w:pPr>
            <w:r>
              <w:rPr>
                <w:rFonts w:ascii="Arial" w:cs="Arial" w:eastAsia="Arial" w:hAnsi="Arial"/>
                <w:sz w:val="16"/>
                <w:szCs w:val="16"/>
                <w:color w:val="D64000"/>
              </w:rPr>
              <w:t>•</w:t>
            </w: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Resilient businesses,</w:t>
            </w:r>
          </w:p>
        </w:tc>
        <w:tc>
          <w:tcPr>
            <w:tcW w:w="320" w:type="dxa"/>
            <w:vAlign w:val="bottom"/>
          </w:tcPr>
          <w:p>
            <w:pPr>
              <w:ind w:left="160"/>
              <w:spacing w:after="0"/>
              <w:rPr>
                <w:sz w:val="20"/>
                <w:szCs w:val="20"/>
                <w:color w:val="auto"/>
              </w:rPr>
            </w:pPr>
            <w:r>
              <w:rPr>
                <w:rFonts w:ascii="Arial" w:cs="Arial" w:eastAsia="Arial" w:hAnsi="Arial"/>
                <w:sz w:val="16"/>
                <w:szCs w:val="16"/>
                <w:color w:val="D64000"/>
              </w:rPr>
              <w:t>•</w:t>
            </w:r>
          </w:p>
        </w:tc>
        <w:tc>
          <w:tcPr>
            <w:tcW w:w="1680" w:type="dxa"/>
            <w:vAlign w:val="bottom"/>
          </w:tcPr>
          <w:p>
            <w:pPr>
              <w:ind w:left="80"/>
              <w:spacing w:after="0"/>
              <w:rPr>
                <w:sz w:val="20"/>
                <w:szCs w:val="20"/>
                <w:color w:val="auto"/>
              </w:rPr>
            </w:pPr>
            <w:r>
              <w:rPr>
                <w:rFonts w:ascii="Arial" w:cs="Arial" w:eastAsia="Arial" w:hAnsi="Arial"/>
                <w:sz w:val="16"/>
                <w:szCs w:val="16"/>
                <w:color w:val="auto"/>
              </w:rPr>
              <w:t>Fixed cost model</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historically stable,</w:t>
            </w:r>
          </w:p>
        </w:tc>
        <w:tc>
          <w:tcPr>
            <w:tcW w:w="320" w:type="dxa"/>
            <w:vAlign w:val="bottom"/>
          </w:tcPr>
          <w:p>
            <w:pPr>
              <w:spacing w:after="0"/>
              <w:rPr>
                <w:sz w:val="16"/>
                <w:szCs w:val="16"/>
                <w:color w:val="auto"/>
              </w:rPr>
            </w:pPr>
          </w:p>
        </w:tc>
        <w:tc>
          <w:tcPr>
            <w:tcW w:w="1680" w:type="dxa"/>
            <w:vAlign w:val="bottom"/>
          </w:tcPr>
          <w:p>
            <w:pPr>
              <w:ind w:left="80"/>
              <w:spacing w:after="0"/>
              <w:rPr>
                <w:sz w:val="20"/>
                <w:szCs w:val="20"/>
                <w:color w:val="auto"/>
              </w:rPr>
            </w:pPr>
            <w:r>
              <w:rPr>
                <w:rFonts w:ascii="Arial" w:cs="Arial" w:eastAsia="Arial" w:hAnsi="Arial"/>
                <w:sz w:val="16"/>
                <w:szCs w:val="16"/>
                <w:color w:val="auto"/>
              </w:rPr>
              <w:t>supports operating</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through periods of</w:t>
            </w:r>
          </w:p>
        </w:tc>
        <w:tc>
          <w:tcPr>
            <w:tcW w:w="320" w:type="dxa"/>
            <w:vAlign w:val="bottom"/>
          </w:tcPr>
          <w:p>
            <w:pPr>
              <w:spacing w:after="0"/>
              <w:rPr>
                <w:sz w:val="16"/>
                <w:szCs w:val="16"/>
                <w:color w:val="auto"/>
              </w:rPr>
            </w:pPr>
          </w:p>
        </w:tc>
        <w:tc>
          <w:tcPr>
            <w:tcW w:w="1680" w:type="dxa"/>
            <w:vAlign w:val="bottom"/>
          </w:tcPr>
          <w:p>
            <w:pPr>
              <w:ind w:left="80"/>
              <w:spacing w:after="0"/>
              <w:rPr>
                <w:sz w:val="20"/>
                <w:szCs w:val="20"/>
                <w:color w:val="auto"/>
              </w:rPr>
            </w:pPr>
            <w:r>
              <w:rPr>
                <w:rFonts w:ascii="Arial" w:cs="Arial" w:eastAsia="Arial" w:hAnsi="Arial"/>
                <w:sz w:val="16"/>
                <w:szCs w:val="16"/>
                <w:color w:val="auto"/>
              </w:rPr>
              <w:t>leverage as we grow</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macroeconomic</w:t>
            </w:r>
          </w:p>
        </w:tc>
        <w:tc>
          <w:tcPr>
            <w:tcW w:w="320" w:type="dxa"/>
            <w:vAlign w:val="bottom"/>
            <w:vMerge w:val="restart"/>
          </w:tcPr>
          <w:p>
            <w:pPr>
              <w:ind w:left="160"/>
              <w:spacing w:after="0"/>
              <w:rPr>
                <w:sz w:val="20"/>
                <w:szCs w:val="20"/>
                <w:color w:val="auto"/>
              </w:rPr>
            </w:pPr>
            <w:r>
              <w:rPr>
                <w:rFonts w:ascii="Arial" w:cs="Arial" w:eastAsia="Arial" w:hAnsi="Arial"/>
                <w:sz w:val="16"/>
                <w:szCs w:val="16"/>
                <w:color w:val="D64000"/>
              </w:rPr>
              <w:t>•</w:t>
            </w:r>
          </w:p>
        </w:tc>
        <w:tc>
          <w:tcPr>
            <w:tcW w:w="1680" w:type="dxa"/>
            <w:vAlign w:val="bottom"/>
            <w:vMerge w:val="restart"/>
          </w:tcPr>
          <w:p>
            <w:pPr>
              <w:ind w:left="80"/>
              <w:spacing w:after="0"/>
              <w:rPr>
                <w:sz w:val="20"/>
                <w:szCs w:val="20"/>
                <w:color w:val="auto"/>
              </w:rPr>
            </w:pPr>
            <w:r>
              <w:rPr>
                <w:rFonts w:ascii="Arial" w:cs="Arial" w:eastAsia="Arial" w:hAnsi="Arial"/>
                <w:sz w:val="16"/>
                <w:szCs w:val="16"/>
                <w:color w:val="auto"/>
              </w:rPr>
              <w:t>Strong and consistent</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920" w:type="dxa"/>
            <w:vAlign w:val="bottom"/>
            <w:tcBorders>
              <w:right w:val="single" w:sz="8" w:color="D64000"/>
            </w:tcBorders>
            <w:vMerge w:val="restart"/>
          </w:tcPr>
          <w:p>
            <w:pPr>
              <w:ind w:left="140"/>
              <w:spacing w:after="0"/>
              <w:rPr>
                <w:sz w:val="20"/>
                <w:szCs w:val="20"/>
                <w:color w:val="auto"/>
              </w:rPr>
            </w:pPr>
            <w:r>
              <w:rPr>
                <w:rFonts w:ascii="Arial" w:cs="Arial" w:eastAsia="Arial" w:hAnsi="Arial"/>
                <w:sz w:val="16"/>
                <w:szCs w:val="16"/>
                <w:color w:val="auto"/>
              </w:rPr>
              <w:t>uncertainty</w:t>
            </w:r>
          </w:p>
        </w:tc>
        <w:tc>
          <w:tcPr>
            <w:tcW w:w="32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1920" w:type="dxa"/>
            <w:vAlign w:val="bottom"/>
            <w:tcBorders>
              <w:right w:val="single" w:sz="8" w:color="D64000"/>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vMerge w:val="restart"/>
          </w:tcPr>
          <w:p>
            <w:pPr>
              <w:ind w:left="80"/>
              <w:spacing w:after="0"/>
              <w:rPr>
                <w:sz w:val="20"/>
                <w:szCs w:val="20"/>
                <w:color w:val="auto"/>
              </w:rPr>
            </w:pPr>
            <w:r>
              <w:rPr>
                <w:rFonts w:ascii="Arial" w:cs="Arial" w:eastAsia="Arial" w:hAnsi="Arial"/>
                <w:sz w:val="16"/>
                <w:szCs w:val="16"/>
                <w:color w:val="auto"/>
              </w:rPr>
              <w:t>cash generation</w:t>
            </w: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1920" w:type="dxa"/>
            <w:vAlign w:val="bottom"/>
            <w:tcBorders>
              <w:right w:val="single" w:sz="8" w:color="D64000"/>
            </w:tcBorders>
          </w:tcPr>
          <w:p>
            <w:pPr>
              <w:spacing w:after="0"/>
              <w:rPr>
                <w:sz w:val="6"/>
                <w:szCs w:val="6"/>
                <w:color w:val="auto"/>
              </w:rPr>
            </w:pPr>
          </w:p>
        </w:tc>
        <w:tc>
          <w:tcPr>
            <w:tcW w:w="32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20"/>
                <w:szCs w:val="20"/>
                <w:color w:val="auto"/>
              </w:rPr>
            </w:pPr>
            <w:r>
              <w:rPr>
                <w:rFonts w:ascii="Arial" w:cs="Arial" w:eastAsia="Arial" w:hAnsi="Arial"/>
                <w:sz w:val="16"/>
                <w:szCs w:val="16"/>
                <w:color w:val="D64000"/>
              </w:rPr>
              <w:t>•</w:t>
            </w: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Approximately 450,000</w:t>
            </w:r>
          </w:p>
        </w:tc>
        <w:tc>
          <w:tcPr>
            <w:tcW w:w="320" w:type="dxa"/>
            <w:vAlign w:val="bottom"/>
          </w:tcPr>
          <w:p>
            <w:pPr>
              <w:spacing w:after="0"/>
              <w:rPr>
                <w:sz w:val="16"/>
                <w:szCs w:val="16"/>
                <w:color w:val="auto"/>
              </w:rPr>
            </w:pPr>
          </w:p>
        </w:tc>
        <w:tc>
          <w:tcPr>
            <w:tcW w:w="1680" w:type="dxa"/>
            <w:vAlign w:val="bottom"/>
          </w:tcPr>
          <w:p>
            <w:pPr>
              <w:ind w:left="80"/>
              <w:spacing w:after="0"/>
              <w:rPr>
                <w:sz w:val="20"/>
                <w:szCs w:val="20"/>
                <w:color w:val="auto"/>
              </w:rPr>
            </w:pPr>
            <w:r>
              <w:rPr>
                <w:rFonts w:ascii="Arial" w:cs="Arial" w:eastAsia="Arial" w:hAnsi="Arial"/>
                <w:sz w:val="16"/>
                <w:szCs w:val="16"/>
                <w:color w:val="auto"/>
              </w:rPr>
              <w:t>capabilities</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customers; largest</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customer is</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approximately 5% of</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1920" w:type="dxa"/>
            <w:vAlign w:val="bottom"/>
            <w:tcBorders>
              <w:right w:val="single" w:sz="8" w:color="D64000"/>
            </w:tcBorders>
          </w:tcPr>
          <w:p>
            <w:pPr>
              <w:ind w:left="14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00" w:type="dxa"/>
            <w:vAlign w:val="bottom"/>
          </w:tcPr>
          <w:p>
            <w:pPr>
              <w:spacing w:after="0"/>
              <w:rPr>
                <w:sz w:val="24"/>
                <w:szCs w:val="24"/>
                <w:color w:val="auto"/>
              </w:rPr>
            </w:pPr>
          </w:p>
        </w:tc>
        <w:tc>
          <w:tcPr>
            <w:tcW w:w="1920" w:type="dxa"/>
            <w:vAlign w:val="bottom"/>
            <w:tcBorders>
              <w:right w:val="single" w:sz="8" w:color="D64000"/>
            </w:tcBorders>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252" w:right="68"/>
        <w:spacing w:after="0" w:line="285" w:lineRule="auto"/>
        <w:rPr>
          <w:sz w:val="20"/>
          <w:szCs w:val="20"/>
          <w:color w:val="auto"/>
        </w:rPr>
      </w:pPr>
      <w:r>
        <w:rPr>
          <w:rFonts w:ascii="Arial" w:cs="Arial" w:eastAsia="Arial" w:hAnsi="Arial"/>
          <w:sz w:val="24"/>
          <w:szCs w:val="24"/>
          <w:b w:val="1"/>
          <w:bCs w:val="1"/>
          <w:color w:val="D64000"/>
        </w:rPr>
        <w:t>Strong Competitive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-608330</wp:posOffset>
            </wp:positionV>
            <wp:extent cx="8255" cy="2462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2462530"/>
                    </a:xfrm>
                    <a:prstGeom prst="rect">
                      <a:avLst/>
                    </a:prstGeom>
                    <a:noFill/>
                  </pic:spPr>
                </pic:pic>
              </a:graphicData>
            </a:graphic>
          </wp:anchor>
        </w:drawing>
        <w:drawing>
          <wp:anchor simplePos="0" relativeHeight="251657728" behindDoc="1" locked="0" layoutInCell="0" allowOverlap="1">
            <wp:simplePos x="0" y="0"/>
            <wp:positionH relativeFrom="column">
              <wp:posOffset>-127000</wp:posOffset>
            </wp:positionH>
            <wp:positionV relativeFrom="paragraph">
              <wp:posOffset>-608330</wp:posOffset>
            </wp:positionV>
            <wp:extent cx="8255" cy="2462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2462530"/>
                    </a:xfrm>
                    <a:prstGeom prst="rect">
                      <a:avLst/>
                    </a:prstGeom>
                    <a:noFill/>
                  </pic:spPr>
                </pic:pic>
              </a:graphicData>
            </a:graphic>
          </wp:anchor>
        </w:drawing>
      </w:r>
    </w:p>
    <w:p>
      <w:pPr>
        <w:ind w:left="232" w:right="20" w:hanging="232"/>
        <w:spacing w:after="0" w:line="250" w:lineRule="auto"/>
        <w:tabs>
          <w:tab w:leader="none" w:pos="232" w:val="left"/>
        </w:tabs>
        <w:numPr>
          <w:ilvl w:val="0"/>
          <w:numId w:val="8"/>
        </w:numPr>
        <w:rPr>
          <w:rFonts w:ascii="Arial" w:cs="Arial" w:eastAsia="Arial" w:hAnsi="Arial"/>
          <w:sz w:val="16"/>
          <w:szCs w:val="16"/>
          <w:color w:val="D64000"/>
        </w:rPr>
      </w:pPr>
      <w:r>
        <w:rPr>
          <w:rFonts w:ascii="Arial" w:cs="Arial" w:eastAsia="Arial" w:hAnsi="Arial"/>
          <w:sz w:val="16"/>
          <w:szCs w:val="16"/>
          <w:color w:val="auto"/>
        </w:rPr>
        <w:t>Proprietary content plus data and human expertise combined with artificial intelligence (AI) and machine learning (ML) are key differentiators</w:t>
      </w:r>
    </w:p>
    <w:p>
      <w:pPr>
        <w:spacing w:after="0" w:line="62" w:lineRule="exact"/>
        <w:rPr>
          <w:rFonts w:ascii="Arial" w:cs="Arial" w:eastAsia="Arial" w:hAnsi="Arial"/>
          <w:sz w:val="16"/>
          <w:szCs w:val="16"/>
          <w:color w:val="D64000"/>
        </w:rPr>
      </w:pPr>
    </w:p>
    <w:p>
      <w:pPr>
        <w:ind w:left="232" w:hanging="232"/>
        <w:spacing w:after="0" w:line="262" w:lineRule="auto"/>
        <w:tabs>
          <w:tab w:leader="none" w:pos="232" w:val="left"/>
        </w:tabs>
        <w:numPr>
          <w:ilvl w:val="0"/>
          <w:numId w:val="8"/>
        </w:numPr>
        <w:rPr>
          <w:rFonts w:ascii="Arial" w:cs="Arial" w:eastAsia="Arial" w:hAnsi="Arial"/>
          <w:sz w:val="16"/>
          <w:szCs w:val="16"/>
          <w:color w:val="D64000"/>
        </w:rPr>
      </w:pPr>
      <w:r>
        <w:rPr>
          <w:rFonts w:ascii="Arial" w:cs="Arial" w:eastAsia="Arial" w:hAnsi="Arial"/>
          <w:sz w:val="16"/>
          <w:szCs w:val="16"/>
          <w:color w:val="auto"/>
        </w:rPr>
        <w:t>Products deeply embedded in customers’ daily workflows</w:t>
      </w:r>
    </w:p>
    <w:p>
      <w:pPr>
        <w:spacing w:after="0" w:line="52" w:lineRule="exact"/>
        <w:rPr>
          <w:rFonts w:ascii="Arial" w:cs="Arial" w:eastAsia="Arial" w:hAnsi="Arial"/>
          <w:sz w:val="16"/>
          <w:szCs w:val="16"/>
          <w:color w:val="D64000"/>
        </w:rPr>
      </w:pPr>
    </w:p>
    <w:p>
      <w:pPr>
        <w:ind w:left="232" w:hanging="232"/>
        <w:spacing w:after="0"/>
        <w:tabs>
          <w:tab w:leader="none" w:pos="232" w:val="left"/>
        </w:tabs>
        <w:numPr>
          <w:ilvl w:val="0"/>
          <w:numId w:val="8"/>
        </w:numPr>
        <w:rPr>
          <w:rFonts w:ascii="Arial" w:cs="Arial" w:eastAsia="Arial" w:hAnsi="Arial"/>
          <w:sz w:val="16"/>
          <w:szCs w:val="16"/>
          <w:color w:val="D64000"/>
        </w:rPr>
      </w:pPr>
      <w:r>
        <w:rPr>
          <w:rFonts w:ascii="Arial" w:cs="Arial" w:eastAsia="Arial" w:hAnsi="Arial"/>
          <w:sz w:val="16"/>
          <w:szCs w:val="16"/>
          <w:color w:val="auto"/>
        </w:rPr>
        <w:t>92% retention rate in</w:t>
      </w:r>
    </w:p>
    <w:p>
      <w:pPr>
        <w:spacing w:after="0" w:line="19" w:lineRule="exact"/>
        <w:rPr>
          <w:rFonts w:ascii="Arial" w:cs="Arial" w:eastAsia="Arial" w:hAnsi="Arial"/>
          <w:sz w:val="16"/>
          <w:szCs w:val="16"/>
          <w:color w:val="D64000"/>
        </w:rPr>
      </w:pPr>
    </w:p>
    <w:p>
      <w:pPr>
        <w:ind w:left="232"/>
        <w:spacing w:after="0"/>
        <w:rPr>
          <w:rFonts w:ascii="Arial" w:cs="Arial" w:eastAsia="Arial" w:hAnsi="Arial"/>
          <w:sz w:val="16"/>
          <w:szCs w:val="16"/>
          <w:color w:val="D64000"/>
        </w:rPr>
      </w:pPr>
      <w:r>
        <w:rPr>
          <w:rFonts w:ascii="Arial" w:cs="Arial" w:eastAsia="Arial" w:hAnsi="Arial"/>
          <w:sz w:val="16"/>
          <w:szCs w:val="16"/>
          <w:color w:val="auto"/>
        </w:rPr>
        <w:t>2025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272" w:right="128"/>
        <w:spacing w:after="0" w:line="269" w:lineRule="auto"/>
        <w:rPr>
          <w:sz w:val="20"/>
          <w:szCs w:val="20"/>
          <w:color w:val="auto"/>
        </w:rPr>
      </w:pPr>
      <w:r>
        <w:rPr>
          <w:rFonts w:ascii="Arial" w:cs="Arial" w:eastAsia="Arial" w:hAnsi="Arial"/>
          <w:sz w:val="25"/>
          <w:szCs w:val="25"/>
          <w:b w:val="1"/>
          <w:bCs w:val="1"/>
          <w:color w:val="D64000"/>
        </w:rPr>
        <w:t>Disciplined Financial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-597535</wp:posOffset>
            </wp:positionV>
            <wp:extent cx="8255" cy="2462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2462530"/>
                    </a:xfrm>
                    <a:prstGeom prst="rect">
                      <a:avLst/>
                    </a:prstGeom>
                    <a:noFill/>
                  </pic:spPr>
                </pic:pic>
              </a:graphicData>
            </a:graphic>
          </wp:anchor>
        </w:drawing>
      </w:r>
    </w:p>
    <w:p>
      <w:pPr>
        <w:ind w:left="232" w:right="140" w:hanging="232"/>
        <w:spacing w:after="0" w:line="256" w:lineRule="auto"/>
        <w:tabs>
          <w:tab w:leader="none" w:pos="232" w:val="left"/>
        </w:tabs>
        <w:numPr>
          <w:ilvl w:val="0"/>
          <w:numId w:val="9"/>
        </w:numPr>
        <w:rPr>
          <w:rFonts w:ascii="Arial" w:cs="Arial" w:eastAsia="Arial" w:hAnsi="Arial"/>
          <w:sz w:val="16"/>
          <w:szCs w:val="16"/>
          <w:color w:val="D64000"/>
        </w:rPr>
      </w:pPr>
      <w:r>
        <w:rPr>
          <w:rFonts w:ascii="Arial" w:cs="Arial" w:eastAsia="Arial" w:hAnsi="Arial"/>
          <w:sz w:val="16"/>
          <w:szCs w:val="16"/>
          <w:color w:val="auto"/>
        </w:rPr>
        <w:t>Focused and incentivized on organic revenue growth and free cash flow growth</w:t>
      </w:r>
    </w:p>
    <w:p>
      <w:pPr>
        <w:spacing w:after="0" w:line="57" w:lineRule="exact"/>
        <w:rPr>
          <w:rFonts w:ascii="Arial" w:cs="Arial" w:eastAsia="Arial" w:hAnsi="Arial"/>
          <w:sz w:val="16"/>
          <w:szCs w:val="16"/>
          <w:color w:val="D64000"/>
        </w:rPr>
      </w:pPr>
    </w:p>
    <w:p>
      <w:pPr>
        <w:ind w:left="232" w:right="140" w:hanging="232"/>
        <w:spacing w:after="0" w:line="262" w:lineRule="auto"/>
        <w:tabs>
          <w:tab w:leader="none" w:pos="232" w:val="left"/>
        </w:tabs>
        <w:numPr>
          <w:ilvl w:val="0"/>
          <w:numId w:val="9"/>
        </w:numPr>
        <w:rPr>
          <w:rFonts w:ascii="Arial" w:cs="Arial" w:eastAsia="Arial" w:hAnsi="Arial"/>
          <w:sz w:val="16"/>
          <w:szCs w:val="16"/>
          <w:color w:val="D64000"/>
        </w:rPr>
      </w:pPr>
      <w:r>
        <w:rPr>
          <w:rFonts w:ascii="Arial" w:cs="Arial" w:eastAsia="Arial" w:hAnsi="Arial"/>
          <w:sz w:val="16"/>
          <w:szCs w:val="16"/>
          <w:color w:val="auto"/>
        </w:rPr>
        <w:t>Balance investing in business and returning capital to shareholders</w:t>
      </w:r>
    </w:p>
    <w:p>
      <w:pPr>
        <w:spacing w:after="0" w:line="52" w:lineRule="exact"/>
        <w:rPr>
          <w:rFonts w:ascii="Arial" w:cs="Arial" w:eastAsia="Arial" w:hAnsi="Arial"/>
          <w:sz w:val="16"/>
          <w:szCs w:val="16"/>
          <w:color w:val="D64000"/>
        </w:rPr>
      </w:pPr>
    </w:p>
    <w:p>
      <w:pPr>
        <w:ind w:left="232" w:right="120" w:hanging="232"/>
        <w:spacing w:after="0" w:line="256" w:lineRule="auto"/>
        <w:tabs>
          <w:tab w:leader="none" w:pos="232" w:val="left"/>
        </w:tabs>
        <w:numPr>
          <w:ilvl w:val="0"/>
          <w:numId w:val="9"/>
        </w:numPr>
        <w:rPr>
          <w:rFonts w:ascii="Arial" w:cs="Arial" w:eastAsia="Arial" w:hAnsi="Arial"/>
          <w:sz w:val="16"/>
          <w:szCs w:val="16"/>
          <w:color w:val="D64000"/>
        </w:rPr>
      </w:pPr>
      <w:r>
        <w:rPr>
          <w:rFonts w:ascii="Arial" w:cs="Arial" w:eastAsia="Arial" w:hAnsi="Arial"/>
          <w:sz w:val="16"/>
          <w:szCs w:val="16"/>
          <w:color w:val="auto"/>
        </w:rPr>
        <w:t>Committed to maintaining investment grade rating with stable capital structure</w:t>
      </w:r>
    </w:p>
    <w:p>
      <w:pPr>
        <w:spacing w:after="0" w:line="57" w:lineRule="exact"/>
        <w:rPr>
          <w:rFonts w:ascii="Arial" w:cs="Arial" w:eastAsia="Arial" w:hAnsi="Arial"/>
          <w:sz w:val="16"/>
          <w:szCs w:val="16"/>
          <w:color w:val="D64000"/>
        </w:rPr>
      </w:pPr>
    </w:p>
    <w:p>
      <w:pPr>
        <w:ind w:left="232" w:right="140" w:hanging="232"/>
        <w:spacing w:after="0" w:line="262" w:lineRule="auto"/>
        <w:tabs>
          <w:tab w:leader="none" w:pos="232" w:val="left"/>
        </w:tabs>
        <w:numPr>
          <w:ilvl w:val="0"/>
          <w:numId w:val="9"/>
        </w:numPr>
        <w:rPr>
          <w:rFonts w:ascii="Arial" w:cs="Arial" w:eastAsia="Arial" w:hAnsi="Arial"/>
          <w:sz w:val="16"/>
          <w:szCs w:val="16"/>
          <w:color w:val="D64000"/>
        </w:rPr>
      </w:pPr>
      <w:r>
        <w:rPr>
          <w:rFonts w:ascii="Arial" w:cs="Arial" w:eastAsia="Arial" w:hAnsi="Arial"/>
          <w:sz w:val="16"/>
          <w:szCs w:val="16"/>
          <w:color w:val="auto"/>
        </w:rPr>
        <w:t>Significant potential capital capacity affords optionality</w:t>
      </w:r>
    </w:p>
    <w:p>
      <w:pPr>
        <w:spacing w:after="0" w:line="81" w:lineRule="exact"/>
        <w:rPr>
          <w:sz w:val="20"/>
          <w:szCs w:val="20"/>
          <w:color w:val="auto"/>
        </w:rPr>
      </w:pPr>
    </w:p>
    <w:p>
      <w:pPr>
        <w:sectPr>
          <w:pgSz w:w="11900" w:h="16838" w:orient="portrait"/>
          <w:cols w:equalWidth="0" w:num="4">
            <w:col w:w="2040" w:space="220"/>
            <w:col w:w="4020" w:space="468"/>
            <w:col w:w="1992" w:space="188"/>
            <w:col w:w="2012"/>
          </w:cols>
          <w:pgMar w:left="480" w:top="234" w:right="479" w:bottom="1440" w:gutter="0" w:footer="0" w:header="0"/>
          <w:type w:val="continuous"/>
        </w:sectPr>
      </w:pPr>
    </w:p>
    <w:p>
      <w:pPr>
        <w:ind w:left="220" w:hanging="213"/>
        <w:spacing w:after="0"/>
        <w:tabs>
          <w:tab w:leader="none" w:pos="2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news agreement with the Data &amp; Analytics business of London Stock Exchange Group plc (LSEG).</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5260" w:type="dxa"/>
            <w:vAlign w:val="bottom"/>
            <w:tcBorders>
              <w:top w:val="single" w:sz="8" w:color="D64000"/>
              <w:left w:val="single" w:sz="8" w:color="D64000"/>
            </w:tcBorders>
          </w:tcPr>
          <w:p>
            <w:pPr>
              <w:ind w:left="160"/>
              <w:spacing w:after="0"/>
              <w:rPr>
                <w:sz w:val="20"/>
                <w:szCs w:val="20"/>
                <w:color w:val="auto"/>
              </w:rPr>
            </w:pPr>
            <w:r>
              <w:rPr>
                <w:rFonts w:ascii="Arial" w:cs="Arial" w:eastAsia="Arial" w:hAnsi="Arial"/>
                <w:sz w:val="25"/>
                <w:szCs w:val="25"/>
                <w:b w:val="1"/>
                <w:bCs w:val="1"/>
                <w:color w:val="D64000"/>
              </w:rPr>
              <w:t> 2025 full-year results:</w:t>
            </w:r>
          </w:p>
        </w:tc>
        <w:tc>
          <w:tcPr>
            <w:tcW w:w="5680" w:type="dxa"/>
            <w:vAlign w:val="bottom"/>
            <w:tcBorders>
              <w:top w:val="single" w:sz="8" w:color="D64000"/>
              <w:right w:val="single" w:sz="8" w:color="D64000"/>
            </w:tcBorders>
          </w:tcPr>
          <w:p>
            <w:pPr>
              <w:ind w:left="440"/>
              <w:spacing w:after="0"/>
              <w:rPr>
                <w:sz w:val="20"/>
                <w:szCs w:val="20"/>
                <w:color w:val="auto"/>
              </w:rPr>
            </w:pPr>
            <w:r>
              <w:rPr>
                <w:rFonts w:ascii="Arial" w:cs="Arial" w:eastAsia="Arial" w:hAnsi="Arial"/>
                <w:sz w:val="25"/>
                <w:szCs w:val="25"/>
                <w:b w:val="1"/>
                <w:bCs w:val="1"/>
                <w:color w:val="D64000"/>
              </w:rPr>
              <w:t>Stock prices:</w:t>
            </w:r>
          </w:p>
        </w:tc>
        <w:tc>
          <w:tcPr>
            <w:tcW w:w="0" w:type="dxa"/>
            <w:vAlign w:val="bottom"/>
          </w:tcPr>
          <w:p>
            <w:pPr>
              <w:spacing w:after="0"/>
              <w:rPr>
                <w:sz w:val="1"/>
                <w:szCs w:val="1"/>
                <w:color w:val="auto"/>
              </w:rPr>
            </w:pPr>
          </w:p>
        </w:tc>
      </w:tr>
      <w:tr>
        <w:trPr>
          <w:trHeight w:val="266"/>
        </w:trPr>
        <w:tc>
          <w:tcPr>
            <w:tcW w:w="5260" w:type="dxa"/>
            <w:vAlign w:val="bottom"/>
            <w:tcBorders>
              <w:left w:val="single" w:sz="8" w:color="D64000"/>
            </w:tcBorders>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Revenues – US$7.5 billion</w:t>
            </w:r>
          </w:p>
        </w:tc>
        <w:tc>
          <w:tcPr>
            <w:tcW w:w="5680" w:type="dxa"/>
            <w:vAlign w:val="bottom"/>
            <w:tcBorders>
              <w:right w:val="single" w:sz="8" w:color="D64000"/>
            </w:tcBorders>
          </w:tcPr>
          <w:p>
            <w:pPr>
              <w:ind w:left="440"/>
              <w:spacing w:after="0"/>
              <w:rPr>
                <w:sz w:val="20"/>
                <w:szCs w:val="20"/>
                <w:color w:val="auto"/>
              </w:rPr>
            </w:pPr>
            <w:r>
              <w:rPr>
                <w:rFonts w:ascii="Arial" w:cs="Arial" w:eastAsia="Arial" w:hAnsi="Arial"/>
                <w:sz w:val="16"/>
                <w:szCs w:val="16"/>
                <w:color w:val="auto"/>
              </w:rPr>
              <w:t>Closing price (April 13, 2026): C$120.61/US$87.43</w:t>
            </w:r>
          </w:p>
        </w:tc>
        <w:tc>
          <w:tcPr>
            <w:tcW w:w="0" w:type="dxa"/>
            <w:vAlign w:val="bottom"/>
          </w:tcPr>
          <w:p>
            <w:pPr>
              <w:spacing w:after="0"/>
              <w:rPr>
                <w:sz w:val="1"/>
                <w:szCs w:val="1"/>
                <w:color w:val="auto"/>
              </w:rPr>
            </w:pPr>
          </w:p>
        </w:tc>
      </w:tr>
      <w:tr>
        <w:trPr>
          <w:trHeight w:val="281"/>
        </w:trPr>
        <w:tc>
          <w:tcPr>
            <w:tcW w:w="5260" w:type="dxa"/>
            <w:vAlign w:val="bottom"/>
            <w:tcBorders>
              <w:left w:val="single" w:sz="8" w:color="D64000"/>
            </w:tcBorders>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Operating profit – US$2.1 billion</w:t>
            </w:r>
          </w:p>
        </w:tc>
        <w:tc>
          <w:tcPr>
            <w:tcW w:w="5680" w:type="dxa"/>
            <w:vAlign w:val="bottom"/>
            <w:tcBorders>
              <w:right w:val="single" w:sz="8" w:color="D64000"/>
            </w:tcBorders>
          </w:tcPr>
          <w:p>
            <w:pPr>
              <w:ind w:left="440"/>
              <w:spacing w:after="0"/>
              <w:rPr>
                <w:sz w:val="20"/>
                <w:szCs w:val="20"/>
                <w:color w:val="auto"/>
              </w:rPr>
            </w:pPr>
            <w:r>
              <w:rPr>
                <w:rFonts w:ascii="Arial" w:cs="Arial" w:eastAsia="Arial" w:hAnsi="Arial"/>
                <w:sz w:val="16"/>
                <w:szCs w:val="16"/>
                <w:color w:val="auto"/>
              </w:rPr>
              <w:t>High (2025): C$293.53/ US$214.21</w:t>
            </w:r>
          </w:p>
        </w:tc>
        <w:tc>
          <w:tcPr>
            <w:tcW w:w="0" w:type="dxa"/>
            <w:vAlign w:val="bottom"/>
          </w:tcPr>
          <w:p>
            <w:pPr>
              <w:spacing w:after="0"/>
              <w:rPr>
                <w:sz w:val="1"/>
                <w:szCs w:val="1"/>
                <w:color w:val="auto"/>
              </w:rPr>
            </w:pPr>
          </w:p>
        </w:tc>
      </w:tr>
      <w:tr>
        <w:trPr>
          <w:trHeight w:val="281"/>
        </w:trPr>
        <w:tc>
          <w:tcPr>
            <w:tcW w:w="5260" w:type="dxa"/>
            <w:vAlign w:val="bottom"/>
            <w:tcBorders>
              <w:left w:val="single" w:sz="8" w:color="D64000"/>
            </w:tcBorders>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Adjusted EBITDA margin* – 39.2%</w:t>
            </w:r>
          </w:p>
        </w:tc>
        <w:tc>
          <w:tcPr>
            <w:tcW w:w="5680" w:type="dxa"/>
            <w:vAlign w:val="bottom"/>
            <w:tcBorders>
              <w:right w:val="single" w:sz="8" w:color="D64000"/>
            </w:tcBorders>
          </w:tcPr>
          <w:p>
            <w:pPr>
              <w:ind w:left="440"/>
              <w:spacing w:after="0"/>
              <w:rPr>
                <w:sz w:val="20"/>
                <w:szCs w:val="20"/>
                <w:color w:val="auto"/>
              </w:rPr>
            </w:pPr>
            <w:r>
              <w:rPr>
                <w:rFonts w:ascii="Arial" w:cs="Arial" w:eastAsia="Arial" w:hAnsi="Arial"/>
                <w:sz w:val="16"/>
                <w:szCs w:val="16"/>
                <w:color w:val="auto"/>
              </w:rPr>
              <w:t>Low (2025): C$178.26/ US$128.65</w:t>
            </w:r>
          </w:p>
        </w:tc>
        <w:tc>
          <w:tcPr>
            <w:tcW w:w="0" w:type="dxa"/>
            <w:vAlign w:val="bottom"/>
          </w:tcPr>
          <w:p>
            <w:pPr>
              <w:spacing w:after="0"/>
              <w:rPr>
                <w:sz w:val="1"/>
                <w:szCs w:val="1"/>
                <w:color w:val="auto"/>
              </w:rPr>
            </w:pPr>
          </w:p>
        </w:tc>
      </w:tr>
      <w:tr>
        <w:trPr>
          <w:trHeight w:val="281"/>
        </w:trPr>
        <w:tc>
          <w:tcPr>
            <w:tcW w:w="5260" w:type="dxa"/>
            <w:vAlign w:val="bottom"/>
            <w:tcBorders>
              <w:left w:val="single" w:sz="8" w:color="D64000"/>
            </w:tcBorders>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Diluted earnings per share (EPS) – US$3.33</w:t>
            </w:r>
          </w:p>
        </w:tc>
        <w:tc>
          <w:tcPr>
            <w:tcW w:w="5680" w:type="dxa"/>
            <w:vAlign w:val="bottom"/>
            <w:tcBorders>
              <w:right w:val="single" w:sz="8" w:color="D64000"/>
            </w:tcBorders>
            <w:vMerge w:val="restart"/>
          </w:tcPr>
          <w:p>
            <w:pPr>
              <w:ind w:left="440"/>
              <w:spacing w:after="0"/>
              <w:rPr>
                <w:sz w:val="20"/>
                <w:szCs w:val="20"/>
                <w:color w:val="auto"/>
              </w:rPr>
            </w:pPr>
            <w:r>
              <w:rPr>
                <w:rFonts w:ascii="Arial" w:cs="Arial" w:eastAsia="Arial" w:hAnsi="Arial"/>
                <w:sz w:val="25"/>
                <w:szCs w:val="25"/>
                <w:b w:val="1"/>
                <w:bCs w:val="1"/>
                <w:color w:val="D64000"/>
              </w:rPr>
              <w:t>Market capitalization (April 13, 2026):</w:t>
            </w:r>
          </w:p>
        </w:tc>
        <w:tc>
          <w:tcPr>
            <w:tcW w:w="0" w:type="dxa"/>
            <w:vAlign w:val="bottom"/>
          </w:tcPr>
          <w:p>
            <w:pPr>
              <w:spacing w:after="0"/>
              <w:rPr>
                <w:sz w:val="1"/>
                <w:szCs w:val="1"/>
                <w:color w:val="auto"/>
              </w:rPr>
            </w:pPr>
          </w:p>
        </w:tc>
      </w:tr>
      <w:tr>
        <w:trPr>
          <w:trHeight w:val="122"/>
        </w:trPr>
        <w:tc>
          <w:tcPr>
            <w:tcW w:w="5260" w:type="dxa"/>
            <w:vAlign w:val="bottom"/>
            <w:tcBorders>
              <w:left w:val="single" w:sz="8" w:color="D64000"/>
            </w:tcBorders>
            <w:vMerge w:val="restart"/>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Adjusted EPS* – US$3.92</w:t>
            </w:r>
          </w:p>
        </w:tc>
        <w:tc>
          <w:tcPr>
            <w:tcW w:w="5680" w:type="dxa"/>
            <w:vAlign w:val="bottom"/>
            <w:tcBorders>
              <w:right w:val="single" w:sz="8" w:color="D6400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260" w:type="dxa"/>
            <w:vAlign w:val="bottom"/>
            <w:tcBorders>
              <w:left w:val="single" w:sz="8" w:color="D64000"/>
            </w:tcBorders>
            <w:vMerge w:val="continue"/>
          </w:tcPr>
          <w:p>
            <w:pPr>
              <w:spacing w:after="0"/>
              <w:rPr>
                <w:sz w:val="13"/>
                <w:szCs w:val="13"/>
                <w:color w:val="auto"/>
              </w:rPr>
            </w:pPr>
          </w:p>
        </w:tc>
        <w:tc>
          <w:tcPr>
            <w:tcW w:w="5680" w:type="dxa"/>
            <w:vAlign w:val="bottom"/>
            <w:tcBorders>
              <w:right w:val="single" w:sz="8" w:color="D64000"/>
            </w:tcBorders>
            <w:vMerge w:val="restart"/>
          </w:tcPr>
          <w:p>
            <w:pPr>
              <w:ind w:left="440"/>
              <w:spacing w:after="0"/>
              <w:rPr>
                <w:sz w:val="20"/>
                <w:szCs w:val="20"/>
                <w:color w:val="auto"/>
              </w:rPr>
            </w:pPr>
            <w:r>
              <w:rPr>
                <w:rFonts w:ascii="Arial" w:cs="Arial" w:eastAsia="Arial" w:hAnsi="Arial"/>
                <w:sz w:val="16"/>
                <w:szCs w:val="16"/>
                <w:color w:val="auto"/>
              </w:rPr>
              <w:t>US$38.7 billion</w:t>
            </w:r>
          </w:p>
        </w:tc>
        <w:tc>
          <w:tcPr>
            <w:tcW w:w="0" w:type="dxa"/>
            <w:vAlign w:val="bottom"/>
          </w:tcPr>
          <w:p>
            <w:pPr>
              <w:spacing w:after="0"/>
              <w:rPr>
                <w:sz w:val="1"/>
                <w:szCs w:val="1"/>
                <w:color w:val="auto"/>
              </w:rPr>
            </w:pPr>
          </w:p>
        </w:tc>
      </w:tr>
      <w:tr>
        <w:trPr>
          <w:trHeight w:val="107"/>
        </w:trPr>
        <w:tc>
          <w:tcPr>
            <w:tcW w:w="5260" w:type="dxa"/>
            <w:vAlign w:val="bottom"/>
            <w:tcBorders>
              <w:left w:val="single" w:sz="8" w:color="D64000"/>
            </w:tcBorders>
            <w:vMerge w:val="restart"/>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Net cash provided by operating activities – US$2.65 billion</w:t>
            </w:r>
          </w:p>
        </w:tc>
        <w:tc>
          <w:tcPr>
            <w:tcW w:w="5680" w:type="dxa"/>
            <w:vAlign w:val="bottom"/>
            <w:tcBorders>
              <w:right w:val="single" w:sz="8" w:color="D6400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5260" w:type="dxa"/>
            <w:vAlign w:val="bottom"/>
            <w:tcBorders>
              <w:left w:val="single" w:sz="8" w:color="D64000"/>
            </w:tcBorders>
            <w:vMerge w:val="continue"/>
          </w:tcPr>
          <w:p>
            <w:pPr>
              <w:spacing w:after="0"/>
              <w:rPr>
                <w:sz w:val="15"/>
                <w:szCs w:val="15"/>
                <w:color w:val="auto"/>
              </w:rPr>
            </w:pPr>
          </w:p>
        </w:tc>
        <w:tc>
          <w:tcPr>
            <w:tcW w:w="5680" w:type="dxa"/>
            <w:vAlign w:val="bottom"/>
            <w:tcBorders>
              <w:right w:val="single" w:sz="8" w:color="D64000"/>
            </w:tcBorders>
            <w:vMerge w:val="restart"/>
          </w:tcPr>
          <w:p>
            <w:pPr>
              <w:ind w:left="440"/>
              <w:spacing w:after="0"/>
              <w:rPr>
                <w:sz w:val="20"/>
                <w:szCs w:val="20"/>
                <w:color w:val="auto"/>
              </w:rPr>
            </w:pPr>
            <w:r>
              <w:rPr>
                <w:rFonts w:ascii="Arial" w:cs="Arial" w:eastAsia="Arial" w:hAnsi="Arial"/>
                <w:sz w:val="25"/>
                <w:szCs w:val="25"/>
                <w:b w:val="1"/>
                <w:bCs w:val="1"/>
                <w:color w:val="D64000"/>
              </w:rPr>
              <w:t>Dividend per common share (as of</w:t>
            </w:r>
          </w:p>
        </w:tc>
        <w:tc>
          <w:tcPr>
            <w:tcW w:w="0" w:type="dxa"/>
            <w:vAlign w:val="bottom"/>
          </w:tcPr>
          <w:p>
            <w:pPr>
              <w:spacing w:after="0"/>
              <w:rPr>
                <w:sz w:val="1"/>
                <w:szCs w:val="1"/>
                <w:color w:val="auto"/>
              </w:rPr>
            </w:pPr>
          </w:p>
        </w:tc>
      </w:tr>
      <w:tr>
        <w:trPr>
          <w:trHeight w:val="231"/>
        </w:trPr>
        <w:tc>
          <w:tcPr>
            <w:tcW w:w="5260" w:type="dxa"/>
            <w:vAlign w:val="bottom"/>
            <w:tcBorders>
              <w:left w:val="single" w:sz="8" w:color="D64000"/>
            </w:tcBorders>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Free cash flow* – US$1.95 billion</w:t>
            </w:r>
          </w:p>
        </w:tc>
        <w:tc>
          <w:tcPr>
            <w:tcW w:w="5680" w:type="dxa"/>
            <w:vAlign w:val="bottom"/>
            <w:tcBorders>
              <w:right w:val="single" w:sz="8" w:color="D6400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5260" w:type="dxa"/>
            <w:vAlign w:val="bottom"/>
            <w:tcBorders>
              <w:left w:val="single" w:sz="8" w:color="D64000"/>
            </w:tcBorders>
            <w:vMerge w:val="restart"/>
          </w:tcPr>
          <w:p>
            <w:pPr>
              <w:ind w:left="160"/>
              <w:spacing w:after="0"/>
              <w:rPr>
                <w:sz w:val="20"/>
                <w:szCs w:val="20"/>
                <w:color w:val="auto"/>
              </w:rPr>
            </w:pPr>
            <w:r>
              <w:rPr>
                <w:rFonts w:ascii="Arial" w:cs="Arial" w:eastAsia="Arial" w:hAnsi="Arial"/>
                <w:sz w:val="25"/>
                <w:szCs w:val="25"/>
                <w:b w:val="1"/>
                <w:bCs w:val="1"/>
                <w:color w:val="D64000"/>
              </w:rPr>
              <w:t> Stock exchange listings (Symbol: TRI):</w:t>
            </w:r>
          </w:p>
        </w:tc>
        <w:tc>
          <w:tcPr>
            <w:tcW w:w="5680" w:type="dxa"/>
            <w:vAlign w:val="bottom"/>
            <w:tcBorders>
              <w:right w:val="single" w:sz="8" w:color="D64000"/>
            </w:tcBorders>
          </w:tcPr>
          <w:p>
            <w:pPr>
              <w:ind w:left="440"/>
              <w:spacing w:after="0"/>
              <w:rPr>
                <w:sz w:val="20"/>
                <w:szCs w:val="20"/>
                <w:color w:val="auto"/>
              </w:rPr>
            </w:pPr>
            <w:r>
              <w:rPr>
                <w:rFonts w:ascii="Arial" w:cs="Arial" w:eastAsia="Arial" w:hAnsi="Arial"/>
                <w:sz w:val="25"/>
                <w:szCs w:val="25"/>
                <w:b w:val="1"/>
                <w:bCs w:val="1"/>
                <w:color w:val="D64000"/>
              </w:rPr>
              <w:t>April 13, 2026):</w:t>
            </w:r>
          </w:p>
        </w:tc>
        <w:tc>
          <w:tcPr>
            <w:tcW w:w="0" w:type="dxa"/>
            <w:vAlign w:val="bottom"/>
          </w:tcPr>
          <w:p>
            <w:pPr>
              <w:spacing w:after="0"/>
              <w:rPr>
                <w:sz w:val="1"/>
                <w:szCs w:val="1"/>
                <w:color w:val="auto"/>
              </w:rPr>
            </w:pPr>
          </w:p>
        </w:tc>
      </w:tr>
      <w:tr>
        <w:trPr>
          <w:trHeight w:val="109"/>
        </w:trPr>
        <w:tc>
          <w:tcPr>
            <w:tcW w:w="5260" w:type="dxa"/>
            <w:vAlign w:val="bottom"/>
            <w:tcBorders>
              <w:left w:val="single" w:sz="8" w:color="D64000"/>
            </w:tcBorders>
            <w:vMerge w:val="continue"/>
          </w:tcPr>
          <w:p>
            <w:pPr>
              <w:spacing w:after="0"/>
              <w:rPr>
                <w:sz w:val="9"/>
                <w:szCs w:val="9"/>
                <w:color w:val="auto"/>
              </w:rPr>
            </w:pPr>
          </w:p>
        </w:tc>
        <w:tc>
          <w:tcPr>
            <w:tcW w:w="5680" w:type="dxa"/>
            <w:vAlign w:val="bottom"/>
            <w:tcBorders>
              <w:right w:val="single" w:sz="8" w:color="D64000"/>
            </w:tcBorders>
            <w:vMerge w:val="restart"/>
          </w:tcPr>
          <w:p>
            <w:pPr>
              <w:ind w:left="440"/>
              <w:spacing w:after="0"/>
              <w:rPr>
                <w:sz w:val="20"/>
                <w:szCs w:val="20"/>
                <w:color w:val="auto"/>
              </w:rPr>
            </w:pPr>
            <w:r>
              <w:rPr>
                <w:rFonts w:ascii="Arial" w:cs="Arial" w:eastAsia="Arial" w:hAnsi="Arial"/>
                <w:sz w:val="16"/>
                <w:szCs w:val="16"/>
                <w:color w:val="auto"/>
              </w:rPr>
              <w:t>$0.655 quarterly ($2.62 annualized)</w:t>
            </w:r>
          </w:p>
        </w:tc>
        <w:tc>
          <w:tcPr>
            <w:tcW w:w="0" w:type="dxa"/>
            <w:vAlign w:val="bottom"/>
          </w:tcPr>
          <w:p>
            <w:pPr>
              <w:spacing w:after="0"/>
              <w:rPr>
                <w:sz w:val="1"/>
                <w:szCs w:val="1"/>
                <w:color w:val="auto"/>
              </w:rPr>
            </w:pPr>
          </w:p>
        </w:tc>
      </w:tr>
      <w:tr>
        <w:trPr>
          <w:trHeight w:val="105"/>
        </w:trPr>
        <w:tc>
          <w:tcPr>
            <w:tcW w:w="5260" w:type="dxa"/>
            <w:vAlign w:val="bottom"/>
            <w:tcBorders>
              <w:left w:val="single" w:sz="8" w:color="D64000"/>
            </w:tcBorders>
            <w:vMerge w:val="restart"/>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Toronto Stock Exchange (TSX)</w:t>
            </w:r>
          </w:p>
        </w:tc>
        <w:tc>
          <w:tcPr>
            <w:tcW w:w="5680" w:type="dxa"/>
            <w:vAlign w:val="bottom"/>
            <w:tcBorders>
              <w:right w:val="single" w:sz="8" w:color="D6400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260" w:type="dxa"/>
            <w:vAlign w:val="bottom"/>
            <w:tcBorders>
              <w:left w:val="single" w:sz="8" w:color="D64000"/>
            </w:tcBorders>
            <w:vMerge w:val="continue"/>
          </w:tcPr>
          <w:p>
            <w:pPr>
              <w:spacing w:after="0"/>
              <w:rPr>
                <w:sz w:val="13"/>
                <w:szCs w:val="13"/>
                <w:color w:val="auto"/>
              </w:rPr>
            </w:pPr>
          </w:p>
        </w:tc>
        <w:tc>
          <w:tcPr>
            <w:tcW w:w="5680" w:type="dxa"/>
            <w:vAlign w:val="bottom"/>
            <w:tcBorders>
              <w:right w:val="single" w:sz="8" w:color="D64000"/>
            </w:tcBorders>
            <w:vMerge w:val="restart"/>
          </w:tcPr>
          <w:p>
            <w:pPr>
              <w:ind w:left="440"/>
              <w:spacing w:after="0"/>
              <w:rPr>
                <w:sz w:val="20"/>
                <w:szCs w:val="20"/>
                <w:color w:val="auto"/>
              </w:rPr>
            </w:pPr>
            <w:r>
              <w:rPr>
                <w:rFonts w:ascii="Arial" w:cs="Arial" w:eastAsia="Arial" w:hAnsi="Arial"/>
                <w:sz w:val="16"/>
                <w:szCs w:val="16"/>
                <w:color w:val="auto"/>
              </w:rPr>
              <w:t>33 consecutive years of common share dividend increases.</w:t>
            </w:r>
          </w:p>
        </w:tc>
        <w:tc>
          <w:tcPr>
            <w:tcW w:w="0" w:type="dxa"/>
            <w:vAlign w:val="bottom"/>
          </w:tcPr>
          <w:p>
            <w:pPr>
              <w:spacing w:after="0"/>
              <w:rPr>
                <w:sz w:val="1"/>
                <w:szCs w:val="1"/>
                <w:color w:val="auto"/>
              </w:rPr>
            </w:pPr>
          </w:p>
        </w:tc>
      </w:tr>
      <w:tr>
        <w:trPr>
          <w:trHeight w:val="120"/>
        </w:trPr>
        <w:tc>
          <w:tcPr>
            <w:tcW w:w="5260" w:type="dxa"/>
            <w:vAlign w:val="bottom"/>
            <w:tcBorders>
              <w:left w:val="single" w:sz="8" w:color="D64000"/>
            </w:tcBorders>
            <w:vMerge w:val="restart"/>
          </w:tcPr>
          <w:p>
            <w:pPr>
              <w:ind w:left="24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The Nasdaq Stock Market LLC (Nasdaq)</w:t>
            </w:r>
          </w:p>
        </w:tc>
        <w:tc>
          <w:tcPr>
            <w:tcW w:w="5680" w:type="dxa"/>
            <w:vAlign w:val="bottom"/>
            <w:tcBorders>
              <w:right w:val="single" w:sz="8" w:color="D6400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260" w:type="dxa"/>
            <w:vAlign w:val="bottom"/>
            <w:tcBorders>
              <w:left w:val="single" w:sz="8" w:color="D64000"/>
            </w:tcBorders>
            <w:vMerge w:val="continue"/>
          </w:tcPr>
          <w:p>
            <w:pPr>
              <w:spacing w:after="0"/>
              <w:rPr>
                <w:sz w:val="13"/>
                <w:szCs w:val="13"/>
                <w:color w:val="auto"/>
              </w:rPr>
            </w:pPr>
          </w:p>
        </w:tc>
        <w:tc>
          <w:tcPr>
            <w:tcW w:w="5680" w:type="dxa"/>
            <w:vAlign w:val="bottom"/>
            <w:tcBorders>
              <w:right w:val="single" w:sz="8" w:color="D64000"/>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5260" w:type="dxa"/>
            <w:vAlign w:val="bottom"/>
            <w:tcBorders>
              <w:left w:val="single" w:sz="8" w:color="D64000"/>
              <w:bottom w:val="single" w:sz="8" w:color="D64000"/>
            </w:tcBorders>
          </w:tcPr>
          <w:p>
            <w:pPr>
              <w:spacing w:after="0"/>
              <w:rPr>
                <w:sz w:val="3"/>
                <w:szCs w:val="3"/>
                <w:color w:val="auto"/>
              </w:rPr>
            </w:pPr>
          </w:p>
        </w:tc>
        <w:tc>
          <w:tcPr>
            <w:tcW w:w="5680" w:type="dxa"/>
            <w:vAlign w:val="bottom"/>
            <w:tcBorders>
              <w:bottom w:val="single" w:sz="8" w:color="D64000"/>
              <w:right w:val="single" w:sz="8" w:color="D6400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940"/>
        <w:spacing w:after="0" w:line="261" w:lineRule="auto"/>
        <w:rPr>
          <w:sz w:val="20"/>
          <w:szCs w:val="20"/>
          <w:color w:val="auto"/>
        </w:rPr>
      </w:pPr>
      <w:r>
        <w:rPr>
          <w:rFonts w:ascii="Arial" w:cs="Arial" w:eastAsia="Arial" w:hAnsi="Arial"/>
          <w:sz w:val="17"/>
          <w:szCs w:val="17"/>
          <w:i w:val="1"/>
          <w:iCs w:val="1"/>
          <w:color w:val="auto"/>
        </w:rPr>
        <w:t>All revenue information reflected in the first table above is based on our 2025 full-year results. Our “Big 3” segments refer to our Legal Professionals, Corporates and Tax, Audit &amp; Accounting Professionals segments combined.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about our company, visit </w:t>
      </w:r>
      <w:r>
        <w:rPr>
          <w:rFonts w:ascii="Arial" w:cs="Arial" w:eastAsia="Arial" w:hAnsi="Arial"/>
          <w:sz w:val="17"/>
          <w:szCs w:val="17"/>
          <w:b w:val="1"/>
          <w:bCs w:val="1"/>
          <w:color w:val="auto"/>
        </w:rPr>
        <w:t>www.thomsonreuters.com</w:t>
      </w:r>
    </w:p>
    <w:p>
      <w:pPr>
        <w:spacing w:after="0" w:line="95" w:lineRule="exact"/>
        <w:rPr>
          <w:sz w:val="20"/>
          <w:szCs w:val="20"/>
          <w:color w:val="auto"/>
        </w:rPr>
      </w:pPr>
    </w:p>
    <w:p>
      <w:pPr>
        <w:ind w:left="220" w:hanging="213"/>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Non-International Financial Reporting Standards (non-IFRS) financial measures. Please see the note in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2" w:lineRule="exact"/>
        <w:rPr>
          <w:sz w:val="20"/>
          <w:szCs w:val="20"/>
          <w:color w:val="auto"/>
        </w:rPr>
      </w:pPr>
    </w:p>
    <w:p>
      <w:pPr>
        <w:spacing w:after="0"/>
        <w:tabs>
          <w:tab w:leader="none" w:pos="1036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7"/>
          <w:szCs w:val="17"/>
          <w:color w:val="auto"/>
        </w:rPr>
        <w:t>Page 3</w:t>
      </w:r>
    </w:p>
    <w:p>
      <w:pPr>
        <w:sectPr>
          <w:pgSz w:w="11900" w:h="16838" w:orient="portrait"/>
          <w:cols w:equalWidth="0" w:num="1">
            <w:col w:w="10940"/>
          </w:cols>
          <w:pgMar w:left="480" w:top="234"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About this Circular and Related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929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spacing w:after="0" w:line="249" w:lineRule="auto"/>
        <w:rPr>
          <w:sz w:val="20"/>
          <w:szCs w:val="20"/>
          <w:color w:val="auto"/>
        </w:rPr>
      </w:pPr>
      <w:r>
        <w:rPr>
          <w:rFonts w:ascii="Arial" w:cs="Arial" w:eastAsia="Arial" w:hAnsi="Arial"/>
          <w:sz w:val="27"/>
          <w:szCs w:val="27"/>
          <w:color w:val="auto"/>
        </w:rPr>
        <w:t>We are providing this circular and proxy materials to you in connection with our annual meeting of shareholders to be held on Wednesday, June 10, 2026. As a shareholder, you are invited to attend the meeting. If you are unable to attend, you may still vote by completing the enclosed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4" w:lineRule="exact"/>
        <w:rPr>
          <w:sz w:val="20"/>
          <w:szCs w:val="20"/>
          <w:color w:val="auto"/>
        </w:rPr>
      </w:pPr>
    </w:p>
    <w:p>
      <w:pPr>
        <w:ind w:right="600"/>
        <w:spacing w:after="0" w:line="263" w:lineRule="auto"/>
        <w:rPr>
          <w:sz w:val="20"/>
          <w:szCs w:val="20"/>
          <w:color w:val="auto"/>
        </w:rPr>
      </w:pPr>
      <w:r>
        <w:rPr>
          <w:rFonts w:ascii="Arial" w:cs="Arial" w:eastAsia="Arial" w:hAnsi="Arial"/>
          <w:sz w:val="17"/>
          <w:szCs w:val="17"/>
          <w:color w:val="auto"/>
        </w:rPr>
        <w:t>This circular describes the items to be voted on at the meeting and the voting process and contains additional information about executive compensation, corporate governance practices and other matters that will be discussed at the meeting.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indicated:</w:t>
      </w:r>
    </w:p>
    <w:p>
      <w:pPr>
        <w:spacing w:after="0" w:line="85"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7"/>
          <w:szCs w:val="17"/>
          <w:color w:val="D64000"/>
        </w:rPr>
      </w:pPr>
      <w:r>
        <w:rPr>
          <w:rFonts w:ascii="Arial" w:cs="Arial" w:eastAsia="Arial" w:hAnsi="Arial"/>
          <w:sz w:val="17"/>
          <w:szCs w:val="17"/>
          <w:color w:val="auto"/>
        </w:rPr>
        <w:t>information is as of April 13, 2026;</w:t>
      </w:r>
    </w:p>
    <w:p>
      <w:pPr>
        <w:spacing w:after="0" w:line="85" w:lineRule="exact"/>
        <w:rPr>
          <w:rFonts w:ascii="Arial" w:cs="Arial" w:eastAsia="Arial" w:hAnsi="Arial"/>
          <w:sz w:val="17"/>
          <w:szCs w:val="17"/>
          <w:color w:val="D64000"/>
        </w:rPr>
      </w:pPr>
    </w:p>
    <w:p>
      <w:pPr>
        <w:ind w:left="320" w:hanging="313"/>
        <w:spacing w:after="0"/>
        <w:tabs>
          <w:tab w:leader="none" w:pos="320" w:val="left"/>
        </w:tabs>
        <w:numPr>
          <w:ilvl w:val="0"/>
          <w:numId w:val="12"/>
        </w:numPr>
        <w:rPr>
          <w:rFonts w:ascii="Arial" w:cs="Arial" w:eastAsia="Arial" w:hAnsi="Arial"/>
          <w:sz w:val="17"/>
          <w:szCs w:val="17"/>
          <w:color w:val="D64000"/>
        </w:rPr>
      </w:pPr>
      <w:r>
        <w:rPr>
          <w:rFonts w:ascii="Arial" w:cs="Arial" w:eastAsia="Arial" w:hAnsi="Arial"/>
          <w:sz w:val="17"/>
          <w:szCs w:val="17"/>
          <w:color w:val="auto"/>
        </w:rPr>
        <w:t>all dollar amounts in this circular are expressed in U.S. dollars;</w:t>
      </w:r>
    </w:p>
    <w:p>
      <w:pPr>
        <w:spacing w:after="0" w:line="85" w:lineRule="exact"/>
        <w:rPr>
          <w:rFonts w:ascii="Arial" w:cs="Arial" w:eastAsia="Arial" w:hAnsi="Arial"/>
          <w:sz w:val="17"/>
          <w:szCs w:val="17"/>
          <w:color w:val="D64000"/>
        </w:rPr>
      </w:pPr>
    </w:p>
    <w:p>
      <w:pPr>
        <w:ind w:left="320" w:right="180" w:hanging="313"/>
        <w:spacing w:after="0" w:line="263" w:lineRule="auto"/>
        <w:tabs>
          <w:tab w:leader="none" w:pos="320" w:val="left"/>
        </w:tabs>
        <w:numPr>
          <w:ilvl w:val="0"/>
          <w:numId w:val="12"/>
        </w:numPr>
        <w:rPr>
          <w:rFonts w:ascii="Arial" w:cs="Arial" w:eastAsia="Arial" w:hAnsi="Arial"/>
          <w:sz w:val="17"/>
          <w:szCs w:val="17"/>
          <w:color w:val="D64000"/>
        </w:rPr>
      </w:pPr>
      <w:r>
        <w:rPr>
          <w:rFonts w:ascii="Arial" w:cs="Arial" w:eastAsia="Arial" w:hAnsi="Arial"/>
          <w:sz w:val="17"/>
          <w:szCs w:val="17"/>
          <w:color w:val="auto"/>
        </w:rPr>
        <w:t>applicable amounts translated to U.S. dollars from Canadian dollars utilized the average Canadian/U.S. dollar month-end exchange rate for 2025, which was C$1 = US$0.71621; and</w:t>
      </w:r>
    </w:p>
    <w:p>
      <w:pPr>
        <w:spacing w:after="0" w:line="39" w:lineRule="exact"/>
        <w:rPr>
          <w:rFonts w:ascii="Arial" w:cs="Arial" w:eastAsia="Arial" w:hAnsi="Arial"/>
          <w:sz w:val="17"/>
          <w:szCs w:val="17"/>
          <w:color w:val="D64000"/>
        </w:rPr>
      </w:pPr>
    </w:p>
    <w:p>
      <w:pPr>
        <w:ind w:left="320" w:right="360" w:hanging="313"/>
        <w:spacing w:after="0" w:line="263" w:lineRule="auto"/>
        <w:tabs>
          <w:tab w:leader="none" w:pos="320" w:val="left"/>
        </w:tabs>
        <w:numPr>
          <w:ilvl w:val="0"/>
          <w:numId w:val="12"/>
        </w:numPr>
        <w:rPr>
          <w:rFonts w:ascii="Arial" w:cs="Arial" w:eastAsia="Arial" w:hAnsi="Arial"/>
          <w:sz w:val="17"/>
          <w:szCs w:val="17"/>
          <w:color w:val="D64000"/>
        </w:rPr>
      </w:pPr>
      <w:r>
        <w:rPr>
          <w:rFonts w:ascii="Arial" w:cs="Arial" w:eastAsia="Arial" w:hAnsi="Arial"/>
          <w:sz w:val="17"/>
          <w:szCs w:val="17"/>
          <w:color w:val="auto"/>
        </w:rPr>
        <w:t>applicable amounts translated to U.S. dollars from Swiss francs utilized the average Swiss franc/U.S. dollar month-end exchange rate for 2025, which was CHF 1 = US$1.21028.</w:t>
      </w:r>
    </w:p>
    <w:p>
      <w:pPr>
        <w:spacing w:after="0" w:line="40"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In this circular, the terms “we”, “us” and “our” refer to Thomson Reuters Corporation and our consolidated subsidiaries. The term “Woodbridge” refers to The Woodbridge Company Limited and other companies affiliated with it.</w:t>
      </w:r>
    </w:p>
    <w:p>
      <w:pPr>
        <w:spacing w:after="0" w:line="40"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Please see the “Voting Information and How to Attend” section of this document for an explanation of how you can vote on the matters to be considered at the meeting, whether or not you decide to attend the meeting.</w:t>
      </w:r>
    </w:p>
    <w:p>
      <w:pPr>
        <w:spacing w:after="0" w:line="26"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We are a Canadian company that is considered to be a “foreign private issuer” for U.S. federal securities law purposes. As a result, we have prepared this circular in accordance with applicable Canadian disclosure requirements.</w:t>
      </w:r>
    </w:p>
    <w:p>
      <w:pPr>
        <w:spacing w:after="0" w:line="40"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Information contained on our website or any other websites identified in this circular is not part of this circular. All website addresses listed in this circular are intended to be inactive, textual references only. The Thomson Reuters logo and our other trademarks, trade names and service names mentioned in this circular are the property of Thomson Reuters.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Front cover photo credit: REUTERS/Karen Toro.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14" w:name="page15"/>
    <w:bookmarkEnd w:id="14"/>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Business of the Meeting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Highlights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This year’s meeting will cover the following items of business. Additional information is provided in this circular.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20" w:type="dxa"/>
            <w:vAlign w:val="bottom"/>
            <w:shd w:val="clear" w:color="auto" w:fill="1F473D"/>
          </w:tcPr>
          <w:p>
            <w:pPr>
              <w:spacing w:after="0"/>
              <w:rPr>
                <w:sz w:val="20"/>
                <w:szCs w:val="20"/>
                <w:color w:val="auto"/>
              </w:rPr>
            </w:pPr>
            <w:r>
              <w:rPr>
                <w:rFonts w:ascii="Arial" w:cs="Arial" w:eastAsia="Arial" w:hAnsi="Arial"/>
                <w:sz w:val="15"/>
                <w:szCs w:val="15"/>
                <w:b w:val="1"/>
                <w:bCs w:val="1"/>
                <w:color w:val="FFFFFF"/>
              </w:rPr>
              <w:t>Item of Business</w:t>
            </w:r>
          </w:p>
        </w:tc>
        <w:tc>
          <w:tcPr>
            <w:tcW w:w="1800" w:type="dxa"/>
            <w:vAlign w:val="bottom"/>
            <w:shd w:val="clear" w:color="auto" w:fill="1F473D"/>
          </w:tcPr>
          <w:p>
            <w:pPr>
              <w:ind w:left="200"/>
              <w:spacing w:after="0"/>
              <w:rPr>
                <w:sz w:val="20"/>
                <w:szCs w:val="20"/>
                <w:color w:val="auto"/>
              </w:rPr>
            </w:pPr>
            <w:r>
              <w:rPr>
                <w:rFonts w:ascii="Arial" w:cs="Arial" w:eastAsia="Arial" w:hAnsi="Arial"/>
                <w:sz w:val="15"/>
                <w:szCs w:val="15"/>
                <w:b w:val="1"/>
                <w:bCs w:val="1"/>
                <w:color w:val="FFFFFF"/>
              </w:rPr>
              <w:t>Board Vote</w:t>
            </w:r>
          </w:p>
        </w:tc>
      </w:tr>
      <w:tr>
        <w:trPr>
          <w:trHeight w:val="211"/>
        </w:trPr>
        <w:tc>
          <w:tcPr>
            <w:tcW w:w="9120" w:type="dxa"/>
            <w:vAlign w:val="bottom"/>
            <w:tcBorders>
              <w:bottom w:val="single" w:sz="8" w:color="D64000"/>
            </w:tcBorders>
            <w:shd w:val="clear" w:color="auto" w:fill="1F473D"/>
          </w:tcPr>
          <w:p>
            <w:pPr>
              <w:spacing w:after="0"/>
              <w:rPr>
                <w:sz w:val="18"/>
                <w:szCs w:val="18"/>
                <w:color w:val="auto"/>
              </w:rPr>
            </w:pPr>
          </w:p>
        </w:tc>
        <w:tc>
          <w:tcPr>
            <w:tcW w:w="1800" w:type="dxa"/>
            <w:vAlign w:val="bottom"/>
            <w:tcBorders>
              <w:bottom w:val="single" w:sz="8" w:color="D64000"/>
            </w:tcBorders>
            <w:shd w:val="clear" w:color="auto" w:fill="1F473D"/>
          </w:tcPr>
          <w:p>
            <w:pPr>
              <w:ind w:left="200"/>
              <w:spacing w:after="0"/>
              <w:rPr>
                <w:sz w:val="20"/>
                <w:szCs w:val="20"/>
                <w:color w:val="auto"/>
              </w:rPr>
            </w:pPr>
            <w:r>
              <w:rPr>
                <w:rFonts w:ascii="Arial" w:cs="Arial" w:eastAsia="Arial" w:hAnsi="Arial"/>
                <w:sz w:val="15"/>
                <w:szCs w:val="15"/>
                <w:b w:val="1"/>
                <w:bCs w:val="1"/>
                <w:color w:val="FFFFFF"/>
              </w:rPr>
              <w:t>Recommendation</w:t>
            </w:r>
          </w:p>
        </w:tc>
      </w:tr>
      <w:tr>
        <w:trPr>
          <w:trHeight w:val="237"/>
        </w:trPr>
        <w:tc>
          <w:tcPr>
            <w:tcW w:w="9120" w:type="dxa"/>
            <w:vAlign w:val="bottom"/>
          </w:tcPr>
          <w:p>
            <w:pPr>
              <w:spacing w:after="0"/>
              <w:rPr>
                <w:sz w:val="20"/>
                <w:szCs w:val="20"/>
                <w:color w:val="auto"/>
              </w:rPr>
            </w:pPr>
            <w:r>
              <w:rPr>
                <w:rFonts w:ascii="Arial" w:cs="Arial" w:eastAsia="Arial" w:hAnsi="Arial"/>
                <w:sz w:val="15"/>
                <w:szCs w:val="15"/>
                <w:b w:val="1"/>
                <w:bCs w:val="1"/>
                <w:color w:val="auto"/>
              </w:rPr>
              <w:t>1. Financial statements</w:t>
            </w:r>
          </w:p>
        </w:tc>
        <w:tc>
          <w:tcPr>
            <w:tcW w:w="1800" w:type="dxa"/>
            <w:vAlign w:val="bottom"/>
          </w:tcPr>
          <w:p>
            <w:pPr>
              <w:ind w:left="200"/>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6929755" cy="662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66243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Receipt of our 2025 audited financial statements.</w:t>
      </w:r>
    </w:p>
    <w:p>
      <w:pPr>
        <w:spacing w:after="0" w:line="85" w:lineRule="exact"/>
        <w:rPr>
          <w:sz w:val="20"/>
          <w:szCs w:val="20"/>
          <w:color w:val="auto"/>
        </w:rPr>
      </w:pPr>
    </w:p>
    <w:p>
      <w:pPr>
        <w:ind w:left="260" w:right="1860" w:hanging="237"/>
        <w:spacing w:after="0" w:line="292" w:lineRule="auto"/>
        <w:tabs>
          <w:tab w:leader="none" w:pos="260" w:val="left"/>
        </w:tabs>
        <w:numPr>
          <w:ilvl w:val="0"/>
          <w:numId w:val="13"/>
        </w:numPr>
        <w:rPr>
          <w:rFonts w:ascii="Arial" w:cs="Arial" w:eastAsia="Arial" w:hAnsi="Arial"/>
          <w:sz w:val="15"/>
          <w:szCs w:val="15"/>
          <w:color w:val="D64000"/>
        </w:rPr>
      </w:pPr>
      <w:r>
        <w:rPr>
          <w:rFonts w:ascii="Arial" w:cs="Arial" w:eastAsia="Arial" w:hAnsi="Arial"/>
          <w:sz w:val="16"/>
          <w:szCs w:val="16"/>
          <w:color w:val="auto"/>
        </w:rPr>
        <w:t xml:space="preserve">Our 2025 annual consolidated financial statements are included in our 2025 annual report, which is available in the “Investor Relations” section of our website, </w:t>
      </w:r>
      <w:r>
        <w:rPr>
          <w:rFonts w:ascii="Arial" w:cs="Arial" w:eastAsia="Arial" w:hAnsi="Arial"/>
          <w:sz w:val="16"/>
          <w:szCs w:val="16"/>
          <w:b w:val="1"/>
          <w:bCs w:val="1"/>
          <w:color w:val="auto"/>
        </w:rPr>
        <w:t>www.thomsonreuters.com</w:t>
      </w:r>
      <w:r>
        <w:rPr>
          <w:rFonts w:ascii="Arial" w:cs="Arial" w:eastAsia="Arial" w:hAnsi="Arial"/>
          <w:sz w:val="16"/>
          <w:szCs w:val="16"/>
          <w:color w:val="auto"/>
        </w:rPr>
        <w:t>.</w:t>
      </w:r>
    </w:p>
    <w:p>
      <w:pPr>
        <w:spacing w:after="0" w:line="20" w:lineRule="exact"/>
        <w:rPr>
          <w:rFonts w:ascii="Arial" w:cs="Arial" w:eastAsia="Arial" w:hAnsi="Arial"/>
          <w:sz w:val="15"/>
          <w:szCs w:val="15"/>
          <w:color w:val="D64000"/>
        </w:rPr>
      </w:pPr>
    </w:p>
    <w:p>
      <w:pPr>
        <w:ind w:left="260" w:hanging="237"/>
        <w:spacing w:after="0"/>
        <w:tabs>
          <w:tab w:leader="none" w:pos="260" w:val="left"/>
        </w:tabs>
        <w:numPr>
          <w:ilvl w:val="0"/>
          <w:numId w:val="13"/>
        </w:numPr>
        <w:rPr>
          <w:rFonts w:ascii="Arial" w:cs="Arial" w:eastAsia="Arial" w:hAnsi="Arial"/>
          <w:sz w:val="15"/>
          <w:szCs w:val="15"/>
          <w:color w:val="D64000"/>
        </w:rPr>
      </w:pPr>
      <w:r>
        <w:rPr>
          <w:rFonts w:ascii="Arial" w:cs="Arial" w:eastAsia="Arial" w:hAnsi="Arial"/>
          <w:sz w:val="16"/>
          <w:szCs w:val="16"/>
          <w:color w:val="auto"/>
        </w:rPr>
        <w:t>Shareholders who requested a copy of the 2025 annual report will receive it by mail or e-mail.</w:t>
      </w:r>
    </w:p>
    <w:p>
      <w:pPr>
        <w:spacing w:after="0" w:line="96" w:lineRule="exact"/>
        <w:rPr>
          <w:rFonts w:ascii="Arial" w:cs="Arial" w:eastAsia="Arial" w:hAnsi="Arial"/>
          <w:sz w:val="15"/>
          <w:szCs w:val="15"/>
          <w:color w:val="D64000"/>
        </w:rPr>
      </w:pPr>
    </w:p>
    <w:p>
      <w:pPr>
        <w:ind w:left="260" w:right="2180" w:hanging="237"/>
        <w:spacing w:after="0" w:line="273" w:lineRule="auto"/>
        <w:tabs>
          <w:tab w:leader="none" w:pos="260" w:val="left"/>
        </w:tabs>
        <w:numPr>
          <w:ilvl w:val="0"/>
          <w:numId w:val="13"/>
        </w:numPr>
        <w:rPr>
          <w:rFonts w:ascii="Arial" w:cs="Arial" w:eastAsia="Arial" w:hAnsi="Arial"/>
          <w:sz w:val="15"/>
          <w:szCs w:val="15"/>
          <w:color w:val="D64000"/>
        </w:rPr>
      </w:pPr>
      <w:r>
        <w:rPr>
          <w:rFonts w:ascii="Arial" w:cs="Arial" w:eastAsia="Arial" w:hAnsi="Arial"/>
          <w:sz w:val="16"/>
          <w:szCs w:val="16"/>
          <w:color w:val="auto"/>
        </w:rPr>
        <w:t>Representatives from Thomson Reuters and our independent auditor, PricewaterhouseCoopers LLP, will be available to discuss any questions about our financial statements at the meeting.</w:t>
      </w:r>
    </w:p>
    <w:tbl>
      <w:tblPr>
        <w:tblLayout w:type="fixed"/>
        <w:tblInd w:w="0" w:type="dxa"/>
        <w:tblCellMar>
          <w:top w:w="0" w:type="dxa"/>
          <w:left w:w="0" w:type="dxa"/>
          <w:bottom w:w="0" w:type="dxa"/>
          <w:right w:w="0" w:type="dxa"/>
        </w:tblCellMar>
      </w:tblPr>
      <w:tr>
        <w:trPr>
          <w:trHeight w:val="236"/>
        </w:trPr>
        <w:tc>
          <w:tcPr>
            <w:tcW w:w="9180" w:type="dxa"/>
            <w:vAlign w:val="bottom"/>
          </w:tcPr>
          <w:p>
            <w:pPr>
              <w:spacing w:after="0"/>
              <w:rPr>
                <w:sz w:val="20"/>
                <w:szCs w:val="20"/>
                <w:color w:val="auto"/>
              </w:rPr>
            </w:pPr>
            <w:r>
              <w:rPr>
                <w:rFonts w:ascii="Arial" w:cs="Arial" w:eastAsia="Arial" w:hAnsi="Arial"/>
                <w:sz w:val="15"/>
                <w:szCs w:val="15"/>
                <w:b w:val="1"/>
                <w:bCs w:val="1"/>
                <w:color w:val="auto"/>
              </w:rPr>
              <w:t>2. Election of Directors (page 15 of the circular)</w:t>
            </w:r>
          </w:p>
        </w:tc>
        <w:tc>
          <w:tcPr>
            <w:tcW w:w="1620" w:type="dxa"/>
            <w:vAlign w:val="bottom"/>
          </w:tcPr>
          <w:p>
            <w:pPr>
              <w:ind w:left="140"/>
              <w:spacing w:after="0" w:line="184" w:lineRule="exact"/>
              <w:rPr>
                <w:sz w:val="20"/>
                <w:szCs w:val="20"/>
                <w:color w:val="auto"/>
              </w:rPr>
            </w:pPr>
            <w:r>
              <w:rPr>
                <w:rFonts w:ascii="MS PGothic" w:cs="MS PGothic" w:eastAsia="MS PGothic" w:hAnsi="MS PGothic"/>
                <w:sz w:val="16"/>
                <w:szCs w:val="16"/>
                <w:color w:val="1F473D"/>
                <w:w w:val="96"/>
              </w:rPr>
              <w:t>✓</w:t>
            </w:r>
            <w:r>
              <w:rPr>
                <w:rFonts w:ascii="Arial" w:cs="Arial" w:eastAsia="Arial" w:hAnsi="Arial"/>
                <w:sz w:val="16"/>
                <w:szCs w:val="16"/>
                <w:color w:val="auto"/>
                <w:w w:val="96"/>
              </w:rPr>
              <w:t xml:space="preserve"> FOR each director</w:t>
            </w:r>
          </w:p>
        </w:tc>
      </w:tr>
      <w:tr>
        <w:trPr>
          <w:trHeight w:val="211"/>
        </w:trPr>
        <w:tc>
          <w:tcPr>
            <w:tcW w:w="9180" w:type="dxa"/>
            <w:vAlign w:val="bottom"/>
          </w:tcPr>
          <w:p>
            <w:pPr>
              <w:spacing w:after="0"/>
              <w:rPr>
                <w:sz w:val="20"/>
                <w:szCs w:val="20"/>
                <w:color w:val="auto"/>
              </w:rPr>
            </w:pPr>
            <w:r>
              <w:rPr>
                <w:rFonts w:ascii="Arial" w:cs="Arial" w:eastAsia="Arial" w:hAnsi="Arial"/>
                <w:sz w:val="15"/>
                <w:szCs w:val="15"/>
                <w:color w:val="auto"/>
              </w:rPr>
              <w:t>At the meeting, 14 individuals are proposed to be elected to our Board of Directors. 12 of these individuals are currently directors of our</w:t>
            </w:r>
          </w:p>
        </w:tc>
        <w:tc>
          <w:tcPr>
            <w:tcW w:w="1620" w:type="dxa"/>
            <w:vAlign w:val="bottom"/>
          </w:tcPr>
          <w:p>
            <w:pPr>
              <w:ind w:left="140"/>
              <w:spacing w:after="0"/>
              <w:rPr>
                <w:sz w:val="20"/>
                <w:szCs w:val="20"/>
                <w:color w:val="auto"/>
              </w:rPr>
            </w:pPr>
            <w:r>
              <w:rPr>
                <w:rFonts w:ascii="Arial" w:cs="Arial" w:eastAsia="Arial" w:hAnsi="Arial"/>
                <w:sz w:val="16"/>
                <w:szCs w:val="16"/>
                <w:color w:val="auto"/>
              </w:rPr>
              <w:t>nominee</w:t>
            </w:r>
          </w:p>
        </w:tc>
      </w:tr>
      <w:tr>
        <w:trPr>
          <w:trHeight w:val="199"/>
        </w:trPr>
        <w:tc>
          <w:tcPr>
            <w:tcW w:w="9180" w:type="dxa"/>
            <w:vAlign w:val="bottom"/>
          </w:tcPr>
          <w:p>
            <w:pPr>
              <w:spacing w:after="0"/>
              <w:rPr>
                <w:sz w:val="20"/>
                <w:szCs w:val="20"/>
                <w:color w:val="auto"/>
              </w:rPr>
            </w:pPr>
            <w:r>
              <w:rPr>
                <w:rFonts w:ascii="Arial" w:cs="Arial" w:eastAsia="Arial" w:hAnsi="Arial"/>
                <w:sz w:val="15"/>
                <w:szCs w:val="15"/>
                <w:color w:val="auto"/>
              </w:rPr>
              <w:t>company.</w:t>
            </w:r>
          </w:p>
        </w:tc>
        <w:tc>
          <w:tcPr>
            <w:tcW w:w="1620" w:type="dxa"/>
            <w:vAlign w:val="bottom"/>
          </w:tcPr>
          <w:p>
            <w:pPr>
              <w:spacing w:after="0"/>
              <w:rPr>
                <w:sz w:val="17"/>
                <w:szCs w:val="17"/>
                <w:color w:val="auto"/>
              </w:rPr>
            </w:pPr>
          </w:p>
        </w:tc>
      </w:tr>
    </w:tbl>
    <w:p>
      <w:pPr>
        <w:spacing w:after="0" w:line="58" w:lineRule="exact"/>
        <w:rPr>
          <w:sz w:val="20"/>
          <w:szCs w:val="20"/>
          <w:color w:val="auto"/>
        </w:rPr>
      </w:pPr>
    </w:p>
    <w:p>
      <w:pPr>
        <w:ind w:left="260" w:right="2140" w:hanging="237"/>
        <w:spacing w:after="0" w:line="262" w:lineRule="auto"/>
        <w:tabs>
          <w:tab w:leader="none" w:pos="260" w:val="left"/>
        </w:tabs>
        <w:numPr>
          <w:ilvl w:val="0"/>
          <w:numId w:val="14"/>
        </w:numPr>
        <w:rPr>
          <w:rFonts w:ascii="Arial" w:cs="Arial" w:eastAsia="Arial" w:hAnsi="Arial"/>
          <w:sz w:val="15"/>
          <w:szCs w:val="15"/>
          <w:color w:val="D64000"/>
        </w:rPr>
      </w:pPr>
      <w:r>
        <w:rPr>
          <w:rFonts w:ascii="Arial" w:cs="Arial" w:eastAsia="Arial" w:hAnsi="Arial"/>
          <w:sz w:val="16"/>
          <w:szCs w:val="16"/>
          <w:color w:val="auto"/>
        </w:rPr>
        <w:t>The Corporate Governance Committee believes that the director nominees have the qualifications, skills and experience necessary for the Board to fulfill its mandate. Michael Medline and Liz Hilton Segel are new director nominees. Kirk Koenigsbauer will complete his service on the Board at this meeting.</w:t>
      </w:r>
    </w:p>
    <w:p>
      <w:pPr>
        <w:spacing w:after="0" w:line="52" w:lineRule="exact"/>
        <w:rPr>
          <w:rFonts w:ascii="Arial" w:cs="Arial" w:eastAsia="Arial" w:hAnsi="Arial"/>
          <w:sz w:val="15"/>
          <w:szCs w:val="15"/>
          <w:color w:val="D64000"/>
        </w:rPr>
      </w:pPr>
    </w:p>
    <w:p>
      <w:pPr>
        <w:ind w:left="260" w:right="2140" w:hanging="237"/>
        <w:spacing w:after="0" w:line="262" w:lineRule="auto"/>
        <w:tabs>
          <w:tab w:leader="none" w:pos="260" w:val="left"/>
        </w:tabs>
        <w:numPr>
          <w:ilvl w:val="0"/>
          <w:numId w:val="14"/>
        </w:numPr>
        <w:rPr>
          <w:rFonts w:ascii="Arial" w:cs="Arial" w:eastAsia="Arial" w:hAnsi="Arial"/>
          <w:sz w:val="15"/>
          <w:szCs w:val="15"/>
          <w:color w:val="D64000"/>
        </w:rPr>
      </w:pPr>
      <w:r>
        <w:rPr>
          <w:rFonts w:ascii="Arial" w:cs="Arial" w:eastAsia="Arial" w:hAnsi="Arial"/>
          <w:sz w:val="16"/>
          <w:szCs w:val="16"/>
          <w:color w:val="auto"/>
        </w:rPr>
        <w:t>A majority of our director nominees are independent and five of our director nominees (David Thomson, Peter Thomson, Michael Friisdahl, Michael Medline and Paul Sagan) are affiliated with our principal shareholder, Woodbridge. Only one director (our CEO, Steve Hasker) is a member of management.</w:t>
      </w:r>
    </w:p>
    <w:p>
      <w:pPr>
        <w:spacing w:after="0" w:line="52" w:lineRule="exact"/>
        <w:rPr>
          <w:rFonts w:ascii="Arial" w:cs="Arial" w:eastAsia="Arial" w:hAnsi="Arial"/>
          <w:sz w:val="15"/>
          <w:szCs w:val="15"/>
          <w:color w:val="D64000"/>
        </w:rPr>
      </w:pPr>
    </w:p>
    <w:p>
      <w:pPr>
        <w:ind w:left="260" w:hanging="237"/>
        <w:spacing w:after="0"/>
        <w:tabs>
          <w:tab w:leader="none" w:pos="260" w:val="left"/>
        </w:tabs>
        <w:numPr>
          <w:ilvl w:val="0"/>
          <w:numId w:val="14"/>
        </w:numPr>
        <w:rPr>
          <w:rFonts w:ascii="Arial" w:cs="Arial" w:eastAsia="Arial" w:hAnsi="Arial"/>
          <w:sz w:val="15"/>
          <w:szCs w:val="15"/>
          <w:color w:val="D64000"/>
        </w:rPr>
      </w:pPr>
      <w:r>
        <w:rPr>
          <w:rFonts w:ascii="Arial" w:cs="Arial" w:eastAsia="Arial" w:hAnsi="Arial"/>
          <w:sz w:val="16"/>
          <w:szCs w:val="16"/>
          <w:color w:val="auto"/>
        </w:rPr>
        <w:t>The roles and responsibilities of the Chairman (David Thomson) and the CEO (Steve Hasker) are separate.</w:t>
      </w:r>
    </w:p>
    <w:p>
      <w:pPr>
        <w:spacing w:after="0" w:line="96" w:lineRule="exact"/>
        <w:rPr>
          <w:rFonts w:ascii="Arial" w:cs="Arial" w:eastAsia="Arial" w:hAnsi="Arial"/>
          <w:sz w:val="15"/>
          <w:szCs w:val="15"/>
          <w:color w:val="D64000"/>
        </w:rPr>
      </w:pPr>
    </w:p>
    <w:p>
      <w:pPr>
        <w:ind w:left="260" w:right="1820" w:hanging="237"/>
        <w:spacing w:after="0" w:line="279" w:lineRule="auto"/>
        <w:tabs>
          <w:tab w:leader="none" w:pos="260" w:val="left"/>
        </w:tabs>
        <w:numPr>
          <w:ilvl w:val="0"/>
          <w:numId w:val="14"/>
        </w:numPr>
        <w:rPr>
          <w:rFonts w:ascii="Arial" w:cs="Arial" w:eastAsia="Arial" w:hAnsi="Arial"/>
          <w:sz w:val="15"/>
          <w:szCs w:val="15"/>
          <w:color w:val="D64000"/>
        </w:rPr>
      </w:pPr>
      <w:r>
        <w:rPr>
          <w:rFonts w:ascii="Arial" w:cs="Arial" w:eastAsia="Arial" w:hAnsi="Arial"/>
          <w:sz w:val="16"/>
          <w:szCs w:val="16"/>
          <w:color w:val="auto"/>
        </w:rPr>
        <w:t>Shareholders vote annually for individual directors. At last year’s annual meeting, our director nominees who are standing for re-election received an average of 98.9% “for” votes.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director nominees for this year’s meeting are: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FFFFFF"/>
              </w:rPr>
              <w:t>Overall</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jc w:val="center"/>
              <w:spacing w:after="0" w:line="161" w:lineRule="exact"/>
              <w:rPr>
                <w:sz w:val="20"/>
                <w:szCs w:val="20"/>
                <w:color w:val="auto"/>
              </w:rPr>
            </w:pPr>
            <w:r>
              <w:rPr>
                <w:rFonts w:ascii="Arial" w:cs="Arial" w:eastAsia="Arial" w:hAnsi="Arial"/>
                <w:sz w:val="15"/>
                <w:szCs w:val="15"/>
                <w:b w:val="1"/>
                <w:bCs w:val="1"/>
                <w:color w:val="FFFFFF"/>
              </w:rPr>
              <w:t>Attendance</w:t>
            </w:r>
          </w:p>
        </w:tc>
        <w:tc>
          <w:tcPr>
            <w:tcW w:w="66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9"/>
              </w:rPr>
              <w:t>Other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Director</w:t>
            </w:r>
          </w:p>
        </w:tc>
        <w:tc>
          <w:tcPr>
            <w:tcW w:w="2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jc w:val="center"/>
              <w:spacing w:after="0" w:line="151" w:lineRule="exact"/>
              <w:rPr>
                <w:sz w:val="20"/>
                <w:szCs w:val="20"/>
                <w:color w:val="auto"/>
              </w:rPr>
            </w:pPr>
            <w:r>
              <w:rPr>
                <w:rFonts w:ascii="Arial" w:cs="Arial" w:eastAsia="Arial" w:hAnsi="Arial"/>
                <w:sz w:val="15"/>
                <w:szCs w:val="15"/>
                <w:b w:val="1"/>
                <w:bCs w:val="1"/>
                <w:color w:val="FFFFFF"/>
              </w:rPr>
              <w:t>at Board</w:t>
            </w: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40" w:type="dxa"/>
            <w:vAlign w:val="bottom"/>
            <w:vMerge w:val="restart"/>
          </w:tcPr>
          <w:p>
            <w:pPr>
              <w:spacing w:after="0"/>
              <w:rPr>
                <w:sz w:val="20"/>
                <w:szCs w:val="20"/>
                <w:color w:val="auto"/>
              </w:rPr>
            </w:pPr>
            <w:r>
              <w:rPr>
                <w:rFonts w:ascii="Arial" w:cs="Arial" w:eastAsia="Arial" w:hAnsi="Arial"/>
                <w:sz w:val="15"/>
                <w:szCs w:val="15"/>
                <w:b w:val="1"/>
                <w:bCs w:val="1"/>
                <w:color w:val="FFFFFF"/>
              </w:rPr>
              <w:t>Name</w:t>
            </w:r>
          </w:p>
        </w:tc>
        <w:tc>
          <w:tcPr>
            <w:tcW w:w="740" w:type="dxa"/>
            <w:vAlign w:val="bottom"/>
            <w:vMerge w:val="restart"/>
          </w:tcPr>
          <w:p>
            <w:pPr>
              <w:jc w:val="center"/>
              <w:ind w:left="184"/>
              <w:spacing w:after="0"/>
              <w:rPr>
                <w:sz w:val="20"/>
                <w:szCs w:val="20"/>
                <w:color w:val="auto"/>
              </w:rPr>
            </w:pPr>
            <w:r>
              <w:rPr>
                <w:rFonts w:ascii="Arial" w:cs="Arial" w:eastAsia="Arial" w:hAnsi="Arial"/>
                <w:sz w:val="15"/>
                <w:szCs w:val="15"/>
                <w:b w:val="1"/>
                <w:bCs w:val="1"/>
                <w:color w:val="FFFFFF"/>
                <w:w w:val="98"/>
              </w:rPr>
              <w:t>Age</w:t>
            </w:r>
          </w:p>
        </w:tc>
        <w:tc>
          <w:tcPr>
            <w:tcW w:w="780" w:type="dxa"/>
            <w:vAlign w:val="bottom"/>
            <w:vMerge w:val="continue"/>
          </w:tcPr>
          <w:p>
            <w:pPr>
              <w:spacing w:after="0"/>
              <w:rPr>
                <w:sz w:val="13"/>
                <w:szCs w:val="13"/>
                <w:color w:val="auto"/>
              </w:rPr>
            </w:pPr>
          </w:p>
        </w:tc>
        <w:tc>
          <w:tcPr>
            <w:tcW w:w="2640" w:type="dxa"/>
            <w:vAlign w:val="bottom"/>
            <w:vMerge w:val="restart"/>
          </w:tcPr>
          <w:p>
            <w:pPr>
              <w:ind w:left="580"/>
              <w:spacing w:after="0"/>
              <w:rPr>
                <w:sz w:val="20"/>
                <w:szCs w:val="20"/>
                <w:color w:val="auto"/>
              </w:rPr>
            </w:pPr>
            <w:r>
              <w:rPr>
                <w:rFonts w:ascii="Arial" w:cs="Arial" w:eastAsia="Arial" w:hAnsi="Arial"/>
                <w:sz w:val="15"/>
                <w:szCs w:val="15"/>
                <w:b w:val="1"/>
                <w:bCs w:val="1"/>
                <w:color w:val="FFFFFF"/>
              </w:rPr>
              <w:t>Principal occupation</w:t>
            </w:r>
          </w:p>
        </w:tc>
        <w:tc>
          <w:tcPr>
            <w:tcW w:w="110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Committees</w:t>
            </w:r>
          </w:p>
        </w:tc>
        <w:tc>
          <w:tcPr>
            <w:tcW w:w="980" w:type="dxa"/>
            <w:vAlign w:val="bottom"/>
          </w:tcPr>
          <w:p>
            <w:pPr>
              <w:jc w:val="center"/>
              <w:spacing w:after="0" w:line="161" w:lineRule="exact"/>
              <w:rPr>
                <w:sz w:val="20"/>
                <w:szCs w:val="20"/>
                <w:color w:val="auto"/>
              </w:rPr>
            </w:pPr>
            <w:r>
              <w:rPr>
                <w:rFonts w:ascii="Arial" w:cs="Arial" w:eastAsia="Arial" w:hAnsi="Arial"/>
                <w:sz w:val="15"/>
                <w:szCs w:val="15"/>
                <w:b w:val="1"/>
                <w:bCs w:val="1"/>
                <w:color w:val="FFFFFF"/>
              </w:rPr>
              <w:t>Meetings</w:t>
            </w:r>
          </w:p>
        </w:tc>
        <w:tc>
          <w:tcPr>
            <w:tcW w:w="660" w:type="dxa"/>
            <w:vAlign w:val="bottom"/>
          </w:tcPr>
          <w:p>
            <w:pPr>
              <w:jc w:val="center"/>
              <w:spacing w:after="0" w:line="161" w:lineRule="exact"/>
              <w:rPr>
                <w:sz w:val="20"/>
                <w:szCs w:val="20"/>
                <w:color w:val="auto"/>
              </w:rPr>
            </w:pPr>
            <w:r>
              <w:rPr>
                <w:rFonts w:ascii="Arial" w:cs="Arial" w:eastAsia="Arial" w:hAnsi="Arial"/>
                <w:sz w:val="15"/>
                <w:szCs w:val="15"/>
                <w:b w:val="1"/>
                <w:bCs w:val="1"/>
                <w:color w:val="FFFFFF"/>
              </w:rPr>
              <w:t>public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2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FFFFFF"/>
                <w:w w:val="99"/>
              </w:rPr>
              <w:t>Since</w:t>
            </w:r>
          </w:p>
        </w:tc>
        <w:tc>
          <w:tcPr>
            <w:tcW w:w="26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FFFFFF"/>
              </w:rPr>
              <w:t>in 2025</w:t>
            </w:r>
          </w:p>
        </w:tc>
        <w:tc>
          <w:tcPr>
            <w:tcW w:w="680" w:type="dxa"/>
            <w:vAlign w:val="bottom"/>
            <w:gridSpan w:val="2"/>
          </w:tcPr>
          <w:p>
            <w:pPr>
              <w:jc w:val="center"/>
              <w:spacing w:after="0"/>
              <w:rPr>
                <w:sz w:val="20"/>
                <w:szCs w:val="20"/>
                <w:color w:val="auto"/>
              </w:rPr>
            </w:pPr>
            <w:r>
              <w:rPr>
                <w:rFonts w:ascii="Arial" w:cs="Arial" w:eastAsia="Arial" w:hAnsi="Arial"/>
                <w:sz w:val="15"/>
                <w:szCs w:val="15"/>
                <w:b w:val="1"/>
                <w:bCs w:val="1"/>
                <w:color w:val="FFFFFF"/>
              </w:rPr>
              <w:t xml:space="preserve">boards   </w:t>
            </w:r>
          </w:p>
        </w:tc>
        <w:tc>
          <w:tcPr>
            <w:tcW w:w="0" w:type="dxa"/>
            <w:vAlign w:val="bottom"/>
          </w:tcPr>
          <w:p>
            <w:pPr>
              <w:spacing w:after="0"/>
              <w:rPr>
                <w:sz w:val="1"/>
                <w:szCs w:val="1"/>
                <w:color w:val="auto"/>
              </w:rPr>
            </w:pPr>
          </w:p>
        </w:tc>
      </w:tr>
      <w:tr>
        <w:trPr>
          <w:trHeight w:val="197"/>
        </w:trPr>
        <w:tc>
          <w:tcPr>
            <w:tcW w:w="2240" w:type="dxa"/>
            <w:vAlign w:val="bottom"/>
            <w:tcBorders>
              <w:top w:val="single" w:sz="8" w:color="D64000"/>
            </w:tcBorders>
          </w:tcPr>
          <w:p>
            <w:pPr>
              <w:spacing w:after="0"/>
              <w:rPr>
                <w:sz w:val="20"/>
                <w:szCs w:val="20"/>
                <w:color w:val="auto"/>
              </w:rPr>
            </w:pPr>
            <w:r>
              <w:rPr>
                <w:rFonts w:ascii="Arial" w:cs="Arial" w:eastAsia="Arial" w:hAnsi="Arial"/>
                <w:sz w:val="15"/>
                <w:szCs w:val="15"/>
                <w:b w:val="1"/>
                <w:bCs w:val="1"/>
                <w:color w:val="auto"/>
              </w:rPr>
              <w:t>    David Thomson</w:t>
            </w:r>
          </w:p>
        </w:tc>
        <w:tc>
          <w:tcPr>
            <w:tcW w:w="740" w:type="dxa"/>
            <w:vAlign w:val="bottom"/>
            <w:tcBorders>
              <w:top w:val="single" w:sz="8" w:color="D64000"/>
            </w:tcBorders>
          </w:tcPr>
          <w:p>
            <w:pPr>
              <w:jc w:val="center"/>
              <w:ind w:left="184"/>
              <w:spacing w:after="0"/>
              <w:rPr>
                <w:sz w:val="20"/>
                <w:szCs w:val="20"/>
                <w:color w:val="auto"/>
              </w:rPr>
            </w:pPr>
            <w:r>
              <w:rPr>
                <w:rFonts w:ascii="Arial" w:cs="Arial" w:eastAsia="Arial" w:hAnsi="Arial"/>
                <w:sz w:val="15"/>
                <w:szCs w:val="15"/>
                <w:color w:val="auto"/>
                <w:w w:val="95"/>
              </w:rPr>
              <w:t>68</w:t>
            </w:r>
          </w:p>
        </w:tc>
        <w:tc>
          <w:tcPr>
            <w:tcW w:w="780" w:type="dxa"/>
            <w:vAlign w:val="bottom"/>
            <w:tcBorders>
              <w:top w:val="single" w:sz="8" w:color="D64000"/>
            </w:tcBorders>
          </w:tcPr>
          <w:p>
            <w:pPr>
              <w:jc w:val="center"/>
              <w:spacing w:after="0"/>
              <w:rPr>
                <w:sz w:val="20"/>
                <w:szCs w:val="20"/>
                <w:color w:val="auto"/>
              </w:rPr>
            </w:pPr>
            <w:r>
              <w:rPr>
                <w:rFonts w:ascii="Arial" w:cs="Arial" w:eastAsia="Arial" w:hAnsi="Arial"/>
                <w:sz w:val="15"/>
                <w:szCs w:val="15"/>
                <w:color w:val="auto"/>
              </w:rPr>
              <w:t>1988</w:t>
            </w:r>
          </w:p>
        </w:tc>
        <w:tc>
          <w:tcPr>
            <w:tcW w:w="2640" w:type="dxa"/>
            <w:vAlign w:val="bottom"/>
            <w:tcBorders>
              <w:top w:val="single" w:sz="8" w:color="D64000"/>
            </w:tcBorders>
          </w:tcPr>
          <w:p>
            <w:pPr>
              <w:ind w:left="80"/>
              <w:spacing w:after="0"/>
              <w:rPr>
                <w:sz w:val="20"/>
                <w:szCs w:val="20"/>
                <w:color w:val="auto"/>
              </w:rPr>
            </w:pPr>
            <w:r>
              <w:rPr>
                <w:rFonts w:ascii="Arial" w:cs="Arial" w:eastAsia="Arial" w:hAnsi="Arial"/>
                <w:sz w:val="15"/>
                <w:szCs w:val="15"/>
                <w:color w:val="auto"/>
              </w:rPr>
              <w:t>Chairman of Woodbridge</w:t>
            </w:r>
          </w:p>
        </w:tc>
        <w:tc>
          <w:tcPr>
            <w:tcW w:w="1100" w:type="dxa"/>
            <w:vAlign w:val="bottom"/>
            <w:tcBorders>
              <w:top w:val="single" w:sz="8" w:color="D64000"/>
            </w:tcBorders>
          </w:tcPr>
          <w:p>
            <w:pPr>
              <w:jc w:val="center"/>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D64000"/>
            </w:tcBorders>
          </w:tcPr>
          <w:p>
            <w:pPr>
              <w:jc w:val="center"/>
              <w:spacing w:after="0"/>
              <w:rPr>
                <w:sz w:val="20"/>
                <w:szCs w:val="20"/>
                <w:color w:val="auto"/>
              </w:rPr>
            </w:pPr>
            <w:r>
              <w:rPr>
                <w:rFonts w:ascii="Arial" w:cs="Arial" w:eastAsia="Arial" w:hAnsi="Arial"/>
                <w:sz w:val="15"/>
                <w:szCs w:val="15"/>
                <w:color w:val="auto"/>
                <w:w w:val="98"/>
              </w:rPr>
              <w:t>100%</w:t>
            </w:r>
          </w:p>
        </w:tc>
        <w:tc>
          <w:tcPr>
            <w:tcW w:w="660" w:type="dxa"/>
            <w:vAlign w:val="bottom"/>
            <w:tcBorders>
              <w:top w:val="single" w:sz="8" w:color="D64000"/>
            </w:tcBorders>
          </w:tcPr>
          <w:p>
            <w:pPr>
              <w:jc w:val="center"/>
              <w:spacing w:after="0"/>
              <w:rPr>
                <w:sz w:val="20"/>
                <w:szCs w:val="20"/>
                <w:color w:val="auto"/>
              </w:rPr>
            </w:pPr>
            <w:r>
              <w:rPr>
                <w:rFonts w:ascii="Arial" w:cs="Arial" w:eastAsia="Arial" w:hAnsi="Arial"/>
                <w:sz w:val="15"/>
                <w:szCs w:val="15"/>
                <w:color w:val="auto"/>
                <w:w w:val="9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line="161" w:lineRule="exact"/>
              <w:rPr>
                <w:sz w:val="20"/>
                <w:szCs w:val="20"/>
                <w:color w:val="auto"/>
              </w:rPr>
            </w:pPr>
            <w:r>
              <w:rPr>
                <w:rFonts w:ascii="Arial" w:cs="Arial" w:eastAsia="Arial" w:hAnsi="Arial"/>
                <w:sz w:val="15"/>
                <w:szCs w:val="15"/>
                <w:b w:val="1"/>
                <w:bCs w:val="1"/>
                <w:color w:val="auto"/>
              </w:rPr>
              <w:t>    Steve Hasker</w:t>
            </w:r>
          </w:p>
        </w:tc>
        <w:tc>
          <w:tcPr>
            <w:tcW w:w="740" w:type="dxa"/>
            <w:vAlign w:val="bottom"/>
          </w:tcPr>
          <w:p>
            <w:pPr>
              <w:jc w:val="center"/>
              <w:ind w:left="184"/>
              <w:spacing w:after="0" w:line="161" w:lineRule="exact"/>
              <w:rPr>
                <w:sz w:val="20"/>
                <w:szCs w:val="20"/>
                <w:color w:val="auto"/>
              </w:rPr>
            </w:pPr>
            <w:r>
              <w:rPr>
                <w:rFonts w:ascii="Arial" w:cs="Arial" w:eastAsia="Arial" w:hAnsi="Arial"/>
                <w:sz w:val="15"/>
                <w:szCs w:val="15"/>
                <w:color w:val="auto"/>
                <w:w w:val="95"/>
              </w:rPr>
              <w:t>56</w:t>
            </w:r>
          </w:p>
        </w:tc>
        <w:tc>
          <w:tcPr>
            <w:tcW w:w="780" w:type="dxa"/>
            <w:vAlign w:val="bottom"/>
          </w:tcPr>
          <w:p>
            <w:pPr>
              <w:jc w:val="center"/>
              <w:spacing w:after="0" w:line="161" w:lineRule="exact"/>
              <w:rPr>
                <w:sz w:val="20"/>
                <w:szCs w:val="20"/>
                <w:color w:val="auto"/>
              </w:rPr>
            </w:pPr>
            <w:r>
              <w:rPr>
                <w:rFonts w:ascii="Arial" w:cs="Arial" w:eastAsia="Arial" w:hAnsi="Arial"/>
                <w:sz w:val="15"/>
                <w:szCs w:val="15"/>
                <w:color w:val="auto"/>
              </w:rPr>
              <w:t>2020</w:t>
            </w:r>
          </w:p>
        </w:tc>
        <w:tc>
          <w:tcPr>
            <w:tcW w:w="2640" w:type="dxa"/>
            <w:vAlign w:val="bottom"/>
          </w:tcPr>
          <w:p>
            <w:pPr>
              <w:ind w:left="80"/>
              <w:spacing w:after="0" w:line="161" w:lineRule="exact"/>
              <w:rPr>
                <w:sz w:val="20"/>
                <w:szCs w:val="20"/>
                <w:color w:val="auto"/>
              </w:rPr>
            </w:pPr>
            <w:r>
              <w:rPr>
                <w:rFonts w:ascii="Arial" w:cs="Arial" w:eastAsia="Arial" w:hAnsi="Arial"/>
                <w:sz w:val="15"/>
                <w:szCs w:val="15"/>
                <w:color w:val="auto"/>
              </w:rPr>
              <w:t>President and CEO of Thomson</w:t>
            </w:r>
          </w:p>
        </w:tc>
        <w:tc>
          <w:tcPr>
            <w:tcW w:w="1100" w:type="dxa"/>
            <w:vAlign w:val="bottom"/>
          </w:tcPr>
          <w:p>
            <w:pPr>
              <w:jc w:val="center"/>
              <w:spacing w:after="0" w:line="161" w:lineRule="exact"/>
              <w:rPr>
                <w:sz w:val="20"/>
                <w:szCs w:val="20"/>
                <w:color w:val="auto"/>
              </w:rPr>
            </w:pPr>
            <w:r>
              <w:rPr>
                <w:rFonts w:ascii="Arial" w:cs="Arial" w:eastAsia="Arial" w:hAnsi="Arial"/>
                <w:sz w:val="15"/>
                <w:szCs w:val="15"/>
                <w:color w:val="auto"/>
              </w:rPr>
              <w:t>–</w:t>
            </w:r>
          </w:p>
        </w:tc>
        <w:tc>
          <w:tcPr>
            <w:tcW w:w="980" w:type="dxa"/>
            <w:vAlign w:val="bottom"/>
          </w:tcPr>
          <w:p>
            <w:pPr>
              <w:jc w:val="center"/>
              <w:spacing w:after="0" w:line="161" w:lineRule="exact"/>
              <w:rPr>
                <w:sz w:val="20"/>
                <w:szCs w:val="20"/>
                <w:color w:val="auto"/>
              </w:rPr>
            </w:pPr>
            <w:r>
              <w:rPr>
                <w:rFonts w:ascii="Arial" w:cs="Arial" w:eastAsia="Arial" w:hAnsi="Arial"/>
                <w:sz w:val="15"/>
                <w:szCs w:val="15"/>
                <w:color w:val="auto"/>
                <w:w w:val="98"/>
              </w:rPr>
              <w:t>100%</w:t>
            </w:r>
          </w:p>
        </w:tc>
        <w:tc>
          <w:tcPr>
            <w:tcW w:w="660" w:type="dxa"/>
            <w:vAlign w:val="bottom"/>
          </w:tcPr>
          <w:p>
            <w:pPr>
              <w:jc w:val="center"/>
              <w:spacing w:after="0" w:line="161" w:lineRule="exact"/>
              <w:rPr>
                <w:sz w:val="20"/>
                <w:szCs w:val="20"/>
                <w:color w:val="auto"/>
              </w:rPr>
            </w:pPr>
            <w:r>
              <w:rPr>
                <w:rFonts w:ascii="Arial" w:cs="Arial" w:eastAsia="Arial" w:hAnsi="Arial"/>
                <w:sz w:val="15"/>
                <w:szCs w:val="15"/>
                <w:color w:val="auto"/>
                <w:w w:val="95"/>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240" w:type="dxa"/>
            <w:vAlign w:val="bottom"/>
            <w:vMerge w:val="restart"/>
          </w:tcPr>
          <w:p>
            <w:pPr>
              <w:spacing w:after="0" w:line="173" w:lineRule="exact"/>
              <w:rPr>
                <w:sz w:val="20"/>
                <w:szCs w:val="20"/>
                <w:color w:val="auto"/>
              </w:rPr>
            </w:pPr>
            <w:r>
              <w:rPr>
                <w:rFonts w:ascii="Arial" w:cs="Arial" w:eastAsia="Arial" w:hAnsi="Arial"/>
                <w:sz w:val="15"/>
                <w:szCs w:val="15"/>
                <w:b w:val="1"/>
                <w:bCs w:val="1"/>
                <w:color w:val="auto"/>
              </w:rPr>
              <w:t xml:space="preserve">    Kirk E. Arnold </w:t>
            </w:r>
            <w:r>
              <w:rPr>
                <w:rFonts w:ascii="MS PGothic" w:cs="MS PGothic" w:eastAsia="MS PGothic" w:hAnsi="MS PGothic"/>
                <w:sz w:val="15"/>
                <w:szCs w:val="15"/>
                <w:color w:val="auto"/>
                <w:shd w:val="clear" w:color="auto" w:fill="1F473D"/>
              </w:rPr>
              <w:t>✓</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5"/>
                <w:szCs w:val="15"/>
                <w:color w:val="auto"/>
              </w:rPr>
              <w:t>Reuters</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40" w:type="dxa"/>
            <w:vAlign w:val="bottom"/>
            <w:vMerge w:val="continue"/>
          </w:tcPr>
          <w:p>
            <w:pPr>
              <w:spacing w:after="0"/>
              <w:rPr>
                <w:sz w:val="20"/>
                <w:szCs w:val="20"/>
                <w:color w:val="auto"/>
              </w:rPr>
            </w:pP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66</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2640" w:type="dxa"/>
            <w:vAlign w:val="bottom"/>
          </w:tcPr>
          <w:p>
            <w:pPr>
              <w:ind w:left="80"/>
              <w:spacing w:after="0"/>
              <w:rPr>
                <w:sz w:val="20"/>
                <w:szCs w:val="20"/>
                <w:color w:val="auto"/>
              </w:rPr>
            </w:pPr>
            <w:r>
              <w:rPr>
                <w:rFonts w:ascii="Arial" w:cs="Arial" w:eastAsia="Arial" w:hAnsi="Arial"/>
                <w:sz w:val="15"/>
                <w:szCs w:val="15"/>
                <w:color w:val="auto"/>
              </w:rPr>
              <w:t>Former CEO of Data Intensity, LLC</w:t>
            </w:r>
          </w:p>
        </w:tc>
        <w:tc>
          <w:tcPr>
            <w:tcW w:w="1100" w:type="dxa"/>
            <w:vAlign w:val="bottom"/>
          </w:tcPr>
          <w:p>
            <w:pPr>
              <w:jc w:val="center"/>
              <w:spacing w:after="0"/>
              <w:rPr>
                <w:sz w:val="20"/>
                <w:szCs w:val="20"/>
                <w:color w:val="auto"/>
              </w:rPr>
            </w:pPr>
            <w:r>
              <w:rPr>
                <w:rFonts w:ascii="Arial" w:cs="Arial" w:eastAsia="Arial" w:hAnsi="Arial"/>
                <w:sz w:val="15"/>
                <w:szCs w:val="15"/>
                <w:color w:val="auto"/>
              </w:rPr>
              <w:t>CG, HR, R</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40" w:type="dxa"/>
            <w:vAlign w:val="bottom"/>
          </w:tcPr>
          <w:p>
            <w:pPr>
              <w:spacing w:after="0" w:line="173" w:lineRule="exact"/>
              <w:rPr>
                <w:sz w:val="20"/>
                <w:szCs w:val="20"/>
                <w:color w:val="auto"/>
              </w:rPr>
            </w:pPr>
            <w:r>
              <w:rPr>
                <w:rFonts w:ascii="Arial" w:cs="Arial" w:eastAsia="Arial" w:hAnsi="Arial"/>
                <w:sz w:val="15"/>
                <w:szCs w:val="15"/>
                <w:b w:val="1"/>
                <w:bCs w:val="1"/>
                <w:color w:val="auto"/>
              </w:rPr>
              <w:t xml:space="preserve">    LaVerne Council </w:t>
            </w:r>
            <w:r>
              <w:rPr>
                <w:rFonts w:ascii="MS PGothic" w:cs="MS PGothic" w:eastAsia="MS PGothic" w:hAnsi="MS PGothic"/>
                <w:sz w:val="15"/>
                <w:szCs w:val="15"/>
                <w:color w:val="auto"/>
                <w:shd w:val="clear" w:color="auto" w:fill="1F473D"/>
              </w:rPr>
              <w:t>✓</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64</w:t>
            </w:r>
          </w:p>
        </w:tc>
        <w:tc>
          <w:tcPr>
            <w:tcW w:w="780" w:type="dxa"/>
            <w:vAlign w:val="bottom"/>
          </w:tcPr>
          <w:p>
            <w:pPr>
              <w:jc w:val="center"/>
              <w:spacing w:after="0"/>
              <w:rPr>
                <w:sz w:val="20"/>
                <w:szCs w:val="20"/>
                <w:color w:val="auto"/>
              </w:rPr>
            </w:pPr>
            <w:r>
              <w:rPr>
                <w:rFonts w:ascii="Arial" w:cs="Arial" w:eastAsia="Arial" w:hAnsi="Arial"/>
                <w:sz w:val="15"/>
                <w:szCs w:val="15"/>
                <w:color w:val="auto"/>
              </w:rPr>
              <w:t>2022</w:t>
            </w:r>
          </w:p>
        </w:tc>
        <w:tc>
          <w:tcPr>
            <w:tcW w:w="2640" w:type="dxa"/>
            <w:vAlign w:val="bottom"/>
          </w:tcPr>
          <w:p>
            <w:pPr>
              <w:ind w:left="80"/>
              <w:spacing w:after="0"/>
              <w:rPr>
                <w:sz w:val="20"/>
                <w:szCs w:val="20"/>
                <w:color w:val="auto"/>
              </w:rPr>
            </w:pPr>
            <w:r>
              <w:rPr>
                <w:rFonts w:ascii="Arial" w:cs="Arial" w:eastAsia="Arial" w:hAnsi="Arial"/>
                <w:sz w:val="15"/>
                <w:szCs w:val="15"/>
                <w:color w:val="auto"/>
              </w:rPr>
              <w:t>CEO of Emerald One</w:t>
            </w:r>
          </w:p>
        </w:tc>
        <w:tc>
          <w:tcPr>
            <w:tcW w:w="1100" w:type="dxa"/>
            <w:vAlign w:val="bottom"/>
          </w:tcPr>
          <w:p>
            <w:pPr>
              <w:jc w:val="center"/>
              <w:spacing w:after="0"/>
              <w:rPr>
                <w:sz w:val="20"/>
                <w:szCs w:val="20"/>
                <w:color w:val="auto"/>
              </w:rPr>
            </w:pPr>
            <w:r>
              <w:rPr>
                <w:rFonts w:ascii="Arial" w:cs="Arial" w:eastAsia="Arial" w:hAnsi="Arial"/>
                <w:sz w:val="15"/>
                <w:szCs w:val="15"/>
                <w:color w:val="auto"/>
              </w:rPr>
              <w:t>A, R</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240" w:type="dxa"/>
            <w:vAlign w:val="bottom"/>
          </w:tcPr>
          <w:p>
            <w:pPr>
              <w:spacing w:after="0" w:line="167" w:lineRule="exact"/>
              <w:rPr>
                <w:sz w:val="20"/>
                <w:szCs w:val="20"/>
                <w:color w:val="auto"/>
              </w:rPr>
            </w:pPr>
            <w:r>
              <w:rPr>
                <w:rFonts w:ascii="Arial" w:cs="Arial" w:eastAsia="Arial" w:hAnsi="Arial"/>
                <w:sz w:val="15"/>
                <w:szCs w:val="15"/>
                <w:b w:val="1"/>
                <w:bCs w:val="1"/>
                <w:color w:val="auto"/>
              </w:rPr>
              <w:t>    Michael Friisdahl</w:t>
            </w:r>
          </w:p>
        </w:tc>
        <w:tc>
          <w:tcPr>
            <w:tcW w:w="740" w:type="dxa"/>
            <w:vAlign w:val="bottom"/>
          </w:tcPr>
          <w:p>
            <w:pPr>
              <w:jc w:val="center"/>
              <w:ind w:left="184"/>
              <w:spacing w:after="0" w:line="167" w:lineRule="exact"/>
              <w:rPr>
                <w:sz w:val="20"/>
                <w:szCs w:val="20"/>
                <w:color w:val="auto"/>
              </w:rPr>
            </w:pPr>
            <w:r>
              <w:rPr>
                <w:rFonts w:ascii="Arial" w:cs="Arial" w:eastAsia="Arial" w:hAnsi="Arial"/>
                <w:sz w:val="15"/>
                <w:szCs w:val="15"/>
                <w:color w:val="auto"/>
                <w:w w:val="95"/>
              </w:rPr>
              <w:t>63</w:t>
            </w:r>
          </w:p>
        </w:tc>
        <w:tc>
          <w:tcPr>
            <w:tcW w:w="780" w:type="dxa"/>
            <w:vAlign w:val="bottom"/>
          </w:tcPr>
          <w:p>
            <w:pPr>
              <w:jc w:val="center"/>
              <w:spacing w:after="0" w:line="167" w:lineRule="exact"/>
              <w:rPr>
                <w:sz w:val="20"/>
                <w:szCs w:val="20"/>
                <w:color w:val="auto"/>
              </w:rPr>
            </w:pPr>
            <w:r>
              <w:rPr>
                <w:rFonts w:ascii="Arial" w:cs="Arial" w:eastAsia="Arial" w:hAnsi="Arial"/>
                <w:sz w:val="15"/>
                <w:szCs w:val="15"/>
                <w:color w:val="auto"/>
              </w:rPr>
              <w:t>2025</w:t>
            </w:r>
          </w:p>
        </w:tc>
        <w:tc>
          <w:tcPr>
            <w:tcW w:w="2640" w:type="dxa"/>
            <w:vAlign w:val="bottom"/>
          </w:tcPr>
          <w:p>
            <w:pPr>
              <w:ind w:left="80"/>
              <w:spacing w:after="0" w:line="167" w:lineRule="exact"/>
              <w:rPr>
                <w:sz w:val="20"/>
                <w:szCs w:val="20"/>
                <w:color w:val="auto"/>
              </w:rPr>
            </w:pPr>
            <w:r>
              <w:rPr>
                <w:rFonts w:ascii="Arial" w:cs="Arial" w:eastAsia="Arial" w:hAnsi="Arial"/>
                <w:sz w:val="15"/>
                <w:szCs w:val="15"/>
                <w:color w:val="auto"/>
              </w:rPr>
              <w:t>Former Executive Chairman of</w:t>
            </w:r>
          </w:p>
        </w:tc>
        <w:tc>
          <w:tcPr>
            <w:tcW w:w="1100" w:type="dxa"/>
            <w:vAlign w:val="bottom"/>
          </w:tcPr>
          <w:p>
            <w:pPr>
              <w:jc w:val="center"/>
              <w:spacing w:after="0" w:line="167" w:lineRule="exact"/>
              <w:rPr>
                <w:sz w:val="20"/>
                <w:szCs w:val="20"/>
                <w:color w:val="auto"/>
              </w:rPr>
            </w:pPr>
            <w:r>
              <w:rPr>
                <w:rFonts w:ascii="Arial" w:cs="Arial" w:eastAsia="Arial" w:hAnsi="Arial"/>
                <w:sz w:val="15"/>
                <w:szCs w:val="15"/>
                <w:color w:val="auto"/>
              </w:rPr>
              <w:t>CG, HR</w:t>
            </w:r>
          </w:p>
        </w:tc>
        <w:tc>
          <w:tcPr>
            <w:tcW w:w="980" w:type="dxa"/>
            <w:vAlign w:val="bottom"/>
          </w:tcPr>
          <w:p>
            <w:pPr>
              <w:jc w:val="center"/>
              <w:spacing w:after="0" w:line="167" w:lineRule="exact"/>
              <w:rPr>
                <w:sz w:val="20"/>
                <w:szCs w:val="20"/>
                <w:color w:val="auto"/>
              </w:rPr>
            </w:pPr>
            <w:r>
              <w:rPr>
                <w:rFonts w:ascii="Arial" w:cs="Arial" w:eastAsia="Arial" w:hAnsi="Arial"/>
                <w:sz w:val="15"/>
                <w:szCs w:val="15"/>
                <w:color w:val="auto"/>
                <w:w w:val="98"/>
              </w:rPr>
              <w:t>100%</w:t>
            </w:r>
          </w:p>
        </w:tc>
        <w:tc>
          <w:tcPr>
            <w:tcW w:w="680" w:type="dxa"/>
            <w:vAlign w:val="bottom"/>
            <w:gridSpan w:val="2"/>
          </w:tcPr>
          <w:p>
            <w:pPr>
              <w:jc w:val="center"/>
              <w:spacing w:after="0" w:line="167" w:lineRule="exact"/>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5"/>
                <w:szCs w:val="15"/>
                <w:color w:val="auto"/>
              </w:rPr>
              <w:t>Signature Aviation</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40" w:type="dxa"/>
            <w:vAlign w:val="bottom"/>
          </w:tcPr>
          <w:p>
            <w:pPr>
              <w:spacing w:after="0"/>
              <w:rPr>
                <w:sz w:val="20"/>
                <w:szCs w:val="20"/>
                <w:color w:val="auto"/>
              </w:rPr>
            </w:pPr>
            <w:r>
              <w:rPr>
                <w:rFonts w:ascii="Arial" w:cs="Arial" w:eastAsia="Arial" w:hAnsi="Arial"/>
                <w:sz w:val="15"/>
                <w:szCs w:val="15"/>
                <w:b w:val="1"/>
                <w:bCs w:val="1"/>
                <w:color w:val="auto"/>
              </w:rPr>
              <w:t>    Michael Medline</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62</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2640" w:type="dxa"/>
            <w:vAlign w:val="bottom"/>
          </w:tcPr>
          <w:p>
            <w:pPr>
              <w:ind w:left="80"/>
              <w:spacing w:after="0"/>
              <w:rPr>
                <w:sz w:val="20"/>
                <w:szCs w:val="20"/>
                <w:color w:val="auto"/>
              </w:rPr>
            </w:pPr>
            <w:r>
              <w:rPr>
                <w:rFonts w:ascii="Arial" w:cs="Arial" w:eastAsia="Arial" w:hAnsi="Arial"/>
                <w:sz w:val="15"/>
                <w:szCs w:val="15"/>
                <w:color w:val="auto"/>
              </w:rPr>
              <w:t>President &amp; CEO, Woodbridge</w:t>
            </w: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9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line="173" w:lineRule="exact"/>
              <w:rPr>
                <w:sz w:val="20"/>
                <w:szCs w:val="20"/>
                <w:color w:val="auto"/>
              </w:rPr>
            </w:pPr>
            <w:r>
              <w:rPr>
                <w:rFonts w:ascii="Arial" w:cs="Arial" w:eastAsia="Arial" w:hAnsi="Arial"/>
                <w:sz w:val="15"/>
                <w:szCs w:val="15"/>
                <w:b w:val="1"/>
                <w:bCs w:val="1"/>
                <w:color w:val="auto"/>
              </w:rPr>
              <w:t xml:space="preserve">    Deanna Oppenheimer </w:t>
            </w:r>
            <w:r>
              <w:rPr>
                <w:rFonts w:ascii="MS PGothic" w:cs="MS PGothic" w:eastAsia="MS PGothic" w:hAnsi="MS PGothic"/>
                <w:sz w:val="15"/>
                <w:szCs w:val="15"/>
                <w:color w:val="auto"/>
                <w:shd w:val="clear" w:color="auto" w:fill="1F473D"/>
              </w:rPr>
              <w:t>✓</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68</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2640" w:type="dxa"/>
            <w:vAlign w:val="bottom"/>
          </w:tcPr>
          <w:p>
            <w:pPr>
              <w:ind w:left="80"/>
              <w:spacing w:after="0"/>
              <w:rPr>
                <w:sz w:val="20"/>
                <w:szCs w:val="20"/>
                <w:color w:val="auto"/>
              </w:rPr>
            </w:pPr>
            <w:r>
              <w:rPr>
                <w:rFonts w:ascii="Arial" w:cs="Arial" w:eastAsia="Arial" w:hAnsi="Arial"/>
                <w:sz w:val="15"/>
                <w:szCs w:val="15"/>
                <w:color w:val="auto"/>
              </w:rPr>
              <w:t>Founder, Cameoworks</w:t>
            </w:r>
          </w:p>
        </w:tc>
        <w:tc>
          <w:tcPr>
            <w:tcW w:w="1100" w:type="dxa"/>
            <w:vAlign w:val="bottom"/>
          </w:tcPr>
          <w:p>
            <w:pPr>
              <w:jc w:val="center"/>
              <w:spacing w:after="0"/>
              <w:rPr>
                <w:sz w:val="20"/>
                <w:szCs w:val="20"/>
                <w:color w:val="auto"/>
              </w:rPr>
            </w:pPr>
            <w:r>
              <w:rPr>
                <w:rFonts w:ascii="Arial" w:cs="Arial" w:eastAsia="Arial" w:hAnsi="Arial"/>
                <w:sz w:val="15"/>
                <w:szCs w:val="15"/>
                <w:color w:val="auto"/>
              </w:rPr>
              <w:t>A, CG</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line="173" w:lineRule="exact"/>
              <w:rPr>
                <w:sz w:val="20"/>
                <w:szCs w:val="20"/>
                <w:color w:val="auto"/>
              </w:rPr>
            </w:pPr>
            <w:r>
              <w:rPr>
                <w:rFonts w:ascii="Arial" w:cs="Arial" w:eastAsia="Arial" w:hAnsi="Arial"/>
                <w:sz w:val="15"/>
                <w:szCs w:val="15"/>
                <w:b w:val="1"/>
                <w:bCs w:val="1"/>
                <w:color w:val="auto"/>
              </w:rPr>
              <w:t xml:space="preserve">    Simon Paris </w:t>
            </w:r>
            <w:r>
              <w:rPr>
                <w:rFonts w:ascii="MS PGothic" w:cs="MS PGothic" w:eastAsia="MS PGothic" w:hAnsi="MS PGothic"/>
                <w:sz w:val="15"/>
                <w:szCs w:val="15"/>
                <w:color w:val="auto"/>
                <w:shd w:val="clear" w:color="auto" w:fill="1F473D"/>
              </w:rPr>
              <w:t>✓</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56</w:t>
            </w:r>
          </w:p>
        </w:tc>
        <w:tc>
          <w:tcPr>
            <w:tcW w:w="780" w:type="dxa"/>
            <w:vAlign w:val="bottom"/>
          </w:tcPr>
          <w:p>
            <w:pPr>
              <w:jc w:val="center"/>
              <w:spacing w:after="0"/>
              <w:rPr>
                <w:sz w:val="20"/>
                <w:szCs w:val="20"/>
                <w:color w:val="auto"/>
              </w:rPr>
            </w:pPr>
            <w:r>
              <w:rPr>
                <w:rFonts w:ascii="Arial" w:cs="Arial" w:eastAsia="Arial" w:hAnsi="Arial"/>
                <w:sz w:val="15"/>
                <w:szCs w:val="15"/>
                <w:color w:val="auto"/>
              </w:rPr>
              <w:t>2020</w:t>
            </w:r>
          </w:p>
        </w:tc>
        <w:tc>
          <w:tcPr>
            <w:tcW w:w="2640" w:type="dxa"/>
            <w:vAlign w:val="bottom"/>
          </w:tcPr>
          <w:p>
            <w:pPr>
              <w:ind w:left="80"/>
              <w:spacing w:after="0"/>
              <w:rPr>
                <w:sz w:val="20"/>
                <w:szCs w:val="20"/>
                <w:color w:val="auto"/>
              </w:rPr>
            </w:pPr>
            <w:r>
              <w:rPr>
                <w:rFonts w:ascii="Arial" w:cs="Arial" w:eastAsia="Arial" w:hAnsi="Arial"/>
                <w:sz w:val="15"/>
                <w:szCs w:val="15"/>
                <w:color w:val="auto"/>
              </w:rPr>
              <w:t>CEO of Unit4</w:t>
            </w:r>
          </w:p>
        </w:tc>
        <w:tc>
          <w:tcPr>
            <w:tcW w:w="1100" w:type="dxa"/>
            <w:vAlign w:val="bottom"/>
          </w:tcPr>
          <w:p>
            <w:pPr>
              <w:jc w:val="center"/>
              <w:spacing w:after="0"/>
              <w:rPr>
                <w:sz w:val="20"/>
                <w:szCs w:val="20"/>
                <w:color w:val="auto"/>
              </w:rPr>
            </w:pPr>
            <w:r>
              <w:rPr>
                <w:rFonts w:ascii="Arial" w:cs="Arial" w:eastAsia="Arial" w:hAnsi="Arial"/>
                <w:sz w:val="15"/>
                <w:szCs w:val="15"/>
                <w:color w:val="auto"/>
              </w:rPr>
              <w:t>CG, HR</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87"/>
        </w:trPr>
        <w:tc>
          <w:tcPr>
            <w:tcW w:w="2240" w:type="dxa"/>
            <w:vAlign w:val="bottom"/>
          </w:tcPr>
          <w:p>
            <w:pPr>
              <w:spacing w:after="0" w:line="173" w:lineRule="exact"/>
              <w:rPr>
                <w:sz w:val="20"/>
                <w:szCs w:val="20"/>
                <w:color w:val="auto"/>
              </w:rPr>
            </w:pPr>
            <w:r>
              <w:rPr>
                <w:rFonts w:ascii="Arial" w:cs="Arial" w:eastAsia="Arial" w:hAnsi="Arial"/>
                <w:sz w:val="15"/>
                <w:szCs w:val="15"/>
                <w:b w:val="1"/>
                <w:bCs w:val="1"/>
                <w:color w:val="auto"/>
              </w:rPr>
              <w:t xml:space="preserve">    Kim M. Rivera </w:t>
            </w:r>
            <w:r>
              <w:rPr>
                <w:rFonts w:ascii="MS PGothic" w:cs="MS PGothic" w:eastAsia="MS PGothic" w:hAnsi="MS PGothic"/>
                <w:sz w:val="15"/>
                <w:szCs w:val="15"/>
                <w:color w:val="auto"/>
                <w:shd w:val="clear" w:color="auto" w:fill="1F473D"/>
              </w:rPr>
              <w:t>✓</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57</w:t>
            </w:r>
          </w:p>
        </w:tc>
        <w:tc>
          <w:tcPr>
            <w:tcW w:w="780" w:type="dxa"/>
            <w:vAlign w:val="bottom"/>
          </w:tcPr>
          <w:p>
            <w:pPr>
              <w:jc w:val="center"/>
              <w:spacing w:after="0"/>
              <w:rPr>
                <w:sz w:val="20"/>
                <w:szCs w:val="20"/>
                <w:color w:val="auto"/>
              </w:rPr>
            </w:pPr>
            <w:r>
              <w:rPr>
                <w:rFonts w:ascii="Arial" w:cs="Arial" w:eastAsia="Arial" w:hAnsi="Arial"/>
                <w:sz w:val="15"/>
                <w:szCs w:val="15"/>
                <w:color w:val="auto"/>
              </w:rPr>
              <w:t>2019</w:t>
            </w:r>
          </w:p>
        </w:tc>
        <w:tc>
          <w:tcPr>
            <w:tcW w:w="2640" w:type="dxa"/>
            <w:vAlign w:val="bottom"/>
          </w:tcPr>
          <w:p>
            <w:pPr>
              <w:ind w:left="80"/>
              <w:spacing w:after="0"/>
              <w:rPr>
                <w:sz w:val="20"/>
                <w:szCs w:val="20"/>
                <w:color w:val="auto"/>
              </w:rPr>
            </w:pPr>
            <w:r>
              <w:rPr>
                <w:rFonts w:ascii="Arial" w:cs="Arial" w:eastAsia="Arial" w:hAnsi="Arial"/>
                <w:sz w:val="15"/>
                <w:szCs w:val="15"/>
                <w:color w:val="auto"/>
              </w:rPr>
              <w:t>Chief Legal and Business</w:t>
            </w:r>
          </w:p>
        </w:tc>
        <w:tc>
          <w:tcPr>
            <w:tcW w:w="1100" w:type="dxa"/>
            <w:vAlign w:val="bottom"/>
          </w:tcPr>
          <w:p>
            <w:pPr>
              <w:jc w:val="center"/>
              <w:spacing w:after="0"/>
              <w:rPr>
                <w:sz w:val="20"/>
                <w:szCs w:val="20"/>
                <w:color w:val="auto"/>
              </w:rPr>
            </w:pPr>
            <w:r>
              <w:rPr>
                <w:rFonts w:ascii="Arial" w:cs="Arial" w:eastAsia="Arial" w:hAnsi="Arial"/>
                <w:sz w:val="15"/>
                <w:szCs w:val="15"/>
                <w:color w:val="auto"/>
              </w:rPr>
              <w:t>A, R</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5"/>
                <w:szCs w:val="15"/>
                <w:color w:val="auto"/>
              </w:rPr>
              <w:t>Affairs Officer at OneTrust</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line="172" w:lineRule="exact"/>
              <w:rPr>
                <w:sz w:val="20"/>
                <w:szCs w:val="20"/>
                <w:color w:val="auto"/>
              </w:rPr>
            </w:pPr>
            <w:r>
              <w:rPr>
                <w:rFonts w:ascii="Arial" w:cs="Arial" w:eastAsia="Arial" w:hAnsi="Arial"/>
                <w:sz w:val="15"/>
                <w:szCs w:val="15"/>
                <w:b w:val="1"/>
                <w:bCs w:val="1"/>
                <w:color w:val="auto"/>
              </w:rPr>
              <w:t>    Paul Sagan</w:t>
            </w:r>
          </w:p>
        </w:tc>
        <w:tc>
          <w:tcPr>
            <w:tcW w:w="740" w:type="dxa"/>
            <w:vAlign w:val="bottom"/>
          </w:tcPr>
          <w:p>
            <w:pPr>
              <w:jc w:val="center"/>
              <w:ind w:left="184"/>
              <w:spacing w:after="0" w:line="172" w:lineRule="exact"/>
              <w:rPr>
                <w:sz w:val="20"/>
                <w:szCs w:val="20"/>
                <w:color w:val="auto"/>
              </w:rPr>
            </w:pPr>
            <w:r>
              <w:rPr>
                <w:rFonts w:ascii="Arial" w:cs="Arial" w:eastAsia="Arial" w:hAnsi="Arial"/>
                <w:sz w:val="15"/>
                <w:szCs w:val="15"/>
                <w:color w:val="auto"/>
                <w:w w:val="95"/>
              </w:rPr>
              <w:t>67</w:t>
            </w:r>
          </w:p>
        </w:tc>
        <w:tc>
          <w:tcPr>
            <w:tcW w:w="780" w:type="dxa"/>
            <w:vAlign w:val="bottom"/>
          </w:tcPr>
          <w:p>
            <w:pPr>
              <w:jc w:val="center"/>
              <w:spacing w:after="0" w:line="172" w:lineRule="exact"/>
              <w:rPr>
                <w:sz w:val="20"/>
                <w:szCs w:val="20"/>
                <w:color w:val="auto"/>
              </w:rPr>
            </w:pPr>
            <w:r>
              <w:rPr>
                <w:rFonts w:ascii="Arial" w:cs="Arial" w:eastAsia="Arial" w:hAnsi="Arial"/>
                <w:sz w:val="15"/>
                <w:szCs w:val="15"/>
                <w:color w:val="auto"/>
              </w:rPr>
              <w:t>2025</w:t>
            </w:r>
          </w:p>
        </w:tc>
        <w:tc>
          <w:tcPr>
            <w:tcW w:w="2640" w:type="dxa"/>
            <w:vAlign w:val="bottom"/>
          </w:tcPr>
          <w:p>
            <w:pPr>
              <w:ind w:left="80"/>
              <w:spacing w:after="0" w:line="172" w:lineRule="exact"/>
              <w:rPr>
                <w:sz w:val="20"/>
                <w:szCs w:val="20"/>
                <w:color w:val="auto"/>
              </w:rPr>
            </w:pPr>
            <w:r>
              <w:rPr>
                <w:rFonts w:ascii="Arial" w:cs="Arial" w:eastAsia="Arial" w:hAnsi="Arial"/>
                <w:sz w:val="15"/>
                <w:szCs w:val="15"/>
                <w:color w:val="auto"/>
              </w:rPr>
              <w:t>Catalyst Advisor and</w:t>
            </w:r>
          </w:p>
        </w:tc>
        <w:tc>
          <w:tcPr>
            <w:tcW w:w="1100" w:type="dxa"/>
            <w:vAlign w:val="bottom"/>
          </w:tcPr>
          <w:p>
            <w:pPr>
              <w:jc w:val="center"/>
              <w:spacing w:after="0" w:line="172" w:lineRule="exact"/>
              <w:rPr>
                <w:sz w:val="20"/>
                <w:szCs w:val="20"/>
                <w:color w:val="auto"/>
              </w:rPr>
            </w:pPr>
            <w:r>
              <w:rPr>
                <w:rFonts w:ascii="Arial" w:cs="Arial" w:eastAsia="Arial" w:hAnsi="Arial"/>
                <w:sz w:val="15"/>
                <w:szCs w:val="15"/>
                <w:color w:val="auto"/>
                <w:w w:val="91"/>
              </w:rPr>
              <w:t>R</w:t>
            </w:r>
          </w:p>
        </w:tc>
        <w:tc>
          <w:tcPr>
            <w:tcW w:w="980" w:type="dxa"/>
            <w:vAlign w:val="bottom"/>
          </w:tcPr>
          <w:p>
            <w:pPr>
              <w:jc w:val="center"/>
              <w:spacing w:after="0" w:line="172" w:lineRule="exact"/>
              <w:rPr>
                <w:sz w:val="20"/>
                <w:szCs w:val="20"/>
                <w:color w:val="auto"/>
              </w:rPr>
            </w:pPr>
            <w:r>
              <w:rPr>
                <w:rFonts w:ascii="Arial" w:cs="Arial" w:eastAsia="Arial" w:hAnsi="Arial"/>
                <w:sz w:val="15"/>
                <w:szCs w:val="15"/>
                <w:color w:val="auto"/>
                <w:w w:val="98"/>
              </w:rPr>
              <w:t>100%</w:t>
            </w:r>
          </w:p>
        </w:tc>
        <w:tc>
          <w:tcPr>
            <w:tcW w:w="660" w:type="dxa"/>
            <w:vAlign w:val="bottom"/>
          </w:tcPr>
          <w:p>
            <w:pPr>
              <w:jc w:val="center"/>
              <w:spacing w:after="0" w:line="172" w:lineRule="exact"/>
              <w:rPr>
                <w:sz w:val="20"/>
                <w:szCs w:val="20"/>
                <w:color w:val="auto"/>
              </w:rPr>
            </w:pPr>
            <w:r>
              <w:rPr>
                <w:rFonts w:ascii="Arial" w:cs="Arial" w:eastAsia="Arial" w:hAnsi="Arial"/>
                <w:sz w:val="15"/>
                <w:szCs w:val="15"/>
                <w:color w:val="auto"/>
                <w:w w:val="95"/>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40" w:type="dxa"/>
            <w:vAlign w:val="bottom"/>
          </w:tcPr>
          <w:p>
            <w:pPr>
              <w:ind w:left="80"/>
              <w:spacing w:after="0" w:line="161" w:lineRule="exact"/>
              <w:rPr>
                <w:sz w:val="20"/>
                <w:szCs w:val="20"/>
                <w:color w:val="auto"/>
              </w:rPr>
            </w:pPr>
            <w:r>
              <w:rPr>
                <w:rFonts w:ascii="Arial" w:cs="Arial" w:eastAsia="Arial" w:hAnsi="Arial"/>
                <w:sz w:val="15"/>
                <w:szCs w:val="15"/>
                <w:color w:val="auto"/>
              </w:rPr>
              <w:t>former Managing Director at</w:t>
            </w: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240" w:type="dxa"/>
            <w:vAlign w:val="bottom"/>
            <w:vMerge w:val="restart"/>
          </w:tcPr>
          <w:p>
            <w:pPr>
              <w:spacing w:after="0" w:line="173" w:lineRule="exact"/>
              <w:rPr>
                <w:sz w:val="20"/>
                <w:szCs w:val="20"/>
                <w:color w:val="auto"/>
              </w:rPr>
            </w:pPr>
            <w:r>
              <w:rPr>
                <w:rFonts w:ascii="Arial" w:cs="Arial" w:eastAsia="Arial" w:hAnsi="Arial"/>
                <w:sz w:val="15"/>
                <w:szCs w:val="15"/>
                <w:b w:val="1"/>
                <w:bCs w:val="1"/>
                <w:color w:val="auto"/>
              </w:rPr>
              <w:t xml:space="preserve">    Barry Salzberg </w:t>
            </w:r>
            <w:r>
              <w:rPr>
                <w:rFonts w:ascii="MS PGothic" w:cs="MS PGothic" w:eastAsia="MS PGothic" w:hAnsi="MS PGothic"/>
                <w:sz w:val="15"/>
                <w:szCs w:val="15"/>
                <w:color w:val="auto"/>
                <w:shd w:val="clear" w:color="auto" w:fill="1F473D"/>
              </w:rPr>
              <w:t>✓</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5"/>
                <w:szCs w:val="15"/>
                <w:color w:val="auto"/>
              </w:rPr>
              <w:t>General Catalyst</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40" w:type="dxa"/>
            <w:vAlign w:val="bottom"/>
            <w:vMerge w:val="continue"/>
          </w:tcPr>
          <w:p>
            <w:pPr>
              <w:spacing w:after="0"/>
              <w:rPr>
                <w:sz w:val="20"/>
                <w:szCs w:val="20"/>
                <w:color w:val="auto"/>
              </w:rPr>
            </w:pP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72</w:t>
            </w:r>
          </w:p>
        </w:tc>
        <w:tc>
          <w:tcPr>
            <w:tcW w:w="780" w:type="dxa"/>
            <w:vAlign w:val="bottom"/>
          </w:tcPr>
          <w:p>
            <w:pPr>
              <w:jc w:val="center"/>
              <w:spacing w:after="0"/>
              <w:rPr>
                <w:sz w:val="20"/>
                <w:szCs w:val="20"/>
                <w:color w:val="auto"/>
              </w:rPr>
            </w:pPr>
            <w:r>
              <w:rPr>
                <w:rFonts w:ascii="Arial" w:cs="Arial" w:eastAsia="Arial" w:hAnsi="Arial"/>
                <w:sz w:val="15"/>
                <w:szCs w:val="15"/>
                <w:color w:val="auto"/>
              </w:rPr>
              <w:t>2015</w:t>
            </w:r>
          </w:p>
        </w:tc>
        <w:tc>
          <w:tcPr>
            <w:tcW w:w="2640" w:type="dxa"/>
            <w:vAlign w:val="bottom"/>
          </w:tcPr>
          <w:p>
            <w:pPr>
              <w:ind w:left="80"/>
              <w:spacing w:after="0"/>
              <w:rPr>
                <w:sz w:val="20"/>
                <w:szCs w:val="20"/>
                <w:color w:val="auto"/>
              </w:rPr>
            </w:pPr>
            <w:r>
              <w:rPr>
                <w:rFonts w:ascii="Arial" w:cs="Arial" w:eastAsia="Arial" w:hAnsi="Arial"/>
                <w:sz w:val="15"/>
                <w:szCs w:val="15"/>
                <w:color w:val="auto"/>
              </w:rPr>
              <w:t>Former Global CEO of Deloitte</w:t>
            </w:r>
          </w:p>
        </w:tc>
        <w:tc>
          <w:tcPr>
            <w:tcW w:w="1100" w:type="dxa"/>
            <w:vAlign w:val="bottom"/>
          </w:tcPr>
          <w:p>
            <w:pPr>
              <w:jc w:val="center"/>
              <w:spacing w:after="0"/>
              <w:rPr>
                <w:sz w:val="20"/>
                <w:szCs w:val="20"/>
                <w:color w:val="auto"/>
              </w:rPr>
            </w:pPr>
            <w:r>
              <w:rPr>
                <w:rFonts w:ascii="Arial" w:cs="Arial" w:eastAsia="Arial" w:hAnsi="Arial"/>
                <w:sz w:val="15"/>
                <w:szCs w:val="15"/>
                <w:color w:val="auto"/>
                <w:w w:val="99"/>
              </w:rPr>
              <w:t>A, CG, HR, R</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87"/>
        </w:trPr>
        <w:tc>
          <w:tcPr>
            <w:tcW w:w="2240" w:type="dxa"/>
            <w:vAlign w:val="bottom"/>
          </w:tcPr>
          <w:p>
            <w:pPr>
              <w:spacing w:after="0" w:line="173" w:lineRule="exact"/>
              <w:rPr>
                <w:sz w:val="20"/>
                <w:szCs w:val="20"/>
                <w:color w:val="auto"/>
              </w:rPr>
            </w:pPr>
            <w:r>
              <w:rPr>
                <w:rFonts w:ascii="Arial" w:cs="Arial" w:eastAsia="Arial" w:hAnsi="Arial"/>
                <w:sz w:val="15"/>
                <w:szCs w:val="15"/>
                <w:b w:val="1"/>
                <w:bCs w:val="1"/>
                <w:color w:val="auto"/>
              </w:rPr>
              <w:t xml:space="preserve">    Liz Hilton Segel </w:t>
            </w:r>
            <w:r>
              <w:rPr>
                <w:rFonts w:ascii="MS PGothic" w:cs="MS PGothic" w:eastAsia="MS PGothic" w:hAnsi="MS PGothic"/>
                <w:sz w:val="15"/>
                <w:szCs w:val="15"/>
                <w:color w:val="auto"/>
                <w:shd w:val="clear" w:color="auto" w:fill="1F473D"/>
              </w:rPr>
              <w:t>✓</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55</w:t>
            </w:r>
          </w:p>
        </w:tc>
        <w:tc>
          <w:tcPr>
            <w:tcW w:w="7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2640" w:type="dxa"/>
            <w:vAlign w:val="bottom"/>
          </w:tcPr>
          <w:p>
            <w:pPr>
              <w:ind w:left="80"/>
              <w:spacing w:after="0"/>
              <w:rPr>
                <w:sz w:val="20"/>
                <w:szCs w:val="20"/>
                <w:color w:val="auto"/>
              </w:rPr>
            </w:pPr>
            <w:r>
              <w:rPr>
                <w:rFonts w:ascii="Arial" w:cs="Arial" w:eastAsia="Arial" w:hAnsi="Arial"/>
                <w:sz w:val="15"/>
                <w:szCs w:val="15"/>
                <w:color w:val="auto"/>
              </w:rPr>
              <w:t>Former Managing Partner McKinsey</w:t>
            </w: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9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5"/>
                <w:szCs w:val="15"/>
                <w:color w:val="auto"/>
              </w:rPr>
              <w:t>North America</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Arial" w:cs="Arial" w:eastAsia="Arial" w:hAnsi="Arial"/>
                <w:sz w:val="15"/>
                <w:szCs w:val="15"/>
                <w:b w:val="1"/>
                <w:bCs w:val="1"/>
                <w:color w:val="auto"/>
              </w:rPr>
              <w:t>    Peter J. Thomson</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60</w:t>
            </w:r>
          </w:p>
        </w:tc>
        <w:tc>
          <w:tcPr>
            <w:tcW w:w="780" w:type="dxa"/>
            <w:vAlign w:val="bottom"/>
          </w:tcPr>
          <w:p>
            <w:pPr>
              <w:jc w:val="center"/>
              <w:spacing w:after="0"/>
              <w:rPr>
                <w:sz w:val="20"/>
                <w:szCs w:val="20"/>
                <w:color w:val="auto"/>
              </w:rPr>
            </w:pPr>
            <w:r>
              <w:rPr>
                <w:rFonts w:ascii="Arial" w:cs="Arial" w:eastAsia="Arial" w:hAnsi="Arial"/>
                <w:sz w:val="15"/>
                <w:szCs w:val="15"/>
                <w:color w:val="auto"/>
              </w:rPr>
              <w:t>1995</w:t>
            </w:r>
          </w:p>
        </w:tc>
        <w:tc>
          <w:tcPr>
            <w:tcW w:w="2640" w:type="dxa"/>
            <w:vAlign w:val="bottom"/>
          </w:tcPr>
          <w:p>
            <w:pPr>
              <w:ind w:left="80"/>
              <w:spacing w:after="0"/>
              <w:rPr>
                <w:sz w:val="20"/>
                <w:szCs w:val="20"/>
                <w:color w:val="auto"/>
              </w:rPr>
            </w:pPr>
            <w:r>
              <w:rPr>
                <w:rFonts w:ascii="Arial" w:cs="Arial" w:eastAsia="Arial" w:hAnsi="Arial"/>
                <w:sz w:val="15"/>
                <w:szCs w:val="15"/>
                <w:color w:val="auto"/>
              </w:rPr>
              <w:t>Chairman of Woodbridge</w:t>
            </w:r>
          </w:p>
        </w:tc>
        <w:tc>
          <w:tcPr>
            <w:tcW w:w="1100" w:type="dxa"/>
            <w:vAlign w:val="bottom"/>
          </w:tcPr>
          <w:p>
            <w:pPr>
              <w:jc w:val="center"/>
              <w:spacing w:after="0"/>
              <w:rPr>
                <w:sz w:val="20"/>
                <w:szCs w:val="20"/>
                <w:color w:val="auto"/>
              </w:rPr>
            </w:pPr>
            <w:r>
              <w:rPr>
                <w:rFonts w:ascii="Arial" w:cs="Arial" w:eastAsia="Arial" w:hAnsi="Arial"/>
                <w:sz w:val="15"/>
                <w:szCs w:val="15"/>
                <w:color w:val="auto"/>
              </w:rPr>
              <w:t>HR</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87"/>
        </w:trPr>
        <w:tc>
          <w:tcPr>
            <w:tcW w:w="2240" w:type="dxa"/>
            <w:vAlign w:val="bottom"/>
          </w:tcPr>
          <w:p>
            <w:pPr>
              <w:spacing w:after="0" w:line="173" w:lineRule="exact"/>
              <w:rPr>
                <w:sz w:val="20"/>
                <w:szCs w:val="20"/>
                <w:color w:val="auto"/>
              </w:rPr>
            </w:pPr>
            <w:r>
              <w:rPr>
                <w:rFonts w:ascii="Arial" w:cs="Arial" w:eastAsia="Arial" w:hAnsi="Arial"/>
                <w:sz w:val="15"/>
                <w:szCs w:val="15"/>
                <w:b w:val="1"/>
                <w:bCs w:val="1"/>
                <w:color w:val="auto"/>
              </w:rPr>
              <w:t xml:space="preserve">    Beth Wilson </w:t>
            </w:r>
            <w:r>
              <w:rPr>
                <w:rFonts w:ascii="MS PGothic" w:cs="MS PGothic" w:eastAsia="MS PGothic" w:hAnsi="MS PGothic"/>
                <w:sz w:val="15"/>
                <w:szCs w:val="15"/>
                <w:color w:val="auto"/>
                <w:shd w:val="clear" w:color="auto" w:fill="1F473D"/>
              </w:rPr>
              <w:t>✓</w:t>
            </w:r>
          </w:p>
        </w:tc>
        <w:tc>
          <w:tcPr>
            <w:tcW w:w="740" w:type="dxa"/>
            <w:vAlign w:val="bottom"/>
          </w:tcPr>
          <w:p>
            <w:pPr>
              <w:jc w:val="center"/>
              <w:ind w:left="184"/>
              <w:spacing w:after="0"/>
              <w:rPr>
                <w:sz w:val="20"/>
                <w:szCs w:val="20"/>
                <w:color w:val="auto"/>
              </w:rPr>
            </w:pPr>
            <w:r>
              <w:rPr>
                <w:rFonts w:ascii="Arial" w:cs="Arial" w:eastAsia="Arial" w:hAnsi="Arial"/>
                <w:sz w:val="15"/>
                <w:szCs w:val="15"/>
                <w:color w:val="auto"/>
                <w:w w:val="95"/>
              </w:rPr>
              <w:t>57</w:t>
            </w:r>
          </w:p>
        </w:tc>
        <w:tc>
          <w:tcPr>
            <w:tcW w:w="780" w:type="dxa"/>
            <w:vAlign w:val="bottom"/>
          </w:tcPr>
          <w:p>
            <w:pPr>
              <w:jc w:val="center"/>
              <w:spacing w:after="0"/>
              <w:rPr>
                <w:sz w:val="20"/>
                <w:szCs w:val="20"/>
                <w:color w:val="auto"/>
              </w:rPr>
            </w:pPr>
            <w:r>
              <w:rPr>
                <w:rFonts w:ascii="Arial" w:cs="Arial" w:eastAsia="Arial" w:hAnsi="Arial"/>
                <w:sz w:val="15"/>
                <w:szCs w:val="15"/>
                <w:color w:val="auto"/>
              </w:rPr>
              <w:t>2022</w:t>
            </w:r>
          </w:p>
        </w:tc>
        <w:tc>
          <w:tcPr>
            <w:tcW w:w="2640" w:type="dxa"/>
            <w:vAlign w:val="bottom"/>
          </w:tcPr>
          <w:p>
            <w:pPr>
              <w:ind w:left="80"/>
              <w:spacing w:after="0"/>
              <w:rPr>
                <w:sz w:val="20"/>
                <w:szCs w:val="20"/>
                <w:color w:val="auto"/>
              </w:rPr>
            </w:pPr>
            <w:r>
              <w:rPr>
                <w:rFonts w:ascii="Arial" w:cs="Arial" w:eastAsia="Arial" w:hAnsi="Arial"/>
                <w:sz w:val="15"/>
                <w:szCs w:val="15"/>
                <w:color w:val="auto"/>
              </w:rPr>
              <w:t>Former Chair of the Chartered</w:t>
            </w:r>
          </w:p>
        </w:tc>
        <w:tc>
          <w:tcPr>
            <w:tcW w:w="1100" w:type="dxa"/>
            <w:vAlign w:val="bottom"/>
          </w:tcPr>
          <w:p>
            <w:pPr>
              <w:jc w:val="center"/>
              <w:spacing w:after="0"/>
              <w:rPr>
                <w:sz w:val="20"/>
                <w:szCs w:val="20"/>
                <w:color w:val="auto"/>
              </w:rPr>
            </w:pPr>
            <w:r>
              <w:rPr>
                <w:rFonts w:ascii="Arial" w:cs="Arial" w:eastAsia="Arial" w:hAnsi="Arial"/>
                <w:sz w:val="15"/>
                <w:szCs w:val="15"/>
                <w:color w:val="auto"/>
              </w:rPr>
              <w:t>A, HR</w:t>
            </w:r>
          </w:p>
        </w:tc>
        <w:tc>
          <w:tcPr>
            <w:tcW w:w="98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66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5"/>
                <w:szCs w:val="15"/>
                <w:color w:val="auto"/>
              </w:rPr>
              <w:t>Professional Accountants of Canada</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 w:hanging="73"/>
        <w:spacing w:after="0" w:line="161" w:lineRule="exact"/>
        <w:tabs>
          <w:tab w:leader="none" w:pos="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  </w:t>
      </w:r>
      <w:r>
        <w:rPr>
          <w:rFonts w:ascii="MS PGothic" w:cs="MS PGothic" w:eastAsia="MS PGothic" w:hAnsi="MS PGothic"/>
          <w:sz w:val="14"/>
          <w:szCs w:val="14"/>
          <w:color w:val="auto"/>
          <w:shd w:val="clear" w:color="auto" w:fill="1F473D"/>
        </w:rPr>
        <w:t>✓</w:t>
      </w:r>
      <w:r>
        <w:rPr>
          <w:rFonts w:ascii="Arial" w:cs="Arial" w:eastAsia="Arial" w:hAnsi="Arial"/>
          <w:sz w:val="14"/>
          <w:szCs w:val="14"/>
          <w:b w:val="1"/>
          <w:bCs w:val="1"/>
          <w:color w:val="1F473D"/>
        </w:rPr>
        <w:t>= independent</w:t>
      </w:r>
    </w:p>
    <w:p>
      <w:pPr>
        <w:spacing w:after="0" w:line="95" w:lineRule="exact"/>
        <w:rPr>
          <w:rFonts w:ascii="Arial" w:cs="Arial" w:eastAsia="Arial" w:hAnsi="Arial"/>
          <w:sz w:val="14"/>
          <w:szCs w:val="14"/>
          <w:b w:val="1"/>
          <w:bCs w:val="1"/>
          <w:color w:val="auto"/>
        </w:rPr>
      </w:pPr>
    </w:p>
    <w:p>
      <w:pPr>
        <w:ind w:left="80" w:hanging="73"/>
        <w:spacing w:after="0"/>
        <w:tabs>
          <w:tab w:leader="none" w:pos="8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  Committee legend: A = Audit; CG = Corporate Governance; HR = Human Resources; and R =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wp:posOffset>
            </wp:positionV>
            <wp:extent cx="6929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5" w:lineRule="exact"/>
        <w:rPr>
          <w:sz w:val="20"/>
          <w:szCs w:val="20"/>
          <w:color w:val="auto"/>
        </w:rPr>
      </w:pPr>
    </w:p>
    <w:p>
      <w:pPr>
        <w:spacing w:after="0"/>
        <w:tabs>
          <w:tab w:leader="none" w:pos="1036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7"/>
          <w:szCs w:val="17"/>
          <w:color w:val="auto"/>
        </w:rPr>
        <w:t>Page 5</w:t>
      </w:r>
    </w:p>
    <w:p>
      <w:pPr>
        <w:sectPr>
          <w:pgSz w:w="11900" w:h="16838" w:orient="portrait"/>
          <w:cols w:equalWidth="0" w:num="1">
            <w:col w:w="10920"/>
          </w:cols>
          <w:pgMar w:left="480" w:top="234" w:right="49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72"/>
        </w:trPr>
        <w:tc>
          <w:tcPr>
            <w:tcW w:w="3220" w:type="dxa"/>
            <w:vAlign w:val="bottom"/>
            <w:tcBorders>
              <w:left w:val="single" w:sz="8" w:color="1F473D"/>
            </w:tcBorders>
            <w:shd w:val="clear" w:color="auto" w:fill="1F473D"/>
          </w:tcPr>
          <w:p>
            <w:pPr>
              <w:spacing w:after="0"/>
              <w:rPr>
                <w:sz w:val="20"/>
                <w:szCs w:val="20"/>
                <w:color w:val="auto"/>
              </w:rPr>
            </w:pPr>
            <w:r>
              <w:rPr>
                <w:rFonts w:ascii="Arial" w:cs="Arial" w:eastAsia="Arial" w:hAnsi="Arial"/>
                <w:sz w:val="15"/>
                <w:szCs w:val="15"/>
                <w:b w:val="1"/>
                <w:bCs w:val="1"/>
                <w:color w:val="FFFFFF"/>
              </w:rPr>
              <w:t>Item of Business</w:t>
            </w:r>
          </w:p>
        </w:tc>
        <w:tc>
          <w:tcPr>
            <w:tcW w:w="2300" w:type="dxa"/>
            <w:vAlign w:val="bottom"/>
            <w:shd w:val="clear" w:color="auto" w:fill="1F473D"/>
          </w:tcPr>
          <w:p>
            <w:pPr>
              <w:spacing w:after="0"/>
              <w:rPr>
                <w:sz w:val="14"/>
                <w:szCs w:val="14"/>
                <w:color w:val="auto"/>
              </w:rPr>
            </w:pPr>
          </w:p>
        </w:tc>
        <w:tc>
          <w:tcPr>
            <w:tcW w:w="1340" w:type="dxa"/>
            <w:vAlign w:val="bottom"/>
            <w:shd w:val="clear" w:color="auto" w:fill="1F473D"/>
          </w:tcPr>
          <w:p>
            <w:pPr>
              <w:spacing w:after="0"/>
              <w:rPr>
                <w:sz w:val="14"/>
                <w:szCs w:val="14"/>
                <w:color w:val="auto"/>
              </w:rPr>
            </w:pPr>
          </w:p>
        </w:tc>
        <w:tc>
          <w:tcPr>
            <w:tcW w:w="1620" w:type="dxa"/>
            <w:vAlign w:val="bottom"/>
            <w:shd w:val="clear" w:color="auto" w:fill="1F473D"/>
          </w:tcPr>
          <w:p>
            <w:pPr>
              <w:spacing w:after="0"/>
              <w:rPr>
                <w:sz w:val="14"/>
                <w:szCs w:val="14"/>
                <w:color w:val="auto"/>
              </w:rPr>
            </w:pPr>
          </w:p>
        </w:tc>
        <w:tc>
          <w:tcPr>
            <w:tcW w:w="1040" w:type="dxa"/>
            <w:vAlign w:val="bottom"/>
            <w:shd w:val="clear" w:color="auto" w:fill="1F473D"/>
          </w:tcPr>
          <w:p>
            <w:pPr>
              <w:spacing w:after="0"/>
              <w:rPr>
                <w:sz w:val="14"/>
                <w:szCs w:val="14"/>
                <w:color w:val="auto"/>
              </w:rPr>
            </w:pPr>
          </w:p>
        </w:tc>
        <w:tc>
          <w:tcPr>
            <w:tcW w:w="1400" w:type="dxa"/>
            <w:vAlign w:val="bottom"/>
            <w:tcBorders>
              <w:left w:val="single" w:sz="8" w:color="1F473D"/>
            </w:tcBorders>
            <w:shd w:val="clear" w:color="auto" w:fill="1F473D"/>
          </w:tcPr>
          <w:p>
            <w:pPr>
              <w:ind w:left="100"/>
              <w:spacing w:after="0"/>
              <w:rPr>
                <w:sz w:val="20"/>
                <w:szCs w:val="20"/>
                <w:color w:val="auto"/>
              </w:rPr>
            </w:pPr>
            <w:r>
              <w:rPr>
                <w:rFonts w:ascii="Arial" w:cs="Arial" w:eastAsia="Arial" w:hAnsi="Arial"/>
                <w:sz w:val="15"/>
                <w:szCs w:val="15"/>
                <w:b w:val="1"/>
                <w:bCs w:val="1"/>
                <w:color w:val="FFFFFF"/>
              </w:rPr>
              <w:t>Board Vote</w:t>
            </w:r>
          </w:p>
        </w:tc>
        <w:tc>
          <w:tcPr>
            <w:tcW w:w="0" w:type="dxa"/>
            <w:vAlign w:val="bottom"/>
          </w:tcPr>
          <w:p>
            <w:pPr>
              <w:spacing w:after="0"/>
              <w:rPr>
                <w:sz w:val="1"/>
                <w:szCs w:val="1"/>
                <w:color w:val="auto"/>
              </w:rPr>
            </w:pPr>
          </w:p>
        </w:tc>
      </w:tr>
      <w:tr>
        <w:trPr>
          <w:trHeight w:val="211"/>
        </w:trPr>
        <w:tc>
          <w:tcPr>
            <w:tcW w:w="3220" w:type="dxa"/>
            <w:vAlign w:val="bottom"/>
            <w:tcBorders>
              <w:left w:val="single" w:sz="8" w:color="1F473D"/>
              <w:bottom w:val="single" w:sz="8" w:color="D64000"/>
            </w:tcBorders>
            <w:shd w:val="clear" w:color="auto" w:fill="1F473D"/>
          </w:tcPr>
          <w:p>
            <w:pPr>
              <w:spacing w:after="0"/>
              <w:rPr>
                <w:sz w:val="18"/>
                <w:szCs w:val="18"/>
                <w:color w:val="auto"/>
              </w:rPr>
            </w:pPr>
          </w:p>
        </w:tc>
        <w:tc>
          <w:tcPr>
            <w:tcW w:w="2300" w:type="dxa"/>
            <w:vAlign w:val="bottom"/>
            <w:tcBorders>
              <w:bottom w:val="single" w:sz="8" w:color="D64000"/>
            </w:tcBorders>
            <w:shd w:val="clear" w:color="auto" w:fill="1F473D"/>
          </w:tcPr>
          <w:p>
            <w:pPr>
              <w:spacing w:after="0"/>
              <w:rPr>
                <w:sz w:val="18"/>
                <w:szCs w:val="18"/>
                <w:color w:val="auto"/>
              </w:rPr>
            </w:pPr>
          </w:p>
        </w:tc>
        <w:tc>
          <w:tcPr>
            <w:tcW w:w="1340" w:type="dxa"/>
            <w:vAlign w:val="bottom"/>
            <w:tcBorders>
              <w:bottom w:val="single" w:sz="8" w:color="D64000"/>
            </w:tcBorders>
            <w:shd w:val="clear" w:color="auto" w:fill="1F473D"/>
          </w:tcPr>
          <w:p>
            <w:pPr>
              <w:spacing w:after="0"/>
              <w:rPr>
                <w:sz w:val="18"/>
                <w:szCs w:val="18"/>
                <w:color w:val="auto"/>
              </w:rPr>
            </w:pPr>
          </w:p>
        </w:tc>
        <w:tc>
          <w:tcPr>
            <w:tcW w:w="1620" w:type="dxa"/>
            <w:vAlign w:val="bottom"/>
            <w:tcBorders>
              <w:bottom w:val="single" w:sz="8" w:color="D64000"/>
            </w:tcBorders>
            <w:shd w:val="clear" w:color="auto" w:fill="1F473D"/>
          </w:tcPr>
          <w:p>
            <w:pPr>
              <w:spacing w:after="0"/>
              <w:rPr>
                <w:sz w:val="18"/>
                <w:szCs w:val="18"/>
                <w:color w:val="auto"/>
              </w:rPr>
            </w:pPr>
          </w:p>
        </w:tc>
        <w:tc>
          <w:tcPr>
            <w:tcW w:w="1040" w:type="dxa"/>
            <w:vAlign w:val="bottom"/>
            <w:tcBorders>
              <w:bottom w:val="single" w:sz="8" w:color="D64000"/>
            </w:tcBorders>
            <w:shd w:val="clear" w:color="auto" w:fill="1F473D"/>
          </w:tcPr>
          <w:p>
            <w:pPr>
              <w:spacing w:after="0"/>
              <w:rPr>
                <w:sz w:val="18"/>
                <w:szCs w:val="18"/>
                <w:color w:val="auto"/>
              </w:rPr>
            </w:pPr>
          </w:p>
        </w:tc>
        <w:tc>
          <w:tcPr>
            <w:tcW w:w="1400" w:type="dxa"/>
            <w:vAlign w:val="bottom"/>
            <w:tcBorders>
              <w:left w:val="single" w:sz="8" w:color="1F473D"/>
              <w:bottom w:val="single" w:sz="8" w:color="D64000"/>
            </w:tcBorders>
            <w:shd w:val="clear" w:color="auto" w:fill="1F473D"/>
          </w:tcPr>
          <w:p>
            <w:pPr>
              <w:ind w:left="100"/>
              <w:spacing w:after="0"/>
              <w:rPr>
                <w:sz w:val="20"/>
                <w:szCs w:val="20"/>
                <w:color w:val="auto"/>
              </w:rPr>
            </w:pPr>
            <w:r>
              <w:rPr>
                <w:rFonts w:ascii="Arial" w:cs="Arial" w:eastAsia="Arial" w:hAnsi="Arial"/>
                <w:sz w:val="15"/>
                <w:szCs w:val="15"/>
                <w:b w:val="1"/>
                <w:bCs w:val="1"/>
                <w:color w:val="FFFFFF"/>
              </w:rPr>
              <w:t>Recommendation</w:t>
            </w:r>
          </w:p>
        </w:tc>
        <w:tc>
          <w:tcPr>
            <w:tcW w:w="0" w:type="dxa"/>
            <w:vAlign w:val="bottom"/>
          </w:tcPr>
          <w:p>
            <w:pPr>
              <w:spacing w:after="0"/>
              <w:rPr>
                <w:sz w:val="1"/>
                <w:szCs w:val="1"/>
                <w:color w:val="auto"/>
              </w:rPr>
            </w:pPr>
          </w:p>
        </w:tc>
      </w:tr>
      <w:tr>
        <w:trPr>
          <w:trHeight w:val="271"/>
        </w:trPr>
        <w:tc>
          <w:tcPr>
            <w:tcW w:w="6860" w:type="dxa"/>
            <w:vAlign w:val="bottom"/>
            <w:gridSpan w:val="3"/>
          </w:tcPr>
          <w:p>
            <w:pPr>
              <w:spacing w:after="0"/>
              <w:rPr>
                <w:sz w:val="20"/>
                <w:szCs w:val="20"/>
                <w:color w:val="auto"/>
              </w:rPr>
            </w:pPr>
            <w:r>
              <w:rPr>
                <w:rFonts w:ascii="Arial" w:cs="Arial" w:eastAsia="Arial" w:hAnsi="Arial"/>
                <w:sz w:val="15"/>
                <w:szCs w:val="15"/>
                <w:b w:val="1"/>
                <w:bCs w:val="1"/>
                <w:color w:val="auto"/>
              </w:rPr>
              <w:t>3. Appointment of PricewaterhouseCoopers LLP as Auditor (page 51 of the circular)</w:t>
            </w:r>
          </w:p>
        </w:tc>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0" w:type="dxa"/>
            <w:vAlign w:val="bottom"/>
          </w:tcPr>
          <w:p>
            <w:pPr>
              <w:ind w:left="100"/>
              <w:spacing w:after="0" w:line="18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FOR</w:t>
            </w:r>
          </w:p>
        </w:tc>
        <w:tc>
          <w:tcPr>
            <w:tcW w:w="0" w:type="dxa"/>
            <w:vAlign w:val="bottom"/>
          </w:tcPr>
          <w:p>
            <w:pPr>
              <w:spacing w:after="0"/>
              <w:rPr>
                <w:sz w:val="1"/>
                <w:szCs w:val="1"/>
                <w:color w:val="auto"/>
              </w:rPr>
            </w:pPr>
          </w:p>
        </w:tc>
      </w:tr>
      <w:tr>
        <w:trPr>
          <w:trHeight w:val="166"/>
        </w:trPr>
        <w:tc>
          <w:tcPr>
            <w:tcW w:w="10920" w:type="dxa"/>
            <w:vAlign w:val="bottom"/>
            <w:gridSpan w:val="6"/>
          </w:tcPr>
          <w:p>
            <w:pPr>
              <w:spacing w:after="0" w:line="167" w:lineRule="exact"/>
              <w:rPr>
                <w:sz w:val="20"/>
                <w:szCs w:val="20"/>
                <w:color w:val="auto"/>
              </w:rPr>
            </w:pPr>
            <w:r>
              <w:rPr>
                <w:rFonts w:ascii="Arial" w:cs="Arial" w:eastAsia="Arial" w:hAnsi="Arial"/>
                <w:sz w:val="15"/>
                <w:szCs w:val="15"/>
                <w:color w:val="auto"/>
              </w:rPr>
              <w:t>We are proposing to re-appoint PricewaterhouseCoopers LLP as our independent auditor for another year until the 2027 annual</w:t>
            </w:r>
          </w:p>
        </w:tc>
        <w:tc>
          <w:tcPr>
            <w:tcW w:w="0" w:type="dxa"/>
            <w:vAlign w:val="bottom"/>
          </w:tcPr>
          <w:p>
            <w:pPr>
              <w:spacing w:after="0"/>
              <w:rPr>
                <w:sz w:val="1"/>
                <w:szCs w:val="1"/>
                <w:color w:val="auto"/>
              </w:rPr>
            </w:pPr>
          </w:p>
        </w:tc>
      </w:tr>
      <w:tr>
        <w:trPr>
          <w:trHeight w:val="199"/>
        </w:trPr>
        <w:tc>
          <w:tcPr>
            <w:tcW w:w="8480" w:type="dxa"/>
            <w:vAlign w:val="bottom"/>
            <w:gridSpan w:val="4"/>
          </w:tcPr>
          <w:p>
            <w:pPr>
              <w:spacing w:after="0"/>
              <w:rPr>
                <w:sz w:val="20"/>
                <w:szCs w:val="20"/>
                <w:color w:val="auto"/>
              </w:rPr>
            </w:pPr>
            <w:r>
              <w:rPr>
                <w:rFonts w:ascii="Arial" w:cs="Arial" w:eastAsia="Arial" w:hAnsi="Arial"/>
                <w:sz w:val="15"/>
                <w:szCs w:val="15"/>
                <w:color w:val="auto"/>
              </w:rPr>
              <w:t>meeting of shareholders. Our Audit Committee is directly responsible for overseeing the independent auditor during the year.</w:t>
            </w: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5520" w:type="dxa"/>
            <w:vAlign w:val="bottom"/>
            <w:tcBorders>
              <w:bottom w:val="single" w:sz="8" w:color="B2B2B2"/>
            </w:tcBorders>
            <w:gridSpan w:val="2"/>
          </w:tcPr>
          <w:p>
            <w:pPr>
              <w:spacing w:after="0"/>
              <w:rPr>
                <w:sz w:val="7"/>
                <w:szCs w:val="7"/>
                <w:color w:val="auto"/>
              </w:rPr>
            </w:pPr>
          </w:p>
        </w:tc>
        <w:tc>
          <w:tcPr>
            <w:tcW w:w="1340" w:type="dxa"/>
            <w:vAlign w:val="bottom"/>
            <w:tcBorders>
              <w:bottom w:val="single" w:sz="8" w:color="B2B2B2"/>
            </w:tcBorders>
          </w:tcPr>
          <w:p>
            <w:pPr>
              <w:spacing w:after="0"/>
              <w:rPr>
                <w:sz w:val="7"/>
                <w:szCs w:val="7"/>
                <w:color w:val="auto"/>
              </w:rPr>
            </w:pPr>
          </w:p>
        </w:tc>
        <w:tc>
          <w:tcPr>
            <w:tcW w:w="1620" w:type="dxa"/>
            <w:vAlign w:val="bottom"/>
            <w:tcBorders>
              <w:bottom w:val="single" w:sz="8" w:color="B2B2B2"/>
            </w:tcBorders>
          </w:tcPr>
          <w:p>
            <w:pPr>
              <w:spacing w:after="0"/>
              <w:rPr>
                <w:sz w:val="7"/>
                <w:szCs w:val="7"/>
                <w:color w:val="auto"/>
              </w:rPr>
            </w:pPr>
          </w:p>
        </w:tc>
        <w:tc>
          <w:tcPr>
            <w:tcW w:w="1040" w:type="dxa"/>
            <w:vAlign w:val="bottom"/>
            <w:tcBorders>
              <w:bottom w:val="single" w:sz="8" w:color="B2B2B2"/>
            </w:tcBorders>
          </w:tcPr>
          <w:p>
            <w:pPr>
              <w:spacing w:after="0"/>
              <w:rPr>
                <w:sz w:val="7"/>
                <w:szCs w:val="7"/>
                <w:color w:val="auto"/>
              </w:rPr>
            </w:pPr>
          </w:p>
        </w:tc>
        <w:tc>
          <w:tcPr>
            <w:tcW w:w="140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5"/>
                <w:szCs w:val="15"/>
                <w:b w:val="1"/>
                <w:bCs w:val="1"/>
                <w:color w:val="auto"/>
              </w:rPr>
              <w:t>4. Advisory resolution on executive compensation (page 56 of the circular)</w:t>
            </w:r>
          </w:p>
        </w:tc>
        <w:tc>
          <w:tcPr>
            <w:tcW w:w="1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ind w:left="100"/>
              <w:spacing w:after="0" w:line="18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FOR</w:t>
            </w:r>
          </w:p>
        </w:tc>
        <w:tc>
          <w:tcPr>
            <w:tcW w:w="0" w:type="dxa"/>
            <w:vAlign w:val="bottom"/>
          </w:tcPr>
          <w:p>
            <w:pPr>
              <w:spacing w:after="0"/>
              <w:rPr>
                <w:sz w:val="1"/>
                <w:szCs w:val="1"/>
                <w:color w:val="auto"/>
              </w:rPr>
            </w:pPr>
          </w:p>
        </w:tc>
      </w:tr>
      <w:tr>
        <w:trPr>
          <w:trHeight w:val="160"/>
        </w:trPr>
        <w:tc>
          <w:tcPr>
            <w:tcW w:w="10920" w:type="dxa"/>
            <w:vAlign w:val="bottom"/>
            <w:gridSpan w:val="6"/>
          </w:tcPr>
          <w:p>
            <w:pPr>
              <w:spacing w:after="0" w:line="161" w:lineRule="exact"/>
              <w:rPr>
                <w:sz w:val="20"/>
                <w:szCs w:val="20"/>
                <w:color w:val="auto"/>
              </w:rPr>
            </w:pPr>
            <w:r>
              <w:rPr>
                <w:rFonts w:ascii="Arial" w:cs="Arial" w:eastAsia="Arial" w:hAnsi="Arial"/>
                <w:sz w:val="15"/>
                <w:szCs w:val="15"/>
                <w:color w:val="auto"/>
              </w:rPr>
              <w:t>We will have a non-binding advisory resolution on executive compensation, which is sometimes called “say on pay”. This will provide</w:t>
            </w:r>
          </w:p>
        </w:tc>
        <w:tc>
          <w:tcPr>
            <w:tcW w:w="0" w:type="dxa"/>
            <w:vAlign w:val="bottom"/>
          </w:tcPr>
          <w:p>
            <w:pPr>
              <w:spacing w:after="0"/>
              <w:rPr>
                <w:sz w:val="1"/>
                <w:szCs w:val="1"/>
                <w:color w:val="auto"/>
              </w:rPr>
            </w:pPr>
          </w:p>
        </w:tc>
      </w:tr>
      <w:tr>
        <w:trPr>
          <w:trHeight w:val="199"/>
        </w:trPr>
        <w:tc>
          <w:tcPr>
            <w:tcW w:w="8480" w:type="dxa"/>
            <w:vAlign w:val="bottom"/>
            <w:gridSpan w:val="4"/>
          </w:tcPr>
          <w:p>
            <w:pPr>
              <w:spacing w:after="0"/>
              <w:rPr>
                <w:sz w:val="20"/>
                <w:szCs w:val="20"/>
                <w:color w:val="auto"/>
              </w:rPr>
            </w:pPr>
            <w:r>
              <w:rPr>
                <w:rFonts w:ascii="Arial" w:cs="Arial" w:eastAsia="Arial" w:hAnsi="Arial"/>
                <w:sz w:val="15"/>
                <w:szCs w:val="15"/>
                <w:color w:val="auto"/>
              </w:rPr>
              <w:t>you with an opportunity to provide a view on our company’s approach to executive compensation, as described in this circular.</w:t>
            </w: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9520" w:type="dxa"/>
            <w:vAlign w:val="bottom"/>
            <w:tcBorders>
              <w:bottom w:val="single" w:sz="8" w:color="auto"/>
            </w:tcBorders>
            <w:gridSpan w:val="5"/>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520" w:type="dxa"/>
            <w:vAlign w:val="bottom"/>
            <w:tcBorders>
              <w:left w:val="single" w:sz="8" w:color="auto"/>
            </w:tcBorders>
            <w:gridSpan w:val="5"/>
            <w:shd w:val="clear" w:color="auto" w:fill="FFE2E1"/>
          </w:tcPr>
          <w:p>
            <w:pPr>
              <w:ind w:left="220"/>
              <w:spacing w:after="0" w:line="136" w:lineRule="exact"/>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Pay for performance</w:t>
            </w:r>
            <w:r>
              <w:rPr>
                <w:rFonts w:ascii="Arial" w:cs="Arial" w:eastAsia="Arial" w:hAnsi="Arial"/>
                <w:sz w:val="15"/>
                <w:szCs w:val="15"/>
                <w:color w:val="auto"/>
              </w:rPr>
              <w:t>” is the foundation of our compensation philosophy for our named executive officers. Their compensation is</w:t>
            </w:r>
          </w:p>
        </w:tc>
        <w:tc>
          <w:tcPr>
            <w:tcW w:w="1400" w:type="dxa"/>
            <w:vAlign w:val="bottom"/>
            <w:tcBorders>
              <w:lef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520" w:type="dxa"/>
            <w:vAlign w:val="bottom"/>
            <w:tcBorders>
              <w:left w:val="single" w:sz="8" w:color="auto"/>
            </w:tcBorders>
            <w:gridSpan w:val="5"/>
            <w:shd w:val="clear" w:color="auto" w:fill="FFE2E1"/>
          </w:tcPr>
          <w:p>
            <w:pPr>
              <w:ind w:left="220"/>
              <w:spacing w:after="0" w:line="161" w:lineRule="exact"/>
              <w:rPr>
                <w:sz w:val="20"/>
                <w:szCs w:val="20"/>
                <w:color w:val="auto"/>
              </w:rPr>
            </w:pPr>
            <w:r>
              <w:rPr>
                <w:rFonts w:ascii="Arial" w:cs="Arial" w:eastAsia="Arial" w:hAnsi="Arial"/>
                <w:sz w:val="15"/>
                <w:szCs w:val="15"/>
                <w:color w:val="auto"/>
              </w:rPr>
              <w:t>primarily variable and performance-based, utilizing multiple and complementary financial measures that are aligned with our strategy</w:t>
            </w:r>
          </w:p>
        </w:tc>
        <w:tc>
          <w:tcPr>
            <w:tcW w:w="1400" w:type="dxa"/>
            <w:vAlign w:val="bottom"/>
            <w:tcBorders>
              <w:lef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220" w:type="dxa"/>
            <w:vAlign w:val="bottom"/>
            <w:tcBorders>
              <w:left w:val="single" w:sz="8" w:color="auto"/>
            </w:tcBorders>
            <w:shd w:val="clear" w:color="auto" w:fill="FFE2E1"/>
          </w:tcPr>
          <w:p>
            <w:pPr>
              <w:ind w:left="220"/>
              <w:spacing w:after="0"/>
              <w:rPr>
                <w:sz w:val="20"/>
                <w:szCs w:val="20"/>
                <w:color w:val="auto"/>
              </w:rPr>
            </w:pPr>
            <w:r>
              <w:rPr>
                <w:rFonts w:ascii="Arial" w:cs="Arial" w:eastAsia="Arial" w:hAnsi="Arial"/>
                <w:sz w:val="15"/>
                <w:szCs w:val="15"/>
                <w:color w:val="auto"/>
              </w:rPr>
              <w:t>to drive shareholder value.</w:t>
            </w:r>
          </w:p>
        </w:tc>
        <w:tc>
          <w:tcPr>
            <w:tcW w:w="2300" w:type="dxa"/>
            <w:vAlign w:val="bottom"/>
            <w:shd w:val="clear" w:color="auto" w:fill="FFE2E1"/>
          </w:tcPr>
          <w:p>
            <w:pPr>
              <w:spacing w:after="0"/>
              <w:rPr>
                <w:sz w:val="17"/>
                <w:szCs w:val="17"/>
                <w:color w:val="auto"/>
              </w:rPr>
            </w:pPr>
          </w:p>
        </w:tc>
        <w:tc>
          <w:tcPr>
            <w:tcW w:w="1340" w:type="dxa"/>
            <w:vAlign w:val="bottom"/>
            <w:shd w:val="clear" w:color="auto" w:fill="FFE2E1"/>
          </w:tcPr>
          <w:p>
            <w:pPr>
              <w:spacing w:after="0"/>
              <w:rPr>
                <w:sz w:val="17"/>
                <w:szCs w:val="17"/>
                <w:color w:val="auto"/>
              </w:rPr>
            </w:pPr>
          </w:p>
        </w:tc>
        <w:tc>
          <w:tcPr>
            <w:tcW w:w="1620" w:type="dxa"/>
            <w:vAlign w:val="bottom"/>
            <w:shd w:val="clear" w:color="auto" w:fill="FFE2E1"/>
          </w:tcPr>
          <w:p>
            <w:pPr>
              <w:spacing w:after="0"/>
              <w:rPr>
                <w:sz w:val="17"/>
                <w:szCs w:val="17"/>
                <w:color w:val="auto"/>
              </w:rPr>
            </w:pPr>
          </w:p>
        </w:tc>
        <w:tc>
          <w:tcPr>
            <w:tcW w:w="1040" w:type="dxa"/>
            <w:vAlign w:val="bottom"/>
            <w:shd w:val="clear" w:color="auto" w:fill="FFE2E1"/>
          </w:tcPr>
          <w:p>
            <w:pPr>
              <w:spacing w:after="0"/>
              <w:rPr>
                <w:sz w:val="17"/>
                <w:szCs w:val="17"/>
                <w:color w:val="auto"/>
              </w:rPr>
            </w:pPr>
          </w:p>
        </w:tc>
        <w:tc>
          <w:tcPr>
            <w:tcW w:w="1400" w:type="dxa"/>
            <w:vAlign w:val="bottom"/>
            <w:tcBorders>
              <w:lef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9520" w:type="dxa"/>
            <w:vAlign w:val="bottom"/>
            <w:tcBorders>
              <w:left w:val="single" w:sz="8" w:color="auto"/>
              <w:bottom w:val="single" w:sz="8" w:color="auto"/>
            </w:tcBorders>
            <w:gridSpan w:val="5"/>
            <w:shd w:val="clear" w:color="auto" w:fill="FFE2E1"/>
          </w:tcPr>
          <w:p>
            <w:pPr>
              <w:spacing w:after="0"/>
              <w:rPr>
                <w:sz w:val="7"/>
                <w:szCs w:val="7"/>
                <w:color w:val="auto"/>
              </w:rPr>
            </w:pPr>
          </w:p>
        </w:tc>
        <w:tc>
          <w:tcPr>
            <w:tcW w:w="1400" w:type="dxa"/>
            <w:vAlign w:val="bottom"/>
            <w:tcBorders>
              <w:lef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9520" w:type="dxa"/>
            <w:vAlign w:val="bottom"/>
            <w:gridSpan w:val="5"/>
          </w:tcPr>
          <w:p>
            <w:pPr>
              <w:spacing w:after="0" w:line="136" w:lineRule="exact"/>
              <w:rPr>
                <w:sz w:val="20"/>
                <w:szCs w:val="20"/>
                <w:color w:val="auto"/>
              </w:rPr>
            </w:pPr>
            <w:r>
              <w:rPr>
                <w:rFonts w:ascii="Arial" w:cs="Arial" w:eastAsia="Arial" w:hAnsi="Arial"/>
                <w:sz w:val="15"/>
                <w:szCs w:val="15"/>
                <w:color w:val="auto"/>
              </w:rPr>
              <w:t>Consistent with our long-standing core business and governance principles, “</w:t>
            </w:r>
            <w:r>
              <w:rPr>
                <w:rFonts w:ascii="Arial" w:cs="Arial" w:eastAsia="Arial" w:hAnsi="Arial"/>
                <w:sz w:val="15"/>
                <w:szCs w:val="15"/>
                <w:b w:val="1"/>
                <w:bCs w:val="1"/>
                <w:color w:val="auto"/>
              </w:rPr>
              <w:t>pay for performance</w:t>
            </w:r>
            <w:r>
              <w:rPr>
                <w:rFonts w:ascii="Arial" w:cs="Arial" w:eastAsia="Arial" w:hAnsi="Arial"/>
                <w:sz w:val="15"/>
                <w:szCs w:val="15"/>
                <w:color w:val="auto"/>
              </w:rPr>
              <w:t>” continued to be a key part of our</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5520" w:type="dxa"/>
            <w:vAlign w:val="bottom"/>
            <w:gridSpan w:val="2"/>
          </w:tcPr>
          <w:p>
            <w:pPr>
              <w:spacing w:after="0"/>
              <w:rPr>
                <w:sz w:val="20"/>
                <w:szCs w:val="20"/>
                <w:color w:val="auto"/>
              </w:rPr>
            </w:pPr>
            <w:r>
              <w:rPr>
                <w:rFonts w:ascii="Arial" w:cs="Arial" w:eastAsia="Arial" w:hAnsi="Arial"/>
                <w:sz w:val="15"/>
                <w:szCs w:val="15"/>
                <w:color w:val="auto"/>
              </w:rPr>
              <w:t>compensation philosophy for our named executive officers in 2025.</w:t>
            </w: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0920" w:type="dxa"/>
            <w:vAlign w:val="bottom"/>
            <w:gridSpan w:val="6"/>
          </w:tcPr>
          <w:p>
            <w:pPr>
              <w:spacing w:after="0" w:line="173" w:lineRule="exact"/>
              <w:rPr>
                <w:sz w:val="20"/>
                <w:szCs w:val="20"/>
                <w:color w:val="auto"/>
              </w:rPr>
            </w:pPr>
            <w:r>
              <w:rPr>
                <w:rFonts w:ascii="MS PGothic" w:cs="MS PGothic" w:eastAsia="MS PGothic" w:hAnsi="MS PGothic"/>
                <w:sz w:val="15"/>
                <w:szCs w:val="15"/>
                <w:color w:val="1F473D"/>
              </w:rPr>
              <w:t>✓</w:t>
            </w:r>
            <w:r>
              <w:rPr>
                <w:rFonts w:ascii="Arial" w:cs="Arial" w:eastAsia="Arial" w:hAnsi="Arial"/>
                <w:sz w:val="15"/>
                <w:szCs w:val="15"/>
                <w:color w:val="auto"/>
              </w:rPr>
              <w:t xml:space="preserve">   </w:t>
            </w:r>
            <w:r>
              <w:rPr>
                <w:rFonts w:ascii="Arial" w:cs="Arial" w:eastAsia="Arial" w:hAnsi="Arial"/>
                <w:sz w:val="15"/>
                <w:szCs w:val="15"/>
                <w:b w:val="1"/>
                <w:bCs w:val="1"/>
                <w:color w:val="1F473D"/>
              </w:rPr>
              <w:t>2025 compensation decisions were aligned with our strategic objectives</w:t>
            </w:r>
            <w:r>
              <w:rPr>
                <w:rFonts w:ascii="Arial" w:cs="Arial" w:eastAsia="Arial" w:hAnsi="Arial"/>
                <w:sz w:val="15"/>
                <w:szCs w:val="15"/>
                <w:color w:val="auto"/>
              </w:rPr>
              <w:t xml:space="preserve"> – During 2025, the HR Committee actively engaged</w:t>
            </w:r>
          </w:p>
        </w:tc>
        <w:tc>
          <w:tcPr>
            <w:tcW w:w="0" w:type="dxa"/>
            <w:vAlign w:val="bottom"/>
          </w:tcPr>
          <w:p>
            <w:pPr>
              <w:spacing w:after="0"/>
              <w:rPr>
                <w:sz w:val="1"/>
                <w:szCs w:val="1"/>
                <w:color w:val="auto"/>
              </w:rPr>
            </w:pPr>
          </w:p>
        </w:tc>
      </w:tr>
      <w:tr>
        <w:trPr>
          <w:trHeight w:val="160"/>
        </w:trPr>
        <w:tc>
          <w:tcPr>
            <w:tcW w:w="10920" w:type="dxa"/>
            <w:vAlign w:val="bottom"/>
            <w:gridSpan w:val="6"/>
          </w:tcPr>
          <w:p>
            <w:pPr>
              <w:spacing w:after="0" w:line="161" w:lineRule="exact"/>
              <w:rPr>
                <w:sz w:val="20"/>
                <w:szCs w:val="20"/>
                <w:color w:val="auto"/>
              </w:rPr>
            </w:pPr>
            <w:r>
              <w:rPr>
                <w:rFonts w:ascii="Arial" w:cs="Arial" w:eastAsia="Arial" w:hAnsi="Arial"/>
                <w:sz w:val="15"/>
                <w:szCs w:val="15"/>
                <w:color w:val="auto"/>
              </w:rPr>
              <w:t>in reviewing and discussing the design and approach to our compensation, talent and culture. Our 2025 compensation program focused</w:t>
            </w:r>
          </w:p>
        </w:tc>
        <w:tc>
          <w:tcPr>
            <w:tcW w:w="0" w:type="dxa"/>
            <w:vAlign w:val="bottom"/>
          </w:tcPr>
          <w:p>
            <w:pPr>
              <w:spacing w:after="0"/>
              <w:rPr>
                <w:sz w:val="1"/>
                <w:szCs w:val="1"/>
                <w:color w:val="auto"/>
              </w:rPr>
            </w:pPr>
          </w:p>
        </w:tc>
      </w:tr>
      <w:tr>
        <w:trPr>
          <w:trHeight w:val="160"/>
        </w:trPr>
        <w:tc>
          <w:tcPr>
            <w:tcW w:w="10920" w:type="dxa"/>
            <w:vAlign w:val="bottom"/>
            <w:gridSpan w:val="6"/>
          </w:tcPr>
          <w:p>
            <w:pPr>
              <w:spacing w:after="0" w:line="161" w:lineRule="exact"/>
              <w:rPr>
                <w:sz w:val="20"/>
                <w:szCs w:val="20"/>
                <w:color w:val="auto"/>
              </w:rPr>
            </w:pPr>
            <w:r>
              <w:rPr>
                <w:rFonts w:ascii="Arial" w:cs="Arial" w:eastAsia="Arial" w:hAnsi="Arial"/>
                <w:sz w:val="15"/>
                <w:szCs w:val="15"/>
                <w:color w:val="auto"/>
              </w:rPr>
              <w:t>the organization on strong performance and organic growth, and it enabled Thomson Reuters to attract, engage and retain the talent</w:t>
            </w:r>
          </w:p>
        </w:tc>
        <w:tc>
          <w:tcPr>
            <w:tcW w:w="0" w:type="dxa"/>
            <w:vAlign w:val="bottom"/>
          </w:tcPr>
          <w:p>
            <w:pPr>
              <w:spacing w:after="0"/>
              <w:rPr>
                <w:sz w:val="1"/>
                <w:szCs w:val="1"/>
                <w:color w:val="auto"/>
              </w:rPr>
            </w:pPr>
          </w:p>
        </w:tc>
      </w:tr>
      <w:tr>
        <w:trPr>
          <w:trHeight w:val="160"/>
        </w:trPr>
        <w:tc>
          <w:tcPr>
            <w:tcW w:w="10920" w:type="dxa"/>
            <w:vAlign w:val="bottom"/>
            <w:gridSpan w:val="6"/>
          </w:tcPr>
          <w:p>
            <w:pPr>
              <w:spacing w:after="0" w:line="161" w:lineRule="exact"/>
              <w:rPr>
                <w:sz w:val="20"/>
                <w:szCs w:val="20"/>
                <w:color w:val="auto"/>
              </w:rPr>
            </w:pPr>
            <w:r>
              <w:rPr>
                <w:rFonts w:ascii="Arial" w:cs="Arial" w:eastAsia="Arial" w:hAnsi="Arial"/>
                <w:sz w:val="15"/>
                <w:szCs w:val="15"/>
                <w:color w:val="auto"/>
              </w:rPr>
              <w:t>needed to execute our short-term and long-term strategy. We believe that our 2025 compensation program appropriately balanced risk</w:t>
            </w:r>
          </w:p>
        </w:tc>
        <w:tc>
          <w:tcPr>
            <w:tcW w:w="0" w:type="dxa"/>
            <w:vAlign w:val="bottom"/>
          </w:tcPr>
          <w:p>
            <w:pPr>
              <w:spacing w:after="0"/>
              <w:rPr>
                <w:sz w:val="1"/>
                <w:szCs w:val="1"/>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and reward.</w:t>
            </w:r>
          </w:p>
        </w:tc>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920" w:type="dxa"/>
            <w:vAlign w:val="bottom"/>
            <w:gridSpan w:val="6"/>
          </w:tcPr>
          <w:p>
            <w:pPr>
              <w:spacing w:after="0"/>
              <w:rPr>
                <w:sz w:val="20"/>
                <w:szCs w:val="20"/>
                <w:color w:val="auto"/>
              </w:rPr>
            </w:pPr>
            <w:r>
              <w:rPr>
                <w:rFonts w:ascii="Arial" w:cs="Arial" w:eastAsia="Arial" w:hAnsi="Arial"/>
                <w:sz w:val="15"/>
                <w:szCs w:val="15"/>
                <w:color w:val="auto"/>
              </w:rPr>
              <w:t>In 2025, a significant portion of executive pay was at risk and linked to both operational performance and stock price. Our incentive plan</w:t>
            </w:r>
          </w:p>
        </w:tc>
        <w:tc>
          <w:tcPr>
            <w:tcW w:w="0" w:type="dxa"/>
            <w:vAlign w:val="bottom"/>
          </w:tcPr>
          <w:p>
            <w:pPr>
              <w:spacing w:after="0"/>
              <w:rPr>
                <w:sz w:val="1"/>
                <w:szCs w:val="1"/>
                <w:color w:val="auto"/>
              </w:rPr>
            </w:pPr>
          </w:p>
        </w:tc>
      </w:tr>
      <w:tr>
        <w:trPr>
          <w:trHeight w:val="160"/>
        </w:trPr>
        <w:tc>
          <w:tcPr>
            <w:tcW w:w="10920" w:type="dxa"/>
            <w:vAlign w:val="bottom"/>
            <w:gridSpan w:val="6"/>
          </w:tcPr>
          <w:p>
            <w:pPr>
              <w:spacing w:after="0" w:line="161" w:lineRule="exact"/>
              <w:rPr>
                <w:sz w:val="20"/>
                <w:szCs w:val="20"/>
                <w:color w:val="auto"/>
              </w:rPr>
            </w:pPr>
            <w:r>
              <w:rPr>
                <w:rFonts w:ascii="Arial" w:cs="Arial" w:eastAsia="Arial" w:hAnsi="Arial"/>
                <w:sz w:val="15"/>
                <w:szCs w:val="15"/>
                <w:color w:val="auto"/>
              </w:rPr>
              <w:t>goals reflected our published business outlook, operating plan and long-term strategy. Annual incentive awards focused on growth</w:t>
            </w:r>
          </w:p>
        </w:tc>
        <w:tc>
          <w:tcPr>
            <w:tcW w:w="0" w:type="dxa"/>
            <w:vAlign w:val="bottom"/>
          </w:tcPr>
          <w:p>
            <w:pPr>
              <w:spacing w:after="0"/>
              <w:rPr>
                <w:sz w:val="1"/>
                <w:szCs w:val="1"/>
                <w:color w:val="auto"/>
              </w:rPr>
            </w:pPr>
          </w:p>
        </w:tc>
      </w:tr>
      <w:tr>
        <w:trPr>
          <w:trHeight w:val="199"/>
        </w:trPr>
        <w:tc>
          <w:tcPr>
            <w:tcW w:w="8480" w:type="dxa"/>
            <w:vAlign w:val="bottom"/>
            <w:gridSpan w:val="4"/>
          </w:tcPr>
          <w:p>
            <w:pPr>
              <w:spacing w:after="0"/>
              <w:rPr>
                <w:sz w:val="20"/>
                <w:szCs w:val="20"/>
                <w:color w:val="auto"/>
              </w:rPr>
            </w:pPr>
            <w:r>
              <w:rPr>
                <w:rFonts w:ascii="Arial" w:cs="Arial" w:eastAsia="Arial" w:hAnsi="Arial"/>
                <w:sz w:val="15"/>
                <w:szCs w:val="15"/>
                <w:color w:val="auto"/>
              </w:rPr>
              <w:t>objectives for the year. The table below reflects summary 2025 compensation information for our named executive officers:</w:t>
            </w: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32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220" w:type="dxa"/>
            <w:vAlign w:val="bottom"/>
            <w:tcBorders>
              <w:left w:val="single" w:sz="8" w:color="1F473D"/>
            </w:tcBorders>
            <w:shd w:val="clear" w:color="auto" w:fill="1F473D"/>
          </w:tcPr>
          <w:p>
            <w:pPr>
              <w:spacing w:after="0"/>
              <w:rPr>
                <w:sz w:val="12"/>
                <w:szCs w:val="12"/>
                <w:color w:val="auto"/>
              </w:rPr>
            </w:pPr>
          </w:p>
        </w:tc>
        <w:tc>
          <w:tcPr>
            <w:tcW w:w="2300" w:type="dxa"/>
            <w:vAlign w:val="bottom"/>
            <w:shd w:val="clear" w:color="auto" w:fill="1F473D"/>
          </w:tcPr>
          <w:p>
            <w:pPr>
              <w:spacing w:after="0"/>
              <w:rPr>
                <w:sz w:val="12"/>
                <w:szCs w:val="12"/>
                <w:color w:val="auto"/>
              </w:rPr>
            </w:pPr>
          </w:p>
        </w:tc>
        <w:tc>
          <w:tcPr>
            <w:tcW w:w="1340" w:type="dxa"/>
            <w:vAlign w:val="bottom"/>
            <w:shd w:val="clear" w:color="auto" w:fill="1F473D"/>
          </w:tcPr>
          <w:p>
            <w:pPr>
              <w:jc w:val="center"/>
              <w:ind w:left="44"/>
              <w:spacing w:after="0" w:line="144" w:lineRule="exact"/>
              <w:rPr>
                <w:sz w:val="20"/>
                <w:szCs w:val="20"/>
                <w:color w:val="auto"/>
              </w:rPr>
            </w:pPr>
            <w:r>
              <w:rPr>
                <w:rFonts w:ascii="Arial" w:cs="Arial" w:eastAsia="Arial" w:hAnsi="Arial"/>
                <w:sz w:val="15"/>
                <w:szCs w:val="15"/>
                <w:b w:val="1"/>
                <w:bCs w:val="1"/>
                <w:color w:val="FFFFFF"/>
                <w:w w:val="99"/>
              </w:rPr>
              <w:t>Target annual</w:t>
            </w:r>
          </w:p>
        </w:tc>
        <w:tc>
          <w:tcPr>
            <w:tcW w:w="1620" w:type="dxa"/>
            <w:vAlign w:val="bottom"/>
            <w:shd w:val="clear" w:color="auto" w:fill="1F473D"/>
          </w:tcPr>
          <w:p>
            <w:pPr>
              <w:spacing w:after="0"/>
              <w:rPr>
                <w:sz w:val="12"/>
                <w:szCs w:val="12"/>
                <w:color w:val="auto"/>
              </w:rPr>
            </w:pPr>
          </w:p>
        </w:tc>
        <w:tc>
          <w:tcPr>
            <w:tcW w:w="1040" w:type="dxa"/>
            <w:vAlign w:val="bottom"/>
            <w:shd w:val="clear" w:color="auto" w:fill="1F473D"/>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20" w:type="dxa"/>
            <w:vAlign w:val="bottom"/>
            <w:tcBorders>
              <w:left w:val="single" w:sz="8" w:color="1F473D"/>
            </w:tcBorders>
            <w:shd w:val="clear" w:color="auto" w:fill="1F473D"/>
          </w:tcPr>
          <w:p>
            <w:pPr>
              <w:spacing w:after="0"/>
              <w:rPr>
                <w:sz w:val="14"/>
                <w:szCs w:val="14"/>
                <w:color w:val="auto"/>
              </w:rPr>
            </w:pPr>
          </w:p>
        </w:tc>
        <w:tc>
          <w:tcPr>
            <w:tcW w:w="2300" w:type="dxa"/>
            <w:vAlign w:val="bottom"/>
            <w:shd w:val="clear" w:color="auto" w:fill="1F473D"/>
          </w:tcPr>
          <w:p>
            <w:pPr>
              <w:spacing w:after="0"/>
              <w:rPr>
                <w:sz w:val="14"/>
                <w:szCs w:val="14"/>
                <w:color w:val="auto"/>
              </w:rPr>
            </w:pPr>
          </w:p>
        </w:tc>
        <w:tc>
          <w:tcPr>
            <w:tcW w:w="1340" w:type="dxa"/>
            <w:vAlign w:val="bottom"/>
            <w:shd w:val="clear" w:color="auto" w:fill="1F473D"/>
          </w:tcPr>
          <w:p>
            <w:pPr>
              <w:jc w:val="center"/>
              <w:ind w:left="44"/>
              <w:spacing w:after="0" w:line="164" w:lineRule="exact"/>
              <w:rPr>
                <w:sz w:val="20"/>
                <w:szCs w:val="20"/>
                <w:color w:val="auto"/>
              </w:rPr>
            </w:pPr>
            <w:r>
              <w:rPr>
                <w:rFonts w:ascii="Arial" w:cs="Arial" w:eastAsia="Arial" w:hAnsi="Arial"/>
                <w:sz w:val="15"/>
                <w:szCs w:val="15"/>
                <w:b w:val="1"/>
                <w:bCs w:val="1"/>
                <w:color w:val="FFFFFF"/>
              </w:rPr>
              <w:t>incentive award</w:t>
            </w:r>
          </w:p>
        </w:tc>
        <w:tc>
          <w:tcPr>
            <w:tcW w:w="1620" w:type="dxa"/>
            <w:vAlign w:val="bottom"/>
            <w:shd w:val="clear" w:color="auto" w:fill="1F473D"/>
          </w:tcPr>
          <w:p>
            <w:pPr>
              <w:jc w:val="center"/>
              <w:spacing w:after="0" w:line="164" w:lineRule="exact"/>
              <w:rPr>
                <w:sz w:val="20"/>
                <w:szCs w:val="20"/>
                <w:color w:val="auto"/>
              </w:rPr>
            </w:pPr>
            <w:r>
              <w:rPr>
                <w:rFonts w:ascii="Arial" w:cs="Arial" w:eastAsia="Arial" w:hAnsi="Arial"/>
                <w:sz w:val="15"/>
                <w:szCs w:val="15"/>
                <w:b w:val="1"/>
                <w:bCs w:val="1"/>
                <w:color w:val="FFFFFF"/>
              </w:rPr>
              <w:t>Long-term incentive</w:t>
            </w:r>
          </w:p>
        </w:tc>
        <w:tc>
          <w:tcPr>
            <w:tcW w:w="1040" w:type="dxa"/>
            <w:vAlign w:val="bottom"/>
            <w:shd w:val="clear" w:color="auto" w:fill="1F473D"/>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20" w:type="dxa"/>
            <w:vAlign w:val="bottom"/>
            <w:tcBorders>
              <w:left w:val="single" w:sz="8" w:color="1F473D"/>
            </w:tcBorders>
            <w:shd w:val="clear" w:color="auto" w:fill="1F473D"/>
          </w:tcPr>
          <w:p>
            <w:pPr>
              <w:spacing w:after="0"/>
              <w:rPr>
                <w:sz w:val="13"/>
                <w:szCs w:val="13"/>
                <w:color w:val="auto"/>
              </w:rPr>
            </w:pPr>
          </w:p>
        </w:tc>
        <w:tc>
          <w:tcPr>
            <w:tcW w:w="2300" w:type="dxa"/>
            <w:vAlign w:val="bottom"/>
            <w:shd w:val="clear" w:color="auto" w:fill="1F473D"/>
          </w:tcPr>
          <w:p>
            <w:pPr>
              <w:spacing w:after="0"/>
              <w:rPr>
                <w:sz w:val="13"/>
                <w:szCs w:val="13"/>
                <w:color w:val="auto"/>
              </w:rPr>
            </w:pPr>
          </w:p>
        </w:tc>
        <w:tc>
          <w:tcPr>
            <w:tcW w:w="1340" w:type="dxa"/>
            <w:vAlign w:val="bottom"/>
            <w:shd w:val="clear" w:color="auto" w:fill="1F473D"/>
          </w:tcPr>
          <w:p>
            <w:pPr>
              <w:jc w:val="center"/>
              <w:ind w:left="44"/>
              <w:spacing w:after="0" w:line="161" w:lineRule="exact"/>
              <w:rPr>
                <w:sz w:val="20"/>
                <w:szCs w:val="20"/>
                <w:color w:val="auto"/>
              </w:rPr>
            </w:pPr>
            <w:r>
              <w:rPr>
                <w:rFonts w:ascii="Arial" w:cs="Arial" w:eastAsia="Arial" w:hAnsi="Arial"/>
                <w:sz w:val="15"/>
                <w:szCs w:val="15"/>
                <w:b w:val="1"/>
                <w:bCs w:val="1"/>
                <w:color w:val="FFFFFF"/>
              </w:rPr>
              <w:t>(cash) –</w:t>
            </w:r>
          </w:p>
        </w:tc>
        <w:tc>
          <w:tcPr>
            <w:tcW w:w="1620" w:type="dxa"/>
            <w:vAlign w:val="bottom"/>
            <w:shd w:val="clear" w:color="auto" w:fill="1F473D"/>
          </w:tcPr>
          <w:p>
            <w:pPr>
              <w:jc w:val="center"/>
              <w:spacing w:after="0" w:line="161" w:lineRule="exact"/>
              <w:rPr>
                <w:sz w:val="20"/>
                <w:szCs w:val="20"/>
                <w:color w:val="auto"/>
              </w:rPr>
            </w:pPr>
            <w:r>
              <w:rPr>
                <w:rFonts w:ascii="Arial" w:cs="Arial" w:eastAsia="Arial" w:hAnsi="Arial"/>
                <w:sz w:val="15"/>
                <w:szCs w:val="15"/>
                <w:b w:val="1"/>
                <w:bCs w:val="1"/>
                <w:color w:val="FFFFFF"/>
              </w:rPr>
              <w:t>award (equity-based)</w:t>
            </w:r>
          </w:p>
        </w:tc>
        <w:tc>
          <w:tcPr>
            <w:tcW w:w="1040" w:type="dxa"/>
            <w:vAlign w:val="bottom"/>
            <w:vMerge w:val="restart"/>
            <w:shd w:val="clear" w:color="auto" w:fill="1F473D"/>
          </w:tcPr>
          <w:p>
            <w:pPr>
              <w:jc w:val="right"/>
              <w:ind w:right="124"/>
              <w:spacing w:after="0"/>
              <w:rPr>
                <w:sz w:val="20"/>
                <w:szCs w:val="20"/>
                <w:color w:val="auto"/>
              </w:rPr>
            </w:pPr>
            <w:r>
              <w:rPr>
                <w:rFonts w:ascii="Arial" w:cs="Arial" w:eastAsia="Arial" w:hAnsi="Arial"/>
                <w:sz w:val="15"/>
                <w:szCs w:val="15"/>
                <w:b w:val="1"/>
                <w:bCs w:val="1"/>
                <w:color w:val="FFFFFF"/>
              </w:rPr>
              <w:t>“At risk”</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tcBorders>
              <w:left w:val="single" w:sz="8" w:color="1F473D"/>
            </w:tcBorders>
            <w:vMerge w:val="restart"/>
            <w:shd w:val="clear" w:color="auto" w:fill="1F473D"/>
          </w:tcPr>
          <w:p>
            <w:pPr>
              <w:spacing w:after="0"/>
              <w:rPr>
                <w:sz w:val="20"/>
                <w:szCs w:val="20"/>
                <w:color w:val="auto"/>
              </w:rPr>
            </w:pPr>
            <w:r>
              <w:rPr>
                <w:rFonts w:ascii="Arial" w:cs="Arial" w:eastAsia="Arial" w:hAnsi="Arial"/>
                <w:sz w:val="15"/>
                <w:szCs w:val="15"/>
                <w:b w:val="1"/>
                <w:bCs w:val="1"/>
                <w:color w:val="FFFFFF"/>
              </w:rPr>
              <w:t>   Named executive officer</w:t>
            </w:r>
          </w:p>
        </w:tc>
        <w:tc>
          <w:tcPr>
            <w:tcW w:w="2300" w:type="dxa"/>
            <w:vAlign w:val="bottom"/>
            <w:vMerge w:val="restart"/>
            <w:shd w:val="clear" w:color="auto" w:fill="1F473D"/>
          </w:tcPr>
          <w:p>
            <w:pPr>
              <w:ind w:left="560"/>
              <w:spacing w:after="0"/>
              <w:rPr>
                <w:sz w:val="20"/>
                <w:szCs w:val="20"/>
                <w:color w:val="auto"/>
              </w:rPr>
            </w:pPr>
            <w:r>
              <w:rPr>
                <w:rFonts w:ascii="Arial" w:cs="Arial" w:eastAsia="Arial" w:hAnsi="Arial"/>
                <w:sz w:val="15"/>
                <w:szCs w:val="15"/>
                <w:b w:val="1"/>
                <w:bCs w:val="1"/>
                <w:color w:val="FFFFFF"/>
              </w:rPr>
              <w:t>Base salary</w:t>
            </w:r>
          </w:p>
        </w:tc>
        <w:tc>
          <w:tcPr>
            <w:tcW w:w="1340" w:type="dxa"/>
            <w:vAlign w:val="bottom"/>
            <w:shd w:val="clear" w:color="auto" w:fill="1F473D"/>
          </w:tcPr>
          <w:p>
            <w:pPr>
              <w:jc w:val="center"/>
              <w:ind w:left="44"/>
              <w:spacing w:after="0" w:line="161" w:lineRule="exact"/>
              <w:rPr>
                <w:sz w:val="20"/>
                <w:szCs w:val="20"/>
                <w:color w:val="auto"/>
              </w:rPr>
            </w:pPr>
            <w:r>
              <w:rPr>
                <w:rFonts w:ascii="Arial" w:cs="Arial" w:eastAsia="Arial" w:hAnsi="Arial"/>
                <w:sz w:val="15"/>
                <w:szCs w:val="15"/>
                <w:b w:val="1"/>
                <w:bCs w:val="1"/>
                <w:color w:val="FFFFFF"/>
              </w:rPr>
              <w:t>percentage</w:t>
            </w:r>
          </w:p>
        </w:tc>
        <w:tc>
          <w:tcPr>
            <w:tcW w:w="1620" w:type="dxa"/>
            <w:vAlign w:val="bottom"/>
            <w:shd w:val="clear" w:color="auto" w:fill="1F473D"/>
          </w:tcPr>
          <w:p>
            <w:pPr>
              <w:jc w:val="center"/>
              <w:spacing w:after="0" w:line="161" w:lineRule="exact"/>
              <w:rPr>
                <w:sz w:val="20"/>
                <w:szCs w:val="20"/>
                <w:color w:val="auto"/>
              </w:rPr>
            </w:pPr>
            <w:r>
              <w:rPr>
                <w:rFonts w:ascii="Arial" w:cs="Arial" w:eastAsia="Arial" w:hAnsi="Arial"/>
                <w:sz w:val="15"/>
                <w:szCs w:val="15"/>
                <w:b w:val="1"/>
                <w:bCs w:val="1"/>
                <w:color w:val="FFFFFF"/>
                <w:w w:val="99"/>
              </w:rPr>
              <w:t>– percentage</w:t>
            </w:r>
          </w:p>
        </w:tc>
        <w:tc>
          <w:tcPr>
            <w:tcW w:w="1040" w:type="dxa"/>
            <w:vAlign w:val="bottom"/>
            <w:vMerge w:val="continue"/>
            <w:shd w:val="clear" w:color="auto" w:fill="1F473D"/>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220" w:type="dxa"/>
            <w:vAlign w:val="bottom"/>
            <w:tcBorders>
              <w:left w:val="single" w:sz="8" w:color="1F473D"/>
              <w:bottom w:val="single" w:sz="8" w:color="D64000"/>
            </w:tcBorders>
            <w:vMerge w:val="continue"/>
            <w:shd w:val="clear" w:color="auto" w:fill="1F473D"/>
          </w:tcPr>
          <w:p>
            <w:pPr>
              <w:spacing w:after="0"/>
              <w:rPr>
                <w:sz w:val="19"/>
                <w:szCs w:val="19"/>
                <w:color w:val="auto"/>
              </w:rPr>
            </w:pPr>
          </w:p>
        </w:tc>
        <w:tc>
          <w:tcPr>
            <w:tcW w:w="2300" w:type="dxa"/>
            <w:vAlign w:val="bottom"/>
            <w:tcBorders>
              <w:bottom w:val="single" w:sz="8" w:color="D64000"/>
            </w:tcBorders>
            <w:vMerge w:val="continue"/>
            <w:shd w:val="clear" w:color="auto" w:fill="1F473D"/>
          </w:tcPr>
          <w:p>
            <w:pPr>
              <w:spacing w:after="0"/>
              <w:rPr>
                <w:sz w:val="19"/>
                <w:szCs w:val="19"/>
                <w:color w:val="auto"/>
              </w:rPr>
            </w:pPr>
          </w:p>
        </w:tc>
        <w:tc>
          <w:tcPr>
            <w:tcW w:w="1340" w:type="dxa"/>
            <w:vAlign w:val="bottom"/>
            <w:tcBorders>
              <w:bottom w:val="single" w:sz="8" w:color="D64000"/>
            </w:tcBorders>
            <w:shd w:val="clear" w:color="auto" w:fill="1F473D"/>
          </w:tcPr>
          <w:p>
            <w:pPr>
              <w:jc w:val="center"/>
              <w:ind w:left="44"/>
              <w:spacing w:after="0"/>
              <w:rPr>
                <w:sz w:val="20"/>
                <w:szCs w:val="20"/>
                <w:color w:val="auto"/>
              </w:rPr>
            </w:pPr>
            <w:r>
              <w:rPr>
                <w:rFonts w:ascii="Arial" w:cs="Arial" w:eastAsia="Arial" w:hAnsi="Arial"/>
                <w:sz w:val="15"/>
                <w:szCs w:val="15"/>
                <w:b w:val="1"/>
                <w:bCs w:val="1"/>
                <w:color w:val="FFFFFF"/>
              </w:rPr>
              <w:t>of base salary</w:t>
            </w:r>
          </w:p>
        </w:tc>
        <w:tc>
          <w:tcPr>
            <w:tcW w:w="162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5"/>
                <w:szCs w:val="15"/>
                <w:b w:val="1"/>
                <w:bCs w:val="1"/>
                <w:color w:val="FFFFFF"/>
                <w:w w:val="99"/>
              </w:rPr>
              <w:t>of base salary</w:t>
            </w:r>
          </w:p>
        </w:tc>
        <w:tc>
          <w:tcPr>
            <w:tcW w:w="10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5"/>
                <w:szCs w:val="15"/>
                <w:b w:val="1"/>
                <w:bCs w:val="1"/>
                <w:color w:val="FFFFFF"/>
              </w:rPr>
              <w:t xml:space="preserve">   percentage   </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5"/>
                <w:szCs w:val="15"/>
                <w:b w:val="1"/>
                <w:bCs w:val="1"/>
                <w:color w:val="auto"/>
              </w:rPr>
              <w:t>   Steve Hasker</w:t>
            </w:r>
          </w:p>
        </w:tc>
        <w:tc>
          <w:tcPr>
            <w:tcW w:w="2300" w:type="dxa"/>
            <w:vAlign w:val="bottom"/>
          </w:tcPr>
          <w:p>
            <w:pPr>
              <w:jc w:val="center"/>
              <w:ind w:right="204"/>
              <w:spacing w:after="0"/>
              <w:rPr>
                <w:sz w:val="20"/>
                <w:szCs w:val="20"/>
                <w:color w:val="auto"/>
              </w:rPr>
            </w:pPr>
            <w:r>
              <w:rPr>
                <w:rFonts w:ascii="Arial" w:cs="Arial" w:eastAsia="Arial" w:hAnsi="Arial"/>
                <w:sz w:val="15"/>
                <w:szCs w:val="15"/>
                <w:color w:val="auto"/>
              </w:rPr>
              <w:t>C$1,605,000</w:t>
            </w:r>
          </w:p>
        </w:tc>
        <w:tc>
          <w:tcPr>
            <w:tcW w:w="1340" w:type="dxa"/>
            <w:vAlign w:val="bottom"/>
          </w:tcPr>
          <w:p>
            <w:pPr>
              <w:jc w:val="right"/>
              <w:ind w:right="204"/>
              <w:spacing w:after="0"/>
              <w:rPr>
                <w:sz w:val="20"/>
                <w:szCs w:val="20"/>
                <w:color w:val="auto"/>
              </w:rPr>
            </w:pPr>
            <w:r>
              <w:rPr>
                <w:rFonts w:ascii="Arial" w:cs="Arial" w:eastAsia="Arial" w:hAnsi="Arial"/>
                <w:sz w:val="15"/>
                <w:szCs w:val="15"/>
                <w:color w:val="auto"/>
              </w:rPr>
              <w:t>200%</w:t>
            </w:r>
          </w:p>
        </w:tc>
        <w:tc>
          <w:tcPr>
            <w:tcW w:w="1620" w:type="dxa"/>
            <w:vAlign w:val="bottom"/>
          </w:tcPr>
          <w:p>
            <w:pPr>
              <w:jc w:val="right"/>
              <w:ind w:right="444"/>
              <w:spacing w:after="0"/>
              <w:rPr>
                <w:sz w:val="20"/>
                <w:szCs w:val="20"/>
                <w:color w:val="auto"/>
              </w:rPr>
            </w:pPr>
            <w:r>
              <w:rPr>
                <w:rFonts w:ascii="Arial" w:cs="Arial" w:eastAsia="Arial" w:hAnsi="Arial"/>
                <w:sz w:val="15"/>
                <w:szCs w:val="15"/>
                <w:color w:val="auto"/>
              </w:rPr>
              <w:t>725%</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90%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   President and Chief Executive Officer</w:t>
            </w:r>
          </w:p>
        </w:tc>
        <w:tc>
          <w:tcPr>
            <w:tcW w:w="2300" w:type="dxa"/>
            <w:vAlign w:val="bottom"/>
          </w:tcPr>
          <w:p>
            <w:pPr>
              <w:jc w:val="center"/>
              <w:ind w:right="204"/>
              <w:spacing w:after="0"/>
              <w:rPr>
                <w:sz w:val="20"/>
                <w:szCs w:val="20"/>
                <w:color w:val="auto"/>
              </w:rPr>
            </w:pPr>
            <w:r>
              <w:rPr>
                <w:rFonts w:ascii="Arial" w:cs="Arial" w:eastAsia="Arial" w:hAnsi="Arial"/>
                <w:sz w:val="15"/>
                <w:szCs w:val="15"/>
                <w:color w:val="auto"/>
              </w:rPr>
              <w:t>(US$1,149,517)</w:t>
            </w: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5"/>
                <w:szCs w:val="15"/>
                <w:b w:val="1"/>
                <w:bCs w:val="1"/>
                <w:color w:val="auto"/>
              </w:rPr>
              <w:t>   Mike Eastwood</w:t>
            </w:r>
          </w:p>
        </w:tc>
        <w:tc>
          <w:tcPr>
            <w:tcW w:w="2300" w:type="dxa"/>
            <w:vAlign w:val="bottom"/>
          </w:tcPr>
          <w:p>
            <w:pPr>
              <w:jc w:val="center"/>
              <w:ind w:right="204"/>
              <w:spacing w:after="0"/>
              <w:rPr>
                <w:sz w:val="20"/>
                <w:szCs w:val="20"/>
                <w:color w:val="auto"/>
              </w:rPr>
            </w:pPr>
            <w:r>
              <w:rPr>
                <w:rFonts w:ascii="Arial" w:cs="Arial" w:eastAsia="Arial" w:hAnsi="Arial"/>
                <w:sz w:val="15"/>
                <w:szCs w:val="15"/>
                <w:color w:val="auto"/>
              </w:rPr>
              <w:t>C$950,000</w:t>
            </w:r>
          </w:p>
        </w:tc>
        <w:tc>
          <w:tcPr>
            <w:tcW w:w="13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620" w:type="dxa"/>
            <w:vAlign w:val="bottom"/>
          </w:tcPr>
          <w:p>
            <w:pPr>
              <w:jc w:val="right"/>
              <w:ind w:right="444"/>
              <w:spacing w:after="0"/>
              <w:rPr>
                <w:sz w:val="20"/>
                <w:szCs w:val="20"/>
                <w:color w:val="auto"/>
              </w:rPr>
            </w:pPr>
            <w:r>
              <w:rPr>
                <w:rFonts w:ascii="Arial" w:cs="Arial" w:eastAsia="Arial" w:hAnsi="Arial"/>
                <w:sz w:val="15"/>
                <w:szCs w:val="15"/>
                <w:color w:val="auto"/>
              </w:rPr>
              <w:t>325%</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82%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   Chief Financial Officer</w:t>
            </w:r>
          </w:p>
        </w:tc>
        <w:tc>
          <w:tcPr>
            <w:tcW w:w="2300" w:type="dxa"/>
            <w:vAlign w:val="bottom"/>
          </w:tcPr>
          <w:p>
            <w:pPr>
              <w:jc w:val="center"/>
              <w:ind w:right="204"/>
              <w:spacing w:after="0"/>
              <w:rPr>
                <w:sz w:val="20"/>
                <w:szCs w:val="20"/>
                <w:color w:val="auto"/>
              </w:rPr>
            </w:pPr>
            <w:r>
              <w:rPr>
                <w:rFonts w:ascii="Arial" w:cs="Arial" w:eastAsia="Arial" w:hAnsi="Arial"/>
                <w:sz w:val="15"/>
                <w:szCs w:val="15"/>
                <w:color w:val="auto"/>
              </w:rPr>
              <w:t>(US$680,400)</w:t>
            </w: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5"/>
                <w:szCs w:val="15"/>
                <w:b w:val="1"/>
                <w:bCs w:val="1"/>
                <w:color w:val="auto"/>
              </w:rPr>
              <w:t>   Kirsty Roth</w:t>
            </w:r>
          </w:p>
        </w:tc>
        <w:tc>
          <w:tcPr>
            <w:tcW w:w="2300" w:type="dxa"/>
            <w:vAlign w:val="bottom"/>
          </w:tcPr>
          <w:p>
            <w:pPr>
              <w:jc w:val="center"/>
              <w:ind w:right="204"/>
              <w:spacing w:after="0"/>
              <w:rPr>
                <w:sz w:val="20"/>
                <w:szCs w:val="20"/>
                <w:color w:val="auto"/>
              </w:rPr>
            </w:pPr>
            <w:r>
              <w:rPr>
                <w:rFonts w:ascii="Arial" w:cs="Arial" w:eastAsia="Arial" w:hAnsi="Arial"/>
                <w:sz w:val="15"/>
                <w:szCs w:val="15"/>
                <w:color w:val="auto"/>
              </w:rPr>
              <w:t>CHF685,000</w:t>
            </w:r>
          </w:p>
        </w:tc>
        <w:tc>
          <w:tcPr>
            <w:tcW w:w="13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620" w:type="dxa"/>
            <w:vAlign w:val="bottom"/>
          </w:tcPr>
          <w:p>
            <w:pPr>
              <w:jc w:val="right"/>
              <w:ind w:right="444"/>
              <w:spacing w:after="0"/>
              <w:rPr>
                <w:sz w:val="20"/>
                <w:szCs w:val="20"/>
                <w:color w:val="auto"/>
              </w:rPr>
            </w:pPr>
            <w:r>
              <w:rPr>
                <w:rFonts w:ascii="Arial" w:cs="Arial" w:eastAsia="Arial" w:hAnsi="Arial"/>
                <w:sz w:val="15"/>
                <w:szCs w:val="15"/>
                <w:color w:val="auto"/>
              </w:rPr>
              <w:t>300%</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81%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line="161" w:lineRule="exact"/>
              <w:rPr>
                <w:sz w:val="20"/>
                <w:szCs w:val="20"/>
                <w:color w:val="auto"/>
              </w:rPr>
            </w:pPr>
            <w:r>
              <w:rPr>
                <w:rFonts w:ascii="Arial" w:cs="Arial" w:eastAsia="Arial" w:hAnsi="Arial"/>
                <w:sz w:val="15"/>
                <w:szCs w:val="15"/>
                <w:color w:val="auto"/>
              </w:rPr>
              <w:t xml:space="preserve">   </w:t>
            </w:r>
          </w:p>
        </w:tc>
        <w:tc>
          <w:tcPr>
            <w:tcW w:w="2300" w:type="dxa"/>
            <w:vAlign w:val="bottom"/>
          </w:tcPr>
          <w:p>
            <w:pPr>
              <w:jc w:val="center"/>
              <w:ind w:right="204"/>
              <w:spacing w:after="0" w:line="161" w:lineRule="exact"/>
              <w:rPr>
                <w:sz w:val="20"/>
                <w:szCs w:val="20"/>
                <w:color w:val="auto"/>
              </w:rPr>
            </w:pPr>
            <w:r>
              <w:rPr>
                <w:rFonts w:ascii="Arial" w:cs="Arial" w:eastAsia="Arial" w:hAnsi="Arial"/>
                <w:sz w:val="15"/>
                <w:szCs w:val="15"/>
                <w:color w:val="auto"/>
              </w:rPr>
              <w:t>(US$829,044)</w:t>
            </w:r>
          </w:p>
        </w:tc>
        <w:tc>
          <w:tcPr>
            <w:tcW w:w="1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Chief Operations and Technology Officer</w:t>
            </w:r>
          </w:p>
        </w:tc>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5"/>
                <w:szCs w:val="15"/>
                <w:b w:val="1"/>
                <w:bCs w:val="1"/>
                <w:color w:val="auto"/>
              </w:rPr>
              <w:t>   David Wong</w:t>
            </w:r>
          </w:p>
        </w:tc>
        <w:tc>
          <w:tcPr>
            <w:tcW w:w="2300" w:type="dxa"/>
            <w:vAlign w:val="bottom"/>
          </w:tcPr>
          <w:p>
            <w:pPr>
              <w:jc w:val="center"/>
              <w:ind w:right="204"/>
              <w:spacing w:after="0"/>
              <w:rPr>
                <w:sz w:val="20"/>
                <w:szCs w:val="20"/>
                <w:color w:val="auto"/>
              </w:rPr>
            </w:pPr>
            <w:r>
              <w:rPr>
                <w:rFonts w:ascii="Arial" w:cs="Arial" w:eastAsia="Arial" w:hAnsi="Arial"/>
                <w:sz w:val="15"/>
                <w:szCs w:val="15"/>
                <w:color w:val="auto"/>
              </w:rPr>
              <w:t>C$850,000</w:t>
            </w:r>
          </w:p>
        </w:tc>
        <w:tc>
          <w:tcPr>
            <w:tcW w:w="13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620" w:type="dxa"/>
            <w:vAlign w:val="bottom"/>
          </w:tcPr>
          <w:p>
            <w:pPr>
              <w:jc w:val="right"/>
              <w:ind w:right="444"/>
              <w:spacing w:after="0"/>
              <w:rPr>
                <w:sz w:val="20"/>
                <w:szCs w:val="20"/>
                <w:color w:val="auto"/>
              </w:rPr>
            </w:pPr>
            <w:r>
              <w:rPr>
                <w:rFonts w:ascii="Arial" w:cs="Arial" w:eastAsia="Arial" w:hAnsi="Arial"/>
                <w:sz w:val="15"/>
                <w:szCs w:val="15"/>
                <w:color w:val="auto"/>
              </w:rPr>
              <w:t>350%</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83%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   Chief Product Officer</w:t>
            </w:r>
          </w:p>
        </w:tc>
        <w:tc>
          <w:tcPr>
            <w:tcW w:w="2300" w:type="dxa"/>
            <w:vAlign w:val="bottom"/>
          </w:tcPr>
          <w:p>
            <w:pPr>
              <w:jc w:val="center"/>
              <w:ind w:right="204"/>
              <w:spacing w:after="0"/>
              <w:rPr>
                <w:sz w:val="20"/>
                <w:szCs w:val="20"/>
                <w:color w:val="auto"/>
              </w:rPr>
            </w:pPr>
            <w:r>
              <w:rPr>
                <w:rFonts w:ascii="Arial" w:cs="Arial" w:eastAsia="Arial" w:hAnsi="Arial"/>
                <w:sz w:val="15"/>
                <w:szCs w:val="15"/>
                <w:color w:val="auto"/>
              </w:rPr>
              <w:t>(US$608,779)</w:t>
            </w: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5"/>
                <w:szCs w:val="15"/>
                <w:b w:val="1"/>
                <w:bCs w:val="1"/>
                <w:color w:val="auto"/>
              </w:rPr>
              <w:t>   Paul Bascobert</w:t>
            </w:r>
          </w:p>
        </w:tc>
        <w:tc>
          <w:tcPr>
            <w:tcW w:w="2300" w:type="dxa"/>
            <w:vAlign w:val="bottom"/>
          </w:tcPr>
          <w:p>
            <w:pPr>
              <w:jc w:val="center"/>
              <w:ind w:right="184"/>
              <w:spacing w:after="0"/>
              <w:rPr>
                <w:sz w:val="20"/>
                <w:szCs w:val="20"/>
                <w:color w:val="auto"/>
              </w:rPr>
            </w:pPr>
            <w:r>
              <w:rPr>
                <w:rFonts w:ascii="Arial" w:cs="Arial" w:eastAsia="Arial" w:hAnsi="Arial"/>
                <w:sz w:val="15"/>
                <w:szCs w:val="15"/>
                <w:color w:val="auto"/>
              </w:rPr>
              <w:t>US$750,000</w:t>
            </w:r>
          </w:p>
        </w:tc>
        <w:tc>
          <w:tcPr>
            <w:tcW w:w="1340" w:type="dxa"/>
            <w:vAlign w:val="bottom"/>
          </w:tcPr>
          <w:p>
            <w:pPr>
              <w:jc w:val="right"/>
              <w:ind w:right="204"/>
              <w:spacing w:after="0"/>
              <w:rPr>
                <w:sz w:val="20"/>
                <w:szCs w:val="20"/>
                <w:color w:val="auto"/>
              </w:rPr>
            </w:pPr>
            <w:r>
              <w:rPr>
                <w:rFonts w:ascii="Arial" w:cs="Arial" w:eastAsia="Arial" w:hAnsi="Arial"/>
                <w:sz w:val="15"/>
                <w:szCs w:val="15"/>
                <w:color w:val="auto"/>
              </w:rPr>
              <w:t>125%</w:t>
            </w:r>
          </w:p>
        </w:tc>
        <w:tc>
          <w:tcPr>
            <w:tcW w:w="1620" w:type="dxa"/>
            <w:vAlign w:val="bottom"/>
          </w:tcPr>
          <w:p>
            <w:pPr>
              <w:jc w:val="right"/>
              <w:ind w:right="444"/>
              <w:spacing w:after="0"/>
              <w:rPr>
                <w:sz w:val="20"/>
                <w:szCs w:val="20"/>
                <w:color w:val="auto"/>
              </w:rPr>
            </w:pPr>
            <w:r>
              <w:rPr>
                <w:rFonts w:ascii="Arial" w:cs="Arial" w:eastAsia="Arial" w:hAnsi="Arial"/>
                <w:sz w:val="15"/>
                <w:szCs w:val="15"/>
                <w:color w:val="auto"/>
              </w:rPr>
              <w:t>200%</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76%</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20" w:type="dxa"/>
            <w:vAlign w:val="bottom"/>
          </w:tcPr>
          <w:p>
            <w:pPr>
              <w:spacing w:after="0"/>
              <w:rPr>
                <w:sz w:val="20"/>
                <w:szCs w:val="20"/>
                <w:color w:val="auto"/>
              </w:rPr>
            </w:pPr>
            <w:r>
              <w:rPr>
                <w:rFonts w:ascii="Arial" w:cs="Arial" w:eastAsia="Arial" w:hAnsi="Arial"/>
                <w:sz w:val="15"/>
                <w:szCs w:val="15"/>
                <w:color w:val="auto"/>
              </w:rPr>
              <w:t>   President, Reuters News</w:t>
            </w:r>
          </w:p>
        </w:tc>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920" w:type="dxa"/>
            <w:vAlign w:val="bottom"/>
            <w:gridSpan w:val="6"/>
          </w:tcPr>
          <w:p>
            <w:pPr>
              <w:spacing w:after="0" w:line="173" w:lineRule="exact"/>
              <w:rPr>
                <w:sz w:val="20"/>
                <w:szCs w:val="20"/>
                <w:color w:val="auto"/>
              </w:rPr>
            </w:pPr>
            <w:r>
              <w:rPr>
                <w:rFonts w:ascii="MS PGothic" w:cs="MS PGothic" w:eastAsia="MS PGothic" w:hAnsi="MS PGothic"/>
                <w:sz w:val="15"/>
                <w:szCs w:val="15"/>
                <w:color w:val="1F473D"/>
              </w:rPr>
              <w:t>✓</w:t>
            </w:r>
            <w:r>
              <w:rPr>
                <w:rFonts w:ascii="Arial" w:cs="Arial" w:eastAsia="Arial" w:hAnsi="Arial"/>
                <w:sz w:val="15"/>
                <w:szCs w:val="15"/>
                <w:color w:val="auto"/>
              </w:rPr>
              <w:t xml:space="preserve">   </w:t>
            </w:r>
            <w:r>
              <w:rPr>
                <w:rFonts w:ascii="Arial" w:cs="Arial" w:eastAsia="Arial" w:hAnsi="Arial"/>
                <w:sz w:val="15"/>
                <w:szCs w:val="15"/>
                <w:b w:val="1"/>
                <w:bCs w:val="1"/>
                <w:color w:val="0F3514"/>
              </w:rPr>
              <w:t>Our compensation program is strongly aligned with shareholder value</w:t>
            </w:r>
            <w:r>
              <w:rPr>
                <w:rFonts w:ascii="Arial" w:cs="Arial" w:eastAsia="Arial" w:hAnsi="Arial"/>
                <w:sz w:val="15"/>
                <w:szCs w:val="15"/>
                <w:color w:val="auto"/>
              </w:rPr>
              <w:t xml:space="preserve"> – Our executive officer compensation is aligned 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-4659630</wp:posOffset>
            </wp:positionV>
            <wp:extent cx="6929755" cy="7108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7108190"/>
                    </a:xfrm>
                    <a:prstGeom prst="rect">
                      <a:avLst/>
                    </a:prstGeom>
                    <a:noFill/>
                  </pic:spPr>
                </pic:pic>
              </a:graphicData>
            </a:graphic>
          </wp:anchor>
        </w:drawing>
      </w:r>
    </w:p>
    <w:p>
      <w:pPr>
        <w:ind w:right="1820"/>
        <w:spacing w:after="0" w:line="234" w:lineRule="auto"/>
        <w:rPr>
          <w:sz w:val="20"/>
          <w:szCs w:val="20"/>
          <w:color w:val="auto"/>
        </w:rPr>
      </w:pPr>
      <w:r>
        <w:rPr>
          <w:rFonts w:ascii="Arial" w:cs="Arial" w:eastAsia="Arial" w:hAnsi="Arial"/>
          <w:sz w:val="15"/>
          <w:szCs w:val="15"/>
          <w:color w:val="auto"/>
        </w:rPr>
        <w:t>total shareholder value and is tied to key financial and strategic drivers of sustained value creation. We also require our executive officers to maintain meaningful levels of share ownership that are multiples of their respective base salaries, creating a strong link to our shareholders and the long-term success of our company.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shd w:val="clear" w:color="auto" w:fill="1F473D"/>
          </w:tcPr>
          <w:p>
            <w:pPr>
              <w:spacing w:after="0"/>
              <w:rPr>
                <w:sz w:val="15"/>
                <w:szCs w:val="15"/>
                <w:color w:val="auto"/>
              </w:rPr>
            </w:pPr>
          </w:p>
        </w:tc>
        <w:tc>
          <w:tcPr>
            <w:tcW w:w="2860" w:type="dxa"/>
            <w:vAlign w:val="bottom"/>
            <w:shd w:val="clear" w:color="auto" w:fill="1F473D"/>
          </w:tcPr>
          <w:p>
            <w:pPr>
              <w:jc w:val="center"/>
              <w:ind w:left="4"/>
              <w:spacing w:after="0"/>
              <w:rPr>
                <w:sz w:val="20"/>
                <w:szCs w:val="20"/>
                <w:color w:val="auto"/>
              </w:rPr>
            </w:pPr>
            <w:r>
              <w:rPr>
                <w:rFonts w:ascii="Arial" w:cs="Arial" w:eastAsia="Arial" w:hAnsi="Arial"/>
                <w:sz w:val="15"/>
                <w:szCs w:val="15"/>
                <w:b w:val="1"/>
                <w:bCs w:val="1"/>
                <w:color w:val="FFFFFF"/>
              </w:rPr>
              <w:t>Share Ownership</w:t>
            </w:r>
          </w:p>
        </w:tc>
      </w:tr>
      <w:tr>
        <w:trPr>
          <w:trHeight w:val="160"/>
        </w:trPr>
        <w:tc>
          <w:tcPr>
            <w:tcW w:w="2740" w:type="dxa"/>
            <w:vAlign w:val="bottom"/>
            <w:shd w:val="clear" w:color="auto" w:fill="1F473D"/>
          </w:tcPr>
          <w:p>
            <w:pPr>
              <w:spacing w:after="0"/>
              <w:rPr>
                <w:sz w:val="13"/>
                <w:szCs w:val="13"/>
                <w:color w:val="auto"/>
              </w:rPr>
            </w:pPr>
          </w:p>
        </w:tc>
        <w:tc>
          <w:tcPr>
            <w:tcW w:w="2860" w:type="dxa"/>
            <w:vAlign w:val="bottom"/>
            <w:shd w:val="clear" w:color="auto" w:fill="1F473D"/>
          </w:tcPr>
          <w:p>
            <w:pPr>
              <w:jc w:val="center"/>
              <w:ind w:left="4"/>
              <w:spacing w:after="0" w:line="161" w:lineRule="exact"/>
              <w:rPr>
                <w:sz w:val="20"/>
                <w:szCs w:val="20"/>
                <w:color w:val="auto"/>
              </w:rPr>
            </w:pPr>
            <w:r>
              <w:rPr>
                <w:rFonts w:ascii="Arial" w:cs="Arial" w:eastAsia="Arial" w:hAnsi="Arial"/>
                <w:sz w:val="15"/>
                <w:szCs w:val="15"/>
                <w:b w:val="1"/>
                <w:bCs w:val="1"/>
                <w:color w:val="FFFFFF"/>
              </w:rPr>
              <w:t>Guideline</w:t>
            </w:r>
          </w:p>
        </w:tc>
      </w:tr>
      <w:tr>
        <w:trPr>
          <w:trHeight w:val="225"/>
        </w:trPr>
        <w:tc>
          <w:tcPr>
            <w:tcW w:w="274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5"/>
                <w:szCs w:val="15"/>
                <w:b w:val="1"/>
                <w:bCs w:val="1"/>
                <w:color w:val="FFFFFF"/>
              </w:rPr>
              <w:t>   Named executive officer</w:t>
            </w:r>
          </w:p>
        </w:tc>
        <w:tc>
          <w:tcPr>
            <w:tcW w:w="286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5"/>
                <w:szCs w:val="15"/>
                <w:b w:val="1"/>
                <w:bCs w:val="1"/>
                <w:color w:val="FFFFFF"/>
              </w:rPr>
              <w:t xml:space="preserve">  (base salary multiple) </w:t>
            </w:r>
          </w:p>
        </w:tc>
      </w:tr>
      <w:tr>
        <w:trPr>
          <w:trHeight w:val="262"/>
        </w:trPr>
        <w:tc>
          <w:tcPr>
            <w:tcW w:w="2740" w:type="dxa"/>
            <w:vAlign w:val="bottom"/>
          </w:tcPr>
          <w:p>
            <w:pPr>
              <w:spacing w:after="0"/>
              <w:rPr>
                <w:sz w:val="20"/>
                <w:szCs w:val="20"/>
                <w:color w:val="auto"/>
              </w:rPr>
            </w:pPr>
            <w:r>
              <w:rPr>
                <w:rFonts w:ascii="Arial" w:cs="Arial" w:eastAsia="Arial" w:hAnsi="Arial"/>
                <w:sz w:val="15"/>
                <w:szCs w:val="15"/>
                <w:color w:val="auto"/>
              </w:rPr>
              <w:t>   Steve Hasker</w:t>
            </w:r>
          </w:p>
        </w:tc>
        <w:tc>
          <w:tcPr>
            <w:tcW w:w="2860" w:type="dxa"/>
            <w:vAlign w:val="bottom"/>
          </w:tcPr>
          <w:p>
            <w:pPr>
              <w:ind w:left="1420"/>
              <w:spacing w:after="0"/>
              <w:rPr>
                <w:sz w:val="20"/>
                <w:szCs w:val="20"/>
                <w:color w:val="auto"/>
              </w:rPr>
            </w:pPr>
            <w:r>
              <w:rPr>
                <w:rFonts w:ascii="Arial" w:cs="Arial" w:eastAsia="Arial" w:hAnsi="Arial"/>
                <w:sz w:val="15"/>
                <w:szCs w:val="15"/>
                <w:color w:val="auto"/>
              </w:rPr>
              <w:t>6x</w:t>
            </w:r>
          </w:p>
        </w:tc>
      </w:tr>
      <w:tr>
        <w:trPr>
          <w:trHeight w:val="254"/>
        </w:trPr>
        <w:tc>
          <w:tcPr>
            <w:tcW w:w="2740" w:type="dxa"/>
            <w:vAlign w:val="bottom"/>
          </w:tcPr>
          <w:p>
            <w:pPr>
              <w:spacing w:after="0"/>
              <w:rPr>
                <w:sz w:val="20"/>
                <w:szCs w:val="20"/>
                <w:color w:val="auto"/>
              </w:rPr>
            </w:pPr>
            <w:r>
              <w:rPr>
                <w:rFonts w:ascii="Arial" w:cs="Arial" w:eastAsia="Arial" w:hAnsi="Arial"/>
                <w:sz w:val="15"/>
                <w:szCs w:val="15"/>
                <w:color w:val="auto"/>
              </w:rPr>
              <w:t>   Mike Eastwood</w:t>
            </w:r>
          </w:p>
        </w:tc>
        <w:tc>
          <w:tcPr>
            <w:tcW w:w="2860" w:type="dxa"/>
            <w:vAlign w:val="bottom"/>
          </w:tcPr>
          <w:p>
            <w:pPr>
              <w:ind w:left="1420"/>
              <w:spacing w:after="0"/>
              <w:rPr>
                <w:sz w:val="20"/>
                <w:szCs w:val="20"/>
                <w:color w:val="auto"/>
              </w:rPr>
            </w:pPr>
            <w:r>
              <w:rPr>
                <w:rFonts w:ascii="Arial" w:cs="Arial" w:eastAsia="Arial" w:hAnsi="Arial"/>
                <w:sz w:val="15"/>
                <w:szCs w:val="15"/>
                <w:color w:val="auto"/>
              </w:rPr>
              <w:t>4x</w:t>
            </w:r>
          </w:p>
        </w:tc>
      </w:tr>
      <w:tr>
        <w:trPr>
          <w:trHeight w:val="215"/>
        </w:trPr>
        <w:tc>
          <w:tcPr>
            <w:tcW w:w="2740" w:type="dxa"/>
            <w:vAlign w:val="bottom"/>
          </w:tcPr>
          <w:p>
            <w:pPr>
              <w:spacing w:after="0"/>
              <w:rPr>
                <w:sz w:val="20"/>
                <w:szCs w:val="20"/>
                <w:color w:val="auto"/>
              </w:rPr>
            </w:pPr>
            <w:r>
              <w:rPr>
                <w:rFonts w:ascii="Arial" w:cs="Arial" w:eastAsia="Arial" w:hAnsi="Arial"/>
                <w:sz w:val="15"/>
                <w:szCs w:val="15"/>
                <w:color w:val="auto"/>
              </w:rPr>
              <w:t>   Kirsty Roth, David Wong, and Paul</w:t>
            </w:r>
          </w:p>
        </w:tc>
        <w:tc>
          <w:tcPr>
            <w:tcW w:w="2860" w:type="dxa"/>
            <w:vAlign w:val="bottom"/>
          </w:tcPr>
          <w:p>
            <w:pPr>
              <w:ind w:left="1420"/>
              <w:spacing w:after="0"/>
              <w:rPr>
                <w:sz w:val="20"/>
                <w:szCs w:val="20"/>
                <w:color w:val="auto"/>
              </w:rPr>
            </w:pPr>
            <w:r>
              <w:rPr>
                <w:rFonts w:ascii="Arial" w:cs="Arial" w:eastAsia="Arial" w:hAnsi="Arial"/>
                <w:sz w:val="15"/>
                <w:szCs w:val="15"/>
                <w:color w:val="auto"/>
              </w:rPr>
              <w:t>3x</w:t>
            </w:r>
          </w:p>
        </w:tc>
      </w:tr>
      <w:tr>
        <w:trPr>
          <w:trHeight w:val="199"/>
        </w:trPr>
        <w:tc>
          <w:tcPr>
            <w:tcW w:w="2740" w:type="dxa"/>
            <w:vAlign w:val="bottom"/>
          </w:tcPr>
          <w:p>
            <w:pPr>
              <w:spacing w:after="0"/>
              <w:rPr>
                <w:sz w:val="20"/>
                <w:szCs w:val="20"/>
                <w:color w:val="auto"/>
              </w:rPr>
            </w:pPr>
            <w:r>
              <w:rPr>
                <w:rFonts w:ascii="Arial" w:cs="Arial" w:eastAsia="Arial" w:hAnsi="Arial"/>
                <w:sz w:val="15"/>
                <w:szCs w:val="15"/>
                <w:color w:val="auto"/>
              </w:rPr>
              <w:t>   Bascobert</w:t>
            </w:r>
          </w:p>
        </w:tc>
        <w:tc>
          <w:tcPr>
            <w:tcW w:w="2860" w:type="dxa"/>
            <w:vAlign w:val="bottom"/>
          </w:tcPr>
          <w:p>
            <w:pPr>
              <w:spacing w:after="0"/>
              <w:rPr>
                <w:sz w:val="17"/>
                <w:szCs w:val="17"/>
                <w:color w:val="auto"/>
              </w:rPr>
            </w:pPr>
          </w:p>
        </w:tc>
      </w:tr>
    </w:tbl>
    <w:p>
      <w:pPr>
        <w:spacing w:after="0" w:line="173" w:lineRule="exact"/>
        <w:rPr>
          <w:sz w:val="20"/>
          <w:szCs w:val="20"/>
          <w:color w:val="auto"/>
        </w:rPr>
      </w:pPr>
      <w:r>
        <w:rPr>
          <w:rFonts w:ascii="MS PGothic" w:cs="MS PGothic" w:eastAsia="MS PGothic" w:hAnsi="MS PGothic"/>
          <w:sz w:val="15"/>
          <w:szCs w:val="15"/>
          <w:color w:val="1F473D"/>
        </w:rPr>
        <w:t>✓</w:t>
      </w:r>
      <w:r>
        <w:rPr>
          <w:rFonts w:ascii="Arial" w:cs="Arial" w:eastAsia="Arial" w:hAnsi="Arial"/>
          <w:sz w:val="15"/>
          <w:szCs w:val="15"/>
          <w:color w:val="auto"/>
        </w:rPr>
        <w:t xml:space="preserve">   </w:t>
      </w:r>
      <w:r>
        <w:rPr>
          <w:rFonts w:ascii="Arial" w:cs="Arial" w:eastAsia="Arial" w:hAnsi="Arial"/>
          <w:sz w:val="15"/>
          <w:szCs w:val="15"/>
          <w:b w:val="1"/>
          <w:bCs w:val="1"/>
          <w:color w:val="0F3514"/>
        </w:rPr>
        <w:t>We benchmark executive compensation and performance against global peer companies that we compete with for</w:t>
      </w:r>
    </w:p>
    <w:p>
      <w:pPr>
        <w:spacing w:after="0" w:line="44" w:lineRule="exact"/>
        <w:rPr>
          <w:sz w:val="20"/>
          <w:szCs w:val="20"/>
          <w:color w:val="auto"/>
        </w:rPr>
      </w:pPr>
    </w:p>
    <w:p>
      <w:pPr>
        <w:ind w:right="2120"/>
        <w:spacing w:after="0" w:line="234" w:lineRule="auto"/>
        <w:rPr>
          <w:sz w:val="20"/>
          <w:szCs w:val="20"/>
          <w:color w:val="auto"/>
        </w:rPr>
      </w:pPr>
      <w:r>
        <w:rPr>
          <w:rFonts w:ascii="Arial" w:cs="Arial" w:eastAsia="Arial" w:hAnsi="Arial"/>
          <w:sz w:val="15"/>
          <w:szCs w:val="15"/>
          <w:b w:val="1"/>
          <w:bCs w:val="1"/>
          <w:color w:val="0F3514"/>
        </w:rPr>
        <w:t xml:space="preserve">customers and talent </w:t>
      </w:r>
      <w:r>
        <w:rPr>
          <w:rFonts w:ascii="Arial" w:cs="Arial" w:eastAsia="Arial" w:hAnsi="Arial"/>
          <w:sz w:val="15"/>
          <w:szCs w:val="15"/>
          <w:color w:val="000000"/>
        </w:rPr>
        <w:t>– The HR Committee uses a global peer group for executive compensation purposes. For compensation</w:t>
      </w:r>
      <w:r>
        <w:rPr>
          <w:rFonts w:ascii="Arial" w:cs="Arial" w:eastAsia="Arial" w:hAnsi="Arial"/>
          <w:sz w:val="15"/>
          <w:szCs w:val="15"/>
          <w:b w:val="1"/>
          <w:bCs w:val="1"/>
          <w:color w:val="0F3514"/>
        </w:rPr>
        <w:t xml:space="preserve"> </w:t>
      </w:r>
      <w:r>
        <w:rPr>
          <w:rFonts w:ascii="Arial" w:cs="Arial" w:eastAsia="Arial" w:hAnsi="Arial"/>
          <w:sz w:val="15"/>
          <w:szCs w:val="15"/>
          <w:color w:val="000000"/>
        </w:rPr>
        <w:t>benchmarking of executive officers based in Toronto, the HR Committee also uses a separate Canadian peer group as a secondary reference point.</w:t>
      </w:r>
    </w:p>
    <w:p>
      <w:pPr>
        <w:spacing w:after="0" w:line="34"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1F473D"/>
        </w:rPr>
        <w:t>✓</w:t>
      </w:r>
      <w:r>
        <w:rPr>
          <w:rFonts w:ascii="Arial" w:cs="Arial" w:eastAsia="Arial" w:hAnsi="Arial"/>
          <w:sz w:val="15"/>
          <w:szCs w:val="15"/>
          <w:color w:val="auto"/>
        </w:rPr>
        <w:t xml:space="preserve">   </w:t>
      </w:r>
      <w:r>
        <w:rPr>
          <w:rFonts w:ascii="Arial" w:cs="Arial" w:eastAsia="Arial" w:hAnsi="Arial"/>
          <w:sz w:val="15"/>
          <w:szCs w:val="15"/>
          <w:b w:val="1"/>
          <w:bCs w:val="1"/>
          <w:color w:val="0F3514"/>
        </w:rPr>
        <w:t>Our compensation program is aligned with good governance practices and has received strong shareholder support in</w:t>
      </w:r>
    </w:p>
    <w:p>
      <w:pPr>
        <w:spacing w:after="0" w:line="51" w:lineRule="exact"/>
        <w:rPr>
          <w:sz w:val="20"/>
          <w:szCs w:val="20"/>
          <w:color w:val="auto"/>
        </w:rPr>
      </w:pPr>
    </w:p>
    <w:p>
      <w:pPr>
        <w:ind w:right="1860"/>
        <w:spacing w:after="0" w:line="234" w:lineRule="auto"/>
        <w:rPr>
          <w:sz w:val="20"/>
          <w:szCs w:val="20"/>
          <w:color w:val="auto"/>
        </w:rPr>
      </w:pPr>
      <w:r>
        <w:rPr>
          <w:rFonts w:ascii="Arial" w:cs="Arial" w:eastAsia="Arial" w:hAnsi="Arial"/>
          <w:sz w:val="15"/>
          <w:szCs w:val="15"/>
          <w:b w:val="1"/>
          <w:bCs w:val="1"/>
          <w:color w:val="0F3514"/>
        </w:rPr>
        <w:t xml:space="preserve">recent years </w:t>
      </w:r>
      <w:r>
        <w:rPr>
          <w:rFonts w:ascii="Arial" w:cs="Arial" w:eastAsia="Arial" w:hAnsi="Arial"/>
          <w:sz w:val="15"/>
          <w:szCs w:val="15"/>
          <w:color w:val="000000"/>
        </w:rPr>
        <w:t>– Our plans and programs reflect strong governance principles. The HR Committee has an independent advisor (Frederic</w:t>
      </w:r>
      <w:r>
        <w:rPr>
          <w:rFonts w:ascii="Arial" w:cs="Arial" w:eastAsia="Arial" w:hAnsi="Arial"/>
          <w:sz w:val="15"/>
          <w:szCs w:val="15"/>
          <w:b w:val="1"/>
          <w:bCs w:val="1"/>
          <w:color w:val="0F3514"/>
        </w:rPr>
        <w:t xml:space="preserve"> </w:t>
      </w:r>
      <w:r>
        <w:rPr>
          <w:rFonts w:ascii="Arial" w:cs="Arial" w:eastAsia="Arial" w:hAnsi="Arial"/>
          <w:sz w:val="15"/>
          <w:szCs w:val="15"/>
          <w:color w:val="000000"/>
        </w:rPr>
        <w:t xml:space="preserve">W. Cook &amp; Co., Inc. or “FW Cook”) for executive compensation matters. We also engage with our shareholders on compensation matters during the year and we provide a “say on pay” resolution each year at our annual meeting of shareholders. </w:t>
      </w:r>
      <w:r>
        <w:rPr>
          <w:rFonts w:ascii="Arial" w:cs="Arial" w:eastAsia="Arial" w:hAnsi="Arial"/>
          <w:sz w:val="15"/>
          <w:szCs w:val="15"/>
          <w:b w:val="1"/>
          <w:bCs w:val="1"/>
          <w:color w:val="000000"/>
        </w:rPr>
        <w:t>Over the last five</w:t>
      </w:r>
      <w:r>
        <w:rPr>
          <w:rFonts w:ascii="Arial" w:cs="Arial" w:eastAsia="Arial" w:hAnsi="Arial"/>
          <w:sz w:val="15"/>
          <w:szCs w:val="15"/>
          <w:color w:val="000000"/>
        </w:rPr>
        <w:t xml:space="preserve"> </w:t>
      </w:r>
      <w:r>
        <w:rPr>
          <w:rFonts w:ascii="Arial" w:cs="Arial" w:eastAsia="Arial" w:hAnsi="Arial"/>
          <w:sz w:val="15"/>
          <w:szCs w:val="15"/>
          <w:b w:val="1"/>
          <w:bCs w:val="1"/>
          <w:color w:val="000000"/>
        </w:rPr>
        <w:t>years, an average of approximately 98% of votes have been cast “for” our “say on pay” advisory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237490</wp:posOffset>
            </wp:positionV>
            <wp:extent cx="6929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85"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84" w:right="4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120" w:type="dxa"/>
            <w:vAlign w:val="bottom"/>
            <w:shd w:val="clear" w:color="auto" w:fill="1F473D"/>
          </w:tcPr>
          <w:p>
            <w:pPr>
              <w:spacing w:after="0"/>
              <w:rPr>
                <w:sz w:val="20"/>
                <w:szCs w:val="20"/>
                <w:color w:val="auto"/>
              </w:rPr>
            </w:pPr>
            <w:r>
              <w:rPr>
                <w:rFonts w:ascii="Arial" w:cs="Arial" w:eastAsia="Arial" w:hAnsi="Arial"/>
                <w:sz w:val="9"/>
                <w:szCs w:val="9"/>
                <w:b w:val="1"/>
                <w:bCs w:val="1"/>
                <w:color w:val="FFFFFF"/>
              </w:rPr>
              <w:t> </w:t>
            </w:r>
          </w:p>
        </w:tc>
        <w:tc>
          <w:tcPr>
            <w:tcW w:w="9240" w:type="dxa"/>
            <w:vAlign w:val="bottom"/>
            <w:shd w:val="clear" w:color="auto" w:fill="1F473D"/>
          </w:tcPr>
          <w:p>
            <w:pPr>
              <w:ind w:left="200"/>
              <w:spacing w:after="0"/>
              <w:rPr>
                <w:sz w:val="20"/>
                <w:szCs w:val="20"/>
                <w:color w:val="auto"/>
              </w:rPr>
            </w:pPr>
            <w:r>
              <w:rPr>
                <w:rFonts w:ascii="Arial" w:cs="Arial" w:eastAsia="Arial" w:hAnsi="Arial"/>
                <w:sz w:val="15"/>
                <w:szCs w:val="15"/>
                <w:b w:val="1"/>
                <w:bCs w:val="1"/>
                <w:color w:val="FFFFFF"/>
              </w:rPr>
              <w:t>Item of Business</w:t>
            </w:r>
          </w:p>
        </w:tc>
        <w:tc>
          <w:tcPr>
            <w:tcW w:w="1560" w:type="dxa"/>
            <w:vAlign w:val="bottom"/>
            <w:shd w:val="clear" w:color="auto" w:fill="1F473D"/>
          </w:tcPr>
          <w:p>
            <w:pPr>
              <w:ind w:left="260"/>
              <w:spacing w:after="0"/>
              <w:rPr>
                <w:sz w:val="20"/>
                <w:szCs w:val="20"/>
                <w:color w:val="auto"/>
              </w:rPr>
            </w:pPr>
            <w:r>
              <w:rPr>
                <w:rFonts w:ascii="Arial" w:cs="Arial" w:eastAsia="Arial" w:hAnsi="Arial"/>
                <w:sz w:val="15"/>
                <w:szCs w:val="15"/>
                <w:b w:val="1"/>
                <w:bCs w:val="1"/>
                <w:color w:val="FFFFFF"/>
              </w:rPr>
              <w:t>Board Vote</w:t>
            </w:r>
          </w:p>
        </w:tc>
      </w:tr>
      <w:tr>
        <w:trPr>
          <w:trHeight w:val="211"/>
        </w:trPr>
        <w:tc>
          <w:tcPr>
            <w:tcW w:w="120" w:type="dxa"/>
            <w:vAlign w:val="bottom"/>
            <w:tcBorders>
              <w:bottom w:val="single" w:sz="8" w:color="D64000"/>
            </w:tcBorders>
            <w:shd w:val="clear" w:color="auto" w:fill="1F473D"/>
          </w:tcPr>
          <w:p>
            <w:pPr>
              <w:spacing w:after="0"/>
              <w:rPr>
                <w:sz w:val="18"/>
                <w:szCs w:val="18"/>
                <w:color w:val="auto"/>
              </w:rPr>
            </w:pPr>
          </w:p>
        </w:tc>
        <w:tc>
          <w:tcPr>
            <w:tcW w:w="9240" w:type="dxa"/>
            <w:vAlign w:val="bottom"/>
            <w:tcBorders>
              <w:bottom w:val="single" w:sz="8" w:color="D64000"/>
            </w:tcBorders>
            <w:shd w:val="clear" w:color="auto" w:fill="1F473D"/>
          </w:tcPr>
          <w:p>
            <w:pPr>
              <w:spacing w:after="0"/>
              <w:rPr>
                <w:sz w:val="18"/>
                <w:szCs w:val="18"/>
                <w:color w:val="auto"/>
              </w:rPr>
            </w:pPr>
          </w:p>
        </w:tc>
        <w:tc>
          <w:tcPr>
            <w:tcW w:w="1560" w:type="dxa"/>
            <w:vAlign w:val="bottom"/>
            <w:tcBorders>
              <w:bottom w:val="single" w:sz="8" w:color="D64000"/>
            </w:tcBorders>
            <w:shd w:val="clear" w:color="auto" w:fill="1F473D"/>
          </w:tcPr>
          <w:p>
            <w:pPr>
              <w:ind w:left="260"/>
              <w:spacing w:after="0"/>
              <w:rPr>
                <w:sz w:val="20"/>
                <w:szCs w:val="20"/>
                <w:color w:val="auto"/>
              </w:rPr>
            </w:pPr>
            <w:r>
              <w:rPr>
                <w:rFonts w:ascii="Arial" w:cs="Arial" w:eastAsia="Arial" w:hAnsi="Arial"/>
                <w:sz w:val="15"/>
                <w:szCs w:val="15"/>
                <w:b w:val="1"/>
                <w:bCs w:val="1"/>
                <w:color w:val="FFFFFF"/>
              </w:rPr>
              <w:t>Recommendation</w:t>
            </w:r>
          </w:p>
        </w:tc>
      </w:tr>
      <w:tr>
        <w:trPr>
          <w:trHeight w:val="210"/>
        </w:trPr>
        <w:tc>
          <w:tcPr>
            <w:tcW w:w="120" w:type="dxa"/>
            <w:vAlign w:val="bottom"/>
          </w:tcPr>
          <w:p>
            <w:pPr>
              <w:spacing w:after="0"/>
              <w:rPr>
                <w:sz w:val="18"/>
                <w:szCs w:val="18"/>
                <w:color w:val="auto"/>
              </w:rPr>
            </w:pPr>
          </w:p>
        </w:tc>
        <w:tc>
          <w:tcPr>
            <w:tcW w:w="9240" w:type="dxa"/>
            <w:vAlign w:val="bottom"/>
          </w:tcPr>
          <w:p>
            <w:pPr>
              <w:ind w:left="200"/>
              <w:spacing w:after="0" w:line="173" w:lineRule="exact"/>
              <w:rPr>
                <w:sz w:val="20"/>
                <w:szCs w:val="20"/>
                <w:color w:val="auto"/>
              </w:rPr>
            </w:pPr>
            <w:r>
              <w:rPr>
                <w:rFonts w:ascii="MS PGothic" w:cs="MS PGothic" w:eastAsia="MS PGothic" w:hAnsi="MS PGothic"/>
                <w:sz w:val="15"/>
                <w:szCs w:val="15"/>
                <w:color w:val="1F473D"/>
              </w:rPr>
              <w:t>✓</w:t>
            </w:r>
            <w:r>
              <w:rPr>
                <w:rFonts w:ascii="Arial" w:cs="Arial" w:eastAsia="Arial" w:hAnsi="Arial"/>
                <w:sz w:val="15"/>
                <w:szCs w:val="15"/>
                <w:color w:val="1F473D"/>
              </w:rPr>
              <w:t xml:space="preserve">   </w:t>
            </w:r>
            <w:r>
              <w:rPr>
                <w:rFonts w:ascii="Arial" w:cs="Arial" w:eastAsia="Arial" w:hAnsi="Arial"/>
                <w:sz w:val="15"/>
                <w:szCs w:val="15"/>
                <w:b w:val="1"/>
                <w:bCs w:val="1"/>
                <w:color w:val="1F473D"/>
              </w:rPr>
              <w:t>We do not believe that we have any problematic pay practices and risk is taken into account in our compensation</w:t>
            </w:r>
          </w:p>
        </w:tc>
        <w:tc>
          <w:tcPr>
            <w:tcW w:w="1560" w:type="dxa"/>
            <w:vAlign w:val="bottom"/>
          </w:tcPr>
          <w:p>
            <w:pPr>
              <w:spacing w:after="0"/>
              <w:rPr>
                <w:sz w:val="18"/>
                <w:szCs w:val="18"/>
                <w:color w:val="auto"/>
              </w:rPr>
            </w:pPr>
          </w:p>
        </w:tc>
      </w:tr>
      <w:tr>
        <w:trPr>
          <w:trHeight w:val="160"/>
        </w:trPr>
        <w:tc>
          <w:tcPr>
            <w:tcW w:w="120" w:type="dxa"/>
            <w:vAlign w:val="bottom"/>
          </w:tcPr>
          <w:p>
            <w:pPr>
              <w:spacing w:after="0"/>
              <w:rPr>
                <w:sz w:val="13"/>
                <w:szCs w:val="13"/>
                <w:color w:val="auto"/>
              </w:rPr>
            </w:pPr>
          </w:p>
        </w:tc>
        <w:tc>
          <w:tcPr>
            <w:tcW w:w="9240" w:type="dxa"/>
            <w:vAlign w:val="bottom"/>
          </w:tcPr>
          <w:p>
            <w:pPr>
              <w:ind w:left="200"/>
              <w:spacing w:after="0" w:line="161" w:lineRule="exact"/>
              <w:rPr>
                <w:sz w:val="20"/>
                <w:szCs w:val="20"/>
                <w:color w:val="auto"/>
              </w:rPr>
            </w:pPr>
            <w:r>
              <w:rPr>
                <w:rFonts w:ascii="Arial" w:cs="Arial" w:eastAsia="Arial" w:hAnsi="Arial"/>
                <w:sz w:val="15"/>
                <w:szCs w:val="15"/>
                <w:b w:val="1"/>
                <w:bCs w:val="1"/>
                <w:color w:val="1F473D"/>
              </w:rPr>
              <w:t xml:space="preserve">programs </w:t>
            </w:r>
            <w:r>
              <w:rPr>
                <w:rFonts w:ascii="Arial" w:cs="Arial" w:eastAsia="Arial" w:hAnsi="Arial"/>
                <w:sz w:val="15"/>
                <w:szCs w:val="15"/>
                <w:color w:val="000000"/>
              </w:rPr>
              <w:t>– The HR Committee’s independent advisor reviews our compensation program to evaluate the degree to which it</w:t>
            </w:r>
          </w:p>
        </w:tc>
        <w:tc>
          <w:tcPr>
            <w:tcW w:w="1560" w:type="dxa"/>
            <w:vAlign w:val="bottom"/>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9240" w:type="dxa"/>
            <w:vAlign w:val="bottom"/>
          </w:tcPr>
          <w:p>
            <w:pPr>
              <w:ind w:left="200"/>
              <w:spacing w:after="0" w:line="161" w:lineRule="exact"/>
              <w:rPr>
                <w:sz w:val="20"/>
                <w:szCs w:val="20"/>
                <w:color w:val="auto"/>
              </w:rPr>
            </w:pPr>
            <w:r>
              <w:rPr>
                <w:rFonts w:ascii="Arial" w:cs="Arial" w:eastAsia="Arial" w:hAnsi="Arial"/>
                <w:sz w:val="15"/>
                <w:szCs w:val="15"/>
                <w:color w:val="auto"/>
              </w:rPr>
              <w:t>encourages risk taking in the context of our overall enterprise risk profile as well as recognized market best practices. Based on the</w:t>
            </w:r>
          </w:p>
        </w:tc>
        <w:tc>
          <w:tcPr>
            <w:tcW w:w="1560" w:type="dxa"/>
            <w:vAlign w:val="bottom"/>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9240" w:type="dxa"/>
            <w:vAlign w:val="bottom"/>
          </w:tcPr>
          <w:p>
            <w:pPr>
              <w:ind w:left="200"/>
              <w:spacing w:after="0" w:line="161" w:lineRule="exact"/>
              <w:rPr>
                <w:sz w:val="20"/>
                <w:szCs w:val="20"/>
                <w:color w:val="auto"/>
              </w:rPr>
            </w:pPr>
            <w:r>
              <w:rPr>
                <w:rFonts w:ascii="Arial" w:cs="Arial" w:eastAsia="Arial" w:hAnsi="Arial"/>
                <w:sz w:val="15"/>
                <w:szCs w:val="15"/>
                <w:color w:val="auto"/>
              </w:rPr>
              <w:t>independent advisor’s review, the HR Committee has concluded that our programs appear unlikely to create incentives for</w:t>
            </w:r>
          </w:p>
        </w:tc>
        <w:tc>
          <w:tcPr>
            <w:tcW w:w="1560" w:type="dxa"/>
            <w:vAlign w:val="bottom"/>
          </w:tcPr>
          <w:p>
            <w:pPr>
              <w:spacing w:after="0"/>
              <w:rPr>
                <w:sz w:val="13"/>
                <w:szCs w:val="13"/>
                <w:color w:val="auto"/>
              </w:rPr>
            </w:pPr>
          </w:p>
        </w:tc>
      </w:tr>
      <w:tr>
        <w:trPr>
          <w:trHeight w:val="199"/>
        </w:trPr>
        <w:tc>
          <w:tcPr>
            <w:tcW w:w="120" w:type="dxa"/>
            <w:vAlign w:val="bottom"/>
          </w:tcPr>
          <w:p>
            <w:pPr>
              <w:spacing w:after="0"/>
              <w:rPr>
                <w:sz w:val="17"/>
                <w:szCs w:val="17"/>
                <w:color w:val="auto"/>
              </w:rPr>
            </w:pPr>
          </w:p>
        </w:tc>
        <w:tc>
          <w:tcPr>
            <w:tcW w:w="9240" w:type="dxa"/>
            <w:vAlign w:val="bottom"/>
          </w:tcPr>
          <w:p>
            <w:pPr>
              <w:ind w:left="200"/>
              <w:spacing w:after="0"/>
              <w:rPr>
                <w:sz w:val="20"/>
                <w:szCs w:val="20"/>
                <w:color w:val="auto"/>
              </w:rPr>
            </w:pPr>
            <w:r>
              <w:rPr>
                <w:rFonts w:ascii="Arial" w:cs="Arial" w:eastAsia="Arial" w:hAnsi="Arial"/>
                <w:sz w:val="15"/>
                <w:szCs w:val="15"/>
                <w:color w:val="auto"/>
              </w:rPr>
              <w:t>excessive risk taking and include meaningful safeguards to mitigate compensation program risk.</w:t>
            </w:r>
          </w:p>
        </w:tc>
        <w:tc>
          <w:tcPr>
            <w:tcW w:w="15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-565150</wp:posOffset>
            </wp:positionV>
            <wp:extent cx="6929755" cy="6870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6870065"/>
                    </a:xfrm>
                    <a:prstGeom prst="rect">
                      <a:avLst/>
                    </a:prstGeom>
                    <a:noFill/>
                  </pic:spPr>
                </pic:pic>
              </a:graphicData>
            </a:graphic>
          </wp:anchor>
        </w:drawing>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What we do</w:t>
      </w:r>
    </w:p>
    <w:p>
      <w:pPr>
        <w:spacing w:after="0" w:line="61" w:lineRule="exact"/>
        <w:rPr>
          <w:sz w:val="20"/>
          <w:szCs w:val="20"/>
          <w:color w:val="auto"/>
        </w:rPr>
      </w:pPr>
    </w:p>
    <w:p>
      <w:pPr>
        <w:ind w:left="640" w:right="2300" w:hanging="320"/>
        <w:spacing w:after="0" w:line="229"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The HR Committee is comprised of a majority of </w:t>
      </w:r>
      <w:r>
        <w:rPr>
          <w:rFonts w:ascii="Arial" w:cs="Arial" w:eastAsia="Arial" w:hAnsi="Arial"/>
          <w:sz w:val="16"/>
          <w:szCs w:val="16"/>
          <w:b w:val="1"/>
          <w:bCs w:val="1"/>
          <w:color w:val="auto"/>
        </w:rPr>
        <w:t>independent directors</w:t>
      </w:r>
      <w:r>
        <w:rPr>
          <w:rFonts w:ascii="Arial" w:cs="Arial" w:eastAsia="Arial" w:hAnsi="Arial"/>
          <w:sz w:val="16"/>
          <w:szCs w:val="16"/>
          <w:color w:val="auto"/>
        </w:rPr>
        <w:t xml:space="preserve"> and it uses an </w:t>
      </w:r>
      <w:r>
        <w:rPr>
          <w:rFonts w:ascii="Arial" w:cs="Arial" w:eastAsia="Arial" w:hAnsi="Arial"/>
          <w:sz w:val="16"/>
          <w:szCs w:val="16"/>
          <w:b w:val="1"/>
          <w:bCs w:val="1"/>
          <w:color w:val="auto"/>
        </w:rPr>
        <w:t>independent 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compensation consultant </w:t>
      </w:r>
      <w:r>
        <w:rPr>
          <w:rFonts w:ascii="Arial" w:cs="Arial" w:eastAsia="Arial" w:hAnsi="Arial"/>
          <w:sz w:val="16"/>
          <w:szCs w:val="16"/>
          <w:color w:val="auto"/>
        </w:rPr>
        <w:t>to assess our executive compensation programs;</w:t>
      </w:r>
    </w:p>
    <w:p>
      <w:pPr>
        <w:spacing w:after="0" w:line="25" w:lineRule="exact"/>
        <w:rPr>
          <w:sz w:val="20"/>
          <w:szCs w:val="20"/>
          <w:color w:val="auto"/>
        </w:rPr>
      </w:pPr>
    </w:p>
    <w:p>
      <w:pPr>
        <w:ind w:left="640" w:right="1880" w:hanging="320"/>
        <w:spacing w:after="0" w:line="22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Most of an executive’s compensation is comprised of </w:t>
      </w:r>
      <w:r>
        <w:rPr>
          <w:rFonts w:ascii="Arial" w:cs="Arial" w:eastAsia="Arial" w:hAnsi="Arial"/>
          <w:sz w:val="16"/>
          <w:szCs w:val="16"/>
          <w:b w:val="1"/>
          <w:bCs w:val="1"/>
          <w:color w:val="auto"/>
        </w:rPr>
        <w:t>longer-term performance opportunities</w:t>
      </w:r>
      <w:r>
        <w:rPr>
          <w:rFonts w:ascii="Arial" w:cs="Arial" w:eastAsia="Arial" w:hAnsi="Arial"/>
          <w:sz w:val="16"/>
          <w:szCs w:val="16"/>
          <w:color w:val="auto"/>
        </w:rPr>
        <w:t xml:space="preserve"> with less emphasis on shorter-term performance opportunities;</w:t>
      </w:r>
    </w:p>
    <w:p>
      <w:pPr>
        <w:spacing w:after="0" w:line="35" w:lineRule="exact"/>
        <w:rPr>
          <w:sz w:val="20"/>
          <w:szCs w:val="20"/>
          <w:color w:val="auto"/>
        </w:rPr>
      </w:pPr>
    </w:p>
    <w:p>
      <w:pPr>
        <w:ind w:left="320"/>
        <w:spacing w:after="0" w:line="18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The </w:t>
      </w:r>
      <w:r>
        <w:rPr>
          <w:rFonts w:ascii="Arial" w:cs="Arial" w:eastAsia="Arial" w:hAnsi="Arial"/>
          <w:sz w:val="16"/>
          <w:szCs w:val="16"/>
          <w:b w:val="1"/>
          <w:bCs w:val="1"/>
          <w:color w:val="auto"/>
        </w:rPr>
        <w:t>base salary</w:t>
      </w:r>
      <w:r>
        <w:rPr>
          <w:rFonts w:ascii="Arial" w:cs="Arial" w:eastAsia="Arial" w:hAnsi="Arial"/>
          <w:sz w:val="16"/>
          <w:szCs w:val="16"/>
          <w:color w:val="auto"/>
        </w:rPr>
        <w:t xml:space="preserve"> component of each executive’s compensation is </w:t>
      </w:r>
      <w:r>
        <w:rPr>
          <w:rFonts w:ascii="Arial" w:cs="Arial" w:eastAsia="Arial" w:hAnsi="Arial"/>
          <w:sz w:val="16"/>
          <w:szCs w:val="16"/>
          <w:b w:val="1"/>
          <w:bCs w:val="1"/>
          <w:color w:val="auto"/>
        </w:rPr>
        <w:t>fixed</w:t>
      </w:r>
      <w:r>
        <w:rPr>
          <w:rFonts w:ascii="Arial" w:cs="Arial" w:eastAsia="Arial" w:hAnsi="Arial"/>
          <w:sz w:val="16"/>
          <w:szCs w:val="16"/>
          <w:color w:val="auto"/>
        </w:rPr>
        <w:t>;</w:t>
      </w:r>
    </w:p>
    <w:p>
      <w:pPr>
        <w:spacing w:after="0" w:line="110" w:lineRule="exact"/>
        <w:rPr>
          <w:sz w:val="20"/>
          <w:szCs w:val="20"/>
          <w:color w:val="auto"/>
        </w:rPr>
      </w:pPr>
    </w:p>
    <w:p>
      <w:pPr>
        <w:ind w:left="640" w:right="1880" w:hanging="320"/>
        <w:spacing w:after="0" w:line="229"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1F473D"/>
        </w:rPr>
        <w:t xml:space="preserve">   </w:t>
      </w:r>
      <w:r>
        <w:rPr>
          <w:rFonts w:ascii="Arial" w:cs="Arial" w:eastAsia="Arial" w:hAnsi="Arial"/>
          <w:sz w:val="16"/>
          <w:szCs w:val="16"/>
          <w:color w:val="000000"/>
        </w:rPr>
        <w:t>Our</w:t>
      </w:r>
      <w:r>
        <w:rPr>
          <w:rFonts w:ascii="Arial" w:cs="Arial" w:eastAsia="Arial" w:hAnsi="Arial"/>
          <w:sz w:val="16"/>
          <w:szCs w:val="16"/>
          <w:color w:val="1F473D"/>
        </w:rPr>
        <w:t xml:space="preserve"> </w:t>
      </w:r>
      <w:r>
        <w:rPr>
          <w:rFonts w:ascii="Arial" w:cs="Arial" w:eastAsia="Arial" w:hAnsi="Arial"/>
          <w:sz w:val="16"/>
          <w:szCs w:val="16"/>
          <w:b w:val="1"/>
          <w:bCs w:val="1"/>
          <w:color w:val="000000"/>
        </w:rPr>
        <w:t>HR Committee annually reviews and determines award design</w:t>
      </w:r>
      <w:r>
        <w:rPr>
          <w:rFonts w:ascii="Arial" w:cs="Arial" w:eastAsia="Arial" w:hAnsi="Arial"/>
          <w:sz w:val="16"/>
          <w:szCs w:val="16"/>
          <w:color w:val="1F473D"/>
        </w:rPr>
        <w:t xml:space="preserve"> </w:t>
      </w:r>
      <w:r>
        <w:rPr>
          <w:rFonts w:ascii="Arial" w:cs="Arial" w:eastAsia="Arial" w:hAnsi="Arial"/>
          <w:sz w:val="16"/>
          <w:szCs w:val="16"/>
          <w:color w:val="000000"/>
        </w:rPr>
        <w:t>and there are</w:t>
      </w:r>
      <w:r>
        <w:rPr>
          <w:rFonts w:ascii="Arial" w:cs="Arial" w:eastAsia="Arial" w:hAnsi="Arial"/>
          <w:sz w:val="16"/>
          <w:szCs w:val="16"/>
          <w:color w:val="1F473D"/>
        </w:rPr>
        <w:t xml:space="preserve"> </w:t>
      </w:r>
      <w:r>
        <w:rPr>
          <w:rFonts w:ascii="Arial" w:cs="Arial" w:eastAsia="Arial" w:hAnsi="Arial"/>
          <w:sz w:val="16"/>
          <w:szCs w:val="16"/>
          <w:b w:val="1"/>
          <w:bCs w:val="1"/>
          <w:color w:val="000000"/>
        </w:rPr>
        <w:t>principles and processes with</w:t>
      </w:r>
      <w:r>
        <w:rPr>
          <w:rFonts w:ascii="Arial" w:cs="Arial" w:eastAsia="Arial" w:hAnsi="Arial"/>
          <w:sz w:val="16"/>
          <w:szCs w:val="16"/>
          <w:color w:val="1F473D"/>
        </w:rPr>
        <w:t xml:space="preserve"> </w:t>
      </w:r>
      <w:r>
        <w:rPr>
          <w:rFonts w:ascii="Arial" w:cs="Arial" w:eastAsia="Arial" w:hAnsi="Arial"/>
          <w:sz w:val="16"/>
          <w:szCs w:val="16"/>
          <w:b w:val="1"/>
          <w:bCs w:val="1"/>
          <w:color w:val="000000"/>
        </w:rPr>
        <w:t xml:space="preserve">management </w:t>
      </w:r>
      <w:r>
        <w:rPr>
          <w:rFonts w:ascii="Arial" w:cs="Arial" w:eastAsia="Arial" w:hAnsi="Arial"/>
          <w:sz w:val="16"/>
          <w:szCs w:val="16"/>
          <w:color w:val="000000"/>
        </w:rPr>
        <w:t>for approving design changes and performance goals;</w:t>
      </w:r>
    </w:p>
    <w:p>
      <w:pPr>
        <w:spacing w:after="0" w:line="25" w:lineRule="exact"/>
        <w:rPr>
          <w:sz w:val="20"/>
          <w:szCs w:val="20"/>
          <w:color w:val="auto"/>
        </w:rPr>
      </w:pPr>
    </w:p>
    <w:p>
      <w:pPr>
        <w:ind w:left="640" w:right="1920" w:hanging="320"/>
        <w:spacing w:after="0" w:line="212"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1F473D"/>
        </w:rPr>
        <w:t xml:space="preserve">   </w:t>
      </w:r>
      <w:r>
        <w:rPr>
          <w:rFonts w:ascii="Arial" w:cs="Arial" w:eastAsia="Arial" w:hAnsi="Arial"/>
          <w:sz w:val="16"/>
          <w:szCs w:val="16"/>
          <w:color w:val="000000"/>
        </w:rPr>
        <w:t>The HR Committee reviews</w:t>
      </w:r>
      <w:r>
        <w:rPr>
          <w:rFonts w:ascii="Arial" w:cs="Arial" w:eastAsia="Arial" w:hAnsi="Arial"/>
          <w:sz w:val="16"/>
          <w:szCs w:val="16"/>
          <w:color w:val="1F473D"/>
        </w:rPr>
        <w:t xml:space="preserve"> </w:t>
      </w:r>
      <w:r>
        <w:rPr>
          <w:rFonts w:ascii="Arial" w:cs="Arial" w:eastAsia="Arial" w:hAnsi="Arial"/>
          <w:sz w:val="16"/>
          <w:szCs w:val="16"/>
          <w:b w:val="1"/>
          <w:bCs w:val="1"/>
          <w:color w:val="000000"/>
        </w:rPr>
        <w:t>performance criteria</w:t>
      </w:r>
      <w:r>
        <w:rPr>
          <w:rFonts w:ascii="Arial" w:cs="Arial" w:eastAsia="Arial" w:hAnsi="Arial"/>
          <w:sz w:val="16"/>
          <w:szCs w:val="16"/>
          <w:color w:val="1F473D"/>
        </w:rPr>
        <w:t xml:space="preserve"> </w:t>
      </w:r>
      <w:r>
        <w:rPr>
          <w:rFonts w:ascii="Arial" w:cs="Arial" w:eastAsia="Arial" w:hAnsi="Arial"/>
          <w:sz w:val="16"/>
          <w:szCs w:val="16"/>
          <w:color w:val="000000"/>
        </w:rPr>
        <w:t>for financial metrics used in our incentive awards, including</w:t>
      </w:r>
      <w:r>
        <w:rPr>
          <w:rFonts w:ascii="Arial" w:cs="Arial" w:eastAsia="Arial" w:hAnsi="Arial"/>
          <w:sz w:val="16"/>
          <w:szCs w:val="16"/>
          <w:color w:val="1F473D"/>
        </w:rPr>
        <w:t xml:space="preserve"> </w:t>
      </w:r>
      <w:r>
        <w:rPr>
          <w:rFonts w:ascii="Arial" w:cs="Arial" w:eastAsia="Arial" w:hAnsi="Arial"/>
          <w:sz w:val="16"/>
          <w:szCs w:val="16"/>
          <w:color w:val="000000"/>
        </w:rPr>
        <w:t>threshold, target and maximum amounts, to ensure that they are challenging, but achievable. Performance criteria are aligned with the company’s strategic objectives;</w:t>
      </w:r>
    </w:p>
    <w:p>
      <w:pPr>
        <w:spacing w:after="0" w:line="34" w:lineRule="exact"/>
        <w:rPr>
          <w:sz w:val="20"/>
          <w:szCs w:val="20"/>
          <w:color w:val="auto"/>
        </w:rPr>
      </w:pPr>
    </w:p>
    <w:p>
      <w:pPr>
        <w:ind w:left="640" w:right="2280" w:hanging="320"/>
        <w:spacing w:after="0" w:line="22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Our incentive awards utilize a number of </w:t>
      </w:r>
      <w:r>
        <w:rPr>
          <w:rFonts w:ascii="Arial" w:cs="Arial" w:eastAsia="Arial" w:hAnsi="Arial"/>
          <w:sz w:val="16"/>
          <w:szCs w:val="16"/>
          <w:b w:val="1"/>
          <w:bCs w:val="1"/>
          <w:color w:val="auto"/>
        </w:rPr>
        <w:t>different financial performance measures</w:t>
      </w:r>
      <w:r>
        <w:rPr>
          <w:rFonts w:ascii="Arial" w:cs="Arial" w:eastAsia="Arial" w:hAnsi="Arial"/>
          <w:sz w:val="16"/>
          <w:szCs w:val="16"/>
          <w:color w:val="auto"/>
        </w:rPr>
        <w:t xml:space="preserve"> and do not rely on a single metric. Each metric has a threshold, target and maximum performance target with pre-defined payout amounts;</w:t>
      </w:r>
    </w:p>
    <w:p>
      <w:pPr>
        <w:spacing w:after="0" w:line="35" w:lineRule="exact"/>
        <w:rPr>
          <w:sz w:val="20"/>
          <w:szCs w:val="20"/>
          <w:color w:val="auto"/>
        </w:rPr>
      </w:pPr>
    </w:p>
    <w:p>
      <w:pPr>
        <w:ind w:left="640" w:right="2140" w:hanging="320"/>
        <w:spacing w:after="0" w:line="229"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Our annual incentive awards and performance restricted share units (PRSUs) issued as part of long-term incentive awards have </w:t>
      </w:r>
      <w:r>
        <w:rPr>
          <w:rFonts w:ascii="Arial" w:cs="Arial" w:eastAsia="Arial" w:hAnsi="Arial"/>
          <w:sz w:val="16"/>
          <w:szCs w:val="16"/>
          <w:b w:val="1"/>
          <w:bCs w:val="1"/>
          <w:color w:val="auto"/>
        </w:rPr>
        <w:t>caps for the maximum potential payouts</w:t>
      </w:r>
      <w:r>
        <w:rPr>
          <w:rFonts w:ascii="Arial" w:cs="Arial" w:eastAsia="Arial" w:hAnsi="Arial"/>
          <w:sz w:val="16"/>
          <w:szCs w:val="16"/>
          <w:color w:val="auto"/>
        </w:rPr>
        <w:t>;</w:t>
      </w:r>
    </w:p>
    <w:p>
      <w:pPr>
        <w:spacing w:after="0" w:line="25" w:lineRule="exact"/>
        <w:rPr>
          <w:sz w:val="20"/>
          <w:szCs w:val="20"/>
          <w:color w:val="auto"/>
        </w:rPr>
      </w:pPr>
    </w:p>
    <w:p>
      <w:pPr>
        <w:ind w:left="640" w:right="1820" w:hanging="320"/>
        <w:spacing w:after="0" w:line="22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Our </w:t>
      </w:r>
      <w:r>
        <w:rPr>
          <w:rFonts w:ascii="Arial" w:cs="Arial" w:eastAsia="Arial" w:hAnsi="Arial"/>
          <w:sz w:val="16"/>
          <w:szCs w:val="16"/>
          <w:b w:val="1"/>
          <w:bCs w:val="1"/>
          <w:color w:val="auto"/>
        </w:rPr>
        <w:t>HR Committee has authority</w:t>
      </w:r>
      <w:r>
        <w:rPr>
          <w:rFonts w:ascii="Arial" w:cs="Arial" w:eastAsia="Arial" w:hAnsi="Arial"/>
          <w:sz w:val="16"/>
          <w:szCs w:val="16"/>
          <w:color w:val="auto"/>
        </w:rPr>
        <w:t xml:space="preserve"> to make fairness-related and other adjustments to performance award opportunities that it may deem appropriate;</w:t>
      </w:r>
    </w:p>
    <w:p>
      <w:pPr>
        <w:spacing w:after="0" w:line="35" w:lineRule="exact"/>
        <w:rPr>
          <w:sz w:val="20"/>
          <w:szCs w:val="20"/>
          <w:color w:val="auto"/>
        </w:rPr>
      </w:pPr>
    </w:p>
    <w:p>
      <w:pPr>
        <w:ind w:left="640" w:right="1860" w:hanging="320"/>
        <w:spacing w:after="0" w:line="22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We have robust </w:t>
      </w:r>
      <w:r>
        <w:rPr>
          <w:rFonts w:ascii="Arial" w:cs="Arial" w:eastAsia="Arial" w:hAnsi="Arial"/>
          <w:sz w:val="16"/>
          <w:szCs w:val="16"/>
          <w:b w:val="1"/>
          <w:bCs w:val="1"/>
          <w:color w:val="auto"/>
        </w:rPr>
        <w:t>share ownership guidelines</w:t>
      </w:r>
      <w:r>
        <w:rPr>
          <w:rFonts w:ascii="Arial" w:cs="Arial" w:eastAsia="Arial" w:hAnsi="Arial"/>
          <w:sz w:val="16"/>
          <w:szCs w:val="16"/>
          <w:color w:val="auto"/>
        </w:rPr>
        <w:t xml:space="preserve"> for our executive officers which further ties their interests to those of our shareholders over the long-term; and</w:t>
      </w:r>
    </w:p>
    <w:p>
      <w:pPr>
        <w:spacing w:after="0" w:line="35" w:lineRule="exact"/>
        <w:rPr>
          <w:sz w:val="20"/>
          <w:szCs w:val="20"/>
          <w:color w:val="auto"/>
        </w:rPr>
      </w:pPr>
    </w:p>
    <w:p>
      <w:pPr>
        <w:ind w:left="640" w:right="1860" w:hanging="320"/>
        <w:spacing w:after="0" w:line="224" w:lineRule="exact"/>
        <w:rPr>
          <w:sz w:val="20"/>
          <w:szCs w:val="20"/>
          <w:color w:val="auto"/>
        </w:rPr>
      </w:pPr>
      <w:r>
        <w:rPr>
          <w:rFonts w:ascii="MS PGothic" w:cs="MS PGothic" w:eastAsia="MS PGothic" w:hAnsi="MS PGothic"/>
          <w:sz w:val="16"/>
          <w:szCs w:val="16"/>
          <w:color w:val="1F473D"/>
        </w:rPr>
        <w:t>✓</w:t>
      </w:r>
      <w:r>
        <w:rPr>
          <w:rFonts w:ascii="Arial" w:cs="Arial" w:eastAsia="Arial" w:hAnsi="Arial"/>
          <w:sz w:val="16"/>
          <w:szCs w:val="16"/>
          <w:color w:val="auto"/>
        </w:rPr>
        <w:t xml:space="preserve">   We have two </w:t>
      </w:r>
      <w:r>
        <w:rPr>
          <w:rFonts w:ascii="Arial" w:cs="Arial" w:eastAsia="Arial" w:hAnsi="Arial"/>
          <w:sz w:val="16"/>
          <w:szCs w:val="16"/>
          <w:b w:val="1"/>
          <w:bCs w:val="1"/>
          <w:color w:val="auto"/>
        </w:rPr>
        <w:t>clawback policies</w:t>
      </w:r>
      <w:r>
        <w:rPr>
          <w:rFonts w:ascii="Arial" w:cs="Arial" w:eastAsia="Arial" w:hAnsi="Arial"/>
          <w:sz w:val="16"/>
          <w:szCs w:val="16"/>
          <w:color w:val="auto"/>
        </w:rPr>
        <w:t xml:space="preserve"> which permit us to seek reimbursement from the CEO and all other executive officers in certain circumstances.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What we don’t do</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6"/>
          <w:szCs w:val="16"/>
          <w:color w:val="FF4338"/>
        </w:rPr>
        <w:t>X</w:t>
      </w:r>
      <w:r>
        <w:rPr>
          <w:rFonts w:ascii="Arial" w:cs="Arial" w:eastAsia="Arial" w:hAnsi="Arial"/>
          <w:sz w:val="16"/>
          <w:szCs w:val="16"/>
          <w:b w:val="1"/>
          <w:bCs w:val="1"/>
          <w:color w:val="000000"/>
        </w:rPr>
        <w:t xml:space="preserve">     Executive officers are prohibited from hedging or pledging company shares;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6"/>
          <w:szCs w:val="16"/>
          <w:color w:val="FF4338"/>
        </w:rPr>
        <w:t>X</w:t>
      </w:r>
      <w:r>
        <w:rPr>
          <w:rFonts w:ascii="Arial" w:cs="Arial" w:eastAsia="Arial" w:hAnsi="Arial"/>
          <w:sz w:val="16"/>
          <w:szCs w:val="16"/>
          <w:b w:val="1"/>
          <w:bCs w:val="1"/>
          <w:color w:val="000000"/>
        </w:rPr>
        <w:t xml:space="preserve">     We don’t offer single trigger change of control rights or excise tax gross-up payments;</w:t>
      </w:r>
    </w:p>
    <w:p>
      <w:pPr>
        <w:spacing w:after="0" w:line="97" w:lineRule="exact"/>
        <w:rPr>
          <w:sz w:val="20"/>
          <w:szCs w:val="20"/>
          <w:color w:val="auto"/>
        </w:rPr>
      </w:pPr>
    </w:p>
    <w:p>
      <w:pPr>
        <w:ind w:left="320" w:right="2280"/>
        <w:spacing w:after="0" w:line="366" w:lineRule="auto"/>
        <w:rPr>
          <w:sz w:val="20"/>
          <w:szCs w:val="20"/>
          <w:color w:val="auto"/>
        </w:rPr>
      </w:pPr>
      <w:r>
        <w:rPr>
          <w:rFonts w:ascii="Arial" w:cs="Arial" w:eastAsia="Arial" w:hAnsi="Arial"/>
          <w:sz w:val="16"/>
          <w:szCs w:val="16"/>
          <w:color w:val="FF4338"/>
        </w:rPr>
        <w:t>X</w:t>
      </w:r>
      <w:r>
        <w:rPr>
          <w:rFonts w:ascii="Arial" w:cs="Arial" w:eastAsia="Arial" w:hAnsi="Arial"/>
          <w:sz w:val="16"/>
          <w:szCs w:val="16"/>
          <w:b w:val="1"/>
          <w:bCs w:val="1"/>
          <w:color w:val="000000"/>
        </w:rPr>
        <w:t xml:space="preserve">    We don’t guarantee minimum payout levels in our incentive plans or minimum vesting for equity awards;</w:t>
      </w:r>
      <w:r>
        <w:rPr>
          <w:rFonts w:ascii="Arial" w:cs="Arial" w:eastAsia="Arial" w:hAnsi="Arial"/>
          <w:sz w:val="16"/>
          <w:szCs w:val="16"/>
          <w:color w:val="FF4338"/>
        </w:rPr>
        <w:t xml:space="preserve"> X</w:t>
      </w:r>
      <w:r>
        <w:rPr>
          <w:rFonts w:ascii="Arial" w:cs="Arial" w:eastAsia="Arial" w:hAnsi="Arial"/>
          <w:sz w:val="16"/>
          <w:szCs w:val="16"/>
          <w:b w:val="1"/>
          <w:bCs w:val="1"/>
          <w:color w:val="000000"/>
        </w:rPr>
        <w:t xml:space="preserve">    We don’t guarantee increases to base salaries or target incentive award opportunities;</w:t>
      </w:r>
    </w:p>
    <w:p>
      <w:pPr>
        <w:spacing w:after="0" w:line="1" w:lineRule="exact"/>
        <w:rPr>
          <w:sz w:val="20"/>
          <w:szCs w:val="20"/>
          <w:color w:val="auto"/>
        </w:rPr>
      </w:pPr>
    </w:p>
    <w:p>
      <w:pPr>
        <w:ind w:left="640" w:right="1900" w:hanging="320"/>
        <w:spacing w:after="0" w:line="292" w:lineRule="auto"/>
        <w:rPr>
          <w:sz w:val="20"/>
          <w:szCs w:val="20"/>
          <w:color w:val="auto"/>
        </w:rPr>
      </w:pPr>
      <w:r>
        <w:rPr>
          <w:rFonts w:ascii="Arial" w:cs="Arial" w:eastAsia="Arial" w:hAnsi="Arial"/>
          <w:sz w:val="16"/>
          <w:szCs w:val="16"/>
          <w:color w:val="FF4338"/>
        </w:rPr>
        <w:t>X</w:t>
      </w:r>
      <w:r>
        <w:rPr>
          <w:rFonts w:ascii="Arial" w:cs="Arial" w:eastAsia="Arial" w:hAnsi="Arial"/>
          <w:sz w:val="16"/>
          <w:szCs w:val="16"/>
          <w:b w:val="1"/>
          <w:bCs w:val="1"/>
          <w:color w:val="000000"/>
        </w:rPr>
        <w:t xml:space="preserve">    We don’t reprice stock options, grant reload stock options or “spring load” equity awards to enable recipients</w:t>
      </w:r>
      <w:r>
        <w:rPr>
          <w:rFonts w:ascii="Arial" w:cs="Arial" w:eastAsia="Arial" w:hAnsi="Arial"/>
          <w:sz w:val="16"/>
          <w:szCs w:val="16"/>
          <w:color w:val="FF4338"/>
        </w:rPr>
        <w:t xml:space="preserve"> </w:t>
      </w:r>
      <w:r>
        <w:rPr>
          <w:rFonts w:ascii="Arial" w:cs="Arial" w:eastAsia="Arial" w:hAnsi="Arial"/>
          <w:sz w:val="16"/>
          <w:szCs w:val="16"/>
          <w:b w:val="1"/>
          <w:bCs w:val="1"/>
          <w:color w:val="000000"/>
        </w:rPr>
        <w:t>to benefit from the release of confidential information;</w:t>
      </w:r>
    </w:p>
    <w:p>
      <w:pPr>
        <w:spacing w:after="0" w:line="20" w:lineRule="exact"/>
        <w:rPr>
          <w:sz w:val="20"/>
          <w:szCs w:val="20"/>
          <w:color w:val="auto"/>
        </w:rPr>
      </w:pPr>
    </w:p>
    <w:p>
      <w:pPr>
        <w:ind w:left="640" w:right="2320" w:hanging="320"/>
        <w:spacing w:after="0" w:line="292" w:lineRule="auto"/>
        <w:rPr>
          <w:sz w:val="20"/>
          <w:szCs w:val="20"/>
          <w:color w:val="auto"/>
        </w:rPr>
      </w:pPr>
      <w:r>
        <w:rPr>
          <w:rFonts w:ascii="Arial" w:cs="Arial" w:eastAsia="Arial" w:hAnsi="Arial"/>
          <w:sz w:val="16"/>
          <w:szCs w:val="16"/>
          <w:color w:val="FF4338"/>
        </w:rPr>
        <w:t>X</w:t>
      </w:r>
      <w:r>
        <w:rPr>
          <w:rFonts w:ascii="Arial" w:cs="Arial" w:eastAsia="Arial" w:hAnsi="Arial"/>
          <w:sz w:val="16"/>
          <w:szCs w:val="16"/>
          <w:b w:val="1"/>
          <w:bCs w:val="1"/>
          <w:color w:val="000000"/>
        </w:rPr>
        <w:t xml:space="preserve">    We don’t include unvested RSUs or vested/unvested stock options in the calculation of share ownership</w:t>
      </w:r>
      <w:r>
        <w:rPr>
          <w:rFonts w:ascii="Arial" w:cs="Arial" w:eastAsia="Arial" w:hAnsi="Arial"/>
          <w:sz w:val="16"/>
          <w:szCs w:val="16"/>
          <w:color w:val="FF4338"/>
        </w:rPr>
        <w:t xml:space="preserve"> </w:t>
      </w:r>
      <w:r>
        <w:rPr>
          <w:rFonts w:ascii="Arial" w:cs="Arial" w:eastAsia="Arial" w:hAnsi="Arial"/>
          <w:sz w:val="16"/>
          <w:szCs w:val="16"/>
          <w:b w:val="1"/>
          <w:bCs w:val="1"/>
          <w:color w:val="000000"/>
        </w:rPr>
        <w:t>guidelines; and</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6"/>
          <w:szCs w:val="16"/>
          <w:color w:val="FF4338"/>
        </w:rPr>
        <w:t>X</w:t>
      </w:r>
      <w:r>
        <w:rPr>
          <w:rFonts w:ascii="Arial" w:cs="Arial" w:eastAsia="Arial" w:hAnsi="Arial"/>
          <w:sz w:val="16"/>
          <w:szCs w:val="16"/>
          <w:b w:val="1"/>
          <w:bCs w:val="1"/>
          <w:color w:val="000000"/>
        </w:rPr>
        <w:t xml:space="preserve">     We don’t offer excessive perquisites.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Pleasesee the “Compensation Discussion and Analysis” section of this circular for additional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5.</w:t>
            </w:r>
          </w:p>
        </w:tc>
        <w:tc>
          <w:tcPr>
            <w:tcW w:w="7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Shareholder Proposal (page B-1 of the circular)</w:t>
            </w:r>
          </w:p>
        </w:tc>
        <w:tc>
          <w:tcPr>
            <w:tcW w:w="3400" w:type="dxa"/>
            <w:vAlign w:val="bottom"/>
          </w:tcPr>
          <w:p>
            <w:pPr>
              <w:ind w:left="2100"/>
              <w:spacing w:after="0"/>
              <w:rPr>
                <w:sz w:val="20"/>
                <w:szCs w:val="20"/>
                <w:color w:val="auto"/>
              </w:rPr>
            </w:pPr>
            <w:r>
              <w:rPr>
                <w:rFonts w:ascii="Arial" w:cs="Arial" w:eastAsia="Arial" w:hAnsi="Arial"/>
                <w:sz w:val="16"/>
                <w:szCs w:val="16"/>
                <w:color w:val="FF4338"/>
              </w:rPr>
              <w:t xml:space="preserve">X </w:t>
            </w:r>
            <w:r>
              <w:rPr>
                <w:rFonts w:ascii="Arial" w:cs="Arial" w:eastAsia="Arial" w:hAnsi="Arial"/>
                <w:sz w:val="16"/>
                <w:szCs w:val="16"/>
                <w:color w:val="000000"/>
              </w:rPr>
              <w:t>AGAINST</w:t>
            </w:r>
          </w:p>
        </w:tc>
        <w:tc>
          <w:tcPr>
            <w:tcW w:w="0" w:type="dxa"/>
            <w:vAlign w:val="bottom"/>
          </w:tcPr>
          <w:p>
            <w:pPr>
              <w:spacing w:after="0"/>
              <w:rPr>
                <w:sz w:val="1"/>
                <w:szCs w:val="1"/>
                <w:color w:val="auto"/>
              </w:rPr>
            </w:pPr>
          </w:p>
        </w:tc>
      </w:tr>
      <w:tr>
        <w:trPr>
          <w:trHeight w:val="77"/>
        </w:trPr>
        <w:tc>
          <w:tcPr>
            <w:tcW w:w="480" w:type="dxa"/>
            <w:vAlign w:val="bottom"/>
            <w:vMerge w:val="continue"/>
          </w:tcPr>
          <w:p>
            <w:pPr>
              <w:spacing w:after="0"/>
              <w:rPr>
                <w:sz w:val="6"/>
                <w:szCs w:val="6"/>
                <w:color w:val="auto"/>
              </w:rPr>
            </w:pPr>
          </w:p>
        </w:tc>
        <w:tc>
          <w:tcPr>
            <w:tcW w:w="7040" w:type="dxa"/>
            <w:vAlign w:val="bottom"/>
            <w:vMerge w:val="continue"/>
          </w:tcPr>
          <w:p>
            <w:pPr>
              <w:spacing w:after="0"/>
              <w:rPr>
                <w:sz w:val="6"/>
                <w:szCs w:val="6"/>
                <w:color w:val="auto"/>
              </w:rPr>
            </w:pPr>
          </w:p>
        </w:tc>
        <w:tc>
          <w:tcPr>
            <w:tcW w:w="3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7520" w:type="dxa"/>
            <w:vAlign w:val="bottom"/>
            <w:gridSpan w:val="2"/>
          </w:tcPr>
          <w:p>
            <w:pPr>
              <w:ind w:left="320"/>
              <w:spacing w:after="0"/>
              <w:rPr>
                <w:sz w:val="20"/>
                <w:szCs w:val="20"/>
                <w:color w:val="auto"/>
              </w:rPr>
            </w:pPr>
            <w:r>
              <w:rPr>
                <w:rFonts w:ascii="Arial" w:cs="Arial" w:eastAsia="Arial" w:hAnsi="Arial"/>
                <w:sz w:val="16"/>
                <w:szCs w:val="16"/>
                <w:color w:val="auto"/>
              </w:rPr>
              <w:t>Consider the shareholder proposal set out in Appendix B of this circular.</w:t>
            </w: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480" w:type="dxa"/>
            <w:vAlign w:val="bottom"/>
            <w:tcBorders>
              <w:bottom w:val="single" w:sz="8" w:color="B2B2B2"/>
            </w:tcBorders>
          </w:tcPr>
          <w:p>
            <w:pPr>
              <w:spacing w:after="0"/>
              <w:rPr>
                <w:sz w:val="9"/>
                <w:szCs w:val="9"/>
                <w:color w:val="auto"/>
              </w:rPr>
            </w:pPr>
          </w:p>
        </w:tc>
        <w:tc>
          <w:tcPr>
            <w:tcW w:w="7040" w:type="dxa"/>
            <w:vAlign w:val="bottom"/>
            <w:tcBorders>
              <w:bottom w:val="single" w:sz="8" w:color="B2B2B2"/>
            </w:tcBorders>
          </w:tcPr>
          <w:p>
            <w:pPr>
              <w:spacing w:after="0"/>
              <w:rPr>
                <w:sz w:val="9"/>
                <w:szCs w:val="9"/>
                <w:color w:val="auto"/>
              </w:rPr>
            </w:pPr>
          </w:p>
        </w:tc>
        <w:tc>
          <w:tcPr>
            <w:tcW w:w="3400" w:type="dxa"/>
            <w:vAlign w:val="bottom"/>
            <w:tcBorders>
              <w:bottom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8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6.</w:t>
            </w:r>
          </w:p>
        </w:tc>
        <w:tc>
          <w:tcPr>
            <w:tcW w:w="7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business</w:t>
            </w:r>
          </w:p>
        </w:tc>
        <w:tc>
          <w:tcPr>
            <w:tcW w:w="3400" w:type="dxa"/>
            <w:vAlign w:val="bottom"/>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6"/>
        </w:trPr>
        <w:tc>
          <w:tcPr>
            <w:tcW w:w="480" w:type="dxa"/>
            <w:vAlign w:val="bottom"/>
            <w:vMerge w:val="continue"/>
          </w:tcPr>
          <w:p>
            <w:pPr>
              <w:spacing w:after="0"/>
              <w:rPr>
                <w:sz w:val="10"/>
                <w:szCs w:val="10"/>
                <w:color w:val="auto"/>
              </w:rPr>
            </w:pPr>
          </w:p>
        </w:tc>
        <w:tc>
          <w:tcPr>
            <w:tcW w:w="7040" w:type="dxa"/>
            <w:vAlign w:val="bottom"/>
            <w:vMerge w:val="continue"/>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right="2640"/>
        <w:spacing w:after="0" w:line="279" w:lineRule="auto"/>
        <w:rPr>
          <w:sz w:val="20"/>
          <w:szCs w:val="20"/>
          <w:color w:val="auto"/>
        </w:rPr>
      </w:pPr>
      <w:r>
        <w:rPr>
          <w:rFonts w:ascii="Arial" w:cs="Arial" w:eastAsia="Arial" w:hAnsi="Arial"/>
          <w:sz w:val="16"/>
          <w:szCs w:val="16"/>
          <w:color w:val="auto"/>
        </w:rPr>
        <w:t>If any other items of business are properly brought before the meeting (or any adjourned or postponed meeting), shareholders will be asked to vote. We are not aware of any other items of business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9297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170180</wp:posOffset>
            </wp:positionV>
            <wp:extent cx="6929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p>
      <w:pPr>
        <w:spacing w:after="0"/>
        <w:tabs>
          <w:tab w:leader="none" w:pos="1036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7"/>
          <w:szCs w:val="17"/>
          <w:color w:val="auto"/>
        </w:rPr>
        <w:t>Page 7</w:t>
      </w:r>
    </w:p>
    <w:p>
      <w:pPr>
        <w:sectPr>
          <w:pgSz w:w="11900" w:h="16838" w:orient="portrait"/>
          <w:cols w:equalWidth="0" w:num="1">
            <w:col w:w="10920"/>
          </w:cols>
          <w:pgMar w:left="480" w:top="284" w:right="499" w:bottom="1440" w:gutter="0" w:footer="0" w:header="0"/>
        </w:sectPr>
      </w:pPr>
    </w:p>
    <w:bookmarkStart w:id="17" w:name="page18"/>
    <w:bookmarkEnd w:id="17"/>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Voting Information and How to Attend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What is the format of the meeting?</w:t>
      </w:r>
    </w:p>
    <w:p>
      <w:pPr>
        <w:spacing w:after="0" w:line="10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We are holding an in-person meeting at Roy Thomson Hall, 60 Simcoe Street, Toronto, Ontario, Canada. A live audio webcast of the meeting will also be available on our website at </w:t>
      </w:r>
      <w:r>
        <w:rPr>
          <w:rFonts w:ascii="Arial" w:cs="Arial" w:eastAsia="Arial" w:hAnsi="Arial"/>
          <w:sz w:val="17"/>
          <w:szCs w:val="17"/>
          <w:b w:val="1"/>
          <w:bCs w:val="1"/>
          <w:color w:val="auto"/>
        </w:rPr>
        <w:t>www.thomsonreuters.com.</w:t>
      </w:r>
      <w:r>
        <w:rPr>
          <w:rFonts w:ascii="Arial" w:cs="Arial" w:eastAsia="Arial" w:hAnsi="Arial"/>
          <w:sz w:val="17"/>
          <w:szCs w:val="17"/>
          <w:color w:val="auto"/>
        </w:rPr>
        <w:t xml:space="preserve"> A replay of the webcast will be posted on our website after the meeting.</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Who can vote at the meeting?</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you held common shares as of 5:00 p.m. (Eastern Daylight Time) on April 13, 2026 (the record date), then you are entitled to vote at the meeting or any adjourned or postponed meeting. Each share is entitled to one vote. As of April 13, 2026, there were 442,962,430 common shares outstanding.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also have 6,000,000 Series II preference shares outstanding, but these shares do not have voting rights at the meeting.</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How many votes are required for approval?</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 simple majority (more than 50%) of votes cast, during the meeting in-person or by proxy, is required to approve each item of business.</w:t>
      </w:r>
    </w:p>
    <w:p>
      <w:pPr>
        <w:spacing w:after="0" w:line="72"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Woodbridge (together with its affiliates), our principal and controlling shareholder, beneficially owned approximately 71% of our outstanding common shares as of April 13, 2026. Woodbridge has advised our company that it will vote FOR the election of each director nominee, the appointment of PricewaterhouseCoopers LLP as auditor, and the advisory resolution on executive compensation and AGAINST the shareholder proposal set out in Appendix B of this circular.</w:t>
      </w:r>
    </w:p>
    <w:p>
      <w:pPr>
        <w:spacing w:after="0" w:line="57"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have a majority voting policy that applies to the election of directors at the annual meeting of shareholders. This means that if a director receives more “withhold” votes than “for” votes at the meeting, then the director will immediately tender his or her resignation to the Chairman. This would be effective if accepted by the Board. The Corporate Governance Committee will consider a director’s offer to resign and make a recommendation to the Board as to whether to accept it. The Board will accept resignations, except in exceptional circumstances. The Board will have 90 days from the annual meeting to make and publicly disclose its decision by news release either to accept or reject the resignation (including reasons for rejecting the resignation, if applicable). As Woodbridge has indicated that it will vote FOR the election of each director nominee, each director will receive more than a majority of votes at the meeting.</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How do I vote?</w:t>
      </w:r>
    </w:p>
    <w:p>
      <w:pPr>
        <w:spacing w:after="0" w:line="56" w:lineRule="exact"/>
        <w:rPr>
          <w:sz w:val="20"/>
          <w:szCs w:val="20"/>
          <w:color w:val="auto"/>
        </w:rPr>
      </w:pPr>
    </w:p>
    <w:p>
      <w:pPr>
        <w:jc w:val="both"/>
        <w:ind w:right="140"/>
        <w:spacing w:after="0" w:line="247" w:lineRule="auto"/>
        <w:rPr>
          <w:sz w:val="20"/>
          <w:szCs w:val="20"/>
          <w:color w:val="auto"/>
        </w:rPr>
      </w:pPr>
      <w:r>
        <w:rPr>
          <w:rFonts w:ascii="Arial" w:cs="Arial" w:eastAsia="Arial" w:hAnsi="Arial"/>
          <w:sz w:val="17"/>
          <w:szCs w:val="17"/>
          <w:b w:val="1"/>
          <w:bCs w:val="1"/>
          <w:color w:val="auto"/>
        </w:rPr>
        <w:t>You have two choices – you can vote by proxy, or you can attend the meeting and vote during the meeting in-person at Roy Thomson Hall, 60 Simcoe Street, Toronto, Ontario, Canada. The voting process is different for each choice. The voting process also depends on whether you are a registered or non-registered shareholder.</w:t>
      </w:r>
    </w:p>
    <w:p>
      <w:pPr>
        <w:spacing w:after="0" w:line="31" w:lineRule="exact"/>
        <w:rPr>
          <w:sz w:val="20"/>
          <w:szCs w:val="20"/>
          <w:color w:val="auto"/>
        </w:rPr>
      </w:pPr>
    </w:p>
    <w:p>
      <w:pPr>
        <w:ind w:right="920"/>
        <w:spacing w:after="0" w:line="263" w:lineRule="auto"/>
        <w:rPr>
          <w:sz w:val="20"/>
          <w:szCs w:val="20"/>
          <w:color w:val="auto"/>
        </w:rPr>
      </w:pPr>
      <w:r>
        <w:rPr>
          <w:rFonts w:ascii="Arial" w:cs="Arial" w:eastAsia="Arial" w:hAnsi="Arial"/>
          <w:sz w:val="17"/>
          <w:szCs w:val="17"/>
          <w:color w:val="auto"/>
        </w:rPr>
        <w:t>You should first determine whether you are a registered or non-registered holder of our common shares. Most of our shareholders are non-registered holders.</w:t>
      </w:r>
    </w:p>
    <w:p>
      <w:pPr>
        <w:spacing w:after="0" w:line="40" w:lineRule="exact"/>
        <w:rPr>
          <w:sz w:val="20"/>
          <w:szCs w:val="20"/>
          <w:color w:val="auto"/>
        </w:rPr>
      </w:pPr>
    </w:p>
    <w:p>
      <w:pPr>
        <w:ind w:left="320" w:right="120" w:hanging="313"/>
        <w:spacing w:after="0" w:line="263" w:lineRule="auto"/>
        <w:tabs>
          <w:tab w:leader="none" w:pos="320" w:val="left"/>
        </w:tabs>
        <w:numPr>
          <w:ilvl w:val="0"/>
          <w:numId w:val="16"/>
        </w:numPr>
        <w:rPr>
          <w:rFonts w:ascii="Arial" w:cs="Arial" w:eastAsia="Arial" w:hAnsi="Arial"/>
          <w:sz w:val="17"/>
          <w:szCs w:val="17"/>
          <w:color w:val="D64000"/>
        </w:rPr>
      </w:pPr>
      <w:r>
        <w:rPr>
          <w:rFonts w:ascii="Arial" w:cs="Arial" w:eastAsia="Arial" w:hAnsi="Arial"/>
          <w:sz w:val="17"/>
          <w:szCs w:val="17"/>
          <w:color w:val="auto"/>
        </w:rPr>
        <w:t xml:space="preserve">You are a </w:t>
      </w:r>
      <w:r>
        <w:rPr>
          <w:rFonts w:ascii="Arial" w:cs="Arial" w:eastAsia="Arial" w:hAnsi="Arial"/>
          <w:sz w:val="17"/>
          <w:szCs w:val="17"/>
          <w:b w:val="1"/>
          <w:bCs w:val="1"/>
          <w:color w:val="auto"/>
        </w:rPr>
        <w:t>registered shareholder</w:t>
      </w:r>
      <w:r>
        <w:rPr>
          <w:rFonts w:ascii="Arial" w:cs="Arial" w:eastAsia="Arial" w:hAnsi="Arial"/>
          <w:sz w:val="17"/>
          <w:szCs w:val="17"/>
          <w:color w:val="auto"/>
        </w:rPr>
        <w:t xml:space="preserve"> if your name appears directly on your share certificates, or if you hold your common shares in book-entry form through the direct registration system (DRS) on the records of our transfer agent, Computershare Trust Company of Canada.</w:t>
      </w:r>
    </w:p>
    <w:p>
      <w:pPr>
        <w:spacing w:after="0" w:line="39" w:lineRule="exact"/>
        <w:rPr>
          <w:rFonts w:ascii="Arial" w:cs="Arial" w:eastAsia="Arial" w:hAnsi="Arial"/>
          <w:sz w:val="17"/>
          <w:szCs w:val="17"/>
          <w:color w:val="D64000"/>
        </w:rPr>
      </w:pPr>
    </w:p>
    <w:p>
      <w:pPr>
        <w:ind w:left="320" w:right="620" w:hanging="313"/>
        <w:spacing w:after="0" w:line="263" w:lineRule="auto"/>
        <w:tabs>
          <w:tab w:leader="none" w:pos="320" w:val="left"/>
        </w:tabs>
        <w:numPr>
          <w:ilvl w:val="0"/>
          <w:numId w:val="16"/>
        </w:numPr>
        <w:rPr>
          <w:rFonts w:ascii="Arial" w:cs="Arial" w:eastAsia="Arial" w:hAnsi="Arial"/>
          <w:sz w:val="17"/>
          <w:szCs w:val="17"/>
          <w:color w:val="D64000"/>
        </w:rPr>
      </w:pPr>
      <w:r>
        <w:rPr>
          <w:rFonts w:ascii="Arial" w:cs="Arial" w:eastAsia="Arial" w:hAnsi="Arial"/>
          <w:sz w:val="17"/>
          <w:szCs w:val="17"/>
          <w:color w:val="auto"/>
        </w:rPr>
        <w:t xml:space="preserve">You are a </w:t>
      </w:r>
      <w:r>
        <w:rPr>
          <w:rFonts w:ascii="Arial" w:cs="Arial" w:eastAsia="Arial" w:hAnsi="Arial"/>
          <w:sz w:val="17"/>
          <w:szCs w:val="17"/>
          <w:b w:val="1"/>
          <w:bCs w:val="1"/>
          <w:color w:val="auto"/>
        </w:rPr>
        <w:t>non-registered shareholder</w:t>
      </w:r>
      <w:r>
        <w:rPr>
          <w:rFonts w:ascii="Arial" w:cs="Arial" w:eastAsia="Arial" w:hAnsi="Arial"/>
          <w:sz w:val="17"/>
          <w:szCs w:val="17"/>
          <w:color w:val="auto"/>
        </w:rPr>
        <w:t xml:space="preserve"> if you own shares indirectly and the shares are registered in the name of an intermediary. For example, you are a non-registered shareholder if:</w:t>
      </w:r>
    </w:p>
    <w:p>
      <w:pPr>
        <w:spacing w:after="0" w:line="39" w:lineRule="exact"/>
        <w:rPr>
          <w:rFonts w:ascii="Arial" w:cs="Arial" w:eastAsia="Arial" w:hAnsi="Arial"/>
          <w:sz w:val="17"/>
          <w:szCs w:val="17"/>
          <w:color w:val="D64000"/>
        </w:rPr>
      </w:pPr>
    </w:p>
    <w:p>
      <w:pPr>
        <w:ind w:left="320"/>
        <w:spacing w:after="0"/>
        <w:rPr>
          <w:rFonts w:ascii="Arial" w:cs="Arial" w:eastAsia="Arial" w:hAnsi="Arial"/>
          <w:sz w:val="17"/>
          <w:szCs w:val="17"/>
          <w:color w:val="D64000"/>
        </w:rPr>
      </w:pPr>
      <w:r>
        <w:rPr>
          <w:rFonts w:ascii="Arial" w:cs="Arial" w:eastAsia="Arial" w:hAnsi="Arial"/>
          <w:sz w:val="17"/>
          <w:szCs w:val="17"/>
          <w:color w:val="auto"/>
        </w:rPr>
        <w:t>–   your common shares are held in the name of a bank, trust company, securities broker, trustee or custodian; or</w:t>
      </w:r>
    </w:p>
    <w:p>
      <w:pPr>
        <w:spacing w:after="0" w:line="85" w:lineRule="exact"/>
        <w:rPr>
          <w:rFonts w:ascii="Arial" w:cs="Arial" w:eastAsia="Arial" w:hAnsi="Arial"/>
          <w:sz w:val="17"/>
          <w:szCs w:val="17"/>
          <w:color w:val="D64000"/>
        </w:rPr>
      </w:pPr>
    </w:p>
    <w:p>
      <w:pPr>
        <w:ind w:left="640" w:right="500" w:hanging="321"/>
        <w:spacing w:after="0" w:line="263" w:lineRule="auto"/>
        <w:rPr>
          <w:rFonts w:ascii="Arial" w:cs="Arial" w:eastAsia="Arial" w:hAnsi="Arial"/>
          <w:sz w:val="17"/>
          <w:szCs w:val="17"/>
          <w:color w:val="D64000"/>
        </w:rPr>
      </w:pPr>
      <w:r>
        <w:rPr>
          <w:rFonts w:ascii="Arial" w:cs="Arial" w:eastAsia="Arial" w:hAnsi="Arial"/>
          <w:sz w:val="17"/>
          <w:szCs w:val="17"/>
          <w:color w:val="auto"/>
        </w:rPr>
        <w:t>– you hold Depositary Interests representing our common shares which are held in the name of Computershare Company Nominees Limited as nominee and custodian.</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Non-registered shareholders are sometimes referred to as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67"/>
        </w:trPr>
        <w:tc>
          <w:tcPr>
            <w:tcW w:w="2540" w:type="dxa"/>
            <w:vAlign w:val="bottom"/>
            <w:tcBorders>
              <w:top w:val="single" w:sz="8" w:color="D64000"/>
              <w:left w:val="single" w:sz="8" w:color="1F473D"/>
              <w:right w:val="single" w:sz="8" w:color="D64000"/>
            </w:tcBorders>
            <w:shd w:val="clear" w:color="auto" w:fill="1F473D"/>
          </w:tcPr>
          <w:p>
            <w:pPr>
              <w:ind w:left="160"/>
              <w:spacing w:after="0"/>
              <w:rPr>
                <w:sz w:val="20"/>
                <w:szCs w:val="20"/>
                <w:color w:val="auto"/>
              </w:rPr>
            </w:pPr>
            <w:r>
              <w:rPr>
                <w:rFonts w:ascii="Arial" w:cs="Arial" w:eastAsia="Arial" w:hAnsi="Arial"/>
                <w:sz w:val="16"/>
                <w:szCs w:val="16"/>
                <w:b w:val="1"/>
                <w:bCs w:val="1"/>
                <w:color w:val="FFFFFF"/>
              </w:rPr>
              <w:t>Registered shareholders</w:t>
            </w:r>
          </w:p>
        </w:tc>
        <w:tc>
          <w:tcPr>
            <w:tcW w:w="7840" w:type="dxa"/>
            <w:vAlign w:val="bottom"/>
            <w:tcBorders>
              <w:top w:val="single" w:sz="8" w:color="auto"/>
            </w:tcBorders>
            <w:shd w:val="clear" w:color="auto" w:fill="1F473D"/>
          </w:tcPr>
          <w:p>
            <w:pPr>
              <w:ind w:left="320"/>
              <w:spacing w:after="0"/>
              <w:rPr>
                <w:sz w:val="20"/>
                <w:szCs w:val="20"/>
                <w:color w:val="auto"/>
              </w:rPr>
            </w:pPr>
            <w:r>
              <w:rPr>
                <w:rFonts w:ascii="Arial" w:cs="Arial" w:eastAsia="Arial" w:hAnsi="Arial"/>
                <w:sz w:val="16"/>
                <w:szCs w:val="16"/>
                <w:color w:val="FFFFFF"/>
              </w:rPr>
              <w:t>You are a registered shareholder if your name appears directly on your share certificates, or if</w:t>
            </w:r>
          </w:p>
        </w:tc>
        <w:tc>
          <w:tcPr>
            <w:tcW w:w="560" w:type="dxa"/>
            <w:vAlign w:val="bottom"/>
            <w:tcBorders>
              <w:top w:val="single" w:sz="8" w:color="auto"/>
              <w:right w:val="single" w:sz="8" w:color="auto"/>
            </w:tcBorders>
            <w:shd w:val="clear" w:color="auto" w:fill="1F473D"/>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1F473D"/>
              <w:right w:val="single" w:sz="8" w:color="D64000"/>
            </w:tcBorders>
            <w:shd w:val="clear" w:color="auto" w:fill="1F473D"/>
          </w:tcPr>
          <w:p>
            <w:pPr>
              <w:spacing w:after="0"/>
              <w:rPr>
                <w:sz w:val="16"/>
                <w:szCs w:val="16"/>
                <w:color w:val="auto"/>
              </w:rPr>
            </w:pPr>
          </w:p>
        </w:tc>
        <w:tc>
          <w:tcPr>
            <w:tcW w:w="7840" w:type="dxa"/>
            <w:vAlign w:val="bottom"/>
            <w:shd w:val="clear" w:color="auto" w:fill="1F473D"/>
          </w:tcPr>
          <w:p>
            <w:pPr>
              <w:ind w:left="320"/>
              <w:spacing w:after="0"/>
              <w:rPr>
                <w:sz w:val="20"/>
                <w:szCs w:val="20"/>
                <w:color w:val="auto"/>
              </w:rPr>
            </w:pPr>
            <w:r>
              <w:rPr>
                <w:rFonts w:ascii="Arial" w:cs="Arial" w:eastAsia="Arial" w:hAnsi="Arial"/>
                <w:sz w:val="16"/>
                <w:szCs w:val="16"/>
                <w:color w:val="FFFFFF"/>
              </w:rPr>
              <w:t>you hold your common shares in book-entry form through the direct registration system (DRS)</w:t>
            </w:r>
          </w:p>
        </w:tc>
        <w:tc>
          <w:tcPr>
            <w:tcW w:w="560" w:type="dxa"/>
            <w:vAlign w:val="bottom"/>
            <w:tcBorders>
              <w:right w:val="single" w:sz="8" w:color="auto"/>
            </w:tcBorders>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40" w:type="dxa"/>
            <w:vAlign w:val="bottom"/>
            <w:tcBorders>
              <w:left w:val="single" w:sz="8" w:color="1F473D"/>
              <w:right w:val="single" w:sz="8" w:color="D64000"/>
            </w:tcBorders>
            <w:shd w:val="clear" w:color="auto" w:fill="1F473D"/>
          </w:tcPr>
          <w:p>
            <w:pPr>
              <w:spacing w:after="0"/>
              <w:rPr>
                <w:sz w:val="18"/>
                <w:szCs w:val="18"/>
                <w:color w:val="auto"/>
              </w:rPr>
            </w:pPr>
          </w:p>
        </w:tc>
        <w:tc>
          <w:tcPr>
            <w:tcW w:w="7840" w:type="dxa"/>
            <w:vAlign w:val="bottom"/>
            <w:shd w:val="clear" w:color="auto" w:fill="1F473D"/>
          </w:tcPr>
          <w:p>
            <w:pPr>
              <w:ind w:left="320"/>
              <w:spacing w:after="0"/>
              <w:rPr>
                <w:sz w:val="20"/>
                <w:szCs w:val="20"/>
                <w:color w:val="auto"/>
              </w:rPr>
            </w:pPr>
            <w:r>
              <w:rPr>
                <w:rFonts w:ascii="Arial" w:cs="Arial" w:eastAsia="Arial" w:hAnsi="Arial"/>
                <w:sz w:val="16"/>
                <w:szCs w:val="16"/>
                <w:color w:val="FFFFFF"/>
              </w:rPr>
              <w:t>on the records of our transfer agent, Computershare Trust Company of Canada.</w:t>
            </w:r>
          </w:p>
        </w:tc>
        <w:tc>
          <w:tcPr>
            <w:tcW w:w="560" w:type="dxa"/>
            <w:vAlign w:val="bottom"/>
            <w:tcBorders>
              <w:right w:val="single" w:sz="8" w:color="auto"/>
            </w:tcBorders>
            <w:shd w:val="clear" w:color="auto" w:fill="1F473D"/>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540" w:type="dxa"/>
            <w:vAlign w:val="bottom"/>
            <w:tcBorders>
              <w:left w:val="single" w:sz="8" w:color="1F473D"/>
              <w:bottom w:val="single" w:sz="8" w:color="D64000"/>
              <w:right w:val="single" w:sz="8" w:color="D64000"/>
            </w:tcBorders>
            <w:shd w:val="clear" w:color="auto" w:fill="1F473D"/>
          </w:tcPr>
          <w:p>
            <w:pPr>
              <w:spacing w:after="0"/>
              <w:rPr>
                <w:sz w:val="7"/>
                <w:szCs w:val="7"/>
                <w:color w:val="auto"/>
              </w:rPr>
            </w:pPr>
          </w:p>
        </w:tc>
        <w:tc>
          <w:tcPr>
            <w:tcW w:w="8400" w:type="dxa"/>
            <w:vAlign w:val="bottom"/>
            <w:tcBorders>
              <w:bottom w:val="single" w:sz="8" w:color="D64000"/>
              <w:right w:val="single" w:sz="8" w:color="auto"/>
            </w:tcBorders>
            <w:gridSpan w:val="2"/>
            <w:shd w:val="clear" w:color="auto" w:fill="1F473D"/>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vote by proxy</w:t>
            </w: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If it is not convenient for you to attend the meeting, you may vote by proxy on the matters to be considered at</w:t>
            </w:r>
          </w:p>
        </w:tc>
        <w:tc>
          <w:tcPr>
            <w:tcW w:w="0" w:type="dxa"/>
            <w:vAlign w:val="bottom"/>
          </w:tcPr>
          <w:p>
            <w:pPr>
              <w:spacing w:after="0"/>
              <w:rPr>
                <w:sz w:val="1"/>
                <w:szCs w:val="1"/>
                <w:color w:val="auto"/>
              </w:rPr>
            </w:pPr>
          </w:p>
        </w:tc>
      </w:tr>
      <w:tr>
        <w:trPr>
          <w:trHeight w:val="221"/>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before the meeting</w:t>
            </w: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the meeting. A proxy is a document that authorizes someone else to attend the meeting and cast votes for you.</w:t>
            </w:r>
          </w:p>
        </w:tc>
        <w:tc>
          <w:tcPr>
            <w:tcW w:w="0" w:type="dxa"/>
            <w:vAlign w:val="bottom"/>
          </w:tcPr>
          <w:p>
            <w:pPr>
              <w:spacing w:after="0"/>
              <w:rPr>
                <w:sz w:val="1"/>
                <w:szCs w:val="1"/>
                <w:color w:val="auto"/>
              </w:rPr>
            </w:pPr>
          </w:p>
        </w:tc>
      </w:tr>
      <w:tr>
        <w:trPr>
          <w:trHeight w:val="247"/>
        </w:trPr>
        <w:tc>
          <w:tcPr>
            <w:tcW w:w="2540" w:type="dxa"/>
            <w:vAlign w:val="bottom"/>
            <w:tcBorders>
              <w:left w:val="single" w:sz="8" w:color="auto"/>
              <w:right w:val="single" w:sz="8" w:color="auto"/>
            </w:tcBorders>
          </w:tcPr>
          <w:p>
            <w:pPr>
              <w:spacing w:after="0"/>
              <w:rPr>
                <w:sz w:val="21"/>
                <w:szCs w:val="21"/>
                <w:color w:val="auto"/>
              </w:rPr>
            </w:pPr>
          </w:p>
        </w:tc>
        <w:tc>
          <w:tcPr>
            <w:tcW w:w="7840" w:type="dxa"/>
            <w:vAlign w:val="bottom"/>
          </w:tcPr>
          <w:p>
            <w:pPr>
              <w:ind w:left="320"/>
              <w:spacing w:after="0"/>
              <w:rPr>
                <w:sz w:val="20"/>
                <w:szCs w:val="20"/>
                <w:color w:val="auto"/>
              </w:rPr>
            </w:pPr>
            <w:r>
              <w:rPr>
                <w:rFonts w:ascii="Arial" w:cs="Arial" w:eastAsia="Arial" w:hAnsi="Arial"/>
                <w:sz w:val="16"/>
                <w:szCs w:val="16"/>
                <w:color w:val="auto"/>
              </w:rPr>
              <w:t>You may authorize our directors who are named on the enclosed proxy form to vote your shares as your</w:t>
            </w:r>
          </w:p>
        </w:tc>
        <w:tc>
          <w:tcPr>
            <w:tcW w:w="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6"/>
                <w:szCs w:val="16"/>
                <w:color w:val="auto"/>
              </w:rPr>
              <w:t>proxyholder.</w:t>
            </w: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You may give voting instructions through the Internet, mail or telephone. Please refer to your proxy form for</w:t>
            </w: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6"/>
                <w:szCs w:val="16"/>
                <w:color w:val="auto"/>
              </w:rPr>
              <w:t>instructions.</w:t>
            </w: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54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attend and vote</w:t>
            </w: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You do not need to do anything except attend the meeting. Do not complete or return your proxy form, as your</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at the meeting</w:t>
            </w: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vote will be taken at the meeting. You should register with representatives of Computershare Trust Company of</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Canada when you arrive at the meeting. If you wish to vote common shares registered in the name of a legal</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entity, that entity must submit a properly executed proxy form to Computershare Trust Company of Canada by</w:t>
            </w: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6"/>
                <w:szCs w:val="16"/>
                <w:color w:val="auto"/>
              </w:rPr>
              <w:t>the proxy cut-off time which appoints you to vote the common shares on its behalf.</w:t>
            </w: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540" w:type="dxa"/>
            <w:vAlign w:val="bottom"/>
            <w:tcBorders>
              <w:left w:val="single" w:sz="8" w:color="auto"/>
              <w:bottom w:val="single" w:sz="8" w:color="auto"/>
              <w:right w:val="single" w:sz="8" w:color="auto"/>
            </w:tcBorders>
          </w:tcPr>
          <w:p>
            <w:pPr>
              <w:spacing w:after="0"/>
              <w:rPr>
                <w:sz w:val="8"/>
                <w:szCs w:val="8"/>
                <w:color w:val="auto"/>
              </w:rPr>
            </w:pPr>
          </w:p>
        </w:tc>
        <w:tc>
          <w:tcPr>
            <w:tcW w:w="840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appoint a third</w:t>
            </w:r>
          </w:p>
        </w:tc>
        <w:tc>
          <w:tcPr>
            <w:tcW w:w="840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color w:val="auto"/>
              </w:rPr>
              <w:t>You may appoint another person (other than our directors who are named on your proxy form) to attend the</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party as proxy to attend and</w:t>
            </w:r>
          </w:p>
        </w:tc>
        <w:tc>
          <w:tcPr>
            <w:tcW w:w="7840" w:type="dxa"/>
            <w:vAlign w:val="bottom"/>
          </w:tcPr>
          <w:p>
            <w:pPr>
              <w:ind w:left="320"/>
              <w:spacing w:after="0"/>
              <w:rPr>
                <w:sz w:val="20"/>
                <w:szCs w:val="20"/>
                <w:color w:val="auto"/>
              </w:rPr>
            </w:pPr>
            <w:r>
              <w:rPr>
                <w:rFonts w:ascii="Arial" w:cs="Arial" w:eastAsia="Arial" w:hAnsi="Arial"/>
                <w:sz w:val="16"/>
                <w:szCs w:val="16"/>
                <w:color w:val="auto"/>
              </w:rPr>
              <w:t>meeting on your behalf and vote your shares as your proxyholder. To do so, please follow these steps:</w:t>
            </w: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vote at the meeting</w:t>
            </w:r>
          </w:p>
        </w:tc>
        <w:tc>
          <w:tcPr>
            <w:tcW w:w="8400" w:type="dxa"/>
            <w:vAlign w:val="bottom"/>
            <w:tcBorders>
              <w:right w:val="single" w:sz="8" w:color="auto"/>
            </w:tcBorders>
            <w:gridSpan w:val="2"/>
            <w:vMerge w:val="restart"/>
          </w:tcPr>
          <w:p>
            <w:pPr>
              <w:ind w:left="64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 xml:space="preserve">     Submit your proxy form</w:t>
            </w:r>
            <w:r>
              <w:rPr>
                <w:rFonts w:ascii="Arial" w:cs="Arial" w:eastAsia="Arial" w:hAnsi="Arial"/>
                <w:sz w:val="16"/>
                <w:szCs w:val="16"/>
                <w:color w:val="auto"/>
              </w:rPr>
              <w:t xml:space="preserve"> – Appoint your proxy by mail or through the Internet. If you mail the proxy</w:t>
            </w:r>
          </w:p>
        </w:tc>
        <w:tc>
          <w:tcPr>
            <w:tcW w:w="0" w:type="dxa"/>
            <w:vAlign w:val="bottom"/>
          </w:tcPr>
          <w:p>
            <w:pPr>
              <w:spacing w:after="0"/>
              <w:rPr>
                <w:sz w:val="1"/>
                <w:szCs w:val="1"/>
                <w:color w:val="auto"/>
              </w:rPr>
            </w:pPr>
          </w:p>
        </w:tc>
      </w:tr>
      <w:tr>
        <w:trPr>
          <w:trHeight w:val="60"/>
        </w:trPr>
        <w:tc>
          <w:tcPr>
            <w:tcW w:w="2540" w:type="dxa"/>
            <w:vAlign w:val="bottom"/>
            <w:tcBorders>
              <w:left w:val="single" w:sz="8" w:color="auto"/>
              <w:right w:val="single" w:sz="8" w:color="auto"/>
            </w:tcBorders>
          </w:tcPr>
          <w:p>
            <w:pPr>
              <w:spacing w:after="0"/>
              <w:rPr>
                <w:sz w:val="5"/>
                <w:szCs w:val="5"/>
                <w:color w:val="auto"/>
              </w:rPr>
            </w:pPr>
          </w:p>
        </w:tc>
        <w:tc>
          <w:tcPr>
            <w:tcW w:w="840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2"/>
          </w:tcPr>
          <w:p>
            <w:pPr>
              <w:ind w:left="960"/>
              <w:spacing w:after="0"/>
              <w:rPr>
                <w:sz w:val="20"/>
                <w:szCs w:val="20"/>
                <w:color w:val="auto"/>
              </w:rPr>
            </w:pPr>
            <w:r>
              <w:rPr>
                <w:rFonts w:ascii="Arial" w:cs="Arial" w:eastAsia="Arial" w:hAnsi="Arial"/>
                <w:sz w:val="16"/>
                <w:szCs w:val="16"/>
                <w:color w:val="auto"/>
              </w:rPr>
              <w:t>form, you must print that person’s name in the blank space provided on the back of the enclosed proxy</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2"/>
          </w:tcPr>
          <w:p>
            <w:pPr>
              <w:ind w:left="960"/>
              <w:spacing w:after="0"/>
              <w:rPr>
                <w:sz w:val="20"/>
                <w:szCs w:val="20"/>
                <w:color w:val="auto"/>
              </w:rPr>
            </w:pPr>
            <w:r>
              <w:rPr>
                <w:rFonts w:ascii="Arial" w:cs="Arial" w:eastAsia="Arial" w:hAnsi="Arial"/>
                <w:sz w:val="16"/>
                <w:szCs w:val="16"/>
                <w:color w:val="auto"/>
              </w:rPr>
              <w:t>form and you should indicate how you want your shares voted. Sign, date and return the proxy form in</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2"/>
          </w:tcPr>
          <w:p>
            <w:pPr>
              <w:ind w:left="960"/>
              <w:spacing w:after="0"/>
              <w:rPr>
                <w:sz w:val="20"/>
                <w:szCs w:val="20"/>
                <w:color w:val="auto"/>
              </w:rPr>
            </w:pPr>
            <w:r>
              <w:rPr>
                <w:rFonts w:ascii="Arial" w:cs="Arial" w:eastAsia="Arial" w:hAnsi="Arial"/>
                <w:sz w:val="16"/>
                <w:szCs w:val="16"/>
                <w:color w:val="auto"/>
              </w:rPr>
              <w:t>the envelope provided. If you vote through the Internet, you may also appoint another person to be</w:t>
            </w: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6"/>
                <w:szCs w:val="16"/>
                <w:color w:val="auto"/>
              </w:rPr>
              <w:t>your proxyholder.</w:t>
            </w: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gridSpan w:val="2"/>
          </w:tcPr>
          <w:p>
            <w:pPr>
              <w:ind w:left="960"/>
              <w:spacing w:after="0"/>
              <w:rPr>
                <w:sz w:val="20"/>
                <w:szCs w:val="20"/>
                <w:color w:val="auto"/>
              </w:rPr>
            </w:pPr>
            <w:r>
              <w:rPr>
                <w:rFonts w:ascii="Arial" w:cs="Arial" w:eastAsia="Arial" w:hAnsi="Arial"/>
                <w:sz w:val="16"/>
                <w:szCs w:val="16"/>
                <w:color w:val="auto"/>
              </w:rPr>
              <w:t>You may be able to appoint more than one proxyholder, provided that each proxyholder is entitled to</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7840" w:type="dxa"/>
            <w:vAlign w:val="bottom"/>
          </w:tcPr>
          <w:p>
            <w:pPr>
              <w:ind w:left="960"/>
              <w:spacing w:after="0"/>
              <w:rPr>
                <w:sz w:val="20"/>
                <w:szCs w:val="20"/>
                <w:color w:val="auto"/>
              </w:rPr>
            </w:pPr>
            <w:r>
              <w:rPr>
                <w:rFonts w:ascii="Arial" w:cs="Arial" w:eastAsia="Arial" w:hAnsi="Arial"/>
                <w:sz w:val="16"/>
                <w:szCs w:val="16"/>
                <w:color w:val="auto"/>
              </w:rPr>
              <w:t>exercise the rights attaching to different shares held by you. If you do appoint more than one</w:t>
            </w: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2"/>
          </w:tcPr>
          <w:p>
            <w:pPr>
              <w:ind w:left="960"/>
              <w:spacing w:after="0"/>
              <w:rPr>
                <w:sz w:val="20"/>
                <w:szCs w:val="20"/>
                <w:color w:val="auto"/>
              </w:rPr>
            </w:pPr>
            <w:r>
              <w:rPr>
                <w:rFonts w:ascii="Arial" w:cs="Arial" w:eastAsia="Arial" w:hAnsi="Arial"/>
                <w:sz w:val="16"/>
                <w:szCs w:val="16"/>
                <w:color w:val="auto"/>
              </w:rPr>
              <w:t>proxyholder, you must do so by mail, and please enter the number of shares next to the proxyholder’s</w:t>
            </w:r>
          </w:p>
        </w:tc>
        <w:tc>
          <w:tcPr>
            <w:tcW w:w="0" w:type="dxa"/>
            <w:vAlign w:val="bottom"/>
          </w:tcPr>
          <w:p>
            <w:pPr>
              <w:spacing w:after="0"/>
              <w:rPr>
                <w:sz w:val="1"/>
                <w:szCs w:val="1"/>
                <w:color w:val="auto"/>
              </w:rPr>
            </w:pPr>
          </w:p>
        </w:tc>
      </w:tr>
      <w:tr>
        <w:trPr>
          <w:trHeight w:val="187"/>
        </w:trPr>
        <w:tc>
          <w:tcPr>
            <w:tcW w:w="25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gridSpan w:val="2"/>
          </w:tcPr>
          <w:p>
            <w:pPr>
              <w:ind w:left="960"/>
              <w:spacing w:after="0"/>
              <w:rPr>
                <w:sz w:val="20"/>
                <w:szCs w:val="20"/>
                <w:color w:val="auto"/>
              </w:rPr>
            </w:pPr>
            <w:r>
              <w:rPr>
                <w:rFonts w:ascii="Arial" w:cs="Arial" w:eastAsia="Arial" w:hAnsi="Arial"/>
                <w:sz w:val="16"/>
                <w:szCs w:val="16"/>
                <w:color w:val="auto"/>
              </w:rPr>
              <w:t>name that he or she is entitled to vote. The person you appoint must attend the meeting and vote on</w:t>
            </w: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6"/>
                <w:szCs w:val="16"/>
                <w:color w:val="auto"/>
              </w:rPr>
              <w:t>your behalf in order for your votes to be counted.</w:t>
            </w: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400" w:type="dxa"/>
            <w:vAlign w:val="bottom"/>
            <w:tcBorders>
              <w:right w:val="single" w:sz="8" w:color="auto"/>
            </w:tcBorders>
            <w:gridSpan w:val="2"/>
          </w:tcPr>
          <w:p>
            <w:pPr>
              <w:ind w:left="640"/>
              <w:spacing w:after="0"/>
              <w:rPr>
                <w:sz w:val="20"/>
                <w:szCs w:val="20"/>
                <w:color w:val="auto"/>
              </w:rPr>
            </w:pPr>
            <w:r>
              <w:rPr>
                <w:rFonts w:ascii="Arial" w:cs="Arial" w:eastAsia="Arial" w:hAnsi="Arial"/>
                <w:sz w:val="16"/>
                <w:szCs w:val="16"/>
                <w:color w:val="auto"/>
              </w:rPr>
              <w:t>2.</w:t>
            </w:r>
            <w:r>
              <w:rPr>
                <w:rFonts w:ascii="Arial" w:cs="Arial" w:eastAsia="Arial" w:hAnsi="Arial"/>
                <w:sz w:val="16"/>
                <w:szCs w:val="16"/>
                <w:b w:val="1"/>
                <w:bCs w:val="1"/>
                <w:color w:val="auto"/>
              </w:rPr>
              <w:t xml:space="preserve">    Proxyholder Registration</w:t>
            </w:r>
            <w:r>
              <w:rPr>
                <w:rFonts w:ascii="Arial" w:cs="Arial" w:eastAsia="Arial" w:hAnsi="Arial"/>
                <w:sz w:val="16"/>
                <w:szCs w:val="16"/>
                <w:color w:val="auto"/>
              </w:rPr>
              <w:t xml:space="preserve"> – The third-party proxyholder should then register with representatives of</w:t>
            </w: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6"/>
                <w:szCs w:val="16"/>
                <w:color w:val="auto"/>
              </w:rPr>
              <w:t>Computershare Trust Company of Canada when they arrive at the meeting.</w:t>
            </w: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540" w:type="dxa"/>
            <w:vAlign w:val="bottom"/>
            <w:tcBorders>
              <w:left w:val="single" w:sz="8" w:color="auto"/>
              <w:right w:val="single" w:sz="8" w:color="auto"/>
            </w:tcBorders>
          </w:tcPr>
          <w:p>
            <w:pPr>
              <w:spacing w:after="0"/>
              <w:rPr>
                <w:sz w:val="24"/>
                <w:szCs w:val="24"/>
                <w:color w:val="auto"/>
              </w:rPr>
            </w:pPr>
          </w:p>
        </w:tc>
        <w:tc>
          <w:tcPr>
            <w:tcW w:w="7840" w:type="dxa"/>
            <w:vAlign w:val="bottom"/>
          </w:tcPr>
          <w:p>
            <w:pPr>
              <w:ind w:left="320"/>
              <w:spacing w:after="0"/>
              <w:rPr>
                <w:sz w:val="20"/>
                <w:szCs w:val="20"/>
                <w:color w:val="auto"/>
              </w:rPr>
            </w:pPr>
            <w:r>
              <w:rPr>
                <w:rFonts w:ascii="Arial" w:cs="Arial" w:eastAsia="Arial" w:hAnsi="Arial"/>
                <w:sz w:val="16"/>
                <w:szCs w:val="16"/>
                <w:color w:val="auto"/>
              </w:rPr>
              <w:t>You may choose anyone to be your proxyholder – the person does not have to be another shareholder.</w:t>
            </w: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540" w:type="dxa"/>
            <w:vAlign w:val="bottom"/>
            <w:tcBorders>
              <w:left w:val="single" w:sz="8" w:color="auto"/>
              <w:bottom w:val="single" w:sz="8" w:color="auto"/>
              <w:right w:val="single" w:sz="8" w:color="auto"/>
            </w:tcBorders>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Deadline for returning your</w:t>
            </w:r>
          </w:p>
        </w:tc>
        <w:tc>
          <w:tcPr>
            <w:tcW w:w="7840" w:type="dxa"/>
            <w:vAlign w:val="bottom"/>
          </w:tcPr>
          <w:p>
            <w:pPr>
              <w:ind w:left="320"/>
              <w:spacing w:after="0"/>
              <w:rPr>
                <w:sz w:val="20"/>
                <w:szCs w:val="20"/>
                <w:color w:val="auto"/>
              </w:rPr>
            </w:pPr>
            <w:r>
              <w:rPr>
                <w:rFonts w:ascii="Arial" w:cs="Arial" w:eastAsia="Arial" w:hAnsi="Arial"/>
                <w:sz w:val="16"/>
                <w:szCs w:val="16"/>
                <w:b w:val="1"/>
                <w:bCs w:val="1"/>
                <w:color w:val="auto"/>
                <w:w w:val="99"/>
              </w:rPr>
              <w:t>Your completed proxy must be received by Computershare Trust Company of Canada by 5:00 p.m.</w:t>
            </w:r>
          </w:p>
        </w:tc>
        <w:tc>
          <w:tcPr>
            <w:tcW w:w="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proxy form</w:t>
            </w:r>
          </w:p>
        </w:tc>
        <w:tc>
          <w:tcPr>
            <w:tcW w:w="7840" w:type="dxa"/>
            <w:vAlign w:val="bottom"/>
          </w:tcPr>
          <w:p>
            <w:pPr>
              <w:ind w:left="320"/>
              <w:spacing w:after="0"/>
              <w:rPr>
                <w:sz w:val="20"/>
                <w:szCs w:val="20"/>
                <w:color w:val="auto"/>
              </w:rPr>
            </w:pPr>
            <w:r>
              <w:rPr>
                <w:rFonts w:ascii="Arial" w:cs="Arial" w:eastAsia="Arial" w:hAnsi="Arial"/>
                <w:sz w:val="16"/>
                <w:szCs w:val="16"/>
                <w:b w:val="1"/>
                <w:bCs w:val="1"/>
                <w:color w:val="auto"/>
              </w:rPr>
              <w:t>(Eastern Daylight Time) on Monday, June 8, 2026.</w:t>
            </w: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2540" w:type="dxa"/>
            <w:vAlign w:val="bottom"/>
            <w:tcBorders>
              <w:left w:val="single" w:sz="8" w:color="auto"/>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0380" w:type="dxa"/>
            <w:vAlign w:val="bottom"/>
            <w:tcBorders>
              <w:bottom w:val="single" w:sz="8" w:color="7F7F7F"/>
            </w:tcBorders>
            <w:gridSpan w:val="2"/>
          </w:tcPr>
          <w:p>
            <w:pPr>
              <w:spacing w:after="0"/>
              <w:rPr>
                <w:sz w:val="13"/>
                <w:szCs w:val="13"/>
                <w:color w:val="auto"/>
              </w:rPr>
            </w:pPr>
          </w:p>
        </w:tc>
        <w:tc>
          <w:tcPr>
            <w:tcW w:w="560" w:type="dxa"/>
            <w:vAlign w:val="bottom"/>
            <w:tcBorders>
              <w:bottom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0380" w:type="dxa"/>
            <w:vAlign w:val="bottom"/>
            <w:gridSpan w:val="2"/>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560" w:type="dxa"/>
            <w:vAlign w:val="bottom"/>
          </w:tcPr>
          <w:p>
            <w:pPr>
              <w:spacing w:after="0"/>
              <w:rPr>
                <w:sz w:val="20"/>
                <w:szCs w:val="20"/>
                <w:color w:val="auto"/>
              </w:rPr>
            </w:pPr>
            <w:r>
              <w:rPr>
                <w:rFonts w:ascii="Arial" w:cs="Arial" w:eastAsia="Arial" w:hAnsi="Arial"/>
                <w:sz w:val="17"/>
                <w:szCs w:val="17"/>
                <w:color w:val="auto"/>
                <w:w w:val="96"/>
              </w:rPr>
              <w:t>Page 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480" w:top="267" w:right="47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19" w:name="page20"/>
    <w:bookmarkEnd w:id="19"/>
    <w:tbl>
      <w:tblPr>
        <w:tblLayout w:type="fixed"/>
        <w:tblInd w:w="10" w:type="dxa"/>
        <w:tblCellMar>
          <w:top w:w="0" w:type="dxa"/>
          <w:left w:w="0" w:type="dxa"/>
          <w:bottom w:w="0" w:type="dxa"/>
          <w:right w:w="0" w:type="dxa"/>
        </w:tblCellMar>
      </w:tblPr>
      <w:tr>
        <w:trPr>
          <w:trHeight w:val="267"/>
        </w:trPr>
        <w:tc>
          <w:tcPr>
            <w:tcW w:w="2220" w:type="dxa"/>
            <w:vAlign w:val="bottom"/>
            <w:tcBorders>
              <w:top w:val="single" w:sz="8" w:color="D64000"/>
              <w:left w:val="single" w:sz="8" w:color="1F473D"/>
              <w:right w:val="single" w:sz="8" w:color="1F473D"/>
            </w:tcBorders>
            <w:shd w:val="clear" w:color="auto" w:fill="1F473D"/>
          </w:tcPr>
          <w:p>
            <w:pPr>
              <w:ind w:left="160"/>
              <w:spacing w:after="0"/>
              <w:rPr>
                <w:sz w:val="20"/>
                <w:szCs w:val="20"/>
                <w:color w:val="auto"/>
              </w:rPr>
            </w:pPr>
            <w:r>
              <w:rPr>
                <w:rFonts w:ascii="Arial" w:cs="Arial" w:eastAsia="Arial" w:hAnsi="Arial"/>
                <w:sz w:val="16"/>
                <w:szCs w:val="16"/>
                <w:b w:val="1"/>
                <w:bCs w:val="1"/>
                <w:color w:val="FFFFFF"/>
              </w:rPr>
              <w:t>Non-registered</w:t>
            </w:r>
          </w:p>
        </w:tc>
        <w:tc>
          <w:tcPr>
            <w:tcW w:w="8720" w:type="dxa"/>
            <w:vAlign w:val="bottom"/>
            <w:tcBorders>
              <w:top w:val="single" w:sz="8" w:color="auto"/>
              <w:right w:val="single" w:sz="8" w:color="auto"/>
            </w:tcBorders>
            <w:shd w:val="clear" w:color="auto" w:fill="1F473D"/>
          </w:tcPr>
          <w:p>
            <w:pPr>
              <w:ind w:left="400"/>
              <w:spacing w:after="0"/>
              <w:rPr>
                <w:sz w:val="20"/>
                <w:szCs w:val="20"/>
                <w:color w:val="auto"/>
              </w:rPr>
            </w:pPr>
            <w:r>
              <w:rPr>
                <w:rFonts w:ascii="Arial" w:cs="Arial" w:eastAsia="Arial" w:hAnsi="Arial"/>
                <w:sz w:val="16"/>
                <w:szCs w:val="16"/>
                <w:color w:val="FFFFFF"/>
              </w:rPr>
              <w:t>You are a non-registered shareholder if you own shares indirectly and the shares are registered in</w:t>
            </w:r>
          </w:p>
        </w:tc>
      </w:tr>
      <w:tr>
        <w:trPr>
          <w:trHeight w:val="187"/>
        </w:trPr>
        <w:tc>
          <w:tcPr>
            <w:tcW w:w="2220" w:type="dxa"/>
            <w:vAlign w:val="bottom"/>
            <w:tcBorders>
              <w:left w:val="single" w:sz="8" w:color="1F473D"/>
              <w:right w:val="single" w:sz="8" w:color="1F473D"/>
            </w:tcBorders>
            <w:shd w:val="clear" w:color="auto" w:fill="1F473D"/>
          </w:tcPr>
          <w:p>
            <w:pPr>
              <w:ind w:left="160"/>
              <w:spacing w:after="0"/>
              <w:rPr>
                <w:sz w:val="20"/>
                <w:szCs w:val="20"/>
                <w:color w:val="auto"/>
              </w:rPr>
            </w:pPr>
            <w:r>
              <w:rPr>
                <w:rFonts w:ascii="Arial" w:cs="Arial" w:eastAsia="Arial" w:hAnsi="Arial"/>
                <w:sz w:val="16"/>
                <w:szCs w:val="16"/>
                <w:b w:val="1"/>
                <w:bCs w:val="1"/>
                <w:color w:val="FFFFFF"/>
              </w:rPr>
              <w:t>shareholders</w:t>
            </w:r>
          </w:p>
        </w:tc>
        <w:tc>
          <w:tcPr>
            <w:tcW w:w="8720" w:type="dxa"/>
            <w:vAlign w:val="bottom"/>
            <w:tcBorders>
              <w:right w:val="single" w:sz="8" w:color="auto"/>
            </w:tcBorders>
            <w:shd w:val="clear" w:color="auto" w:fill="1F473D"/>
          </w:tcPr>
          <w:p>
            <w:pPr>
              <w:ind w:left="400"/>
              <w:spacing w:after="0"/>
              <w:rPr>
                <w:sz w:val="20"/>
                <w:szCs w:val="20"/>
                <w:color w:val="auto"/>
              </w:rPr>
            </w:pPr>
            <w:r>
              <w:rPr>
                <w:rFonts w:ascii="Arial" w:cs="Arial" w:eastAsia="Arial" w:hAnsi="Arial"/>
                <w:sz w:val="16"/>
                <w:szCs w:val="16"/>
                <w:color w:val="FFFFFF"/>
              </w:rPr>
              <w:t>the name of an intermediary. For example, you are a non-registered shareholder if your common</w:t>
            </w:r>
          </w:p>
        </w:tc>
      </w:tr>
      <w:tr>
        <w:trPr>
          <w:trHeight w:val="187"/>
        </w:trPr>
        <w:tc>
          <w:tcPr>
            <w:tcW w:w="2220" w:type="dxa"/>
            <w:vAlign w:val="bottom"/>
            <w:tcBorders>
              <w:left w:val="single" w:sz="8" w:color="1F473D"/>
              <w:right w:val="single" w:sz="8" w:color="1F473D"/>
            </w:tcBorders>
            <w:shd w:val="clear" w:color="auto" w:fill="1F473D"/>
          </w:tcPr>
          <w:p>
            <w:pPr>
              <w:spacing w:after="0"/>
              <w:rPr>
                <w:sz w:val="16"/>
                <w:szCs w:val="16"/>
                <w:color w:val="auto"/>
              </w:rPr>
            </w:pPr>
          </w:p>
        </w:tc>
        <w:tc>
          <w:tcPr>
            <w:tcW w:w="8720" w:type="dxa"/>
            <w:vAlign w:val="bottom"/>
            <w:tcBorders>
              <w:right w:val="single" w:sz="8" w:color="auto"/>
            </w:tcBorders>
            <w:shd w:val="clear" w:color="auto" w:fill="1F473D"/>
          </w:tcPr>
          <w:p>
            <w:pPr>
              <w:ind w:left="400"/>
              <w:spacing w:after="0"/>
              <w:rPr>
                <w:sz w:val="20"/>
                <w:szCs w:val="20"/>
                <w:color w:val="auto"/>
              </w:rPr>
            </w:pPr>
            <w:r>
              <w:rPr>
                <w:rFonts w:ascii="Arial" w:cs="Arial" w:eastAsia="Arial" w:hAnsi="Arial"/>
                <w:sz w:val="16"/>
                <w:szCs w:val="16"/>
                <w:color w:val="FFFFFF"/>
              </w:rPr>
              <w:t>shares are held in the name of a bank, trust company, securities broker, trustee or custodian; or</w:t>
            </w:r>
          </w:p>
        </w:tc>
      </w:tr>
      <w:tr>
        <w:trPr>
          <w:trHeight w:val="187"/>
        </w:trPr>
        <w:tc>
          <w:tcPr>
            <w:tcW w:w="2220" w:type="dxa"/>
            <w:vAlign w:val="bottom"/>
            <w:tcBorders>
              <w:left w:val="single" w:sz="8" w:color="1F473D"/>
              <w:right w:val="single" w:sz="8" w:color="1F473D"/>
            </w:tcBorders>
            <w:shd w:val="clear" w:color="auto" w:fill="1F473D"/>
          </w:tcPr>
          <w:p>
            <w:pPr>
              <w:spacing w:after="0"/>
              <w:rPr>
                <w:sz w:val="16"/>
                <w:szCs w:val="16"/>
                <w:color w:val="auto"/>
              </w:rPr>
            </w:pPr>
          </w:p>
        </w:tc>
        <w:tc>
          <w:tcPr>
            <w:tcW w:w="8720" w:type="dxa"/>
            <w:vAlign w:val="bottom"/>
            <w:tcBorders>
              <w:right w:val="single" w:sz="8" w:color="auto"/>
            </w:tcBorders>
            <w:shd w:val="clear" w:color="auto" w:fill="1F473D"/>
          </w:tcPr>
          <w:p>
            <w:pPr>
              <w:ind w:left="400"/>
              <w:spacing w:after="0"/>
              <w:rPr>
                <w:sz w:val="20"/>
                <w:szCs w:val="20"/>
                <w:color w:val="auto"/>
              </w:rPr>
            </w:pPr>
            <w:r>
              <w:rPr>
                <w:rFonts w:ascii="Arial" w:cs="Arial" w:eastAsia="Arial" w:hAnsi="Arial"/>
                <w:sz w:val="16"/>
                <w:szCs w:val="16"/>
                <w:color w:val="FFFFFF"/>
              </w:rPr>
              <w:t>you hold Depositary Interests representing our common shares which are held in the name of</w:t>
            </w:r>
          </w:p>
        </w:tc>
      </w:tr>
      <w:tr>
        <w:trPr>
          <w:trHeight w:val="211"/>
        </w:trPr>
        <w:tc>
          <w:tcPr>
            <w:tcW w:w="2220" w:type="dxa"/>
            <w:vAlign w:val="bottom"/>
            <w:tcBorders>
              <w:left w:val="single" w:sz="8" w:color="1F473D"/>
              <w:right w:val="single" w:sz="8" w:color="1F473D"/>
            </w:tcBorders>
            <w:shd w:val="clear" w:color="auto" w:fill="1F473D"/>
          </w:tcPr>
          <w:p>
            <w:pPr>
              <w:spacing w:after="0"/>
              <w:rPr>
                <w:sz w:val="18"/>
                <w:szCs w:val="18"/>
                <w:color w:val="auto"/>
              </w:rPr>
            </w:pPr>
          </w:p>
        </w:tc>
        <w:tc>
          <w:tcPr>
            <w:tcW w:w="8720" w:type="dxa"/>
            <w:vAlign w:val="bottom"/>
            <w:tcBorders>
              <w:right w:val="single" w:sz="8" w:color="auto"/>
            </w:tcBorders>
            <w:shd w:val="clear" w:color="auto" w:fill="1F473D"/>
          </w:tcPr>
          <w:p>
            <w:pPr>
              <w:ind w:left="400"/>
              <w:spacing w:after="0"/>
              <w:rPr>
                <w:sz w:val="20"/>
                <w:szCs w:val="20"/>
                <w:color w:val="auto"/>
              </w:rPr>
            </w:pPr>
            <w:r>
              <w:rPr>
                <w:rFonts w:ascii="Arial" w:cs="Arial" w:eastAsia="Arial" w:hAnsi="Arial"/>
                <w:sz w:val="16"/>
                <w:szCs w:val="16"/>
                <w:color w:val="FFFFFF"/>
              </w:rPr>
              <w:t>Computershare Company Nominees Limited as nominee and custodian.</w:t>
            </w:r>
          </w:p>
        </w:tc>
      </w:tr>
      <w:tr>
        <w:trPr>
          <w:trHeight w:val="281"/>
        </w:trPr>
        <w:tc>
          <w:tcPr>
            <w:tcW w:w="2220" w:type="dxa"/>
            <w:vAlign w:val="bottom"/>
            <w:tcBorders>
              <w:left w:val="single" w:sz="8" w:color="1F473D"/>
              <w:right w:val="single" w:sz="8" w:color="1F473D"/>
            </w:tcBorders>
            <w:shd w:val="clear" w:color="auto" w:fill="1F473D"/>
          </w:tcPr>
          <w:p>
            <w:pPr>
              <w:spacing w:after="0"/>
              <w:rPr>
                <w:sz w:val="24"/>
                <w:szCs w:val="24"/>
                <w:color w:val="auto"/>
              </w:rPr>
            </w:pPr>
          </w:p>
        </w:tc>
        <w:tc>
          <w:tcPr>
            <w:tcW w:w="8720" w:type="dxa"/>
            <w:vAlign w:val="bottom"/>
            <w:tcBorders>
              <w:right w:val="single" w:sz="8" w:color="auto"/>
            </w:tcBorders>
            <w:shd w:val="clear" w:color="auto" w:fill="1F473D"/>
          </w:tcPr>
          <w:p>
            <w:pPr>
              <w:ind w:left="400"/>
              <w:spacing w:after="0"/>
              <w:rPr>
                <w:sz w:val="20"/>
                <w:szCs w:val="20"/>
                <w:color w:val="auto"/>
              </w:rPr>
            </w:pPr>
            <w:r>
              <w:rPr>
                <w:rFonts w:ascii="Arial" w:cs="Arial" w:eastAsia="Arial" w:hAnsi="Arial"/>
                <w:sz w:val="16"/>
                <w:szCs w:val="16"/>
                <w:color w:val="FFFFFF"/>
              </w:rPr>
              <w:t>Non-registered shareholders are sometimes referred to as “beneficial owners”.</w:t>
            </w:r>
          </w:p>
        </w:tc>
      </w:tr>
      <w:tr>
        <w:trPr>
          <w:trHeight w:val="90"/>
        </w:trPr>
        <w:tc>
          <w:tcPr>
            <w:tcW w:w="2220" w:type="dxa"/>
            <w:vAlign w:val="bottom"/>
            <w:tcBorders>
              <w:left w:val="single" w:sz="8" w:color="1F473D"/>
              <w:bottom w:val="single" w:sz="8" w:color="D64000"/>
              <w:right w:val="single" w:sz="8" w:color="1F473D"/>
            </w:tcBorders>
            <w:shd w:val="clear" w:color="auto" w:fill="1F473D"/>
          </w:tcPr>
          <w:p>
            <w:pPr>
              <w:spacing w:after="0"/>
              <w:rPr>
                <w:sz w:val="7"/>
                <w:szCs w:val="7"/>
                <w:color w:val="auto"/>
              </w:rPr>
            </w:pPr>
          </w:p>
        </w:tc>
        <w:tc>
          <w:tcPr>
            <w:tcW w:w="8720" w:type="dxa"/>
            <w:vAlign w:val="bottom"/>
            <w:tcBorders>
              <w:bottom w:val="single" w:sz="8" w:color="D64000"/>
              <w:right w:val="single" w:sz="8" w:color="auto"/>
            </w:tcBorders>
            <w:shd w:val="clear" w:color="auto" w:fill="1F473D"/>
          </w:tcPr>
          <w:p>
            <w:pPr>
              <w:spacing w:after="0"/>
              <w:rPr>
                <w:sz w:val="7"/>
                <w:szCs w:val="7"/>
                <w:color w:val="auto"/>
              </w:rPr>
            </w:pPr>
          </w:p>
        </w:tc>
      </w:tr>
      <w:tr>
        <w:trPr>
          <w:trHeight w:val="267"/>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If you want to vote by</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If you are a non-registered shareholder who receives a proxy form or voting instruction form (VIF), you</w:t>
            </w:r>
          </w:p>
        </w:tc>
      </w:tr>
      <w:tr>
        <w:trPr>
          <w:trHeight w:val="187"/>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proxy before the meeting</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 xml:space="preserve">should follow your intermediary’s instruction for completing the form. </w:t>
            </w:r>
            <w:r>
              <w:rPr>
                <w:rFonts w:ascii="Arial" w:cs="Arial" w:eastAsia="Arial" w:hAnsi="Arial"/>
                <w:sz w:val="16"/>
                <w:szCs w:val="16"/>
                <w:color w:val="auto"/>
              </w:rPr>
              <w:t>Holders of Depositary Interests will</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receive a voting form of instruction or direction from Computershare Investor Services PLC.</w:t>
            </w:r>
          </w:p>
        </w:tc>
      </w:tr>
      <w:tr>
        <w:trPr>
          <w:trHeight w:val="97"/>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8720" w:type="dxa"/>
            <w:vAlign w:val="bottom"/>
            <w:tcBorders>
              <w:bottom w:val="single" w:sz="8" w:color="auto"/>
              <w:right w:val="single" w:sz="8" w:color="auto"/>
            </w:tcBorders>
          </w:tcPr>
          <w:p>
            <w:pPr>
              <w:spacing w:after="0"/>
              <w:rPr>
                <w:sz w:val="8"/>
                <w:szCs w:val="8"/>
                <w:color w:val="auto"/>
              </w:rPr>
            </w:pPr>
          </w:p>
        </w:tc>
      </w:tr>
      <w:tr>
        <w:trPr>
          <w:trHeight w:val="252"/>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If you want to attend and</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If you are a non-registered shareholder and you wish to ask questions or vote at the meeting, you should</w:t>
            </w:r>
          </w:p>
        </w:tc>
      </w:tr>
      <w:tr>
        <w:trPr>
          <w:trHeight w:val="231"/>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vote at the meeting</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do one of the following:</w:t>
            </w:r>
          </w:p>
        </w:tc>
      </w:tr>
      <w:tr>
        <w:trPr>
          <w:trHeight w:val="237"/>
        </w:trPr>
        <w:tc>
          <w:tcPr>
            <w:tcW w:w="2220" w:type="dxa"/>
            <w:vAlign w:val="bottom"/>
            <w:tcBorders>
              <w:left w:val="single" w:sz="8" w:color="auto"/>
              <w:right w:val="single" w:sz="8" w:color="auto"/>
            </w:tcBorders>
          </w:tcPr>
          <w:p>
            <w:pPr>
              <w:spacing w:after="0"/>
              <w:rPr>
                <w:sz w:val="20"/>
                <w:szCs w:val="20"/>
                <w:color w:val="auto"/>
              </w:rPr>
            </w:pPr>
          </w:p>
        </w:tc>
        <w:tc>
          <w:tcPr>
            <w:tcW w:w="872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•  If you have received a proxy form from your intermediary, insert your own name in the blank space</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920"/>
              <w:spacing w:after="0" w:line="187" w:lineRule="exact"/>
              <w:rPr>
                <w:sz w:val="20"/>
                <w:szCs w:val="20"/>
                <w:color w:val="auto"/>
              </w:rPr>
            </w:pPr>
            <w:r>
              <w:rPr>
                <w:rFonts w:ascii="Arial" w:cs="Arial" w:eastAsia="Arial" w:hAnsi="Arial"/>
                <w:sz w:val="17"/>
                <w:szCs w:val="17"/>
                <w:color w:val="auto"/>
              </w:rPr>
              <w:t>provided on the proxy form to appoint yourself as proxyholder. If the intermediary has not signed the</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920"/>
              <w:spacing w:after="0" w:line="187" w:lineRule="exact"/>
              <w:rPr>
                <w:sz w:val="20"/>
                <w:szCs w:val="20"/>
                <w:color w:val="auto"/>
              </w:rPr>
            </w:pPr>
            <w:r>
              <w:rPr>
                <w:rFonts w:ascii="Arial" w:cs="Arial" w:eastAsia="Arial" w:hAnsi="Arial"/>
                <w:sz w:val="17"/>
                <w:szCs w:val="17"/>
                <w:color w:val="auto"/>
              </w:rPr>
              <w:t>proxy form, you must sign and date it. Follow your intermediary’s instructions for returning the proxy</w:t>
            </w:r>
          </w:p>
        </w:tc>
      </w:tr>
      <w:tr>
        <w:trPr>
          <w:trHeight w:val="223"/>
        </w:trPr>
        <w:tc>
          <w:tcPr>
            <w:tcW w:w="2220" w:type="dxa"/>
            <w:vAlign w:val="bottom"/>
            <w:tcBorders>
              <w:left w:val="single" w:sz="8" w:color="auto"/>
              <w:right w:val="single" w:sz="8" w:color="auto"/>
            </w:tcBorders>
          </w:tcPr>
          <w:p>
            <w:pPr>
              <w:spacing w:after="0"/>
              <w:rPr>
                <w:sz w:val="19"/>
                <w:szCs w:val="19"/>
                <w:color w:val="auto"/>
              </w:rPr>
            </w:pPr>
          </w:p>
        </w:tc>
        <w:tc>
          <w:tcPr>
            <w:tcW w:w="8720" w:type="dxa"/>
            <w:vAlign w:val="bottom"/>
            <w:tcBorders>
              <w:right w:val="single" w:sz="8" w:color="auto"/>
            </w:tcBorders>
          </w:tcPr>
          <w:p>
            <w:pPr>
              <w:ind w:left="920"/>
              <w:spacing w:after="0"/>
              <w:rPr>
                <w:sz w:val="20"/>
                <w:szCs w:val="20"/>
                <w:color w:val="auto"/>
              </w:rPr>
            </w:pPr>
            <w:r>
              <w:rPr>
                <w:rFonts w:ascii="Arial" w:cs="Arial" w:eastAsia="Arial" w:hAnsi="Arial"/>
                <w:sz w:val="17"/>
                <w:szCs w:val="17"/>
                <w:color w:val="auto"/>
              </w:rPr>
              <w:t>form; or</w:t>
            </w:r>
          </w:p>
        </w:tc>
      </w:tr>
      <w:tr>
        <w:trPr>
          <w:trHeight w:val="245"/>
        </w:trPr>
        <w:tc>
          <w:tcPr>
            <w:tcW w:w="222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•  If you have received a VIF from your intermediary, follow your intermediary’s instructions for</w:t>
            </w:r>
          </w:p>
        </w:tc>
      </w:tr>
      <w:tr>
        <w:trPr>
          <w:trHeight w:val="223"/>
        </w:trPr>
        <w:tc>
          <w:tcPr>
            <w:tcW w:w="2220" w:type="dxa"/>
            <w:vAlign w:val="bottom"/>
            <w:tcBorders>
              <w:left w:val="single" w:sz="8" w:color="auto"/>
              <w:right w:val="single" w:sz="8" w:color="auto"/>
            </w:tcBorders>
          </w:tcPr>
          <w:p>
            <w:pPr>
              <w:spacing w:after="0"/>
              <w:rPr>
                <w:sz w:val="19"/>
                <w:szCs w:val="19"/>
                <w:color w:val="auto"/>
              </w:rPr>
            </w:pPr>
          </w:p>
        </w:tc>
        <w:tc>
          <w:tcPr>
            <w:tcW w:w="8720" w:type="dxa"/>
            <w:vAlign w:val="bottom"/>
            <w:tcBorders>
              <w:right w:val="single" w:sz="8" w:color="auto"/>
            </w:tcBorders>
          </w:tcPr>
          <w:p>
            <w:pPr>
              <w:ind w:left="920"/>
              <w:spacing w:after="0"/>
              <w:rPr>
                <w:sz w:val="20"/>
                <w:szCs w:val="20"/>
                <w:color w:val="auto"/>
              </w:rPr>
            </w:pPr>
            <w:r>
              <w:rPr>
                <w:rFonts w:ascii="Arial" w:cs="Arial" w:eastAsia="Arial" w:hAnsi="Arial"/>
                <w:sz w:val="17"/>
                <w:szCs w:val="17"/>
                <w:color w:val="auto"/>
              </w:rPr>
              <w:t>completing the form.</w:t>
            </w:r>
          </w:p>
        </w:tc>
      </w:tr>
      <w:tr>
        <w:trPr>
          <w:trHeight w:val="277"/>
        </w:trPr>
        <w:tc>
          <w:tcPr>
            <w:tcW w:w="222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It is important that you comply with the signature and return instructions provided by your intermediary.</w:t>
            </w:r>
          </w:p>
        </w:tc>
      </w:tr>
      <w:tr>
        <w:trPr>
          <w:trHeight w:val="257"/>
        </w:trPr>
        <w:tc>
          <w:tcPr>
            <w:tcW w:w="2220" w:type="dxa"/>
            <w:vAlign w:val="bottom"/>
            <w:tcBorders>
              <w:left w:val="single" w:sz="8" w:color="auto"/>
              <w:right w:val="single" w:sz="8" w:color="auto"/>
            </w:tcBorders>
          </w:tcPr>
          <w:p>
            <w:pPr>
              <w:spacing w:after="0"/>
              <w:rPr>
                <w:sz w:val="22"/>
                <w:szCs w:val="22"/>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You will then need to register with representatives of Computershare Trust Company of Canada when you arrive at</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the meeting.</w:t>
            </w:r>
          </w:p>
        </w:tc>
      </w:tr>
      <w:tr>
        <w:trPr>
          <w:trHeight w:val="257"/>
        </w:trPr>
        <w:tc>
          <w:tcPr>
            <w:tcW w:w="2220" w:type="dxa"/>
            <w:vAlign w:val="bottom"/>
            <w:tcBorders>
              <w:left w:val="single" w:sz="8" w:color="auto"/>
              <w:right w:val="single" w:sz="8" w:color="auto"/>
            </w:tcBorders>
          </w:tcPr>
          <w:p>
            <w:pPr>
              <w:spacing w:after="0"/>
              <w:rPr>
                <w:sz w:val="22"/>
                <w:szCs w:val="22"/>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If you are a non-registered shareholder located in the United States and you wish to appoint yourself as a</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proxyholder, in addition to the steps above, you must first obtain a valid legal proxy from your</w:t>
            </w:r>
          </w:p>
        </w:tc>
      </w:tr>
      <w:tr>
        <w:trPr>
          <w:trHeight w:val="221"/>
        </w:trPr>
        <w:tc>
          <w:tcPr>
            <w:tcW w:w="2220" w:type="dxa"/>
            <w:vAlign w:val="bottom"/>
            <w:tcBorders>
              <w:left w:val="single" w:sz="8" w:color="auto"/>
              <w:right w:val="single" w:sz="8" w:color="auto"/>
            </w:tcBorders>
          </w:tcPr>
          <w:p>
            <w:pPr>
              <w:spacing w:after="0"/>
              <w:rPr>
                <w:sz w:val="19"/>
                <w:szCs w:val="19"/>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6"/>
                <w:szCs w:val="16"/>
                <w:b w:val="1"/>
                <w:bCs w:val="1"/>
                <w:color w:val="auto"/>
              </w:rPr>
              <w:t xml:space="preserve">intermediary. </w:t>
            </w:r>
            <w:r>
              <w:rPr>
                <w:rFonts w:ascii="Arial" w:cs="Arial" w:eastAsia="Arial" w:hAnsi="Arial"/>
                <w:sz w:val="16"/>
                <w:szCs w:val="16"/>
                <w:color w:val="auto"/>
              </w:rPr>
              <w:t>To do so, please follow these additional steps:</w:t>
            </w:r>
          </w:p>
        </w:tc>
      </w:tr>
      <w:tr>
        <w:trPr>
          <w:trHeight w:val="247"/>
        </w:trPr>
        <w:tc>
          <w:tcPr>
            <w:tcW w:w="222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1.     Follow the instructions from your intermediary included with the legal proxy form and the voting</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information form sent to you or contact your intermediary to request a legal proxy form or a legal proxy if</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you have not received one.</w:t>
            </w:r>
          </w:p>
        </w:tc>
      </w:tr>
      <w:tr>
        <w:trPr>
          <w:trHeight w:val="257"/>
        </w:trPr>
        <w:tc>
          <w:tcPr>
            <w:tcW w:w="2220" w:type="dxa"/>
            <w:vAlign w:val="bottom"/>
            <w:tcBorders>
              <w:left w:val="single" w:sz="8" w:color="auto"/>
              <w:right w:val="single" w:sz="8" w:color="auto"/>
            </w:tcBorders>
          </w:tcPr>
          <w:p>
            <w:pPr>
              <w:spacing w:after="0"/>
              <w:rPr>
                <w:sz w:val="22"/>
                <w:szCs w:val="22"/>
                <w:color w:val="auto"/>
              </w:rPr>
            </w:pPr>
          </w:p>
        </w:tc>
        <w:tc>
          <w:tcPr>
            <w:tcW w:w="87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2.    After you receive a valid legal proxy from your intermediary, you must then submit the legal proxy to</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Computershare Trust Company of Canada. You can send the legal proxy by e-mail or by courier to:</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b w:val="1"/>
                <w:bCs w:val="1"/>
                <w:color w:val="auto"/>
              </w:rPr>
              <w:t xml:space="preserve">uslegalproxy@computershare.com </w:t>
            </w:r>
            <w:r>
              <w:rPr>
                <w:rFonts w:ascii="Arial" w:cs="Arial" w:eastAsia="Arial" w:hAnsi="Arial"/>
                <w:sz w:val="16"/>
                <w:szCs w:val="16"/>
                <w:color w:val="auto"/>
              </w:rPr>
              <w:t>(if by e-mail), or Computershare Trust Company of Canada,</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Attention: Proxy Dept., 14th Floor, 320 Bay Street, Toronto, Ontario M5H 4A6, Canada (if by courier). The</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 xml:space="preserve">legal proxy in both cases must be labeled “Legal Proxy” and received </w:t>
            </w:r>
            <w:r>
              <w:rPr>
                <w:rFonts w:ascii="Arial" w:cs="Arial" w:eastAsia="Arial" w:hAnsi="Arial"/>
                <w:sz w:val="16"/>
                <w:szCs w:val="16"/>
                <w:b w:val="1"/>
                <w:bCs w:val="1"/>
                <w:color w:val="auto"/>
              </w:rPr>
              <w:t>no later than the voting deadline</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b w:val="1"/>
                <w:bCs w:val="1"/>
                <w:color w:val="auto"/>
              </w:rPr>
              <w:t>of 5:00 p.m. (Eastern Daylight Time) on Monday, June 8, 2026</w:t>
            </w:r>
            <w:r>
              <w:rPr>
                <w:rFonts w:ascii="Arial" w:cs="Arial" w:eastAsia="Arial" w:hAnsi="Arial"/>
                <w:sz w:val="16"/>
                <w:szCs w:val="16"/>
                <w:color w:val="auto"/>
              </w:rPr>
              <w:t>. You may also present your proxy in</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person at the meeting.</w:t>
            </w:r>
          </w:p>
        </w:tc>
      </w:tr>
      <w:tr>
        <w:trPr>
          <w:trHeight w:val="110"/>
        </w:trPr>
        <w:tc>
          <w:tcPr>
            <w:tcW w:w="2220" w:type="dxa"/>
            <w:vAlign w:val="bottom"/>
            <w:tcBorders>
              <w:left w:val="single" w:sz="8" w:color="auto"/>
              <w:bottom w:val="single" w:sz="8" w:color="auto"/>
              <w:right w:val="single" w:sz="8" w:color="auto"/>
            </w:tcBorders>
          </w:tcPr>
          <w:p>
            <w:pPr>
              <w:spacing w:after="0"/>
              <w:rPr>
                <w:sz w:val="9"/>
                <w:szCs w:val="9"/>
                <w:color w:val="auto"/>
              </w:rPr>
            </w:pPr>
          </w:p>
        </w:tc>
        <w:tc>
          <w:tcPr>
            <w:tcW w:w="8720" w:type="dxa"/>
            <w:vAlign w:val="bottom"/>
            <w:tcBorders>
              <w:bottom w:val="single" w:sz="8" w:color="auto"/>
              <w:right w:val="single" w:sz="8" w:color="auto"/>
            </w:tcBorders>
          </w:tcPr>
          <w:p>
            <w:pPr>
              <w:spacing w:after="0"/>
              <w:rPr>
                <w:sz w:val="9"/>
                <w:szCs w:val="9"/>
                <w:color w:val="auto"/>
              </w:rPr>
            </w:pPr>
          </w:p>
        </w:tc>
      </w:tr>
      <w:tr>
        <w:trPr>
          <w:trHeight w:val="252"/>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If you want to appoint a</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7"/>
                <w:szCs w:val="17"/>
                <w:b w:val="1"/>
                <w:bCs w:val="1"/>
                <w:color w:val="auto"/>
              </w:rPr>
              <w:t>You may appoint another person (other than our directors who are named on your voting instruction</w:t>
            </w:r>
          </w:p>
        </w:tc>
      </w:tr>
      <w:tr>
        <w:trPr>
          <w:trHeight w:val="187"/>
        </w:trPr>
        <w:tc>
          <w:tcPr>
            <w:tcW w:w="2220" w:type="dxa"/>
            <w:vAlign w:val="bottom"/>
            <w:tcBorders>
              <w:left w:val="single" w:sz="8" w:color="auto"/>
              <w:right w:val="single" w:sz="8" w:color="auto"/>
            </w:tcBorders>
          </w:tcPr>
          <w:p>
            <w:pPr>
              <w:ind w:left="160"/>
              <w:spacing w:after="0" w:line="187" w:lineRule="exact"/>
              <w:rPr>
                <w:sz w:val="20"/>
                <w:szCs w:val="20"/>
                <w:color w:val="auto"/>
              </w:rPr>
            </w:pPr>
            <w:r>
              <w:rPr>
                <w:rFonts w:ascii="Arial" w:cs="Arial" w:eastAsia="Arial" w:hAnsi="Arial"/>
                <w:sz w:val="17"/>
                <w:szCs w:val="17"/>
                <w:b w:val="1"/>
                <w:bCs w:val="1"/>
                <w:color w:val="auto"/>
              </w:rPr>
              <w:t>third party as proxy to</w:t>
            </w:r>
          </w:p>
        </w:tc>
        <w:tc>
          <w:tcPr>
            <w:tcW w:w="8720" w:type="dxa"/>
            <w:vAlign w:val="bottom"/>
            <w:tcBorders>
              <w:right w:val="single" w:sz="8" w:color="auto"/>
            </w:tcBorders>
          </w:tcPr>
          <w:p>
            <w:pPr>
              <w:ind w:left="400"/>
              <w:spacing w:after="0" w:line="187" w:lineRule="exact"/>
              <w:rPr>
                <w:sz w:val="20"/>
                <w:szCs w:val="20"/>
                <w:color w:val="auto"/>
              </w:rPr>
            </w:pPr>
            <w:r>
              <w:rPr>
                <w:rFonts w:ascii="Arial" w:cs="Arial" w:eastAsia="Arial" w:hAnsi="Arial"/>
                <w:sz w:val="17"/>
                <w:szCs w:val="17"/>
                <w:b w:val="1"/>
                <w:bCs w:val="1"/>
                <w:color w:val="auto"/>
              </w:rPr>
              <w:t xml:space="preserve">form) to attend the meeting on your behalf and vote your shares as your proxyholder. </w:t>
            </w:r>
            <w:r>
              <w:rPr>
                <w:rFonts w:ascii="Arial" w:cs="Arial" w:eastAsia="Arial" w:hAnsi="Arial"/>
                <w:sz w:val="17"/>
                <w:szCs w:val="17"/>
                <w:color w:val="auto"/>
              </w:rPr>
              <w:t>You may choose</w:t>
            </w:r>
          </w:p>
        </w:tc>
      </w:tr>
      <w:tr>
        <w:trPr>
          <w:trHeight w:val="187"/>
        </w:trPr>
        <w:tc>
          <w:tcPr>
            <w:tcW w:w="2220" w:type="dxa"/>
            <w:vAlign w:val="bottom"/>
            <w:tcBorders>
              <w:left w:val="single" w:sz="8" w:color="auto"/>
              <w:right w:val="single" w:sz="8" w:color="auto"/>
            </w:tcBorders>
          </w:tcPr>
          <w:p>
            <w:pPr>
              <w:ind w:left="160"/>
              <w:spacing w:after="0" w:line="187" w:lineRule="exact"/>
              <w:rPr>
                <w:sz w:val="20"/>
                <w:szCs w:val="20"/>
                <w:color w:val="auto"/>
              </w:rPr>
            </w:pPr>
            <w:r>
              <w:rPr>
                <w:rFonts w:ascii="Arial" w:cs="Arial" w:eastAsia="Arial" w:hAnsi="Arial"/>
                <w:sz w:val="17"/>
                <w:szCs w:val="17"/>
                <w:b w:val="1"/>
                <w:bCs w:val="1"/>
                <w:color w:val="auto"/>
              </w:rPr>
              <w:t>attend and vote at the</w:t>
            </w:r>
          </w:p>
        </w:tc>
        <w:tc>
          <w:tcPr>
            <w:tcW w:w="8720" w:type="dxa"/>
            <w:vAlign w:val="bottom"/>
            <w:tcBorders>
              <w:right w:val="single" w:sz="8" w:color="auto"/>
            </w:tcBorders>
          </w:tcPr>
          <w:p>
            <w:pPr>
              <w:ind w:left="400"/>
              <w:spacing w:after="0" w:line="187" w:lineRule="exact"/>
              <w:rPr>
                <w:sz w:val="20"/>
                <w:szCs w:val="20"/>
                <w:color w:val="auto"/>
              </w:rPr>
            </w:pPr>
            <w:r>
              <w:rPr>
                <w:rFonts w:ascii="Arial" w:cs="Arial" w:eastAsia="Arial" w:hAnsi="Arial"/>
                <w:sz w:val="17"/>
                <w:szCs w:val="17"/>
                <w:color w:val="auto"/>
              </w:rPr>
              <w:t>anyone to be your proxyholder – the person does not have to be another shareholder. To do so, please</w:t>
            </w:r>
          </w:p>
        </w:tc>
      </w:tr>
      <w:tr>
        <w:trPr>
          <w:trHeight w:val="231"/>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meeting</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follow these steps:</w:t>
            </w:r>
          </w:p>
        </w:tc>
      </w:tr>
      <w:tr>
        <w:trPr>
          <w:trHeight w:val="245"/>
        </w:trPr>
        <w:tc>
          <w:tcPr>
            <w:tcW w:w="222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 xml:space="preserve">     Appoint the Proxyholder</w:t>
            </w:r>
            <w:r>
              <w:rPr>
                <w:rFonts w:ascii="Arial" w:cs="Arial" w:eastAsia="Arial" w:hAnsi="Arial"/>
                <w:sz w:val="16"/>
                <w:szCs w:val="16"/>
                <w:color w:val="auto"/>
              </w:rPr>
              <w:t xml:space="preserve"> – If you are a non-registered shareholder who receives a proxy form or voting</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instruction form (VIF), you should follow your intermediary’s instruction for completing the form. Holders of</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Depositary Interests will receive a voting form of instruction or direction from Computershare Investor</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Services PLC.</w:t>
            </w:r>
          </w:p>
        </w:tc>
      </w:tr>
      <w:tr>
        <w:trPr>
          <w:trHeight w:val="257"/>
        </w:trPr>
        <w:tc>
          <w:tcPr>
            <w:tcW w:w="2220" w:type="dxa"/>
            <w:vAlign w:val="bottom"/>
            <w:tcBorders>
              <w:left w:val="single" w:sz="8" w:color="auto"/>
              <w:right w:val="single" w:sz="8" w:color="auto"/>
            </w:tcBorders>
          </w:tcPr>
          <w:p>
            <w:pPr>
              <w:spacing w:after="0"/>
              <w:rPr>
                <w:sz w:val="22"/>
                <w:szCs w:val="22"/>
                <w:color w:val="auto"/>
              </w:rPr>
            </w:pPr>
          </w:p>
        </w:tc>
        <w:tc>
          <w:tcPr>
            <w:tcW w:w="87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2.</w:t>
            </w:r>
            <w:r>
              <w:rPr>
                <w:rFonts w:ascii="Arial" w:cs="Arial" w:eastAsia="Arial" w:hAnsi="Arial"/>
                <w:sz w:val="16"/>
                <w:szCs w:val="16"/>
                <w:b w:val="1"/>
                <w:bCs w:val="1"/>
                <w:color w:val="auto"/>
              </w:rPr>
              <w:t xml:space="preserve">    Proxyholder Registration</w:t>
            </w:r>
            <w:r>
              <w:rPr>
                <w:rFonts w:ascii="Arial" w:cs="Arial" w:eastAsia="Arial" w:hAnsi="Arial"/>
                <w:sz w:val="16"/>
                <w:szCs w:val="16"/>
                <w:color w:val="auto"/>
              </w:rPr>
              <w:t xml:space="preserve"> – The third-party proxyholder should then register with representatives of</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Computershare Trust Company of Canada when they arrive at the meeting.</w:t>
            </w:r>
          </w:p>
        </w:tc>
      </w:tr>
      <w:tr>
        <w:trPr>
          <w:trHeight w:val="110"/>
        </w:trPr>
        <w:tc>
          <w:tcPr>
            <w:tcW w:w="2220" w:type="dxa"/>
            <w:vAlign w:val="bottom"/>
            <w:tcBorders>
              <w:left w:val="single" w:sz="8" w:color="auto"/>
              <w:bottom w:val="single" w:sz="8" w:color="auto"/>
              <w:right w:val="single" w:sz="8" w:color="auto"/>
            </w:tcBorders>
          </w:tcPr>
          <w:p>
            <w:pPr>
              <w:spacing w:after="0"/>
              <w:rPr>
                <w:sz w:val="9"/>
                <w:szCs w:val="9"/>
                <w:color w:val="auto"/>
              </w:rPr>
            </w:pPr>
          </w:p>
        </w:tc>
        <w:tc>
          <w:tcPr>
            <w:tcW w:w="8720" w:type="dxa"/>
            <w:vAlign w:val="bottom"/>
            <w:tcBorders>
              <w:bottom w:val="single" w:sz="8" w:color="auto"/>
              <w:right w:val="single" w:sz="8" w:color="auto"/>
            </w:tcBorders>
          </w:tcPr>
          <w:p>
            <w:pPr>
              <w:spacing w:after="0"/>
              <w:rPr>
                <w:sz w:val="9"/>
                <w:szCs w:val="9"/>
                <w:color w:val="auto"/>
              </w:rPr>
            </w:pPr>
          </w:p>
        </w:tc>
      </w:tr>
      <w:tr>
        <w:trPr>
          <w:trHeight w:val="154"/>
        </w:trPr>
        <w:tc>
          <w:tcPr>
            <w:tcW w:w="2220" w:type="dxa"/>
            <w:vAlign w:val="bottom"/>
            <w:tcBorders>
              <w:bottom w:val="single" w:sz="8" w:color="7F7F7F"/>
            </w:tcBorders>
          </w:tcPr>
          <w:p>
            <w:pPr>
              <w:spacing w:after="0"/>
              <w:rPr>
                <w:sz w:val="13"/>
                <w:szCs w:val="13"/>
                <w:color w:val="auto"/>
              </w:rPr>
            </w:pPr>
          </w:p>
        </w:tc>
        <w:tc>
          <w:tcPr>
            <w:tcW w:w="8720" w:type="dxa"/>
            <w:vAlign w:val="bottom"/>
            <w:tcBorders>
              <w:bottom w:val="single" w:sz="8" w:color="7F7F7F"/>
            </w:tcBorders>
          </w:tcPr>
          <w:p>
            <w:pPr>
              <w:spacing w:after="0"/>
              <w:rPr>
                <w:sz w:val="13"/>
                <w:szCs w:val="13"/>
                <w:color w:val="auto"/>
              </w:rPr>
            </w:pPr>
          </w:p>
        </w:tc>
      </w:tr>
      <w:tr>
        <w:trPr>
          <w:trHeight w:val="243"/>
        </w:trPr>
        <w:tc>
          <w:tcPr>
            <w:tcW w:w="2220" w:type="dxa"/>
            <w:vAlign w:val="bottom"/>
          </w:tcPr>
          <w:p>
            <w:pPr>
              <w:spacing w:after="0"/>
              <w:rPr>
                <w:sz w:val="20"/>
                <w:szCs w:val="20"/>
                <w:color w:val="auto"/>
              </w:rPr>
            </w:pPr>
            <w:r>
              <w:rPr>
                <w:rFonts w:ascii="Arial" w:cs="Arial" w:eastAsia="Arial" w:hAnsi="Arial"/>
                <w:sz w:val="17"/>
                <w:szCs w:val="17"/>
                <w:color w:val="auto"/>
              </w:rPr>
              <w:t>Page 10</w:t>
            </w:r>
          </w:p>
        </w:tc>
        <w:tc>
          <w:tcPr>
            <w:tcW w:w="8720" w:type="dxa"/>
            <w:vAlign w:val="bottom"/>
          </w:tcPr>
          <w:p>
            <w:pPr>
              <w:ind w:left="2700"/>
              <w:spacing w:after="0"/>
              <w:rPr>
                <w:sz w:val="20"/>
                <w:szCs w:val="20"/>
                <w:color w:val="auto"/>
              </w:rPr>
            </w:pPr>
            <w:r>
              <w:rPr>
                <w:rFonts w:ascii="Arial" w:cs="Arial" w:eastAsia="Arial" w:hAnsi="Arial"/>
                <w:sz w:val="17"/>
                <w:szCs w:val="17"/>
                <w:b w:val="1"/>
                <w:bCs w:val="1"/>
                <w:color w:val="auto"/>
                <w:w w:val="99"/>
              </w:rPr>
              <w:t>Management Proxy Circular and Notice of Annual Meeting of Shareholders</w:t>
            </w:r>
          </w:p>
        </w:tc>
      </w:tr>
    </w:tbl>
    <w:p>
      <w:pPr>
        <w:ind w:left="2700"/>
        <w:spacing w:after="0"/>
        <w:rPr>
          <w:sz w:val="20"/>
          <w:szCs w:val="20"/>
          <w:color w:val="auto"/>
        </w:rPr>
        <w:sectPr>
          <w:pgSz w:w="11900" w:h="16838" w:orient="portrait"/>
          <w:cols w:equalWidth="0" w:num="1">
            <w:col w:w="10940"/>
          </w:cols>
          <w:pgMar w:left="480" w:top="267" w:right="47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20" w:name="page21"/>
    <w:bookmarkEnd w:id="20"/>
    <w:tbl>
      <w:tblPr>
        <w:tblLayout w:type="fixed"/>
        <w:tblInd w:w="10" w:type="dxa"/>
        <w:tblCellMar>
          <w:top w:w="0" w:type="dxa"/>
          <w:left w:w="0" w:type="dxa"/>
          <w:bottom w:w="0" w:type="dxa"/>
          <w:right w:w="0" w:type="dxa"/>
        </w:tblCellMar>
      </w:tblPr>
      <w:tr>
        <w:trPr>
          <w:trHeight w:val="272"/>
        </w:trPr>
        <w:tc>
          <w:tcPr>
            <w:tcW w:w="2220" w:type="dxa"/>
            <w:vAlign w:val="bottom"/>
            <w:tcBorders>
              <w:top w:val="single" w:sz="8" w:color="auto"/>
              <w:left w:val="single" w:sz="8" w:color="auto"/>
              <w:right w:val="single" w:sz="8" w:color="auto"/>
            </w:tcBorders>
          </w:tcPr>
          <w:p>
            <w:pPr>
              <w:spacing w:after="0"/>
              <w:rPr>
                <w:sz w:val="23"/>
                <w:szCs w:val="23"/>
                <w:color w:val="auto"/>
              </w:rPr>
            </w:pPr>
          </w:p>
        </w:tc>
        <w:tc>
          <w:tcPr>
            <w:tcW w:w="87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7"/>
                <w:szCs w:val="17"/>
                <w:b w:val="1"/>
                <w:bCs w:val="1"/>
                <w:color w:val="auto"/>
              </w:rPr>
              <w:t>If you are a non-registered shareholder located in the United States and you wish to appoint a third</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400"/>
              <w:spacing w:after="0" w:line="187" w:lineRule="exact"/>
              <w:rPr>
                <w:sz w:val="20"/>
                <w:szCs w:val="20"/>
                <w:color w:val="auto"/>
              </w:rPr>
            </w:pPr>
            <w:r>
              <w:rPr>
                <w:rFonts w:ascii="Arial" w:cs="Arial" w:eastAsia="Arial" w:hAnsi="Arial"/>
                <w:sz w:val="17"/>
                <w:szCs w:val="17"/>
                <w:b w:val="1"/>
                <w:bCs w:val="1"/>
                <w:color w:val="auto"/>
              </w:rPr>
              <w:t>party as a proxyholder, in addition to the steps above, you must first obtain a valid legal proxy from</w:t>
            </w:r>
          </w:p>
        </w:tc>
      </w:tr>
      <w:tr>
        <w:trPr>
          <w:trHeight w:val="231"/>
        </w:trPr>
        <w:tc>
          <w:tcPr>
            <w:tcW w:w="2220" w:type="dxa"/>
            <w:vAlign w:val="bottom"/>
            <w:tcBorders>
              <w:left w:val="single" w:sz="8" w:color="auto"/>
              <w:right w:val="single" w:sz="8" w:color="auto"/>
            </w:tcBorders>
          </w:tcPr>
          <w:p>
            <w:pPr>
              <w:spacing w:after="0"/>
              <w:rPr>
                <w:sz w:val="20"/>
                <w:szCs w:val="20"/>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7"/>
                <w:szCs w:val="17"/>
                <w:b w:val="1"/>
                <w:bCs w:val="1"/>
                <w:color w:val="auto"/>
              </w:rPr>
              <w:t xml:space="preserve">your intermediary. </w:t>
            </w:r>
            <w:r>
              <w:rPr>
                <w:rFonts w:ascii="Arial" w:cs="Arial" w:eastAsia="Arial" w:hAnsi="Arial"/>
                <w:sz w:val="17"/>
                <w:szCs w:val="17"/>
                <w:color w:val="auto"/>
              </w:rPr>
              <w:t>To do so, please follow these additional steps:</w:t>
            </w:r>
          </w:p>
        </w:tc>
      </w:tr>
      <w:tr>
        <w:trPr>
          <w:trHeight w:val="245"/>
        </w:trPr>
        <w:tc>
          <w:tcPr>
            <w:tcW w:w="222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1.     Follow the instructions from your intermediary included with the legal proxy form and the voting</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information form sent to you, or contact your intermediary to request a legal proxy form or a legal proxy if</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you have not received one.</w:t>
            </w:r>
          </w:p>
        </w:tc>
      </w:tr>
      <w:tr>
        <w:trPr>
          <w:trHeight w:val="284"/>
        </w:trPr>
        <w:tc>
          <w:tcPr>
            <w:tcW w:w="222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720"/>
              <w:spacing w:after="0"/>
              <w:rPr>
                <w:sz w:val="20"/>
                <w:szCs w:val="20"/>
                <w:color w:val="auto"/>
              </w:rPr>
            </w:pPr>
            <w:r>
              <w:rPr>
                <w:rFonts w:ascii="Arial" w:cs="Arial" w:eastAsia="Arial" w:hAnsi="Arial"/>
                <w:sz w:val="16"/>
                <w:szCs w:val="16"/>
                <w:color w:val="auto"/>
              </w:rPr>
              <w:t>2.    After you receive a valid legal proxy from your intermediary, you must then submit the legal proxy to</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Computershare Trust Company of Canada. You can send the legal proxy by e-mail or by courier to:</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b w:val="1"/>
                <w:bCs w:val="1"/>
                <w:color w:val="auto"/>
              </w:rPr>
              <w:t xml:space="preserve">uslegalproxy@computershare.com </w:t>
            </w:r>
            <w:r>
              <w:rPr>
                <w:rFonts w:ascii="Arial" w:cs="Arial" w:eastAsia="Arial" w:hAnsi="Arial"/>
                <w:sz w:val="16"/>
                <w:szCs w:val="16"/>
                <w:color w:val="auto"/>
              </w:rPr>
              <w:t>(if by e-mail), or Computershare Trust Company of Canada,</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Attention: Proxy Dept., 14th Floor, 320 Bay Street, Toronto, Ontario M5H 4A6, Canada (if by courier). The</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 xml:space="preserve">legal proxy in both cases must be labeled “Legal Proxy” and received </w:t>
            </w:r>
            <w:r>
              <w:rPr>
                <w:rFonts w:ascii="Arial" w:cs="Arial" w:eastAsia="Arial" w:hAnsi="Arial"/>
                <w:sz w:val="16"/>
                <w:szCs w:val="16"/>
                <w:b w:val="1"/>
                <w:bCs w:val="1"/>
                <w:color w:val="auto"/>
              </w:rPr>
              <w:t>no later than the voting deadline</w:t>
            </w:r>
          </w:p>
        </w:tc>
      </w:tr>
      <w:tr>
        <w:trPr>
          <w:trHeight w:val="187"/>
        </w:trPr>
        <w:tc>
          <w:tcPr>
            <w:tcW w:w="22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b w:val="1"/>
                <w:bCs w:val="1"/>
                <w:color w:val="auto"/>
              </w:rPr>
              <w:t>of 5:00 p.m. (Eastern Daylight Time) on Monday, June 8, 2026</w:t>
            </w:r>
            <w:r>
              <w:rPr>
                <w:rFonts w:ascii="Arial" w:cs="Arial" w:eastAsia="Arial" w:hAnsi="Arial"/>
                <w:sz w:val="16"/>
                <w:szCs w:val="16"/>
                <w:color w:val="auto"/>
              </w:rPr>
              <w:t>. You may also present your proxy in</w:t>
            </w:r>
          </w:p>
        </w:tc>
      </w:tr>
      <w:tr>
        <w:trPr>
          <w:trHeight w:val="211"/>
        </w:trPr>
        <w:tc>
          <w:tcPr>
            <w:tcW w:w="2220" w:type="dxa"/>
            <w:vAlign w:val="bottom"/>
            <w:tcBorders>
              <w:left w:val="single" w:sz="8" w:color="auto"/>
              <w:right w:val="single" w:sz="8" w:color="auto"/>
            </w:tcBorders>
          </w:tcPr>
          <w:p>
            <w:pPr>
              <w:spacing w:after="0"/>
              <w:rPr>
                <w:sz w:val="18"/>
                <w:szCs w:val="18"/>
                <w:color w:val="auto"/>
              </w:rPr>
            </w:pPr>
          </w:p>
        </w:tc>
        <w:tc>
          <w:tcPr>
            <w:tcW w:w="872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person at the meeting.</w:t>
            </w:r>
          </w:p>
        </w:tc>
      </w:tr>
      <w:tr>
        <w:trPr>
          <w:trHeight w:val="97"/>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8720" w:type="dxa"/>
            <w:vAlign w:val="bottom"/>
            <w:tcBorders>
              <w:bottom w:val="single" w:sz="8" w:color="auto"/>
              <w:right w:val="single" w:sz="8" w:color="auto"/>
            </w:tcBorders>
          </w:tcPr>
          <w:p>
            <w:pPr>
              <w:spacing w:after="0"/>
              <w:rPr>
                <w:sz w:val="8"/>
                <w:szCs w:val="8"/>
                <w:color w:val="auto"/>
              </w:rPr>
            </w:pPr>
          </w:p>
        </w:tc>
      </w:tr>
      <w:tr>
        <w:trPr>
          <w:trHeight w:val="252"/>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If you want to attend the</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Guests, including non-registered shareholders who have not duly appointed themselves as proxyholders,</w:t>
            </w:r>
          </w:p>
        </w:tc>
      </w:tr>
      <w:tr>
        <w:trPr>
          <w:trHeight w:val="231"/>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meeting as a guest</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may attend but are not able to submit or ask questions or vote at the meeting.</w:t>
            </w:r>
          </w:p>
        </w:tc>
      </w:tr>
      <w:tr>
        <w:trPr>
          <w:trHeight w:val="85"/>
        </w:trPr>
        <w:tc>
          <w:tcPr>
            <w:tcW w:w="2220" w:type="dxa"/>
            <w:vAlign w:val="bottom"/>
            <w:tcBorders>
              <w:left w:val="single" w:sz="8" w:color="auto"/>
              <w:bottom w:val="single" w:sz="8" w:color="auto"/>
              <w:right w:val="single" w:sz="8" w:color="auto"/>
            </w:tcBorders>
          </w:tcPr>
          <w:p>
            <w:pPr>
              <w:spacing w:after="0"/>
              <w:rPr>
                <w:sz w:val="7"/>
                <w:szCs w:val="7"/>
                <w:color w:val="auto"/>
              </w:rPr>
            </w:pPr>
          </w:p>
        </w:tc>
        <w:tc>
          <w:tcPr>
            <w:tcW w:w="8720" w:type="dxa"/>
            <w:vAlign w:val="bottom"/>
            <w:tcBorders>
              <w:bottom w:val="single" w:sz="8" w:color="auto"/>
              <w:right w:val="single" w:sz="8" w:color="auto"/>
            </w:tcBorders>
          </w:tcPr>
          <w:p>
            <w:pPr>
              <w:spacing w:after="0"/>
              <w:rPr>
                <w:sz w:val="7"/>
                <w:szCs w:val="7"/>
                <w:color w:val="auto"/>
              </w:rPr>
            </w:pPr>
          </w:p>
        </w:tc>
      </w:tr>
      <w:tr>
        <w:trPr>
          <w:trHeight w:val="252"/>
        </w:trPr>
        <w:tc>
          <w:tcPr>
            <w:tcW w:w="22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Deadline for returning</w:t>
            </w: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Please check your voting instruction form for the specific deadline. Your intermediary will need your voting</w:t>
            </w:r>
          </w:p>
        </w:tc>
      </w:tr>
      <w:tr>
        <w:trPr>
          <w:trHeight w:val="187"/>
        </w:trPr>
        <w:tc>
          <w:tcPr>
            <w:tcW w:w="2220" w:type="dxa"/>
            <w:vAlign w:val="bottom"/>
            <w:tcBorders>
              <w:left w:val="single" w:sz="8" w:color="auto"/>
              <w:right w:val="single" w:sz="8" w:color="auto"/>
            </w:tcBorders>
          </w:tcPr>
          <w:p>
            <w:pPr>
              <w:ind w:left="160"/>
              <w:spacing w:after="0" w:line="187" w:lineRule="exact"/>
              <w:rPr>
                <w:sz w:val="20"/>
                <w:szCs w:val="20"/>
                <w:color w:val="auto"/>
              </w:rPr>
            </w:pPr>
            <w:r>
              <w:rPr>
                <w:rFonts w:ascii="Arial" w:cs="Arial" w:eastAsia="Arial" w:hAnsi="Arial"/>
                <w:sz w:val="17"/>
                <w:szCs w:val="17"/>
                <w:b w:val="1"/>
                <w:bCs w:val="1"/>
                <w:color w:val="auto"/>
              </w:rPr>
              <w:t>your form</w:t>
            </w:r>
          </w:p>
        </w:tc>
        <w:tc>
          <w:tcPr>
            <w:tcW w:w="8720" w:type="dxa"/>
            <w:vAlign w:val="bottom"/>
            <w:tcBorders>
              <w:right w:val="single" w:sz="8" w:color="auto"/>
            </w:tcBorders>
          </w:tcPr>
          <w:p>
            <w:pPr>
              <w:ind w:left="400"/>
              <w:spacing w:after="0" w:line="187" w:lineRule="exact"/>
              <w:rPr>
                <w:sz w:val="20"/>
                <w:szCs w:val="20"/>
                <w:color w:val="auto"/>
              </w:rPr>
            </w:pPr>
            <w:r>
              <w:rPr>
                <w:rFonts w:ascii="Arial" w:cs="Arial" w:eastAsia="Arial" w:hAnsi="Arial"/>
                <w:sz w:val="17"/>
                <w:szCs w:val="17"/>
                <w:color w:val="auto"/>
              </w:rPr>
              <w:t>instructions sufficiently in advance of the proxy deadline to enable your intermediary to act on your</w:t>
            </w:r>
          </w:p>
        </w:tc>
      </w:tr>
      <w:tr>
        <w:trPr>
          <w:trHeight w:val="223"/>
        </w:trPr>
        <w:tc>
          <w:tcPr>
            <w:tcW w:w="2220" w:type="dxa"/>
            <w:vAlign w:val="bottom"/>
            <w:tcBorders>
              <w:left w:val="single" w:sz="8" w:color="auto"/>
              <w:right w:val="single" w:sz="8" w:color="auto"/>
            </w:tcBorders>
          </w:tcPr>
          <w:p>
            <w:pPr>
              <w:spacing w:after="0"/>
              <w:rPr>
                <w:sz w:val="19"/>
                <w:szCs w:val="19"/>
                <w:color w:val="auto"/>
              </w:rPr>
            </w:pPr>
          </w:p>
        </w:tc>
        <w:tc>
          <w:tcPr>
            <w:tcW w:w="8720" w:type="dxa"/>
            <w:vAlign w:val="bottom"/>
            <w:tcBorders>
              <w:right w:val="single" w:sz="8" w:color="auto"/>
            </w:tcBorders>
          </w:tcPr>
          <w:p>
            <w:pPr>
              <w:ind w:left="400"/>
              <w:spacing w:after="0"/>
              <w:rPr>
                <w:sz w:val="20"/>
                <w:szCs w:val="20"/>
                <w:color w:val="auto"/>
              </w:rPr>
            </w:pPr>
            <w:r>
              <w:rPr>
                <w:rFonts w:ascii="Arial" w:cs="Arial" w:eastAsia="Arial" w:hAnsi="Arial"/>
                <w:sz w:val="17"/>
                <w:szCs w:val="17"/>
                <w:color w:val="auto"/>
              </w:rPr>
              <w:t>instructions prior to the deadline.</w:t>
            </w:r>
          </w:p>
        </w:tc>
      </w:tr>
      <w:tr>
        <w:trPr>
          <w:trHeight w:val="93"/>
        </w:trPr>
        <w:tc>
          <w:tcPr>
            <w:tcW w:w="2220" w:type="dxa"/>
            <w:vAlign w:val="bottom"/>
            <w:tcBorders>
              <w:left w:val="single" w:sz="8" w:color="auto"/>
              <w:bottom w:val="single" w:sz="8" w:color="auto"/>
              <w:right w:val="single" w:sz="8" w:color="auto"/>
            </w:tcBorders>
          </w:tcPr>
          <w:p>
            <w:pPr>
              <w:spacing w:after="0"/>
              <w:rPr>
                <w:sz w:val="8"/>
                <w:szCs w:val="8"/>
                <w:color w:val="auto"/>
              </w:rPr>
            </w:pPr>
          </w:p>
        </w:tc>
        <w:tc>
          <w:tcPr>
            <w:tcW w:w="8720" w:type="dxa"/>
            <w:vAlign w:val="bottom"/>
            <w:tcBorders>
              <w:bottom w:val="single" w:sz="8" w:color="auto"/>
              <w:right w:val="single" w:sz="8" w:color="auto"/>
            </w:tcBorders>
          </w:tcPr>
          <w:p>
            <w:pPr>
              <w:spacing w:after="0"/>
              <w:rPr>
                <w:sz w:val="8"/>
                <w:szCs w:val="8"/>
                <w:color w:val="auto"/>
              </w:rPr>
            </w:pP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D64000"/>
        </w:rPr>
        <w:t>How do I submit or ask questions during the meeting?</w:t>
      </w:r>
    </w:p>
    <w:p>
      <w:pPr>
        <w:spacing w:after="0" w:line="103"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 xml:space="preserve">At the annual meeting, shareholders in attendance will be provided with an opportunity to ask questions to our Board, CEO, CFO and other members of senior management in attendance. If you are a shareholder who is viewing the meeting by webcast or is unable to attend this year’s meeting in person but have a question, you may e-mail your question to </w:t>
      </w:r>
      <w:r>
        <w:rPr>
          <w:rFonts w:ascii="Arial" w:cs="Arial" w:eastAsia="Arial" w:hAnsi="Arial"/>
          <w:sz w:val="17"/>
          <w:szCs w:val="17"/>
          <w:b w:val="1"/>
          <w:bCs w:val="1"/>
          <w:color w:val="auto"/>
        </w:rPr>
        <w:t>investor.relations@thomsonreuters.com</w:t>
      </w:r>
      <w:r>
        <w:rPr>
          <w:rFonts w:ascii="Arial" w:cs="Arial" w:eastAsia="Arial" w:hAnsi="Arial"/>
          <w:sz w:val="17"/>
          <w:szCs w:val="17"/>
          <w:color w:val="auto"/>
        </w:rPr>
        <w:t xml:space="preserve"> prior to the meeting.</w:t>
      </w:r>
    </w:p>
    <w:p>
      <w:pPr>
        <w:spacing w:after="0" w:line="2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While we will seek to respond to as many shareholder questions as possible at the meeting, we cannot assure you that all questions will be able to be addressed at the meeting. If we are unable to address your question at the meeting, we will separately provide a response to you.</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Questions and Answers</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Can I vote my shares by filling out and returning the notice?</w:t>
      </w:r>
    </w:p>
    <w:p>
      <w:pPr>
        <w:spacing w:after="0" w:line="10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No. The notice sets forth the items to be voted on at the meeting, but you cannot vote by marking the notice and returning it. The notice provides instructions on how to vote.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What’s the deadline for receiving my proxy or voting instructions?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If you are a registered shareholder, your proxy must be received by 5:00 p.m. (Eastern Daylight Time) on Monday, June 8, 2026.</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Non-registered shareholders may be subject to earlier deadlines as specified in their proxy or voting instructions.</w:t>
      </w:r>
    </w:p>
    <w:p>
      <w:pPr>
        <w:spacing w:after="0" w:line="85"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If the meeting is adjourned or postponed, the proxy cut-off deadline will be no later than 48 hours (excluding Saturdays, Sundays and holidays) before any adjourned or postponed meeting.</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How will my shares be voted if I appoint a proxyholder?</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 xml:space="preserve">Your proxyholder must vote your shares on each matter according to your instructions if you have properly completed and returned a proxy form. If you have not specified how to vote on a particular matter, then your proxyholder can vote your shares as he or she sees fit. </w:t>
      </w:r>
      <w:r>
        <w:rPr>
          <w:rFonts w:ascii="Arial" w:cs="Arial" w:eastAsia="Arial" w:hAnsi="Arial"/>
          <w:sz w:val="17"/>
          <w:szCs w:val="17"/>
          <w:b w:val="1"/>
          <w:bCs w:val="1"/>
          <w:color w:val="auto"/>
        </w:rPr>
        <w:t>If you have</w:t>
      </w:r>
      <w:r>
        <w:rPr>
          <w:rFonts w:ascii="Arial" w:cs="Arial" w:eastAsia="Arial" w:hAnsi="Arial"/>
          <w:sz w:val="17"/>
          <w:szCs w:val="17"/>
          <w:color w:val="auto"/>
        </w:rPr>
        <w:t xml:space="preserve"> </w:t>
      </w:r>
      <w:r>
        <w:rPr>
          <w:rFonts w:ascii="Arial" w:cs="Arial" w:eastAsia="Arial" w:hAnsi="Arial"/>
          <w:sz w:val="17"/>
          <w:szCs w:val="17"/>
          <w:b w:val="1"/>
          <w:bCs w:val="1"/>
          <w:color w:val="auto"/>
        </w:rPr>
        <w:t>appointed our directors named on your proxy form or voting instruction form as your proxyholder, and you have not specified how you want your shares to be voted, your shares will be voted FOR the election of each director nominee, the appointment of PricewaterhouseCoopers LLP as auditor, and the advisory resolution on executive compensation and AGAINST the shareholder proposal set out in Appendix B of this circular.</w:t>
      </w:r>
    </w:p>
    <w:p>
      <w:pPr>
        <w:spacing w:after="0" w:line="172" w:lineRule="exact"/>
        <w:rPr>
          <w:sz w:val="20"/>
          <w:szCs w:val="20"/>
          <w:color w:val="auto"/>
        </w:rPr>
      </w:pPr>
    </w:p>
    <w:p>
      <w:pPr>
        <w:ind w:right="1080"/>
        <w:spacing w:after="0" w:line="285" w:lineRule="auto"/>
        <w:rPr>
          <w:sz w:val="20"/>
          <w:szCs w:val="20"/>
          <w:color w:val="auto"/>
        </w:rPr>
      </w:pPr>
      <w:r>
        <w:rPr>
          <w:rFonts w:ascii="Arial" w:cs="Arial" w:eastAsia="Arial" w:hAnsi="Arial"/>
          <w:sz w:val="25"/>
          <w:szCs w:val="25"/>
          <w:b w:val="1"/>
          <w:bCs w:val="1"/>
          <w:color w:val="D64000"/>
        </w:rPr>
        <w:t>What happens if any amendments are properly made to the items of business to be considered or if other matters are properly brought before the meeting?</w:t>
      </w:r>
    </w:p>
    <w:p>
      <w:pPr>
        <w:spacing w:after="0" w:line="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Your proxyholder will have discretionary authority to vote your shares as he or she sees fit. As of the date of this circular, management knows of no such amendment, variation or other matter expected to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11</w:t>
      </w:r>
    </w:p>
    <w:p>
      <w:pPr>
        <w:sectPr>
          <w:pgSz w:w="11900" w:h="16838" w:orient="portrait"/>
          <w:cols w:equalWidth="0" w:num="1">
            <w:col w:w="10940"/>
          </w:cols>
          <w:pgMar w:left="480" w:top="267" w:right="479" w:bottom="1440" w:gutter="0" w:footer="0" w:header="0"/>
        </w:sectPr>
      </w:pPr>
    </w:p>
    <w:bookmarkStart w:id="21" w:name="page22"/>
    <w:bookmarkEnd w:id="21"/>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I change my mind, how do I revoke my proxy or voting instructions?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Non-registered shareholders</w:t>
      </w:r>
    </w:p>
    <w:p>
      <w:pPr>
        <w:spacing w:after="0" w:line="7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You may revoke your proxy by sending written notice to your intermediary, so long as the intermediary receives your notice at least seven days before the meeting (or as otherwise instructed by your intermediary). This gives your intermediary time to submit the revocation to Computershare Trust Company of Canada. If your revocation is not received in time, your intermediary is not required to act on it.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shareholders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You may revoke your proxy or voting instructions in any of the following ways:</w:t>
      </w:r>
    </w:p>
    <w:p>
      <w:pPr>
        <w:spacing w:after="0" w:line="85" w:lineRule="exact"/>
        <w:rPr>
          <w:sz w:val="20"/>
          <w:szCs w:val="20"/>
          <w:color w:val="auto"/>
        </w:rPr>
      </w:pPr>
    </w:p>
    <w:p>
      <w:pPr>
        <w:jc w:val="both"/>
        <w:ind w:left="440" w:right="280" w:hanging="433"/>
        <w:spacing w:after="0" w:line="246" w:lineRule="auto"/>
        <w:tabs>
          <w:tab w:leader="none" w:pos="440" w:val="left"/>
        </w:tabs>
        <w:numPr>
          <w:ilvl w:val="0"/>
          <w:numId w:val="17"/>
        </w:numPr>
        <w:rPr>
          <w:rFonts w:ascii="Arial" w:cs="Arial" w:eastAsia="Arial" w:hAnsi="Arial"/>
          <w:sz w:val="17"/>
          <w:szCs w:val="17"/>
          <w:color w:val="D64000"/>
        </w:rPr>
      </w:pPr>
      <w:r>
        <w:rPr>
          <w:rFonts w:ascii="Arial" w:cs="Arial" w:eastAsia="Arial" w:hAnsi="Arial"/>
          <w:sz w:val="17"/>
          <w:szCs w:val="17"/>
          <w:color w:val="auto"/>
        </w:rPr>
        <w:t>By completing and signing a proxy form with a later date than the proxy form you previously returned, and delivering it to Computershare Trust Company of Canada at any time before 5:00 p.m. (Eastern Daylight Time) on Monday, June 8, 2026. If the meeting is adjourned or postponed, the deadline will be no later than 48 hours before any adjourned or postponed meeting;</w:t>
      </w:r>
    </w:p>
    <w:p>
      <w:pPr>
        <w:spacing w:after="0" w:line="54" w:lineRule="exact"/>
        <w:rPr>
          <w:rFonts w:ascii="Arial" w:cs="Arial" w:eastAsia="Arial" w:hAnsi="Arial"/>
          <w:sz w:val="17"/>
          <w:szCs w:val="17"/>
          <w:color w:val="D64000"/>
        </w:rPr>
      </w:pPr>
    </w:p>
    <w:p>
      <w:pPr>
        <w:ind w:left="440" w:hanging="433"/>
        <w:spacing w:after="0"/>
        <w:tabs>
          <w:tab w:leader="none" w:pos="440" w:val="left"/>
        </w:tabs>
        <w:numPr>
          <w:ilvl w:val="0"/>
          <w:numId w:val="17"/>
        </w:numPr>
        <w:rPr>
          <w:rFonts w:ascii="Arial" w:cs="Arial" w:eastAsia="Arial" w:hAnsi="Arial"/>
          <w:sz w:val="17"/>
          <w:szCs w:val="17"/>
          <w:color w:val="D64000"/>
        </w:rPr>
      </w:pPr>
      <w:r>
        <w:rPr>
          <w:rFonts w:ascii="Arial" w:cs="Arial" w:eastAsia="Arial" w:hAnsi="Arial"/>
          <w:sz w:val="17"/>
          <w:szCs w:val="17"/>
          <w:color w:val="auto"/>
        </w:rPr>
        <w:t>By completing a written statement revoking your instructions, which is signed by you or your attorney authorized in writing, and delivering it:</w:t>
      </w:r>
    </w:p>
    <w:p>
      <w:pPr>
        <w:spacing w:after="0" w:line="85" w:lineRule="exact"/>
        <w:rPr>
          <w:rFonts w:ascii="Arial" w:cs="Arial" w:eastAsia="Arial" w:hAnsi="Arial"/>
          <w:sz w:val="17"/>
          <w:szCs w:val="17"/>
          <w:color w:val="D64000"/>
        </w:rPr>
      </w:pPr>
    </w:p>
    <w:p>
      <w:pPr>
        <w:ind w:left="860" w:right="100" w:hanging="428"/>
        <w:spacing w:after="0" w:line="246" w:lineRule="auto"/>
        <w:rPr>
          <w:rFonts w:ascii="Arial" w:cs="Arial" w:eastAsia="Arial" w:hAnsi="Arial"/>
          <w:sz w:val="17"/>
          <w:szCs w:val="17"/>
          <w:color w:val="D64000"/>
        </w:rPr>
      </w:pPr>
      <w:r>
        <w:rPr>
          <w:rFonts w:ascii="Arial" w:cs="Arial" w:eastAsia="Arial" w:hAnsi="Arial"/>
          <w:sz w:val="17"/>
          <w:szCs w:val="17"/>
          <w:color w:val="auto"/>
        </w:rPr>
        <w:t>–To the offices of Computershare Trust Company of Canada at any time before 5:00 p.m. (Eastern Daylight Time) on Tuesday, June 9, 2026. If the meeting is adjourned or postponed, the deadline will be no later than close of business on the business day immediately preceding any adjourned or postponed meeting; or</w:t>
      </w:r>
    </w:p>
    <w:p>
      <w:pPr>
        <w:spacing w:after="0" w:line="54" w:lineRule="exact"/>
        <w:rPr>
          <w:rFonts w:ascii="Arial" w:cs="Arial" w:eastAsia="Arial" w:hAnsi="Arial"/>
          <w:sz w:val="17"/>
          <w:szCs w:val="17"/>
          <w:color w:val="D64000"/>
        </w:rPr>
      </w:pPr>
    </w:p>
    <w:p>
      <w:pPr>
        <w:ind w:left="440"/>
        <w:spacing w:after="0"/>
        <w:rPr>
          <w:rFonts w:ascii="Arial" w:cs="Arial" w:eastAsia="Arial" w:hAnsi="Arial"/>
          <w:sz w:val="17"/>
          <w:szCs w:val="17"/>
          <w:color w:val="D64000"/>
        </w:rPr>
      </w:pPr>
      <w:r>
        <w:rPr>
          <w:rFonts w:ascii="Arial" w:cs="Arial" w:eastAsia="Arial" w:hAnsi="Arial"/>
          <w:sz w:val="17"/>
          <w:szCs w:val="17"/>
          <w:color w:val="auto"/>
        </w:rPr>
        <w:t>–</w:t>
      </w:r>
      <w:r>
        <w:rPr>
          <w:rFonts w:ascii="Arial" w:cs="Arial" w:eastAsia="Arial" w:hAnsi="Arial"/>
          <w:sz w:val="16"/>
          <w:szCs w:val="16"/>
          <w:color w:val="auto"/>
        </w:rPr>
        <w:t>To the Chair of the meeting before the meeting starts; or</w:t>
      </w:r>
    </w:p>
    <w:p>
      <w:pPr>
        <w:spacing w:after="0" w:line="85" w:lineRule="exact"/>
        <w:rPr>
          <w:rFonts w:ascii="Arial" w:cs="Arial" w:eastAsia="Arial" w:hAnsi="Arial"/>
          <w:sz w:val="17"/>
          <w:szCs w:val="17"/>
          <w:color w:val="D64000"/>
        </w:rPr>
      </w:pPr>
    </w:p>
    <w:p>
      <w:pPr>
        <w:ind w:left="440"/>
        <w:spacing w:after="0"/>
        <w:rPr>
          <w:rFonts w:ascii="Arial" w:cs="Arial" w:eastAsia="Arial" w:hAnsi="Arial"/>
          <w:sz w:val="17"/>
          <w:szCs w:val="17"/>
          <w:color w:val="D64000"/>
        </w:rPr>
      </w:pPr>
      <w:r>
        <w:rPr>
          <w:rFonts w:ascii="Arial" w:cs="Arial" w:eastAsia="Arial" w:hAnsi="Arial"/>
          <w:sz w:val="17"/>
          <w:szCs w:val="17"/>
          <w:color w:val="auto"/>
        </w:rPr>
        <w:t>–</w:t>
      </w:r>
      <w:r>
        <w:rPr>
          <w:rFonts w:ascii="Arial" w:cs="Arial" w:eastAsia="Arial" w:hAnsi="Arial"/>
          <w:sz w:val="16"/>
          <w:szCs w:val="16"/>
          <w:color w:val="auto"/>
        </w:rPr>
        <w:t>In any other manner permitted by law.</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How can I contact Computershare Trust Company of Canada if I have questions?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You can contact Computershare Trust Company of Canada directly at the following numbers: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Canada and the United States</w:t>
            </w:r>
          </w:p>
        </w:tc>
        <w:tc>
          <w:tcPr>
            <w:tcW w:w="6980" w:type="dxa"/>
            <w:vAlign w:val="bottom"/>
            <w:shd w:val="clear" w:color="auto" w:fill="CCEEFF"/>
          </w:tcPr>
          <w:p>
            <w:pPr>
              <w:jc w:val="right"/>
              <w:ind w:right="4035"/>
              <w:spacing w:after="0"/>
              <w:rPr>
                <w:sz w:val="20"/>
                <w:szCs w:val="20"/>
                <w:color w:val="auto"/>
              </w:rPr>
            </w:pPr>
            <w:r>
              <w:rPr>
                <w:rFonts w:ascii="Arial" w:cs="Arial" w:eastAsia="Arial" w:hAnsi="Arial"/>
                <w:sz w:val="17"/>
                <w:szCs w:val="17"/>
                <w:color w:val="auto"/>
              </w:rPr>
              <w:t>1.800.564.6253</w:t>
            </w:r>
          </w:p>
        </w:tc>
      </w:tr>
      <w:tr>
        <w:trPr>
          <w:trHeight w:val="223"/>
        </w:trPr>
        <w:tc>
          <w:tcPr>
            <w:tcW w:w="3940" w:type="dxa"/>
            <w:vAlign w:val="bottom"/>
          </w:tcPr>
          <w:p>
            <w:pPr>
              <w:spacing w:after="0"/>
              <w:rPr>
                <w:sz w:val="20"/>
                <w:szCs w:val="20"/>
                <w:color w:val="auto"/>
              </w:rPr>
            </w:pPr>
            <w:r>
              <w:rPr>
                <w:rFonts w:ascii="Arial" w:cs="Arial" w:eastAsia="Arial" w:hAnsi="Arial"/>
                <w:sz w:val="17"/>
                <w:szCs w:val="17"/>
                <w:color w:val="auto"/>
              </w:rPr>
              <w:t>Other countries</w:t>
            </w:r>
          </w:p>
        </w:tc>
        <w:tc>
          <w:tcPr>
            <w:tcW w:w="6980" w:type="dxa"/>
            <w:vAlign w:val="bottom"/>
          </w:tcPr>
          <w:p>
            <w:pPr>
              <w:jc w:val="right"/>
              <w:ind w:right="4035"/>
              <w:spacing w:after="0"/>
              <w:rPr>
                <w:sz w:val="20"/>
                <w:szCs w:val="20"/>
                <w:color w:val="auto"/>
              </w:rPr>
            </w:pPr>
            <w:r>
              <w:rPr>
                <w:rFonts w:ascii="Arial" w:cs="Arial" w:eastAsia="Arial" w:hAnsi="Arial"/>
                <w:sz w:val="17"/>
                <w:szCs w:val="17"/>
                <w:color w:val="auto"/>
              </w:rPr>
              <w:t>1.514.982.7555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Who is soliciting my proxy and distributing proxy-related materials?</w:t>
      </w:r>
    </w:p>
    <w:p>
      <w:pPr>
        <w:spacing w:after="0" w:line="89"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Thomson Reuters management and directors may solicit your proxy for use at the meeting and any adjourned or postponed meeting. Our management and directors may solicit proxies by mail and in person. We are paying all costs of solicitation. Intermediaries will distribute proxy-related materials directly to non-objecting beneficial owners on our behalf. We are paying for intermediaries to send proxy-related materials to both non-objecting beneficial owners and objecting beneficial owners.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Is my vote confidential?</w:t>
      </w:r>
    </w:p>
    <w:p>
      <w:pPr>
        <w:spacing w:after="0" w:line="103"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Yes. Our registrar, Computershare Trust Company of Canada, independently counts and tabulates the proxies to preserve the confidentiality of individual shareholder votes. Proxies are referred to us only in cases where a shareholder clearly intends to communicate with management, in the event of questions as to the validity of a proxy or where it is necessary to do so to meet applicable legal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Voting results</w:t>
      </w:r>
    </w:p>
    <w:p>
      <w:pPr>
        <w:spacing w:after="0" w:line="10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 xml:space="preserve">Following the meeting, we will post the voting results in the “Investor Relations” section of our website, </w:t>
      </w:r>
      <w:r>
        <w:rPr>
          <w:rFonts w:ascii="Arial" w:cs="Arial" w:eastAsia="Arial" w:hAnsi="Arial"/>
          <w:sz w:val="17"/>
          <w:szCs w:val="17"/>
          <w:b w:val="1"/>
          <w:bCs w:val="1"/>
          <w:color w:val="auto"/>
        </w:rPr>
        <w:t>www.thomsonreuters.com</w:t>
      </w:r>
      <w:r>
        <w:rPr>
          <w:rFonts w:ascii="Arial" w:cs="Arial" w:eastAsia="Arial" w:hAnsi="Arial"/>
          <w:sz w:val="17"/>
          <w:szCs w:val="17"/>
          <w:color w:val="auto"/>
        </w:rPr>
        <w:t xml:space="preserve">. We will also file a copy of the results with the Canadian securities regulatory authorities at </w:t>
      </w:r>
      <w:r>
        <w:rPr>
          <w:rFonts w:ascii="Arial" w:cs="Arial" w:eastAsia="Arial" w:hAnsi="Arial"/>
          <w:sz w:val="17"/>
          <w:szCs w:val="17"/>
          <w:b w:val="1"/>
          <w:bCs w:val="1"/>
          <w:color w:val="auto"/>
        </w:rPr>
        <w:t>www.sedarplus.ca</w:t>
      </w:r>
      <w:r>
        <w:rPr>
          <w:rFonts w:ascii="Arial" w:cs="Arial" w:eastAsia="Arial" w:hAnsi="Arial"/>
          <w:sz w:val="17"/>
          <w:szCs w:val="17"/>
          <w:color w:val="auto"/>
        </w:rPr>
        <w:t xml:space="preserve"> and the SEC at </w:t>
      </w:r>
      <w:r>
        <w:rPr>
          <w:rFonts w:ascii="Arial" w:cs="Arial" w:eastAsia="Arial" w:hAnsi="Arial"/>
          <w:sz w:val="17"/>
          <w:szCs w:val="17"/>
          <w:b w:val="1"/>
          <w:bCs w:val="1"/>
          <w:color w:val="auto"/>
        </w:rPr>
        <w:t>www.sec.gov</w:t>
      </w:r>
      <w:r>
        <w:rPr>
          <w:rFonts w:ascii="Arial" w:cs="Arial" w:eastAsia="Arial" w:hAnsi="Arial"/>
          <w:sz w:val="17"/>
          <w:szCs w:val="17"/>
          <w:color w:val="auto"/>
        </w:rPr>
        <w:t>. For more information, see the “Additional Information”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12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22" w:name="page23"/>
    <w:bookmarkEnd w:id="22"/>
    <w:p>
      <w:pPr>
        <w:ind w:right="1440"/>
        <w:spacing w:after="0" w:line="286" w:lineRule="auto"/>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Annual and Quarterly Financial Statements and Related MD&amp;A</w:t>
      </w:r>
    </w:p>
    <w:p>
      <w:pPr>
        <w:spacing w:after="0" w:line="241"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color w:val="auto"/>
        </w:rPr>
        <w:t xml:space="preserve">Our annual and quarterly reports and earnings releases are available in the “Investor Relations” section of our website, </w:t>
      </w:r>
      <w:r>
        <w:rPr>
          <w:rFonts w:ascii="Arial" w:cs="Arial" w:eastAsia="Arial" w:hAnsi="Arial"/>
          <w:sz w:val="17"/>
          <w:szCs w:val="17"/>
          <w:b w:val="1"/>
          <w:bCs w:val="1"/>
          <w:color w:val="auto"/>
        </w:rPr>
        <w:t>www.thomsonreuters.com</w:t>
      </w:r>
      <w:r>
        <w:rPr>
          <w:rFonts w:ascii="Arial" w:cs="Arial" w:eastAsia="Arial" w:hAnsi="Arial"/>
          <w:sz w:val="17"/>
          <w:szCs w:val="17"/>
          <w:color w:val="auto"/>
        </w:rPr>
        <w:t>. Please also see the “Electronic Delivery of Shareholder Communications” section below for information about</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delivery of these reports and other shareholder communications.</w:t>
      </w:r>
    </w:p>
    <w:p>
      <w:pPr>
        <w:spacing w:after="0" w:line="144" w:lineRule="exact"/>
        <w:rPr>
          <w:sz w:val="20"/>
          <w:szCs w:val="20"/>
          <w:color w:val="auto"/>
        </w:rPr>
      </w:pPr>
    </w:p>
    <w:p>
      <w:pPr>
        <w:spacing w:after="0"/>
        <w:rPr>
          <w:sz w:val="20"/>
          <w:szCs w:val="20"/>
          <w:color w:val="auto"/>
        </w:rPr>
      </w:pPr>
      <w:r>
        <w:rPr>
          <w:rFonts w:ascii="Arial" w:cs="Arial" w:eastAsia="Arial" w:hAnsi="Arial"/>
          <w:sz w:val="46"/>
          <w:szCs w:val="46"/>
          <w:b w:val="1"/>
          <w:bCs w:val="1"/>
          <w:color w:val="D64000"/>
        </w:rPr>
        <w:t>Notice-and-Access</w:t>
      </w:r>
    </w:p>
    <w:p>
      <w:pPr>
        <w:spacing w:after="0" w:line="200" w:lineRule="exact"/>
        <w:rPr>
          <w:sz w:val="20"/>
          <w:szCs w:val="20"/>
          <w:color w:val="auto"/>
        </w:rPr>
      </w:pPr>
    </w:p>
    <w:p>
      <w:pPr>
        <w:spacing w:after="0" w:line="249" w:lineRule="exact"/>
        <w:rPr>
          <w:sz w:val="20"/>
          <w:szCs w:val="20"/>
          <w:color w:val="auto"/>
        </w:rPr>
      </w:pPr>
    </w:p>
    <w:p>
      <w:pPr>
        <w:ind w:right="260"/>
        <w:spacing w:after="0" w:line="285" w:lineRule="auto"/>
        <w:rPr>
          <w:sz w:val="20"/>
          <w:szCs w:val="20"/>
          <w:color w:val="auto"/>
        </w:rPr>
      </w:pPr>
      <w:r>
        <w:rPr>
          <w:rFonts w:ascii="Arial" w:cs="Arial" w:eastAsia="Arial" w:hAnsi="Arial"/>
          <w:sz w:val="25"/>
          <w:szCs w:val="25"/>
          <w:b w:val="1"/>
          <w:bCs w:val="1"/>
          <w:color w:val="D64000"/>
        </w:rPr>
        <w:t>Why did I receive a notice in the mail regarding the website availability of this circular and proxy materials?</w:t>
      </w:r>
    </w:p>
    <w:p>
      <w:pPr>
        <w:spacing w:after="0" w:line="2" w:lineRule="exact"/>
        <w:rPr>
          <w:sz w:val="20"/>
          <w:szCs w:val="20"/>
          <w:color w:val="auto"/>
        </w:rPr>
      </w:pPr>
    </w:p>
    <w:p>
      <w:pPr>
        <w:ind w:right="660"/>
        <w:spacing w:after="0" w:line="269" w:lineRule="auto"/>
        <w:rPr>
          <w:sz w:val="20"/>
          <w:szCs w:val="20"/>
          <w:color w:val="auto"/>
        </w:rPr>
      </w:pPr>
      <w:r>
        <w:rPr>
          <w:rFonts w:ascii="Arial" w:cs="Arial" w:eastAsia="Arial" w:hAnsi="Arial"/>
          <w:sz w:val="16"/>
          <w:szCs w:val="16"/>
          <w:color w:val="auto"/>
        </w:rPr>
        <w:t>We are using the “notice-and-access” system for the delivery of our proxy materials through our website, similar to last year’s meeting. Shareholders who receive a notice have the ability to access the proxy materials on our website and to request a paper copy of the proxy materials. Instructions on how to access the proxy materials through our website or to request a paper copy may be found in the notice.</w:t>
      </w:r>
    </w:p>
    <w:p>
      <w:pPr>
        <w:spacing w:after="0" w:line="2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Electronic delivery reduces the cost and environmental impact of producing and distributing paper copies of documents in very large quantities. It also provides shareholders with faster access to information about Thomson Reuters.</w:t>
      </w:r>
    </w:p>
    <w:p>
      <w:pPr>
        <w:spacing w:after="0" w:line="158" w:lineRule="exact"/>
        <w:rPr>
          <w:sz w:val="20"/>
          <w:szCs w:val="20"/>
          <w:color w:val="auto"/>
        </w:rPr>
      </w:pPr>
    </w:p>
    <w:p>
      <w:pPr>
        <w:ind w:right="320"/>
        <w:spacing w:after="0" w:line="285" w:lineRule="auto"/>
        <w:rPr>
          <w:sz w:val="20"/>
          <w:szCs w:val="20"/>
          <w:color w:val="auto"/>
        </w:rPr>
      </w:pPr>
      <w:r>
        <w:rPr>
          <w:rFonts w:ascii="Arial" w:cs="Arial" w:eastAsia="Arial" w:hAnsi="Arial"/>
          <w:sz w:val="25"/>
          <w:szCs w:val="25"/>
          <w:b w:val="1"/>
          <w:bCs w:val="1"/>
          <w:color w:val="D64000"/>
        </w:rPr>
        <w:t>Why didn’t I receive a printed notice in the mail about the website availability of the proxy materials?</w:t>
      </w:r>
    </w:p>
    <w:p>
      <w:pPr>
        <w:spacing w:after="0" w:line="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Shareholders who previously signed up for electronic delivery of our proxy materials will continue to receive them by e-mail and will not receive a printed notice in the mail.</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How do I vote under the “notice-and-access” system?</w:t>
      </w:r>
    </w:p>
    <w:p>
      <w:pPr>
        <w:spacing w:after="0" w:line="103"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voting process is the same as described in the “Voting Information and How to Attend” section of this circular. You have two choices – you can vote by proxy, or you can attend the meeting and vote in person.</w:t>
      </w:r>
    </w:p>
    <w:p>
      <w:pPr>
        <w:spacing w:after="0" w:line="129" w:lineRule="exact"/>
        <w:rPr>
          <w:sz w:val="20"/>
          <w:szCs w:val="20"/>
          <w:color w:val="auto"/>
        </w:rPr>
      </w:pPr>
    </w:p>
    <w:p>
      <w:pPr>
        <w:ind w:right="3340"/>
        <w:spacing w:after="0" w:line="286" w:lineRule="auto"/>
        <w:rPr>
          <w:sz w:val="20"/>
          <w:szCs w:val="20"/>
          <w:color w:val="auto"/>
        </w:rPr>
      </w:pPr>
      <w:r>
        <w:rPr>
          <w:rFonts w:ascii="Arial" w:cs="Arial" w:eastAsia="Arial" w:hAnsi="Arial"/>
          <w:sz w:val="46"/>
          <w:szCs w:val="46"/>
          <w:b w:val="1"/>
          <w:bCs w:val="1"/>
          <w:color w:val="D64000"/>
        </w:rPr>
        <w:t>Electronic Delivery of Shareholder Communications</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Does Thomson Reuters provide electronic delivery of shareholder communications?</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Yes. Electronic delivery is a voluntary program for our shareholders. Under this program, an e-mail notification (with links to the documents posted on our website) is sent to you.</w:t>
      </w:r>
    </w:p>
    <w:p>
      <w:pPr>
        <w:spacing w:after="0" w:line="4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Electronic delivery reduces the cost and environmental impact of producing and distributing paper copies of documents in very large quantities. It also provides shareholders with faster access to information about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6938010" cy="9683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8010" cy="968375"/>
                    </a:xfrm>
                    <a:prstGeom prst="rect">
                      <a:avLst/>
                    </a:prstGeom>
                    <a:noFill/>
                  </pic:spPr>
                </pic:pic>
              </a:graphicData>
            </a:graphic>
          </wp:anchor>
        </w:drawing>
      </w:r>
    </w:p>
    <w:p>
      <w:pPr>
        <w:spacing w:after="0" w:line="9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How can I enroll for electronic delivery of shareholder communications?</w:t>
      </w:r>
    </w:p>
    <w:p>
      <w:pPr>
        <w:spacing w:after="0" w:line="89" w:lineRule="exact"/>
        <w:rPr>
          <w:sz w:val="20"/>
          <w:szCs w:val="20"/>
          <w:color w:val="auto"/>
        </w:rPr>
      </w:pPr>
    </w:p>
    <w:p>
      <w:pPr>
        <w:ind w:left="320" w:right="540"/>
        <w:spacing w:after="0" w:line="246" w:lineRule="auto"/>
        <w:rPr>
          <w:sz w:val="20"/>
          <w:szCs w:val="20"/>
          <w:color w:val="auto"/>
        </w:rPr>
      </w:pPr>
      <w:r>
        <w:rPr>
          <w:rFonts w:ascii="Arial" w:cs="Arial" w:eastAsia="Arial" w:hAnsi="Arial"/>
          <w:sz w:val="17"/>
          <w:szCs w:val="17"/>
          <w:color w:val="auto"/>
        </w:rPr>
        <w:t xml:space="preserve">For most non-registered shareholders (other than holders of our Depositary Interests), please go to </w:t>
      </w:r>
      <w:r>
        <w:rPr>
          <w:rFonts w:ascii="Arial" w:cs="Arial" w:eastAsia="Arial" w:hAnsi="Arial"/>
          <w:sz w:val="17"/>
          <w:szCs w:val="17"/>
          <w:b w:val="1"/>
          <w:bCs w:val="1"/>
          <w:color w:val="auto"/>
        </w:rPr>
        <w:t>www.proxyvote.com</w:t>
      </w:r>
      <w:r>
        <w:rPr>
          <w:rFonts w:ascii="Arial" w:cs="Arial" w:eastAsia="Arial" w:hAnsi="Arial"/>
          <w:sz w:val="17"/>
          <w:szCs w:val="17"/>
          <w:color w:val="auto"/>
        </w:rPr>
        <w:t xml:space="preserve"> for more instructions and to register. You will need your Enrollment Number/Control Number. You can find this number on your voting instruction form/proxy form.</w:t>
      </w:r>
    </w:p>
    <w:p>
      <w:pPr>
        <w:spacing w:after="0" w:line="54" w:lineRule="exact"/>
        <w:rPr>
          <w:sz w:val="20"/>
          <w:szCs w:val="20"/>
          <w:color w:val="auto"/>
        </w:rPr>
      </w:pPr>
    </w:p>
    <w:p>
      <w:pPr>
        <w:ind w:left="320" w:right="320"/>
        <w:spacing w:after="0" w:line="263" w:lineRule="auto"/>
        <w:rPr>
          <w:sz w:val="20"/>
          <w:szCs w:val="20"/>
          <w:color w:val="auto"/>
        </w:rPr>
      </w:pPr>
      <w:r>
        <w:rPr>
          <w:rFonts w:ascii="Arial" w:cs="Arial" w:eastAsia="Arial" w:hAnsi="Arial"/>
          <w:sz w:val="17"/>
          <w:szCs w:val="17"/>
          <w:color w:val="auto"/>
        </w:rPr>
        <w:t xml:space="preserve">If you are a registered shareholder, please go to </w:t>
      </w:r>
      <w:r>
        <w:rPr>
          <w:rFonts w:ascii="Arial" w:cs="Arial" w:eastAsia="Arial" w:hAnsi="Arial"/>
          <w:sz w:val="17"/>
          <w:szCs w:val="17"/>
          <w:b w:val="1"/>
          <w:bCs w:val="1"/>
          <w:color w:val="auto"/>
        </w:rPr>
        <w:t>www.investorcentre.com</w:t>
      </w:r>
      <w:r>
        <w:rPr>
          <w:rFonts w:ascii="Arial" w:cs="Arial" w:eastAsia="Arial" w:hAnsi="Arial"/>
          <w:sz w:val="17"/>
          <w:szCs w:val="17"/>
          <w:color w:val="auto"/>
        </w:rPr>
        <w:t xml:space="preserve"> (country – Canada) and click on “Sign up for eDelivery” at the bottom of the page. You will need information from your proxy form to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4"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13</w:t>
      </w:r>
    </w:p>
    <w:p>
      <w:pPr>
        <w:sectPr>
          <w:pgSz w:w="11900" w:h="16838" w:orient="portrait"/>
          <w:cols w:equalWidth="0" w:num="1">
            <w:col w:w="10920"/>
          </w:cols>
          <w:pgMar w:left="480" w:top="234" w:right="499" w:bottom="1440" w:gutter="0" w:footer="0" w:header="0"/>
        </w:sectPr>
      </w:pPr>
    </w:p>
    <w:bookmarkStart w:id="23" w:name="page24"/>
    <w:bookmarkEnd w:id="23"/>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Principal Shareholder and Share Capital</w:t>
      </w:r>
    </w:p>
    <w:p>
      <w:pPr>
        <w:spacing w:after="0" w:line="200" w:lineRule="exact"/>
        <w:rPr>
          <w:sz w:val="20"/>
          <w:szCs w:val="20"/>
          <w:color w:val="auto"/>
        </w:rPr>
      </w:pPr>
    </w:p>
    <w:p>
      <w:pPr>
        <w:spacing w:after="0" w:line="251" w:lineRule="exact"/>
        <w:rPr>
          <w:sz w:val="20"/>
          <w:szCs w:val="20"/>
          <w:color w:val="auto"/>
        </w:rPr>
      </w:pPr>
    </w:p>
    <w:p>
      <w:pPr>
        <w:ind w:right="860"/>
        <w:spacing w:after="0" w:line="263" w:lineRule="auto"/>
        <w:rPr>
          <w:sz w:val="20"/>
          <w:szCs w:val="20"/>
          <w:color w:val="auto"/>
        </w:rPr>
      </w:pPr>
      <w:r>
        <w:rPr>
          <w:rFonts w:ascii="Arial" w:cs="Arial" w:eastAsia="Arial" w:hAnsi="Arial"/>
          <w:sz w:val="17"/>
          <w:szCs w:val="17"/>
          <w:color w:val="auto"/>
        </w:rPr>
        <w:t>As of April 13, 2026, Woodbridge and its affiliates beneficially owned 312,518,088 of our common shares, or approximately 71% of our outstanding common shares. Woodbridge is the principal and controlling shareholder of Thomson Reuters.</w:t>
      </w:r>
    </w:p>
    <w:p>
      <w:pPr>
        <w:spacing w:after="0" w:line="40"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Woodbridge, a private company, is the primary investment vehicle for members of the family of the late Roy H. Thomson, the first Lord Thomson of Fleet. Woodbridge is a professionally managed company that, in addition to its controlling interest in Thomson Reuters, has other substantial investments.</w:t>
      </w:r>
    </w:p>
    <w:p>
      <w:pPr>
        <w:spacing w:after="0" w:line="41"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Prior to his passing in 2006, Kenneth R. Thomson controlled our company through Woodbridge. He did so by holding shares of a holding company of Woodbridge, Thomson Investments Limited. Under his estate arrangements, the 2003 TIL Settlement, a trust of which the trust company subsidiary of a Canadian chartered bank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w:t>
      </w:r>
    </w:p>
    <w:p>
      <w:pPr>
        <w:spacing w:after="0" w:line="5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Under the estate arrangements of Kenneth R. Thomson, the directors and officers of Woodbridge are responsible for its business and operations. In certain limited circumstances, including very substantial dispositions of our company’s common shares by Woodbridge, the estate arrangements provide for approval of the trustee to be obtained.</w:t>
      </w:r>
    </w:p>
    <w:p>
      <w:pPr>
        <w:spacing w:after="0" w:line="5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From time to time, in the normal course of business, Thomson Reuters enters into transactions with Woodbridge and certain of its affiliates. These transactions involve providing and receiving product and service offerings and are not material to our results of operations or financial condition either individually or in the aggregate.</w:t>
      </w:r>
    </w:p>
    <w:p>
      <w:pPr>
        <w:spacing w:after="0" w:line="41"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Note 32 to our 2025 annual consolidated financial statements provides information on certain transactions that we entered into with Woodbridge in 2025.</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To our knowledge, no other person beneficially owns, directly or indirectly, 10% or more of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14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24" w:name="page25"/>
    <w:bookmarkEnd w:id="24"/>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About Our Directors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This section includes the following information:</w:t>
      </w:r>
    </w:p>
    <w:p>
      <w:pPr>
        <w:spacing w:after="0" w:line="85" w:lineRule="exact"/>
        <w:rPr>
          <w:sz w:val="20"/>
          <w:szCs w:val="20"/>
          <w:color w:val="auto"/>
        </w:rPr>
      </w:pPr>
    </w:p>
    <w:p>
      <w:pPr>
        <w:ind w:left="440" w:hanging="433"/>
        <w:spacing w:after="0"/>
        <w:tabs>
          <w:tab w:leader="none" w:pos="440" w:val="left"/>
        </w:tabs>
        <w:numPr>
          <w:ilvl w:val="0"/>
          <w:numId w:val="18"/>
        </w:numPr>
        <w:rPr>
          <w:rFonts w:ascii="Arial" w:cs="Arial" w:eastAsia="Arial" w:hAnsi="Arial"/>
          <w:sz w:val="17"/>
          <w:szCs w:val="17"/>
          <w:color w:val="D64000"/>
        </w:rPr>
      </w:pPr>
      <w:r>
        <w:rPr>
          <w:rFonts w:ascii="Arial" w:cs="Arial" w:eastAsia="Arial" w:hAnsi="Arial"/>
          <w:sz w:val="17"/>
          <w:szCs w:val="17"/>
          <w:color w:val="auto"/>
        </w:rPr>
        <w:t>Profiles for each director nominee;</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18"/>
        </w:numPr>
        <w:rPr>
          <w:rFonts w:ascii="Arial" w:cs="Arial" w:eastAsia="Arial" w:hAnsi="Arial"/>
          <w:sz w:val="17"/>
          <w:szCs w:val="17"/>
          <w:color w:val="D64000"/>
        </w:rPr>
      </w:pPr>
      <w:r>
        <w:rPr>
          <w:rFonts w:ascii="Arial" w:cs="Arial" w:eastAsia="Arial" w:hAnsi="Arial"/>
          <w:sz w:val="17"/>
          <w:szCs w:val="17"/>
          <w:color w:val="auto"/>
        </w:rPr>
        <w:t>Compensation that we paid to our directors in 2025; and</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18"/>
        </w:numPr>
        <w:rPr>
          <w:rFonts w:ascii="Arial" w:cs="Arial" w:eastAsia="Arial" w:hAnsi="Arial"/>
          <w:sz w:val="17"/>
          <w:szCs w:val="17"/>
          <w:color w:val="D64000"/>
        </w:rPr>
      </w:pPr>
      <w:r>
        <w:rPr>
          <w:rFonts w:ascii="Arial" w:cs="Arial" w:eastAsia="Arial" w:hAnsi="Arial"/>
          <w:sz w:val="17"/>
          <w:szCs w:val="17"/>
          <w:color w:val="auto"/>
        </w:rPr>
        <w:t>Our corporate governance structure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HIGHLIGHTS</w:t>
      </w:r>
    </w:p>
    <w:p>
      <w:pPr>
        <w:spacing w:after="0" w:line="102" w:lineRule="exact"/>
        <w:rPr>
          <w:sz w:val="20"/>
          <w:szCs w:val="20"/>
          <w:color w:val="auto"/>
        </w:rPr>
      </w:pPr>
    </w:p>
    <w:p>
      <w:pPr>
        <w:ind w:left="440" w:right="1200" w:hanging="433"/>
        <w:spacing w:after="0" w:line="296" w:lineRule="auto"/>
        <w:tabs>
          <w:tab w:leader="none" w:pos="440" w:val="left"/>
        </w:tabs>
        <w:numPr>
          <w:ilvl w:val="0"/>
          <w:numId w:val="19"/>
        </w:numPr>
        <w:rPr>
          <w:rFonts w:ascii="Arial" w:cs="Arial" w:eastAsia="Arial" w:hAnsi="Arial"/>
          <w:sz w:val="24"/>
          <w:szCs w:val="24"/>
          <w:color w:val="D64000"/>
        </w:rPr>
      </w:pPr>
      <w:r>
        <w:rPr>
          <w:rFonts w:ascii="Arial" w:cs="Arial" w:eastAsia="Arial" w:hAnsi="Arial"/>
          <w:sz w:val="24"/>
          <w:szCs w:val="24"/>
          <w:color w:val="auto"/>
        </w:rPr>
        <w:t>The Corporate Governance Committee believes that the director nominees have the qualifications, skills and experience necessary for the Board to fulfill its mandate;</w:t>
      </w:r>
    </w:p>
    <w:p>
      <w:pPr>
        <w:spacing w:after="0" w:line="1" w:lineRule="exact"/>
        <w:rPr>
          <w:rFonts w:ascii="Arial" w:cs="Arial" w:eastAsia="Arial" w:hAnsi="Arial"/>
          <w:sz w:val="24"/>
          <w:szCs w:val="24"/>
          <w:color w:val="D64000"/>
        </w:rPr>
      </w:pPr>
    </w:p>
    <w:p>
      <w:pPr>
        <w:ind w:left="440" w:right="440" w:hanging="433"/>
        <w:spacing w:after="0" w:line="281" w:lineRule="auto"/>
        <w:tabs>
          <w:tab w:leader="none" w:pos="440" w:val="left"/>
        </w:tabs>
        <w:numPr>
          <w:ilvl w:val="0"/>
          <w:numId w:val="19"/>
        </w:numPr>
        <w:rPr>
          <w:rFonts w:ascii="Arial" w:cs="Arial" w:eastAsia="Arial" w:hAnsi="Arial"/>
          <w:sz w:val="25"/>
          <w:szCs w:val="25"/>
          <w:color w:val="D64000"/>
        </w:rPr>
      </w:pPr>
      <w:r>
        <w:rPr>
          <w:rFonts w:ascii="Arial" w:cs="Arial" w:eastAsia="Arial" w:hAnsi="Arial"/>
          <w:sz w:val="25"/>
          <w:szCs w:val="25"/>
          <w:color w:val="auto"/>
        </w:rPr>
        <w:t>A majority of our directors are independent and only one director (our CEO) is a member of management;</w:t>
      </w:r>
    </w:p>
    <w:p>
      <w:pPr>
        <w:spacing w:after="0" w:line="8" w:lineRule="exact"/>
        <w:rPr>
          <w:rFonts w:ascii="Arial" w:cs="Arial" w:eastAsia="Arial" w:hAnsi="Arial"/>
          <w:sz w:val="25"/>
          <w:szCs w:val="25"/>
          <w:color w:val="D64000"/>
        </w:rPr>
      </w:pPr>
    </w:p>
    <w:p>
      <w:pPr>
        <w:ind w:left="440" w:hanging="433"/>
        <w:spacing w:after="0"/>
        <w:tabs>
          <w:tab w:leader="none" w:pos="440" w:val="left"/>
        </w:tabs>
        <w:numPr>
          <w:ilvl w:val="0"/>
          <w:numId w:val="19"/>
        </w:numPr>
        <w:rPr>
          <w:rFonts w:ascii="Arial" w:cs="Arial" w:eastAsia="Arial" w:hAnsi="Arial"/>
          <w:sz w:val="25"/>
          <w:szCs w:val="25"/>
          <w:color w:val="D64000"/>
        </w:rPr>
      </w:pPr>
      <w:r>
        <w:rPr>
          <w:rFonts w:ascii="Arial" w:cs="Arial" w:eastAsia="Arial" w:hAnsi="Arial"/>
          <w:sz w:val="25"/>
          <w:szCs w:val="25"/>
          <w:color w:val="auto"/>
        </w:rPr>
        <w:t>The roles and responsibilities of the Chairman and the CEO are separate;</w:t>
      </w:r>
    </w:p>
    <w:p>
      <w:pPr>
        <w:spacing w:after="0" w:line="100" w:lineRule="exact"/>
        <w:rPr>
          <w:rFonts w:ascii="Arial" w:cs="Arial" w:eastAsia="Arial" w:hAnsi="Arial"/>
          <w:sz w:val="25"/>
          <w:szCs w:val="25"/>
          <w:color w:val="D64000"/>
        </w:rPr>
      </w:pPr>
    </w:p>
    <w:p>
      <w:pPr>
        <w:ind w:left="440" w:hanging="433"/>
        <w:spacing w:after="0"/>
        <w:tabs>
          <w:tab w:leader="none" w:pos="440" w:val="left"/>
        </w:tabs>
        <w:numPr>
          <w:ilvl w:val="0"/>
          <w:numId w:val="19"/>
        </w:numPr>
        <w:rPr>
          <w:rFonts w:ascii="Arial" w:cs="Arial" w:eastAsia="Arial" w:hAnsi="Arial"/>
          <w:sz w:val="25"/>
          <w:szCs w:val="25"/>
          <w:color w:val="D64000"/>
        </w:rPr>
      </w:pPr>
      <w:r>
        <w:rPr>
          <w:rFonts w:ascii="Arial" w:cs="Arial" w:eastAsia="Arial" w:hAnsi="Arial"/>
          <w:sz w:val="25"/>
          <w:szCs w:val="25"/>
          <w:color w:val="auto"/>
        </w:rPr>
        <w:t>12 of the 14 nominees are currently directors of our company; and</w:t>
      </w:r>
    </w:p>
    <w:p>
      <w:pPr>
        <w:spacing w:after="0" w:line="100" w:lineRule="exact"/>
        <w:rPr>
          <w:rFonts w:ascii="Arial" w:cs="Arial" w:eastAsia="Arial" w:hAnsi="Arial"/>
          <w:sz w:val="25"/>
          <w:szCs w:val="25"/>
          <w:color w:val="D64000"/>
        </w:rPr>
      </w:pPr>
    </w:p>
    <w:p>
      <w:pPr>
        <w:ind w:left="440" w:right="140" w:hanging="433"/>
        <w:spacing w:after="0" w:line="281" w:lineRule="auto"/>
        <w:tabs>
          <w:tab w:leader="none" w:pos="440" w:val="left"/>
        </w:tabs>
        <w:numPr>
          <w:ilvl w:val="0"/>
          <w:numId w:val="19"/>
        </w:numPr>
        <w:rPr>
          <w:rFonts w:ascii="Arial" w:cs="Arial" w:eastAsia="Arial" w:hAnsi="Arial"/>
          <w:sz w:val="25"/>
          <w:szCs w:val="25"/>
          <w:color w:val="D64000"/>
        </w:rPr>
      </w:pPr>
      <w:r>
        <w:rPr>
          <w:rFonts w:ascii="Arial" w:cs="Arial" w:eastAsia="Arial" w:hAnsi="Arial"/>
          <w:sz w:val="25"/>
          <w:szCs w:val="25"/>
          <w:color w:val="auto"/>
        </w:rPr>
        <w:t>At last year’s annual meeting, our director nominees who are standing for re-election received an average of 98.9% “for”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69297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Board Changes in 2026</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Kirk Koenigsbauer will be completing his service on the Board at the 2026 annual meeting of shareholders. Kirk has served on the Board since 2020. We thank Kirk for his contributions to Thomson Reuters.</w:t>
      </w:r>
    </w:p>
    <w:p>
      <w:pPr>
        <w:spacing w:after="0" w:line="26" w:lineRule="exact"/>
        <w:rPr>
          <w:sz w:val="20"/>
          <w:szCs w:val="20"/>
          <w:color w:val="auto"/>
        </w:rPr>
      </w:pPr>
    </w:p>
    <w:p>
      <w:pPr>
        <w:ind w:right="620"/>
        <w:spacing w:after="0" w:line="263" w:lineRule="auto"/>
        <w:rPr>
          <w:sz w:val="20"/>
          <w:szCs w:val="20"/>
          <w:color w:val="auto"/>
        </w:rPr>
      </w:pPr>
      <w:r>
        <w:rPr>
          <w:rFonts w:ascii="Arial" w:cs="Arial" w:eastAsia="Arial" w:hAnsi="Arial"/>
          <w:sz w:val="17"/>
          <w:szCs w:val="17"/>
          <w:color w:val="auto"/>
        </w:rPr>
        <w:t>We were deeply saddened by the passing of our board colleague, Michael E. Daniels, in March 2026. Mike brought exceptional judgment, perspective, and integrity to Thomson Reuters. We remain grateful for his many contributions to our company.</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Voting</w:t>
      </w:r>
    </w:p>
    <w:p>
      <w:pPr>
        <w:spacing w:after="0" w:line="103"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You will be asked to vote for each director on an individual basis. Each of the 14 nominees is proposed to be elected for a term ending at our 2027 annual meeting of shareholders. 12 of the nominees are currently directors of our company and were elected at our 2025 annual meeting of shareholders. Michael Medline and Liz Hilton Segel are new director nominees who are proposed to be elected at the meeting. Profiles for each nominee are provided on the following pages.</w:t>
      </w:r>
    </w:p>
    <w:p>
      <w:pPr>
        <w:spacing w:after="0" w:line="5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The Board unanimously recommends that you vote FOR the election of each nominee set out in the “Nominee Information” section of this circular.</w:t>
      </w:r>
    </w:p>
    <w:p>
      <w:pPr>
        <w:spacing w:after="0" w:line="10"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Management does not believe that any of the nominees will be unable to serve as a director but, if this should occur for any reason prior to the meeting, the persons named in the enclosed proxy form may vote for another nominee at their discretion.</w:t>
      </w:r>
    </w:p>
    <w:p>
      <w:pPr>
        <w:spacing w:after="0" w:line="40" w:lineRule="exact"/>
        <w:rPr>
          <w:sz w:val="20"/>
          <w:szCs w:val="20"/>
          <w:color w:val="auto"/>
        </w:rPr>
      </w:pPr>
    </w:p>
    <w:p>
      <w:pPr>
        <w:jc w:val="both"/>
        <w:ind w:right="420"/>
        <w:spacing w:after="0" w:line="246" w:lineRule="auto"/>
        <w:rPr>
          <w:sz w:val="20"/>
          <w:szCs w:val="20"/>
          <w:color w:val="auto"/>
        </w:rPr>
      </w:pPr>
      <w:r>
        <w:rPr>
          <w:rFonts w:ascii="Arial" w:cs="Arial" w:eastAsia="Arial" w:hAnsi="Arial"/>
          <w:sz w:val="17"/>
          <w:szCs w:val="17"/>
          <w:color w:val="auto"/>
        </w:rPr>
        <w:t>Following the meeting, we will issue a press release that includes the number of votes cast for and withheld from each individual director. As noted above, at last year’s annual meeting, our director nominees who are standing for re-election received an average of 98.9% “for” votes. Additional information is provided in each nominee’s profile on the following pages.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Director qualifications, skills and experiences</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believe that all of the director nominees possess character, integrity, judgment, business experience, merit, including a record of achievement, and other skills and talents which enhance the Board and the overall management of the business and affairs of Thomson Reuters. Each director nominee is expected to understand our company’s principal operational and financial objectives, plans and strategies, financial position and performance and the performance of Thomson Reuters relative to our principal competitors. The Corporate Governance Committee considered these qualifications in determining to recommend the director 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9297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15</w:t>
      </w:r>
    </w:p>
    <w:p>
      <w:pPr>
        <w:sectPr>
          <w:pgSz w:w="11900" w:h="16838" w:orient="portrait"/>
          <w:cols w:equalWidth="0" w:num="1">
            <w:col w:w="10920"/>
          </w:cols>
          <w:pgMar w:left="480" w:top="234" w:right="499" w:bottom="1440" w:gutter="0" w:footer="0" w:header="0"/>
        </w:sectPr>
      </w:pPr>
    </w:p>
    <w:bookmarkStart w:id="25" w:name="page26"/>
    <w:bookmarkEnd w:id="25"/>
    <w:p>
      <w:pPr>
        <w:spacing w:after="0" w:line="29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following table, or skills matrix, summarizes the skills and areas of experience indicated by each director nominee. Our Board believes that these skills and experiences are necessary for it to carry out its mandate. The skills matrix is reviewed and updated annually.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64"/>
        </w:trPr>
        <w:tc>
          <w:tcPr>
            <w:tcW w:w="4560" w:type="dxa"/>
            <w:vAlign w:val="bottom"/>
            <w:tcBorders>
              <w:bottom w:val="single" w:sz="8" w:color="D64000"/>
            </w:tcBorders>
          </w:tcPr>
          <w:p>
            <w:pPr>
              <w:spacing w:after="0"/>
              <w:rPr>
                <w:sz w:val="24"/>
                <w:szCs w:val="24"/>
                <w:color w:val="auto"/>
              </w:rPr>
            </w:pPr>
          </w:p>
        </w:tc>
        <w:tc>
          <w:tcPr>
            <w:tcW w:w="100" w:type="dxa"/>
            <w:vAlign w:val="bottom"/>
            <w:tcBorders>
              <w:bottom w:val="single" w:sz="8" w:color="D64000"/>
            </w:tcBorders>
            <w:shd w:val="clear" w:color="auto" w:fill="C7E5B1"/>
          </w:tcPr>
          <w:p>
            <w:pPr>
              <w:spacing w:after="0"/>
              <w:rPr>
                <w:sz w:val="24"/>
                <w:szCs w:val="24"/>
                <w:color w:val="auto"/>
              </w:rPr>
            </w:pPr>
          </w:p>
        </w:tc>
        <w:tc>
          <w:tcPr>
            <w:tcW w:w="240" w:type="dxa"/>
            <w:vAlign w:val="bottom"/>
            <w:tcBorders>
              <w:bottom w:val="single" w:sz="8" w:color="D64000"/>
            </w:tcBorders>
            <w:shd w:val="clear" w:color="auto" w:fill="C7E5B1"/>
          </w:tcPr>
          <w:p>
            <w:pPr>
              <w:spacing w:after="0"/>
              <w:rPr>
                <w:sz w:val="24"/>
                <w:szCs w:val="24"/>
                <w:color w:val="auto"/>
              </w:rPr>
            </w:pPr>
          </w:p>
        </w:tc>
        <w:tc>
          <w:tcPr>
            <w:tcW w:w="100" w:type="dxa"/>
            <w:vAlign w:val="bottom"/>
            <w:tcBorders>
              <w:bottom w:val="single" w:sz="8" w:color="D64000"/>
            </w:tcBorders>
            <w:shd w:val="clear" w:color="auto" w:fill="C7E5B1"/>
          </w:tcPr>
          <w:p>
            <w:pPr>
              <w:spacing w:after="0"/>
              <w:rPr>
                <w:sz w:val="24"/>
                <w:szCs w:val="24"/>
                <w:color w:val="auto"/>
              </w:rPr>
            </w:pPr>
          </w:p>
        </w:tc>
        <w:tc>
          <w:tcPr>
            <w:tcW w:w="460" w:type="dxa"/>
            <w:vAlign w:val="bottom"/>
            <w:tcBorders>
              <w:bottom w:val="single" w:sz="8" w:color="D64000"/>
            </w:tcBorders>
          </w:tcPr>
          <w:p>
            <w:pPr>
              <w:spacing w:after="0"/>
              <w:rPr>
                <w:sz w:val="24"/>
                <w:szCs w:val="24"/>
                <w:color w:val="auto"/>
              </w:rPr>
            </w:pPr>
          </w:p>
        </w:tc>
        <w:tc>
          <w:tcPr>
            <w:tcW w:w="460" w:type="dxa"/>
            <w:vAlign w:val="bottom"/>
            <w:tcBorders>
              <w:bottom w:val="single" w:sz="8" w:color="D64000"/>
            </w:tcBorders>
            <w:shd w:val="clear" w:color="auto" w:fill="C7E5B1"/>
          </w:tcPr>
          <w:p>
            <w:pPr>
              <w:spacing w:after="0"/>
              <w:rPr>
                <w:sz w:val="24"/>
                <w:szCs w:val="24"/>
                <w:color w:val="auto"/>
              </w:rPr>
            </w:pPr>
          </w:p>
        </w:tc>
        <w:tc>
          <w:tcPr>
            <w:tcW w:w="460" w:type="dxa"/>
            <w:vAlign w:val="bottom"/>
            <w:tcBorders>
              <w:bottom w:val="single" w:sz="8" w:color="D64000"/>
            </w:tcBorders>
          </w:tcPr>
          <w:p>
            <w:pPr>
              <w:spacing w:after="0"/>
              <w:rPr>
                <w:sz w:val="24"/>
                <w:szCs w:val="24"/>
                <w:color w:val="auto"/>
              </w:rPr>
            </w:pPr>
          </w:p>
        </w:tc>
        <w:tc>
          <w:tcPr>
            <w:tcW w:w="440" w:type="dxa"/>
            <w:vAlign w:val="bottom"/>
            <w:tcBorders>
              <w:bottom w:val="single" w:sz="8" w:color="D64000"/>
            </w:tcBorders>
            <w:shd w:val="clear" w:color="auto" w:fill="C7E5B1"/>
          </w:tcPr>
          <w:p>
            <w:pPr>
              <w:spacing w:after="0"/>
              <w:rPr>
                <w:sz w:val="24"/>
                <w:szCs w:val="24"/>
                <w:color w:val="auto"/>
              </w:rPr>
            </w:pPr>
          </w:p>
        </w:tc>
        <w:tc>
          <w:tcPr>
            <w:tcW w:w="460" w:type="dxa"/>
            <w:vAlign w:val="bottom"/>
            <w:tcBorders>
              <w:bottom w:val="single" w:sz="8" w:color="D64000"/>
            </w:tcBorders>
          </w:tcPr>
          <w:p>
            <w:pPr>
              <w:spacing w:after="0"/>
              <w:rPr>
                <w:sz w:val="24"/>
                <w:szCs w:val="24"/>
                <w:color w:val="auto"/>
              </w:rPr>
            </w:pPr>
          </w:p>
        </w:tc>
        <w:tc>
          <w:tcPr>
            <w:tcW w:w="460" w:type="dxa"/>
            <w:vAlign w:val="bottom"/>
            <w:tcBorders>
              <w:bottom w:val="single" w:sz="8" w:color="D64000"/>
            </w:tcBorders>
            <w:shd w:val="clear" w:color="auto" w:fill="C7E5B1"/>
          </w:tcPr>
          <w:p>
            <w:pPr>
              <w:spacing w:after="0"/>
              <w:rPr>
                <w:sz w:val="24"/>
                <w:szCs w:val="24"/>
                <w:color w:val="auto"/>
              </w:rPr>
            </w:pPr>
          </w:p>
        </w:tc>
        <w:tc>
          <w:tcPr>
            <w:tcW w:w="460" w:type="dxa"/>
            <w:vAlign w:val="bottom"/>
            <w:tcBorders>
              <w:bottom w:val="single" w:sz="8" w:color="D64000"/>
            </w:tcBorders>
          </w:tcPr>
          <w:p>
            <w:pPr>
              <w:spacing w:after="0"/>
              <w:rPr>
                <w:sz w:val="24"/>
                <w:szCs w:val="24"/>
                <w:color w:val="auto"/>
              </w:rPr>
            </w:pPr>
          </w:p>
        </w:tc>
        <w:tc>
          <w:tcPr>
            <w:tcW w:w="440" w:type="dxa"/>
            <w:vAlign w:val="bottom"/>
            <w:tcBorders>
              <w:bottom w:val="single" w:sz="8" w:color="D64000"/>
            </w:tcBorders>
            <w:shd w:val="clear" w:color="auto" w:fill="C7E5B1"/>
          </w:tcPr>
          <w:p>
            <w:pPr>
              <w:spacing w:after="0"/>
              <w:rPr>
                <w:sz w:val="24"/>
                <w:szCs w:val="24"/>
                <w:color w:val="auto"/>
              </w:rPr>
            </w:pPr>
          </w:p>
        </w:tc>
        <w:tc>
          <w:tcPr>
            <w:tcW w:w="460" w:type="dxa"/>
            <w:vAlign w:val="bottom"/>
            <w:tcBorders>
              <w:bottom w:val="single" w:sz="8" w:color="D64000"/>
            </w:tcBorders>
          </w:tcPr>
          <w:p>
            <w:pPr>
              <w:spacing w:after="0"/>
              <w:rPr>
                <w:sz w:val="24"/>
                <w:szCs w:val="24"/>
                <w:color w:val="auto"/>
              </w:rPr>
            </w:pPr>
          </w:p>
        </w:tc>
        <w:tc>
          <w:tcPr>
            <w:tcW w:w="460" w:type="dxa"/>
            <w:vAlign w:val="bottom"/>
            <w:tcBorders>
              <w:bottom w:val="single" w:sz="8" w:color="D64000"/>
            </w:tcBorders>
            <w:shd w:val="clear" w:color="auto" w:fill="C7E5B1"/>
          </w:tcPr>
          <w:p>
            <w:pPr>
              <w:spacing w:after="0"/>
              <w:rPr>
                <w:sz w:val="24"/>
                <w:szCs w:val="24"/>
                <w:color w:val="auto"/>
              </w:rPr>
            </w:pPr>
          </w:p>
        </w:tc>
        <w:tc>
          <w:tcPr>
            <w:tcW w:w="460" w:type="dxa"/>
            <w:vAlign w:val="bottom"/>
            <w:tcBorders>
              <w:bottom w:val="single" w:sz="8" w:color="D64000"/>
            </w:tcBorders>
          </w:tcPr>
          <w:p>
            <w:pPr>
              <w:spacing w:after="0"/>
              <w:rPr>
                <w:sz w:val="24"/>
                <w:szCs w:val="24"/>
                <w:color w:val="auto"/>
              </w:rPr>
            </w:pPr>
          </w:p>
        </w:tc>
        <w:tc>
          <w:tcPr>
            <w:tcW w:w="440" w:type="dxa"/>
            <w:vAlign w:val="bottom"/>
            <w:tcBorders>
              <w:bottom w:val="single" w:sz="8" w:color="D64000"/>
            </w:tcBorders>
            <w:shd w:val="clear" w:color="auto" w:fill="C7E5B1"/>
          </w:tcPr>
          <w:p>
            <w:pPr>
              <w:spacing w:after="0"/>
              <w:rPr>
                <w:sz w:val="24"/>
                <w:szCs w:val="24"/>
                <w:color w:val="auto"/>
              </w:rPr>
            </w:pPr>
          </w:p>
        </w:tc>
        <w:tc>
          <w:tcPr>
            <w:tcW w:w="460" w:type="dxa"/>
            <w:vAlign w:val="bottom"/>
            <w:tcBorders>
              <w:bottom w:val="single" w:sz="8" w:color="D64000"/>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4560" w:type="dxa"/>
            <w:vAlign w:val="bottom"/>
          </w:tcPr>
          <w:p>
            <w:pPr>
              <w:spacing w:after="0"/>
              <w:rPr>
                <w:sz w:val="20"/>
                <w:szCs w:val="20"/>
                <w:color w:val="auto"/>
              </w:rPr>
            </w:pPr>
            <w:r>
              <w:rPr>
                <w:rFonts w:ascii="Arial" w:cs="Arial" w:eastAsia="Arial" w:hAnsi="Arial"/>
                <w:sz w:val="14"/>
                <w:szCs w:val="14"/>
                <w:b w:val="1"/>
                <w:bCs w:val="1"/>
                <w:color w:val="8FCB64"/>
              </w:rPr>
              <w:t xml:space="preserve">Board experience (with other companies): </w:t>
            </w:r>
            <w:r>
              <w:rPr>
                <w:rFonts w:ascii="Arial" w:cs="Arial" w:eastAsia="Arial" w:hAnsi="Arial"/>
                <w:sz w:val="14"/>
                <w:szCs w:val="14"/>
                <w:color w:val="000000"/>
              </w:rPr>
              <w:t>experience as a director</w:t>
            </w:r>
          </w:p>
        </w:tc>
        <w:tc>
          <w:tcPr>
            <w:tcW w:w="100" w:type="dxa"/>
            <w:vAlign w:val="bottom"/>
            <w:shd w:val="clear" w:color="auto" w:fill="C7E5B1"/>
          </w:tcPr>
          <w:p>
            <w:pPr>
              <w:spacing w:after="0"/>
              <w:rPr>
                <w:sz w:val="16"/>
                <w:szCs w:val="16"/>
                <w:color w:val="auto"/>
              </w:rPr>
            </w:pPr>
          </w:p>
        </w:tc>
        <w:tc>
          <w:tcPr>
            <w:tcW w:w="240" w:type="dxa"/>
            <w:vAlign w:val="bottom"/>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shd w:val="clear" w:color="auto" w:fill="C7E5B1"/>
          </w:tcPr>
          <w:p>
            <w:pPr>
              <w:spacing w:after="0"/>
              <w:rPr>
                <w:sz w:val="16"/>
                <w:szCs w:val="16"/>
                <w:color w:val="auto"/>
              </w:rPr>
            </w:pPr>
          </w:p>
        </w:tc>
        <w:tc>
          <w:tcPr>
            <w:tcW w:w="4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80" w:type="dxa"/>
            <w:vAlign w:val="bottom"/>
            <w:gridSpan w:val="2"/>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on the boards of other public or private companies.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Cybersecurity: </w:t>
            </w:r>
            <w:r>
              <w:rPr>
                <w:rFonts w:ascii="Arial" w:cs="Arial" w:eastAsia="Arial" w:hAnsi="Arial"/>
                <w:sz w:val="14"/>
                <w:szCs w:val="14"/>
                <w:color w:val="000000"/>
              </w:rPr>
              <w:t>experience in or knowledge of cybersecurity risk,</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mitigation and incident response.</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Environmental, Social and Governance (ESG): </w:t>
            </w:r>
            <w:r>
              <w:rPr>
                <w:rFonts w:ascii="Arial" w:cs="Arial" w:eastAsia="Arial" w:hAnsi="Arial"/>
                <w:sz w:val="14"/>
                <w:szCs w:val="14"/>
                <w:color w:val="000000"/>
              </w:rPr>
              <w:t>knowledge of current</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and emerging regulatory requirements and market practices related to</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ESG.</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Executive leadership: </w:t>
            </w:r>
            <w:r>
              <w:rPr>
                <w:rFonts w:ascii="Arial" w:cs="Arial" w:eastAsia="Arial" w:hAnsi="Arial"/>
                <w:sz w:val="14"/>
                <w:szCs w:val="14"/>
                <w:color w:val="000000"/>
              </w:rPr>
              <w:t>experience as a senior executive (e.g., CEO,</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CFO, COO) at a public or private company.</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Finance: </w:t>
            </w:r>
            <w:r>
              <w:rPr>
                <w:rFonts w:ascii="Arial" w:cs="Arial" w:eastAsia="Arial" w:hAnsi="Arial"/>
                <w:sz w:val="14"/>
                <w:szCs w:val="14"/>
                <w:color w:val="000000"/>
              </w:rPr>
              <w:t>experience in or knowledge of finance, including investments,</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debt and equity transactions, treasury and investor relations.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Government relations: </w:t>
            </w:r>
            <w:r>
              <w:rPr>
                <w:rFonts w:ascii="Arial" w:cs="Arial" w:eastAsia="Arial" w:hAnsi="Arial"/>
                <w:sz w:val="14"/>
                <w:szCs w:val="14"/>
                <w:color w:val="000000"/>
              </w:rPr>
              <w:t>experience in government relations, and/or</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knowledge of public policy developments that affect Thomson Reuters,</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its industries and its customers.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Human capital management: </w:t>
            </w:r>
            <w:r>
              <w:rPr>
                <w:rFonts w:ascii="Arial" w:cs="Arial" w:eastAsia="Arial" w:hAnsi="Arial"/>
                <w:sz w:val="14"/>
                <w:szCs w:val="14"/>
                <w:color w:val="000000"/>
              </w:rPr>
              <w:t>experience in or knowledge of human</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resources matters, including culture, talent acquisition and retention,</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leadership development, compensation and succession planning.</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International business: </w:t>
            </w:r>
            <w:r>
              <w:rPr>
                <w:rFonts w:ascii="Arial" w:cs="Arial" w:eastAsia="Arial" w:hAnsi="Arial"/>
                <w:sz w:val="14"/>
                <w:szCs w:val="14"/>
                <w:color w:val="000000"/>
              </w:rPr>
              <w:t>experience in or knowledge of international</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business operations.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Legal: </w:t>
            </w:r>
            <w:r>
              <w:rPr>
                <w:rFonts w:ascii="Arial" w:cs="Arial" w:eastAsia="Arial" w:hAnsi="Arial"/>
                <w:sz w:val="14"/>
                <w:szCs w:val="14"/>
                <w:color w:val="000000"/>
              </w:rPr>
              <w:t>experience practicing law and/or experience in or knowledge of</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the legal industry, including an understanding of the strategic context</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and business issues it faces.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M&amp;A: </w:t>
            </w:r>
            <w:r>
              <w:rPr>
                <w:rFonts w:ascii="Arial" w:cs="Arial" w:eastAsia="Arial" w:hAnsi="Arial"/>
                <w:sz w:val="14"/>
                <w:szCs w:val="14"/>
                <w:color w:val="000000"/>
              </w:rPr>
              <w:t>experience in overseeing significant mergers and acquisitions</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transactions, including in international markets.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Media and publishing: </w:t>
            </w:r>
            <w:r>
              <w:rPr>
                <w:rFonts w:ascii="Arial" w:cs="Arial" w:eastAsia="Arial" w:hAnsi="Arial"/>
                <w:sz w:val="14"/>
                <w:szCs w:val="14"/>
                <w:color w:val="000000"/>
              </w:rPr>
              <w:t>experience in leadership roles in the media</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and/or publishing industries, including an understanding of the strategic</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context and business issues they face.</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Operations: </w:t>
            </w:r>
            <w:r>
              <w:rPr>
                <w:rFonts w:ascii="Arial" w:cs="Arial" w:eastAsia="Arial" w:hAnsi="Arial"/>
                <w:sz w:val="14"/>
                <w:szCs w:val="14"/>
                <w:color w:val="000000"/>
              </w:rPr>
              <w:t>experience in or knowledge of managing operations for a</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global technology company.</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Product: </w:t>
            </w:r>
            <w:r>
              <w:rPr>
                <w:rFonts w:ascii="Arial" w:cs="Arial" w:eastAsia="Arial" w:hAnsi="Arial"/>
                <w:sz w:val="14"/>
                <w:szCs w:val="14"/>
                <w:color w:val="000000"/>
              </w:rPr>
              <w:t>experience in or knowledge of product development and</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strategy, including content-driven products, which enables them to</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understand customer needs, market trends, and technical requirements.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Risk management: </w:t>
            </w:r>
            <w:r>
              <w:rPr>
                <w:rFonts w:ascii="Arial" w:cs="Arial" w:eastAsia="Arial" w:hAnsi="Arial"/>
                <w:sz w:val="14"/>
                <w:szCs w:val="14"/>
                <w:color w:val="000000"/>
              </w:rPr>
              <w:t>experience in or knowledge of risk governance,</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including enterprise risk management, risk monitoring and mitigation.</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Sales and marketing: </w:t>
            </w:r>
            <w:r>
              <w:rPr>
                <w:rFonts w:ascii="Arial" w:cs="Arial" w:eastAsia="Arial" w:hAnsi="Arial"/>
                <w:sz w:val="14"/>
                <w:szCs w:val="14"/>
                <w:color w:val="000000"/>
              </w:rPr>
              <w:t>experience in or knowledge of sales and</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marketing in the industries in which Thomson Reuters operates,</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including go-to-market strategies, solution selling, digital marketing and</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partnerships.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Strategy: </w:t>
            </w:r>
            <w:r>
              <w:rPr>
                <w:rFonts w:ascii="Arial" w:cs="Arial" w:eastAsia="Arial" w:hAnsi="Arial"/>
                <w:sz w:val="14"/>
                <w:szCs w:val="14"/>
                <w:color w:val="000000"/>
              </w:rPr>
              <w:t>experience in or knowledge of developing, implementing and</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assessing business development and growth initiatives.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Tax, audit and accounting: </w:t>
            </w:r>
            <w:r>
              <w:rPr>
                <w:rFonts w:ascii="Arial" w:cs="Arial" w:eastAsia="Arial" w:hAnsi="Arial"/>
                <w:sz w:val="14"/>
                <w:szCs w:val="14"/>
                <w:color w:val="000000"/>
              </w:rPr>
              <w:t>experience in or knowledge of the tax,</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spacing w:after="0"/>
              <w:rPr>
                <w:sz w:val="16"/>
                <w:szCs w:val="16"/>
                <w:color w:val="auto"/>
              </w:rPr>
            </w:pPr>
          </w:p>
        </w:tc>
        <w:tc>
          <w:tcPr>
            <w:tcW w:w="46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accounting and audit industry, including an understanding of the</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strategic context and business issues it faces. experience in or</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knowledge of key accounting principles that apply to public companies</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or conducting or overseeing audits of public companies.</w:t>
            </w:r>
          </w:p>
        </w:tc>
        <w:tc>
          <w:tcPr>
            <w:tcW w:w="100" w:type="dxa"/>
            <w:vAlign w:val="bottom"/>
            <w:tcBorders>
              <w:bottom w:val="single" w:sz="8" w:color="C7E5B1"/>
            </w:tcBorders>
            <w:shd w:val="clear" w:color="auto" w:fill="C7E5B1"/>
          </w:tcPr>
          <w:p>
            <w:pPr>
              <w:spacing w:after="0"/>
              <w:rPr>
                <w:sz w:val="19"/>
                <w:szCs w:val="19"/>
                <w:color w:val="auto"/>
              </w:rPr>
            </w:pPr>
          </w:p>
        </w:tc>
        <w:tc>
          <w:tcPr>
            <w:tcW w:w="240" w:type="dxa"/>
            <w:vAlign w:val="bottom"/>
            <w:tcBorders>
              <w:bottom w:val="single" w:sz="8" w:color="C7E5B1"/>
            </w:tcBorders>
            <w:shd w:val="clear" w:color="auto" w:fill="C7E5B1"/>
          </w:tcPr>
          <w:p>
            <w:pPr>
              <w:spacing w:after="0"/>
              <w:rPr>
                <w:sz w:val="19"/>
                <w:szCs w:val="19"/>
                <w:color w:val="auto"/>
              </w:rPr>
            </w:pPr>
          </w:p>
        </w:tc>
        <w:tc>
          <w:tcPr>
            <w:tcW w:w="10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bottom w:val="single" w:sz="8" w:color="C7E5B1"/>
            </w:tcBorders>
            <w:shd w:val="clear" w:color="auto" w:fill="C7E5B1"/>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4560" w:type="dxa"/>
            <w:vAlign w:val="bottom"/>
            <w:tcBorders>
              <w:top w:val="single" w:sz="8" w:color="B2B2B2"/>
            </w:tcBorders>
          </w:tcPr>
          <w:p>
            <w:pPr>
              <w:spacing w:after="0"/>
              <w:rPr>
                <w:sz w:val="20"/>
                <w:szCs w:val="20"/>
                <w:color w:val="auto"/>
              </w:rPr>
            </w:pPr>
            <w:r>
              <w:rPr>
                <w:rFonts w:ascii="Arial" w:cs="Arial" w:eastAsia="Arial" w:hAnsi="Arial"/>
                <w:sz w:val="14"/>
                <w:szCs w:val="14"/>
                <w:b w:val="1"/>
                <w:bCs w:val="1"/>
                <w:color w:val="8FCB64"/>
              </w:rPr>
              <w:t xml:space="preserve">Technology: </w:t>
            </w:r>
            <w:r>
              <w:rPr>
                <w:rFonts w:ascii="Arial" w:cs="Arial" w:eastAsia="Arial" w:hAnsi="Arial"/>
                <w:sz w:val="14"/>
                <w:szCs w:val="14"/>
                <w:color w:val="000000"/>
              </w:rPr>
              <w:t>experience in or knowledge of the technological</w:t>
            </w:r>
          </w:p>
        </w:tc>
        <w:tc>
          <w:tcPr>
            <w:tcW w:w="100" w:type="dxa"/>
            <w:vAlign w:val="bottom"/>
            <w:tcBorders>
              <w:top w:val="single" w:sz="8" w:color="B2B2B2"/>
            </w:tcBorders>
            <w:shd w:val="clear" w:color="auto" w:fill="C7E5B1"/>
          </w:tcPr>
          <w:p>
            <w:pPr>
              <w:spacing w:after="0"/>
              <w:rPr>
                <w:sz w:val="16"/>
                <w:szCs w:val="16"/>
                <w:color w:val="auto"/>
              </w:rPr>
            </w:pPr>
          </w:p>
        </w:tc>
        <w:tc>
          <w:tcPr>
            <w:tcW w:w="240" w:type="dxa"/>
            <w:vAlign w:val="bottom"/>
            <w:tcBorders>
              <w:top w:val="single" w:sz="8" w:color="B2B2B2"/>
            </w:tcBorders>
            <w:shd w:val="clear" w:color="auto" w:fill="C7E5B1"/>
          </w:tcPr>
          <w:p>
            <w:pPr>
              <w:spacing w:after="0"/>
              <w:rPr>
                <w:sz w:val="16"/>
                <w:szCs w:val="16"/>
                <w:color w:val="auto"/>
              </w:rPr>
            </w:pPr>
          </w:p>
        </w:tc>
        <w:tc>
          <w:tcPr>
            <w:tcW w:w="10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spacing w:after="0"/>
              <w:rPr>
                <w:sz w:val="16"/>
                <w:szCs w:val="16"/>
                <w:color w:val="auto"/>
              </w:rPr>
            </w:pP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shd w:val="clear" w:color="auto" w:fill="C7E5B1"/>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Borders>
              <w:top w:val="single" w:sz="8" w:color="B2B2B2"/>
            </w:tcBorders>
            <w:shd w:val="clear" w:color="auto" w:fill="C7E5B1"/>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Borders>
              <w:top w:val="single" w:sz="8" w:color="B2B2B2"/>
            </w:tcBorders>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opportunities and risks relevant to Thomson Reuters, including AI and</w:t>
            </w:r>
          </w:p>
        </w:tc>
        <w:tc>
          <w:tcPr>
            <w:tcW w:w="100" w:type="dxa"/>
            <w:vAlign w:val="bottom"/>
            <w:shd w:val="clear" w:color="auto" w:fill="C7E5B1"/>
          </w:tcPr>
          <w:p>
            <w:pPr>
              <w:spacing w:after="0"/>
              <w:rPr>
                <w:sz w:val="13"/>
                <w:szCs w:val="13"/>
                <w:color w:val="auto"/>
              </w:rPr>
            </w:pPr>
          </w:p>
        </w:tc>
        <w:tc>
          <w:tcPr>
            <w:tcW w:w="240" w:type="dxa"/>
            <w:vAlign w:val="bottom"/>
            <w:shd w:val="clear" w:color="auto" w:fill="C7E5B1"/>
          </w:tcPr>
          <w:p>
            <w:pPr>
              <w:spacing w:after="0"/>
              <w:rPr>
                <w:sz w:val="13"/>
                <w:szCs w:val="13"/>
                <w:color w:val="auto"/>
              </w:rPr>
            </w:pPr>
          </w:p>
        </w:tc>
        <w:tc>
          <w:tcPr>
            <w:tcW w:w="10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shd w:val="clear" w:color="auto" w:fill="C7E5B1"/>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4"/>
                <w:szCs w:val="14"/>
                <w:color w:val="auto"/>
              </w:rPr>
              <w:t>other disruptive technologies.</w:t>
            </w:r>
          </w:p>
        </w:tc>
        <w:tc>
          <w:tcPr>
            <w:tcW w:w="100" w:type="dxa"/>
            <w:vAlign w:val="bottom"/>
            <w:tcBorders>
              <w:bottom w:val="single" w:sz="8" w:color="C7E5B1"/>
            </w:tcBorders>
            <w:shd w:val="clear" w:color="auto" w:fill="C7E5B1"/>
          </w:tcPr>
          <w:p>
            <w:pPr>
              <w:spacing w:after="0"/>
              <w:rPr>
                <w:sz w:val="21"/>
                <w:szCs w:val="21"/>
                <w:color w:val="auto"/>
              </w:rPr>
            </w:pPr>
          </w:p>
        </w:tc>
        <w:tc>
          <w:tcPr>
            <w:tcW w:w="240" w:type="dxa"/>
            <w:vAlign w:val="bottom"/>
            <w:tcBorders>
              <w:bottom w:val="single" w:sz="8" w:color="C7E5B1"/>
            </w:tcBorders>
            <w:shd w:val="clear" w:color="auto" w:fill="C7E5B1"/>
          </w:tcPr>
          <w:p>
            <w:pPr>
              <w:spacing w:after="0"/>
              <w:rPr>
                <w:sz w:val="21"/>
                <w:szCs w:val="21"/>
                <w:color w:val="auto"/>
              </w:rPr>
            </w:pPr>
          </w:p>
        </w:tc>
        <w:tc>
          <w:tcPr>
            <w:tcW w:w="100" w:type="dxa"/>
            <w:vAlign w:val="bottom"/>
            <w:tcBorders>
              <w:bottom w:val="single" w:sz="8" w:color="C7E5B1"/>
            </w:tcBorders>
            <w:shd w:val="clear" w:color="auto" w:fill="C7E5B1"/>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Borders>
              <w:bottom w:val="single" w:sz="8" w:color="C7E5B1"/>
            </w:tcBorders>
            <w:shd w:val="clear" w:color="auto" w:fill="C7E5B1"/>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Borders>
              <w:bottom w:val="single" w:sz="8" w:color="C7E5B1"/>
            </w:tcBorders>
            <w:shd w:val="clear" w:color="auto" w:fill="C7E5B1"/>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Borders>
              <w:bottom w:val="single" w:sz="8" w:color="C7E5B1"/>
            </w:tcBorders>
            <w:shd w:val="clear" w:color="auto" w:fill="C7E5B1"/>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Borders>
              <w:bottom w:val="single" w:sz="8" w:color="C7E5B1"/>
            </w:tcBorders>
            <w:shd w:val="clear" w:color="auto" w:fill="C7E5B1"/>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Borders>
              <w:bottom w:val="single" w:sz="8" w:color="C7E5B1"/>
            </w:tcBorders>
            <w:shd w:val="clear" w:color="auto" w:fill="C7E5B1"/>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Borders>
              <w:bottom w:val="single" w:sz="8" w:color="C7E5B1"/>
            </w:tcBorders>
            <w:shd w:val="clear" w:color="auto" w:fill="C7E5B1"/>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60"/>
        </w:trPr>
        <w:tc>
          <w:tcPr>
            <w:tcW w:w="4660" w:type="dxa"/>
            <w:vAlign w:val="bottom"/>
            <w:tcBorders>
              <w:top w:val="single" w:sz="8" w:color="D64000"/>
              <w:bottom w:val="single" w:sz="8" w:color="7F7F7F"/>
            </w:tcBorders>
            <w:gridSpan w:val="2"/>
          </w:tcPr>
          <w:p>
            <w:pPr>
              <w:spacing w:after="0"/>
              <w:rPr>
                <w:sz w:val="13"/>
                <w:szCs w:val="13"/>
                <w:color w:val="auto"/>
              </w:rPr>
            </w:pPr>
          </w:p>
        </w:tc>
        <w:tc>
          <w:tcPr>
            <w:tcW w:w="240" w:type="dxa"/>
            <w:vAlign w:val="bottom"/>
            <w:tcBorders>
              <w:top w:val="single" w:sz="8" w:color="D64000"/>
              <w:bottom w:val="single" w:sz="8" w:color="7F7F7F"/>
            </w:tcBorders>
          </w:tcPr>
          <w:p>
            <w:pPr>
              <w:spacing w:after="0"/>
              <w:rPr>
                <w:sz w:val="13"/>
                <w:szCs w:val="13"/>
                <w:color w:val="auto"/>
              </w:rPr>
            </w:pPr>
          </w:p>
        </w:tc>
        <w:tc>
          <w:tcPr>
            <w:tcW w:w="6020" w:type="dxa"/>
            <w:vAlign w:val="bottom"/>
            <w:tcBorders>
              <w:top w:val="single" w:sz="8" w:color="D64000"/>
              <w:bottom w:val="single" w:sz="8" w:color="7F7F7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7"/>
                <w:szCs w:val="17"/>
                <w:color w:val="auto"/>
              </w:rPr>
              <w:t>Page 16</w:t>
            </w:r>
          </w:p>
        </w:tc>
        <w:tc>
          <w:tcPr>
            <w:tcW w:w="240" w:type="dxa"/>
            <w:vAlign w:val="bottom"/>
          </w:tcPr>
          <w:p>
            <w:pPr>
              <w:spacing w:after="0"/>
              <w:rPr>
                <w:sz w:val="21"/>
                <w:szCs w:val="21"/>
                <w:color w:val="auto"/>
              </w:rPr>
            </w:pPr>
          </w:p>
        </w:tc>
        <w:tc>
          <w:tcPr>
            <w:tcW w:w="6040" w:type="dxa"/>
            <w:vAlign w:val="bottom"/>
            <w:gridSpan w:val="15"/>
          </w:tcPr>
          <w:p>
            <w:pPr>
              <w:ind w:left="20"/>
              <w:spacing w:after="0"/>
              <w:rPr>
                <w:sz w:val="20"/>
                <w:szCs w:val="20"/>
                <w:color w:val="auto"/>
              </w:rPr>
            </w:pPr>
            <w:r>
              <w:rPr>
                <w:rFonts w:ascii="Arial" w:cs="Arial" w:eastAsia="Arial" w:hAnsi="Arial"/>
                <w:sz w:val="17"/>
                <w:szCs w:val="17"/>
                <w:b w:val="1"/>
                <w:bCs w:val="1"/>
                <w:color w:val="auto"/>
                <w:w w:val="99"/>
              </w:rPr>
              <w:t>Management Proxy Circular and Notice of Annual Meeting of Shareholders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-7087235</wp:posOffset>
            </wp:positionV>
            <wp:extent cx="110490" cy="671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490" cy="671195"/>
                    </a:xfrm>
                    <a:prstGeom prst="rect">
                      <a:avLst/>
                    </a:prstGeom>
                    <a:noFill/>
                  </pic:spPr>
                </pic:pic>
              </a:graphicData>
            </a:graphic>
          </wp:anchor>
        </w:drawing>
        <w:drawing>
          <wp:anchor simplePos="0" relativeHeight="251657728" behindDoc="1" locked="0" layoutInCell="0" allowOverlap="1">
            <wp:simplePos x="0" y="0"/>
            <wp:positionH relativeFrom="column">
              <wp:posOffset>3282950</wp:posOffset>
            </wp:positionH>
            <wp:positionV relativeFrom="paragraph">
              <wp:posOffset>-7002780</wp:posOffset>
            </wp:positionV>
            <wp:extent cx="118745" cy="586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8745" cy="58610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-6900545</wp:posOffset>
            </wp:positionV>
            <wp:extent cx="110490" cy="483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490" cy="48387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-7138670</wp:posOffset>
            </wp:positionV>
            <wp:extent cx="118745" cy="7219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8745" cy="721995"/>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-7146925</wp:posOffset>
            </wp:positionV>
            <wp:extent cx="110490" cy="7302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0490" cy="73025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-7138670</wp:posOffset>
            </wp:positionV>
            <wp:extent cx="118745" cy="721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8745" cy="72199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-7341870</wp:posOffset>
            </wp:positionV>
            <wp:extent cx="110490" cy="925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490" cy="925830"/>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-6943090</wp:posOffset>
            </wp:positionV>
            <wp:extent cx="118745" cy="526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8745" cy="52641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-6883400</wp:posOffset>
            </wp:positionV>
            <wp:extent cx="110490" cy="4673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490" cy="467360"/>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-6917690</wp:posOffset>
            </wp:positionV>
            <wp:extent cx="118745" cy="501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8745" cy="50101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-7053580</wp:posOffset>
            </wp:positionV>
            <wp:extent cx="110490" cy="636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0490" cy="636905"/>
                    </a:xfrm>
                    <a:prstGeom prst="rect">
                      <a:avLst/>
                    </a:prstGeom>
                    <a:noFill/>
                  </pic:spPr>
                </pic:pic>
              </a:graphicData>
            </a:graphic>
          </wp:anchor>
        </w:drawing>
        <w:drawing>
          <wp:anchor simplePos="0" relativeHeight="251657728" behindDoc="1" locked="0" layoutInCell="0" allowOverlap="1">
            <wp:simplePos x="0" y="0"/>
            <wp:positionH relativeFrom="column">
              <wp:posOffset>6170295</wp:posOffset>
            </wp:positionH>
            <wp:positionV relativeFrom="paragraph">
              <wp:posOffset>-7096125</wp:posOffset>
            </wp:positionV>
            <wp:extent cx="118745" cy="679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8745" cy="67945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-7078980</wp:posOffset>
            </wp:positionV>
            <wp:extent cx="110490" cy="662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0490" cy="66230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-6951345</wp:posOffset>
            </wp:positionV>
            <wp:extent cx="118745" cy="535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8745" cy="535305"/>
                    </a:xfrm>
                    <a:prstGeom prst="rect">
                      <a:avLst/>
                    </a:prstGeom>
                    <a:noFill/>
                  </pic:spPr>
                </pic:pic>
              </a:graphicData>
            </a:graphic>
          </wp:anchor>
        </w:drawing>
      </w:r>
    </w:p>
    <w:p>
      <w:pPr>
        <w:sectPr>
          <w:pgSz w:w="11900" w:h="16838" w:orient="portrait"/>
          <w:cols w:equalWidth="0" w:num="1">
            <w:col w:w="10920"/>
          </w:cols>
          <w:pgMar w:left="480" w:top="268" w:right="499" w:bottom="1440" w:gutter="0" w:footer="0" w:header="0"/>
        </w:sectPr>
      </w:pPr>
    </w:p>
    <w:bookmarkStart w:id="26" w:name="page27"/>
    <w:bookmarkEnd w:id="26"/>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Independence</w:t>
      </w:r>
    </w:p>
    <w:p>
      <w:pPr>
        <w:spacing w:after="0" w:line="116"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A majority of the Board is independent. Under the Corporate Governance Guidelines adopted by the Board, a director is not considered independent unless the Board affirmatively determines that the director has no “material relationship” with Thomson Reuters. In determining the independence of directors, the Board considers all relevant facts and circumstances. In March 2026, the Board conducted its annual assessment of the independence of its members and determined that eight of the 13 current directors (approximately 62%) serving on the Board were independent. The Board also determined that if all of the director nominees are elected, then eight of the 14 directors (approximately 57%) and eight of the 13 non-management directors (approximately 62%) will be independent following the meeting.</w:t>
      </w:r>
    </w:p>
    <w:p>
      <w:pPr>
        <w:spacing w:after="0" w:line="59"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In determining independence, the Board examined and relied on the applicable definitions of “independent” in the Nasdaq listing standards and Canadian Securities Administrators’ National Instrument 58-101. The Board’s determination of independence was also based on responses to questionnaires completed by the director nominees.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For the Board to function independently from management:</w:t>
      </w:r>
    </w:p>
    <w:p>
      <w:pPr>
        <w:spacing w:after="0" w:line="85"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7"/>
          <w:szCs w:val="17"/>
          <w:color w:val="D64000"/>
        </w:rPr>
      </w:pPr>
      <w:r>
        <w:rPr>
          <w:rFonts w:ascii="Arial" w:cs="Arial" w:eastAsia="Arial" w:hAnsi="Arial"/>
          <w:sz w:val="17"/>
          <w:szCs w:val="17"/>
          <w:color w:val="auto"/>
        </w:rPr>
        <w:t>The roles and responsibilities of the Chairman (David Thomson) and the CEO (Steve Hasker) are separate;</w:t>
      </w:r>
    </w:p>
    <w:p>
      <w:pPr>
        <w:spacing w:after="0" w:line="85" w:lineRule="exact"/>
        <w:rPr>
          <w:rFonts w:ascii="Arial" w:cs="Arial" w:eastAsia="Arial" w:hAnsi="Arial"/>
          <w:sz w:val="17"/>
          <w:szCs w:val="17"/>
          <w:color w:val="D64000"/>
        </w:rPr>
      </w:pPr>
    </w:p>
    <w:p>
      <w:pPr>
        <w:ind w:left="320" w:right="340" w:hanging="313"/>
        <w:spacing w:after="0" w:line="263" w:lineRule="auto"/>
        <w:tabs>
          <w:tab w:leader="none" w:pos="320" w:val="left"/>
        </w:tabs>
        <w:numPr>
          <w:ilvl w:val="0"/>
          <w:numId w:val="20"/>
        </w:numPr>
        <w:rPr>
          <w:rFonts w:ascii="Arial" w:cs="Arial" w:eastAsia="Arial" w:hAnsi="Arial"/>
          <w:sz w:val="17"/>
          <w:szCs w:val="17"/>
          <w:color w:val="D64000"/>
        </w:rPr>
      </w:pPr>
      <w:r>
        <w:rPr>
          <w:rFonts w:ascii="Arial" w:cs="Arial" w:eastAsia="Arial" w:hAnsi="Arial"/>
          <w:sz w:val="17"/>
          <w:szCs w:val="17"/>
          <w:color w:val="auto"/>
        </w:rPr>
        <w:t>Michael E. Daniels, who served as Lead Independent Director of the Board, passed away on March 14, 2026. Barry Salzberg is acting as Interim Lead Independent Director effective March 25, 2026; and</w:t>
      </w:r>
    </w:p>
    <w:p>
      <w:pPr>
        <w:spacing w:after="0" w:line="39" w:lineRule="exact"/>
        <w:rPr>
          <w:rFonts w:ascii="Arial" w:cs="Arial" w:eastAsia="Arial" w:hAnsi="Arial"/>
          <w:sz w:val="17"/>
          <w:szCs w:val="17"/>
          <w:color w:val="D64000"/>
        </w:rPr>
      </w:pPr>
    </w:p>
    <w:p>
      <w:pPr>
        <w:ind w:left="320" w:right="820" w:hanging="313"/>
        <w:spacing w:after="0" w:line="263" w:lineRule="auto"/>
        <w:tabs>
          <w:tab w:leader="none" w:pos="320" w:val="left"/>
        </w:tabs>
        <w:numPr>
          <w:ilvl w:val="0"/>
          <w:numId w:val="20"/>
        </w:numPr>
        <w:rPr>
          <w:rFonts w:ascii="Arial" w:cs="Arial" w:eastAsia="Arial" w:hAnsi="Arial"/>
          <w:sz w:val="17"/>
          <w:szCs w:val="17"/>
          <w:color w:val="D64000"/>
        </w:rPr>
      </w:pPr>
      <w:r>
        <w:rPr>
          <w:rFonts w:ascii="Arial" w:cs="Arial" w:eastAsia="Arial" w:hAnsi="Arial"/>
          <w:sz w:val="17"/>
          <w:szCs w:val="17"/>
          <w:color w:val="auto"/>
        </w:rPr>
        <w:t>The Audit Committee is comprised entirely of independent directors (as required by applicable law) and the Corporate Governance Committee, HR Committee and Risk Committee each have a majority of independent directors.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indicates which of our directors are independent and not independent.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40" w:type="dxa"/>
            <w:vAlign w:val="bottom"/>
          </w:tcPr>
          <w:p>
            <w:pPr>
              <w:spacing w:after="0"/>
              <w:rPr>
                <w:sz w:val="22"/>
                <w:szCs w:val="22"/>
                <w:color w:val="auto"/>
              </w:rPr>
            </w:pPr>
          </w:p>
        </w:tc>
        <w:tc>
          <w:tcPr>
            <w:tcW w:w="1560" w:type="dxa"/>
            <w:vAlign w:val="bottom"/>
            <w:tcBorders>
              <w:bottom w:val="single" w:sz="8" w:color="E3F3EE"/>
            </w:tcBorders>
            <w:shd w:val="clear" w:color="auto" w:fill="E3F3EE"/>
          </w:tcPr>
          <w:p>
            <w:pPr>
              <w:spacing w:after="0"/>
              <w:rPr>
                <w:sz w:val="22"/>
                <w:szCs w:val="22"/>
                <w:color w:val="auto"/>
              </w:rPr>
            </w:pPr>
          </w:p>
        </w:tc>
        <w:tc>
          <w:tcPr>
            <w:tcW w:w="1380" w:type="dxa"/>
            <w:vAlign w:val="bottom"/>
            <w:tcBorders>
              <w:bottom w:val="single" w:sz="8" w:color="E3F3EE"/>
            </w:tcBorders>
            <w:shd w:val="clear" w:color="auto" w:fill="E3F3EE"/>
          </w:tcPr>
          <w:p>
            <w:pPr>
              <w:spacing w:after="0"/>
              <w:rPr>
                <w:sz w:val="22"/>
                <w:szCs w:val="22"/>
                <w:color w:val="auto"/>
              </w:rPr>
            </w:pPr>
          </w:p>
        </w:tc>
        <w:tc>
          <w:tcPr>
            <w:tcW w:w="5040" w:type="dxa"/>
            <w:vAlign w:val="bottom"/>
            <w:tcBorders>
              <w:bottom w:val="single" w:sz="8" w:color="E3F3EE"/>
            </w:tcBorders>
            <w:gridSpan w:val="2"/>
            <w:shd w:val="clear" w:color="auto" w:fill="E3F3EE"/>
          </w:tcPr>
          <w:p>
            <w:pPr>
              <w:ind w:left="300"/>
              <w:spacing w:after="0"/>
              <w:rPr>
                <w:sz w:val="20"/>
                <w:szCs w:val="20"/>
                <w:color w:val="auto"/>
              </w:rPr>
            </w:pPr>
            <w:r>
              <w:rPr>
                <w:rFonts w:ascii="Arial" w:cs="Arial" w:eastAsia="Arial" w:hAnsi="Arial"/>
                <w:sz w:val="16"/>
                <w:szCs w:val="16"/>
                <w:color w:val="auto"/>
              </w:rPr>
              <w:t>Director Independence</w:t>
            </w:r>
          </w:p>
        </w:tc>
      </w:tr>
      <w:tr>
        <w:trPr>
          <w:trHeight w:val="331"/>
        </w:trPr>
        <w:tc>
          <w:tcPr>
            <w:tcW w:w="2940" w:type="dxa"/>
            <w:vAlign w:val="bottom"/>
            <w:shd w:val="clear" w:color="auto" w:fill="1F473D"/>
          </w:tcPr>
          <w:p>
            <w:pPr>
              <w:ind w:left="80"/>
              <w:spacing w:after="0"/>
              <w:rPr>
                <w:sz w:val="20"/>
                <w:szCs w:val="20"/>
                <w:color w:val="auto"/>
              </w:rPr>
            </w:pPr>
            <w:r>
              <w:rPr>
                <w:rFonts w:ascii="Arial" w:cs="Arial" w:eastAsia="Arial" w:hAnsi="Arial"/>
                <w:sz w:val="16"/>
                <w:szCs w:val="16"/>
                <w:color w:val="FFFFFF"/>
              </w:rPr>
              <w:t>Name of Director</w:t>
            </w:r>
          </w:p>
        </w:tc>
        <w:tc>
          <w:tcPr>
            <w:tcW w:w="1560" w:type="dxa"/>
            <w:vAlign w:val="bottom"/>
            <w:shd w:val="clear" w:color="auto" w:fill="1F473D"/>
          </w:tcPr>
          <w:p>
            <w:pPr>
              <w:ind w:left="360"/>
              <w:spacing w:after="0"/>
              <w:rPr>
                <w:sz w:val="20"/>
                <w:szCs w:val="20"/>
                <w:color w:val="auto"/>
              </w:rPr>
            </w:pPr>
            <w:r>
              <w:rPr>
                <w:rFonts w:ascii="Arial" w:cs="Arial" w:eastAsia="Arial" w:hAnsi="Arial"/>
                <w:sz w:val="16"/>
                <w:szCs w:val="16"/>
                <w:color w:val="FFFFFF"/>
              </w:rPr>
              <w:t>Management</w:t>
            </w:r>
          </w:p>
        </w:tc>
        <w:tc>
          <w:tcPr>
            <w:tcW w:w="1380" w:type="dxa"/>
            <w:vAlign w:val="bottom"/>
            <w:shd w:val="clear" w:color="auto" w:fill="1F473D"/>
          </w:tcPr>
          <w:p>
            <w:pPr>
              <w:ind w:left="280"/>
              <w:spacing w:after="0"/>
              <w:rPr>
                <w:sz w:val="20"/>
                <w:szCs w:val="20"/>
                <w:color w:val="auto"/>
              </w:rPr>
            </w:pPr>
            <w:r>
              <w:rPr>
                <w:rFonts w:ascii="Arial" w:cs="Arial" w:eastAsia="Arial" w:hAnsi="Arial"/>
                <w:sz w:val="16"/>
                <w:szCs w:val="16"/>
                <w:color w:val="FFFFFF"/>
              </w:rPr>
              <w:t>Independent</w:t>
            </w:r>
          </w:p>
        </w:tc>
        <w:tc>
          <w:tcPr>
            <w:tcW w:w="1540" w:type="dxa"/>
            <w:vAlign w:val="bottom"/>
            <w:shd w:val="clear" w:color="auto" w:fill="1F473D"/>
          </w:tcPr>
          <w:p>
            <w:pPr>
              <w:ind w:left="220"/>
              <w:spacing w:after="0"/>
              <w:rPr>
                <w:sz w:val="20"/>
                <w:szCs w:val="20"/>
                <w:color w:val="auto"/>
              </w:rPr>
            </w:pPr>
            <w:r>
              <w:rPr>
                <w:rFonts w:ascii="Arial" w:cs="Arial" w:eastAsia="Arial" w:hAnsi="Arial"/>
                <w:sz w:val="16"/>
                <w:szCs w:val="16"/>
                <w:color w:val="FFFFFF"/>
              </w:rPr>
              <w:t>Not Independent</w:t>
            </w:r>
          </w:p>
        </w:tc>
        <w:tc>
          <w:tcPr>
            <w:tcW w:w="3500" w:type="dxa"/>
            <w:vAlign w:val="bottom"/>
            <w:shd w:val="clear" w:color="auto" w:fill="1F473D"/>
          </w:tcPr>
          <w:p>
            <w:pPr>
              <w:ind w:left="140"/>
              <w:spacing w:after="0"/>
              <w:rPr>
                <w:sz w:val="20"/>
                <w:szCs w:val="20"/>
                <w:color w:val="auto"/>
              </w:rPr>
            </w:pPr>
            <w:r>
              <w:rPr>
                <w:rFonts w:ascii="Arial" w:cs="Arial" w:eastAsia="Arial" w:hAnsi="Arial"/>
                <w:sz w:val="16"/>
                <w:szCs w:val="16"/>
                <w:color w:val="FFFFFF"/>
              </w:rPr>
              <w:t>Reason for Non-Independence</w:t>
            </w:r>
          </w:p>
        </w:tc>
      </w:tr>
      <w:tr>
        <w:trPr>
          <w:trHeight w:val="77"/>
        </w:trPr>
        <w:tc>
          <w:tcPr>
            <w:tcW w:w="2940" w:type="dxa"/>
            <w:vAlign w:val="bottom"/>
            <w:tcBorders>
              <w:bottom w:val="single" w:sz="8" w:color="D64000"/>
            </w:tcBorders>
            <w:shd w:val="clear" w:color="auto" w:fill="1F473D"/>
          </w:tcPr>
          <w:p>
            <w:pPr>
              <w:spacing w:after="0"/>
              <w:rPr>
                <w:sz w:val="6"/>
                <w:szCs w:val="6"/>
                <w:color w:val="auto"/>
              </w:rPr>
            </w:pPr>
          </w:p>
        </w:tc>
        <w:tc>
          <w:tcPr>
            <w:tcW w:w="1560" w:type="dxa"/>
            <w:vAlign w:val="bottom"/>
            <w:tcBorders>
              <w:bottom w:val="single" w:sz="8" w:color="D64000"/>
            </w:tcBorders>
            <w:shd w:val="clear" w:color="auto" w:fill="1F473D"/>
          </w:tcPr>
          <w:p>
            <w:pPr>
              <w:spacing w:after="0"/>
              <w:rPr>
                <w:sz w:val="6"/>
                <w:szCs w:val="6"/>
                <w:color w:val="auto"/>
              </w:rPr>
            </w:pPr>
          </w:p>
        </w:tc>
        <w:tc>
          <w:tcPr>
            <w:tcW w:w="1380" w:type="dxa"/>
            <w:vAlign w:val="bottom"/>
            <w:tcBorders>
              <w:bottom w:val="single" w:sz="8" w:color="D64000"/>
            </w:tcBorders>
            <w:shd w:val="clear" w:color="auto" w:fill="1F473D"/>
          </w:tcPr>
          <w:p>
            <w:pPr>
              <w:spacing w:after="0"/>
              <w:rPr>
                <w:sz w:val="6"/>
                <w:szCs w:val="6"/>
                <w:color w:val="auto"/>
              </w:rPr>
            </w:pPr>
          </w:p>
        </w:tc>
        <w:tc>
          <w:tcPr>
            <w:tcW w:w="1540" w:type="dxa"/>
            <w:vAlign w:val="bottom"/>
            <w:tcBorders>
              <w:bottom w:val="single" w:sz="8" w:color="D64000"/>
            </w:tcBorders>
            <w:shd w:val="clear" w:color="auto" w:fill="1F473D"/>
          </w:tcPr>
          <w:p>
            <w:pPr>
              <w:spacing w:after="0"/>
              <w:rPr>
                <w:sz w:val="6"/>
                <w:szCs w:val="6"/>
                <w:color w:val="auto"/>
              </w:rPr>
            </w:pPr>
          </w:p>
        </w:tc>
        <w:tc>
          <w:tcPr>
            <w:tcW w:w="3500" w:type="dxa"/>
            <w:vAlign w:val="bottom"/>
            <w:tcBorders>
              <w:bottom w:val="single" w:sz="8" w:color="D64000"/>
            </w:tcBorders>
            <w:shd w:val="clear" w:color="auto" w:fill="1F473D"/>
          </w:tcPr>
          <w:p>
            <w:pPr>
              <w:spacing w:after="0"/>
              <w:rPr>
                <w:sz w:val="6"/>
                <w:szCs w:val="6"/>
                <w:color w:val="auto"/>
              </w:rPr>
            </w:pPr>
          </w:p>
        </w:tc>
      </w:tr>
      <w:tr>
        <w:trPr>
          <w:trHeight w:val="261"/>
        </w:trPr>
        <w:tc>
          <w:tcPr>
            <w:tcW w:w="29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Current directors</w:t>
            </w:r>
          </w:p>
        </w:tc>
        <w:tc>
          <w:tcPr>
            <w:tcW w:w="15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00" w:type="dxa"/>
            <w:vAlign w:val="bottom"/>
          </w:tcPr>
          <w:p>
            <w:pPr>
              <w:spacing w:after="0"/>
              <w:rPr>
                <w:sz w:val="22"/>
                <w:szCs w:val="22"/>
                <w:color w:val="auto"/>
              </w:rPr>
            </w:pPr>
          </w:p>
        </w:tc>
      </w:tr>
      <w:tr>
        <w:trPr>
          <w:trHeight w:val="47"/>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David Thomson</w:t>
            </w:r>
          </w:p>
        </w:tc>
        <w:tc>
          <w:tcPr>
            <w:tcW w:w="1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500" w:type="dxa"/>
            <w:vAlign w:val="bottom"/>
          </w:tcPr>
          <w:p>
            <w:pPr>
              <w:ind w:left="140"/>
              <w:spacing w:after="0"/>
              <w:rPr>
                <w:sz w:val="20"/>
                <w:szCs w:val="20"/>
                <w:color w:val="auto"/>
              </w:rPr>
            </w:pPr>
            <w:r>
              <w:rPr>
                <w:rFonts w:ascii="Arial" w:cs="Arial" w:eastAsia="Arial" w:hAnsi="Arial"/>
                <w:sz w:val="16"/>
                <w:szCs w:val="16"/>
                <w:color w:val="auto"/>
              </w:rPr>
              <w:t>A Chairman of Woodbridge</w:t>
            </w: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20"/>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Steve Hasker</w:t>
            </w:r>
          </w:p>
        </w:tc>
        <w:tc>
          <w:tcPr>
            <w:tcW w:w="156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1380" w:type="dxa"/>
            <w:vAlign w:val="bottom"/>
          </w:tcPr>
          <w:p>
            <w:pPr>
              <w:spacing w:after="0"/>
              <w:rPr>
                <w:sz w:val="19"/>
                <w:szCs w:val="19"/>
                <w:color w:val="auto"/>
              </w:rPr>
            </w:pPr>
          </w:p>
        </w:tc>
        <w:tc>
          <w:tcPr>
            <w:tcW w:w="1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500" w:type="dxa"/>
            <w:vAlign w:val="bottom"/>
          </w:tcPr>
          <w:p>
            <w:pPr>
              <w:ind w:left="140"/>
              <w:spacing w:after="0"/>
              <w:rPr>
                <w:sz w:val="20"/>
                <w:szCs w:val="20"/>
                <w:color w:val="auto"/>
              </w:rPr>
            </w:pPr>
            <w:r>
              <w:rPr>
                <w:rFonts w:ascii="Arial" w:cs="Arial" w:eastAsia="Arial" w:hAnsi="Arial"/>
                <w:sz w:val="16"/>
                <w:szCs w:val="16"/>
                <w:color w:val="auto"/>
              </w:rPr>
              <w:t>President &amp; Chief Executive Officer of</w:t>
            </w:r>
          </w:p>
        </w:tc>
      </w:tr>
      <w:tr>
        <w:trPr>
          <w:trHeight w:val="211"/>
        </w:trPr>
        <w:tc>
          <w:tcPr>
            <w:tcW w:w="2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6"/>
                <w:szCs w:val="16"/>
                <w:color w:val="auto"/>
              </w:rPr>
              <w:t>Thomson Reuters</w:t>
            </w:r>
          </w:p>
        </w:tc>
      </w:tr>
      <w:tr>
        <w:trPr>
          <w:trHeight w:val="57"/>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Kirk E. Arnold</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LaVerne Council</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Michael Friisdahl</w:t>
            </w:r>
          </w:p>
        </w:tc>
        <w:tc>
          <w:tcPr>
            <w:tcW w:w="1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500" w:type="dxa"/>
            <w:vAlign w:val="bottom"/>
          </w:tcPr>
          <w:p>
            <w:pPr>
              <w:ind w:left="140"/>
              <w:spacing w:after="0"/>
              <w:rPr>
                <w:sz w:val="20"/>
                <w:szCs w:val="20"/>
                <w:color w:val="auto"/>
              </w:rPr>
            </w:pPr>
            <w:r>
              <w:rPr>
                <w:rFonts w:ascii="Arial" w:cs="Arial" w:eastAsia="Arial" w:hAnsi="Arial"/>
                <w:sz w:val="16"/>
                <w:szCs w:val="16"/>
                <w:color w:val="auto"/>
              </w:rPr>
              <w:t>Independent Director of Woodbridge</w:t>
            </w: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314"/>
        </w:trPr>
        <w:tc>
          <w:tcPr>
            <w:tcW w:w="2940" w:type="dxa"/>
            <w:vAlign w:val="bottom"/>
            <w:tcBorders>
              <w:bottom w:val="single" w:sz="8" w:color="AFAFAF"/>
            </w:tcBorders>
          </w:tcPr>
          <w:p>
            <w:pPr>
              <w:ind w:left="80"/>
              <w:spacing w:after="0"/>
              <w:rPr>
                <w:sz w:val="20"/>
                <w:szCs w:val="20"/>
                <w:color w:val="auto"/>
              </w:rPr>
            </w:pPr>
            <w:r>
              <w:rPr>
                <w:rFonts w:ascii="Arial" w:cs="Arial" w:eastAsia="Arial" w:hAnsi="Arial"/>
                <w:sz w:val="16"/>
                <w:szCs w:val="16"/>
                <w:b w:val="1"/>
                <w:bCs w:val="1"/>
                <w:color w:val="auto"/>
              </w:rPr>
              <w:t>Kirk Koenigsbauer</w:t>
            </w:r>
            <w:r>
              <w:rPr>
                <w:rFonts w:ascii="Arial" w:cs="Arial" w:eastAsia="Arial" w:hAnsi="Arial"/>
                <w:sz w:val="24"/>
                <w:szCs w:val="24"/>
                <w:b w:val="1"/>
                <w:bCs w:val="1"/>
                <w:color w:val="auto"/>
                <w:vertAlign w:val="superscript"/>
              </w:rPr>
              <w:t>1</w:t>
            </w:r>
          </w:p>
        </w:tc>
        <w:tc>
          <w:tcPr>
            <w:tcW w:w="1560" w:type="dxa"/>
            <w:vAlign w:val="bottom"/>
            <w:tcBorders>
              <w:bottom w:val="single" w:sz="8" w:color="AFAFAF"/>
            </w:tcBorders>
          </w:tcPr>
          <w:p>
            <w:pPr>
              <w:spacing w:after="0"/>
              <w:rPr>
                <w:sz w:val="24"/>
                <w:szCs w:val="24"/>
                <w:color w:val="auto"/>
              </w:rPr>
            </w:pPr>
          </w:p>
        </w:tc>
        <w:tc>
          <w:tcPr>
            <w:tcW w:w="138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Borders>
              <w:bottom w:val="single" w:sz="8" w:color="AFAFAF"/>
            </w:tcBorders>
          </w:tcPr>
          <w:p>
            <w:pPr>
              <w:spacing w:after="0"/>
              <w:rPr>
                <w:sz w:val="24"/>
                <w:szCs w:val="24"/>
                <w:color w:val="auto"/>
              </w:rPr>
            </w:pPr>
          </w:p>
        </w:tc>
        <w:tc>
          <w:tcPr>
            <w:tcW w:w="3500" w:type="dxa"/>
            <w:vAlign w:val="bottom"/>
            <w:tcBorders>
              <w:bottom w:val="single" w:sz="8" w:color="AFAFAF"/>
            </w:tcBorders>
          </w:tcPr>
          <w:p>
            <w:pPr>
              <w:spacing w:after="0"/>
              <w:rPr>
                <w:sz w:val="24"/>
                <w:szCs w:val="2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Deanna Oppenheimer</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Simon Paris</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Kim M. Rivera</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Paul Sagan</w:t>
            </w:r>
          </w:p>
        </w:tc>
        <w:tc>
          <w:tcPr>
            <w:tcW w:w="1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500" w:type="dxa"/>
            <w:vAlign w:val="bottom"/>
          </w:tcPr>
          <w:p>
            <w:pPr>
              <w:ind w:left="140"/>
              <w:spacing w:after="0"/>
              <w:rPr>
                <w:sz w:val="20"/>
                <w:szCs w:val="20"/>
                <w:color w:val="auto"/>
              </w:rPr>
            </w:pPr>
            <w:r>
              <w:rPr>
                <w:rFonts w:ascii="Arial" w:cs="Arial" w:eastAsia="Arial" w:hAnsi="Arial"/>
                <w:sz w:val="16"/>
                <w:szCs w:val="16"/>
                <w:color w:val="auto"/>
              </w:rPr>
              <w:t>Advisor to Woodbridge</w:t>
            </w: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Barry Salzberg</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Peter J. Thomson</w:t>
            </w:r>
          </w:p>
        </w:tc>
        <w:tc>
          <w:tcPr>
            <w:tcW w:w="1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500" w:type="dxa"/>
            <w:vAlign w:val="bottom"/>
          </w:tcPr>
          <w:p>
            <w:pPr>
              <w:ind w:left="140"/>
              <w:spacing w:after="0"/>
              <w:rPr>
                <w:sz w:val="20"/>
                <w:szCs w:val="20"/>
                <w:color w:val="auto"/>
              </w:rPr>
            </w:pPr>
            <w:r>
              <w:rPr>
                <w:rFonts w:ascii="Arial" w:cs="Arial" w:eastAsia="Arial" w:hAnsi="Arial"/>
                <w:sz w:val="16"/>
                <w:szCs w:val="16"/>
                <w:color w:val="auto"/>
              </w:rPr>
              <w:t>A Chairman of Woodbridge</w:t>
            </w: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Beth Wilson</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53"/>
        </w:trPr>
        <w:tc>
          <w:tcPr>
            <w:tcW w:w="2940" w:type="dxa"/>
            <w:vAlign w:val="bottom"/>
            <w:tcBorders>
              <w:bottom w:val="single" w:sz="8" w:color="D64000"/>
            </w:tcBorders>
          </w:tcPr>
          <w:p>
            <w:pPr>
              <w:spacing w:after="0"/>
              <w:rPr>
                <w:sz w:val="4"/>
                <w:szCs w:val="4"/>
                <w:color w:val="auto"/>
              </w:rPr>
            </w:pPr>
          </w:p>
        </w:tc>
        <w:tc>
          <w:tcPr>
            <w:tcW w:w="1560" w:type="dxa"/>
            <w:vAlign w:val="bottom"/>
            <w:tcBorders>
              <w:bottom w:val="single" w:sz="8" w:color="D64000"/>
            </w:tcBorders>
          </w:tcPr>
          <w:p>
            <w:pPr>
              <w:spacing w:after="0"/>
              <w:rPr>
                <w:sz w:val="4"/>
                <w:szCs w:val="4"/>
                <w:color w:val="auto"/>
              </w:rPr>
            </w:pPr>
          </w:p>
        </w:tc>
        <w:tc>
          <w:tcPr>
            <w:tcW w:w="1380" w:type="dxa"/>
            <w:vAlign w:val="bottom"/>
            <w:tcBorders>
              <w:bottom w:val="single" w:sz="8" w:color="D64000"/>
            </w:tcBorders>
          </w:tcPr>
          <w:p>
            <w:pPr>
              <w:spacing w:after="0"/>
              <w:rPr>
                <w:sz w:val="4"/>
                <w:szCs w:val="4"/>
                <w:color w:val="auto"/>
              </w:rPr>
            </w:pPr>
          </w:p>
        </w:tc>
        <w:tc>
          <w:tcPr>
            <w:tcW w:w="1540" w:type="dxa"/>
            <w:vAlign w:val="bottom"/>
            <w:tcBorders>
              <w:bottom w:val="single" w:sz="8" w:color="D64000"/>
            </w:tcBorders>
          </w:tcPr>
          <w:p>
            <w:pPr>
              <w:spacing w:after="0"/>
              <w:rPr>
                <w:sz w:val="4"/>
                <w:szCs w:val="4"/>
                <w:color w:val="auto"/>
              </w:rPr>
            </w:pPr>
          </w:p>
        </w:tc>
        <w:tc>
          <w:tcPr>
            <w:tcW w:w="3500" w:type="dxa"/>
            <w:vAlign w:val="bottom"/>
            <w:tcBorders>
              <w:bottom w:val="single" w:sz="8" w:color="D64000"/>
            </w:tcBorders>
          </w:tcPr>
          <w:p>
            <w:pPr>
              <w:spacing w:after="0"/>
              <w:rPr>
                <w:sz w:val="4"/>
                <w:szCs w:val="4"/>
                <w:color w:val="auto"/>
              </w:rPr>
            </w:pPr>
          </w:p>
        </w:tc>
      </w:tr>
      <w:tr>
        <w:trPr>
          <w:trHeight w:val="261"/>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560" w:type="dxa"/>
            <w:vAlign w:val="bottom"/>
          </w:tcPr>
          <w:p>
            <w:pPr>
              <w:jc w:val="center"/>
              <w:ind w:left="20"/>
              <w:spacing w:after="0"/>
              <w:rPr>
                <w:sz w:val="20"/>
                <w:szCs w:val="20"/>
                <w:color w:val="auto"/>
              </w:rPr>
            </w:pPr>
            <w:r>
              <w:rPr>
                <w:rFonts w:ascii="Arial" w:cs="Arial" w:eastAsia="Arial" w:hAnsi="Arial"/>
                <w:sz w:val="16"/>
                <w:szCs w:val="16"/>
                <w:b w:val="1"/>
                <w:bCs w:val="1"/>
                <w:color w:val="auto"/>
              </w:rPr>
              <w:t>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8</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5</w:t>
            </w:r>
          </w:p>
        </w:tc>
        <w:tc>
          <w:tcPr>
            <w:tcW w:w="3500" w:type="dxa"/>
            <w:vAlign w:val="bottom"/>
          </w:tcPr>
          <w:p>
            <w:pPr>
              <w:spacing w:after="0"/>
              <w:rPr>
                <w:sz w:val="22"/>
                <w:szCs w:val="22"/>
                <w:color w:val="auto"/>
              </w:rPr>
            </w:pPr>
          </w:p>
        </w:tc>
      </w:tr>
      <w:tr>
        <w:trPr>
          <w:trHeight w:val="54"/>
        </w:trPr>
        <w:tc>
          <w:tcPr>
            <w:tcW w:w="2940" w:type="dxa"/>
            <w:vAlign w:val="bottom"/>
            <w:tcBorders>
              <w:bottom w:val="single" w:sz="8" w:color="D64000"/>
            </w:tcBorders>
          </w:tcPr>
          <w:p>
            <w:pPr>
              <w:spacing w:after="0"/>
              <w:rPr>
                <w:sz w:val="4"/>
                <w:szCs w:val="4"/>
                <w:color w:val="auto"/>
              </w:rPr>
            </w:pPr>
          </w:p>
        </w:tc>
        <w:tc>
          <w:tcPr>
            <w:tcW w:w="1560" w:type="dxa"/>
            <w:vAlign w:val="bottom"/>
            <w:tcBorders>
              <w:bottom w:val="single" w:sz="8" w:color="D64000"/>
            </w:tcBorders>
          </w:tcPr>
          <w:p>
            <w:pPr>
              <w:spacing w:after="0"/>
              <w:rPr>
                <w:sz w:val="4"/>
                <w:szCs w:val="4"/>
                <w:color w:val="auto"/>
              </w:rPr>
            </w:pPr>
          </w:p>
        </w:tc>
        <w:tc>
          <w:tcPr>
            <w:tcW w:w="1380" w:type="dxa"/>
            <w:vAlign w:val="bottom"/>
            <w:tcBorders>
              <w:bottom w:val="single" w:sz="8" w:color="D64000"/>
            </w:tcBorders>
          </w:tcPr>
          <w:p>
            <w:pPr>
              <w:spacing w:after="0"/>
              <w:rPr>
                <w:sz w:val="4"/>
                <w:szCs w:val="4"/>
                <w:color w:val="auto"/>
              </w:rPr>
            </w:pPr>
          </w:p>
        </w:tc>
        <w:tc>
          <w:tcPr>
            <w:tcW w:w="1540" w:type="dxa"/>
            <w:vAlign w:val="bottom"/>
            <w:tcBorders>
              <w:bottom w:val="single" w:sz="8" w:color="D64000"/>
            </w:tcBorders>
          </w:tcPr>
          <w:p>
            <w:pPr>
              <w:spacing w:after="0"/>
              <w:rPr>
                <w:sz w:val="4"/>
                <w:szCs w:val="4"/>
                <w:color w:val="auto"/>
              </w:rPr>
            </w:pPr>
          </w:p>
        </w:tc>
        <w:tc>
          <w:tcPr>
            <w:tcW w:w="3500" w:type="dxa"/>
            <w:vAlign w:val="bottom"/>
            <w:tcBorders>
              <w:bottom w:val="single" w:sz="8" w:color="D64000"/>
            </w:tcBorders>
          </w:tcPr>
          <w:p>
            <w:pPr>
              <w:spacing w:after="0"/>
              <w:rPr>
                <w:sz w:val="4"/>
                <w:szCs w:val="4"/>
                <w:color w:val="auto"/>
              </w:rPr>
            </w:pPr>
          </w:p>
        </w:tc>
      </w:tr>
      <w:tr>
        <w:trPr>
          <w:trHeight w:val="261"/>
        </w:trPr>
        <w:tc>
          <w:tcPr>
            <w:tcW w:w="29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New director nominees</w:t>
            </w:r>
          </w:p>
        </w:tc>
        <w:tc>
          <w:tcPr>
            <w:tcW w:w="15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00" w:type="dxa"/>
            <w:vAlign w:val="bottom"/>
          </w:tcPr>
          <w:p>
            <w:pPr>
              <w:spacing w:after="0"/>
              <w:rPr>
                <w:sz w:val="22"/>
                <w:szCs w:val="22"/>
                <w:color w:val="auto"/>
              </w:rPr>
            </w:pPr>
          </w:p>
        </w:tc>
      </w:tr>
      <w:tr>
        <w:trPr>
          <w:trHeight w:val="47"/>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Liz Hilton Segel</w:t>
            </w:r>
          </w:p>
        </w:tc>
        <w:tc>
          <w:tcPr>
            <w:tcW w:w="1560" w:type="dxa"/>
            <w:vAlign w:val="bottom"/>
          </w:tcPr>
          <w:p>
            <w:pPr>
              <w:spacing w:after="0"/>
              <w:rPr>
                <w:sz w:val="23"/>
                <w:szCs w:val="23"/>
                <w:color w:val="auto"/>
              </w:rPr>
            </w:pPr>
          </w:p>
        </w:tc>
        <w:tc>
          <w:tcPr>
            <w:tcW w:w="13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46"/>
        </w:trPr>
        <w:tc>
          <w:tcPr>
            <w:tcW w:w="2940" w:type="dxa"/>
            <w:vAlign w:val="bottom"/>
            <w:tcBorders>
              <w:bottom w:val="single" w:sz="8" w:color="AFAFAF"/>
            </w:tcBorders>
          </w:tcPr>
          <w:p>
            <w:pPr>
              <w:spacing w:after="0"/>
              <w:rPr>
                <w:sz w:val="4"/>
                <w:szCs w:val="4"/>
                <w:color w:val="auto"/>
              </w:rPr>
            </w:pPr>
          </w:p>
        </w:tc>
        <w:tc>
          <w:tcPr>
            <w:tcW w:w="1560" w:type="dxa"/>
            <w:vAlign w:val="bottom"/>
            <w:tcBorders>
              <w:bottom w:val="single" w:sz="8" w:color="AFAFAF"/>
            </w:tcBorders>
          </w:tcPr>
          <w:p>
            <w:pPr>
              <w:spacing w:after="0"/>
              <w:rPr>
                <w:sz w:val="4"/>
                <w:szCs w:val="4"/>
                <w:color w:val="auto"/>
              </w:rPr>
            </w:pPr>
          </w:p>
        </w:tc>
        <w:tc>
          <w:tcPr>
            <w:tcW w:w="1380" w:type="dxa"/>
            <w:vAlign w:val="bottom"/>
            <w:tcBorders>
              <w:bottom w:val="single" w:sz="8" w:color="AFAFAF"/>
            </w:tcBorders>
          </w:tcPr>
          <w:p>
            <w:pPr>
              <w:spacing w:after="0"/>
              <w:rPr>
                <w:sz w:val="4"/>
                <w:szCs w:val="4"/>
                <w:color w:val="auto"/>
              </w:rPr>
            </w:pPr>
          </w:p>
        </w:tc>
        <w:tc>
          <w:tcPr>
            <w:tcW w:w="1540" w:type="dxa"/>
            <w:vAlign w:val="bottom"/>
            <w:tcBorders>
              <w:bottom w:val="single" w:sz="8" w:color="AFAFAF"/>
            </w:tcBorders>
          </w:tcPr>
          <w:p>
            <w:pPr>
              <w:spacing w:after="0"/>
              <w:rPr>
                <w:sz w:val="4"/>
                <w:szCs w:val="4"/>
                <w:color w:val="auto"/>
              </w:rPr>
            </w:pPr>
          </w:p>
        </w:tc>
        <w:tc>
          <w:tcPr>
            <w:tcW w:w="3500" w:type="dxa"/>
            <w:vAlign w:val="bottom"/>
            <w:tcBorders>
              <w:bottom w:val="single" w:sz="8" w:color="AFAFAF"/>
            </w:tcBorders>
          </w:tcPr>
          <w:p>
            <w:pPr>
              <w:spacing w:after="0"/>
              <w:rPr>
                <w:sz w:val="4"/>
                <w:szCs w:val="4"/>
                <w:color w:val="auto"/>
              </w:rPr>
            </w:pPr>
          </w:p>
        </w:tc>
      </w:tr>
      <w:tr>
        <w:trPr>
          <w:trHeight w:val="268"/>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Michael Medline</w:t>
            </w:r>
          </w:p>
        </w:tc>
        <w:tc>
          <w:tcPr>
            <w:tcW w:w="1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500" w:type="dxa"/>
            <w:vAlign w:val="bottom"/>
          </w:tcPr>
          <w:p>
            <w:pPr>
              <w:ind w:left="140"/>
              <w:spacing w:after="0"/>
              <w:rPr>
                <w:sz w:val="20"/>
                <w:szCs w:val="20"/>
                <w:color w:val="auto"/>
              </w:rPr>
            </w:pPr>
            <w:r>
              <w:rPr>
                <w:rFonts w:ascii="Arial" w:cs="Arial" w:eastAsia="Arial" w:hAnsi="Arial"/>
                <w:sz w:val="16"/>
                <w:szCs w:val="16"/>
                <w:color w:val="auto"/>
              </w:rPr>
              <w:t>President &amp; CEO of Woodbridge</w:t>
            </w:r>
          </w:p>
        </w:tc>
      </w:tr>
      <w:tr>
        <w:trPr>
          <w:trHeight w:val="53"/>
        </w:trPr>
        <w:tc>
          <w:tcPr>
            <w:tcW w:w="2940" w:type="dxa"/>
            <w:vAlign w:val="bottom"/>
            <w:tcBorders>
              <w:bottom w:val="single" w:sz="8" w:color="D64000"/>
            </w:tcBorders>
          </w:tcPr>
          <w:p>
            <w:pPr>
              <w:spacing w:after="0"/>
              <w:rPr>
                <w:sz w:val="4"/>
                <w:szCs w:val="4"/>
                <w:color w:val="auto"/>
              </w:rPr>
            </w:pPr>
          </w:p>
        </w:tc>
        <w:tc>
          <w:tcPr>
            <w:tcW w:w="1560" w:type="dxa"/>
            <w:vAlign w:val="bottom"/>
            <w:tcBorders>
              <w:bottom w:val="single" w:sz="8" w:color="D64000"/>
            </w:tcBorders>
          </w:tcPr>
          <w:p>
            <w:pPr>
              <w:spacing w:after="0"/>
              <w:rPr>
                <w:sz w:val="4"/>
                <w:szCs w:val="4"/>
                <w:color w:val="auto"/>
              </w:rPr>
            </w:pPr>
          </w:p>
        </w:tc>
        <w:tc>
          <w:tcPr>
            <w:tcW w:w="1380" w:type="dxa"/>
            <w:vAlign w:val="bottom"/>
            <w:tcBorders>
              <w:bottom w:val="single" w:sz="8" w:color="D64000"/>
            </w:tcBorders>
          </w:tcPr>
          <w:p>
            <w:pPr>
              <w:spacing w:after="0"/>
              <w:rPr>
                <w:sz w:val="4"/>
                <w:szCs w:val="4"/>
                <w:color w:val="auto"/>
              </w:rPr>
            </w:pPr>
          </w:p>
        </w:tc>
        <w:tc>
          <w:tcPr>
            <w:tcW w:w="1540" w:type="dxa"/>
            <w:vAlign w:val="bottom"/>
            <w:tcBorders>
              <w:bottom w:val="single" w:sz="8" w:color="D64000"/>
            </w:tcBorders>
          </w:tcPr>
          <w:p>
            <w:pPr>
              <w:spacing w:after="0"/>
              <w:rPr>
                <w:sz w:val="4"/>
                <w:szCs w:val="4"/>
                <w:color w:val="auto"/>
              </w:rPr>
            </w:pPr>
          </w:p>
        </w:tc>
        <w:tc>
          <w:tcPr>
            <w:tcW w:w="3500" w:type="dxa"/>
            <w:vAlign w:val="bottom"/>
            <w:tcBorders>
              <w:bottom w:val="single" w:sz="8" w:color="D64000"/>
            </w:tcBorders>
          </w:tcPr>
          <w:p>
            <w:pPr>
              <w:spacing w:after="0"/>
              <w:rPr>
                <w:sz w:val="4"/>
                <w:szCs w:val="4"/>
                <w:color w:val="auto"/>
              </w:rPr>
            </w:pPr>
          </w:p>
        </w:tc>
      </w:tr>
      <w:tr>
        <w:trPr>
          <w:trHeight w:val="227"/>
        </w:trPr>
        <w:tc>
          <w:tcPr>
            <w:tcW w:w="2940" w:type="dxa"/>
            <w:vAlign w:val="bottom"/>
          </w:tcPr>
          <w:p>
            <w:pPr>
              <w:ind w:left="80"/>
              <w:spacing w:after="0"/>
              <w:rPr>
                <w:sz w:val="20"/>
                <w:szCs w:val="20"/>
                <w:color w:val="auto"/>
              </w:rPr>
            </w:pPr>
            <w:r>
              <w:rPr>
                <w:rFonts w:ascii="Arial" w:cs="Arial" w:eastAsia="Arial" w:hAnsi="Arial"/>
                <w:sz w:val="16"/>
                <w:szCs w:val="16"/>
                <w:b w:val="1"/>
                <w:bCs w:val="1"/>
                <w:color w:val="auto"/>
              </w:rPr>
              <w:t>Total – Directors proposed to be</w:t>
            </w:r>
          </w:p>
        </w:tc>
        <w:tc>
          <w:tcPr>
            <w:tcW w:w="1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221"/>
        </w:trPr>
        <w:tc>
          <w:tcPr>
            <w:tcW w:w="2940" w:type="dxa"/>
            <w:vAlign w:val="bottom"/>
          </w:tcPr>
          <w:p>
            <w:pPr>
              <w:ind w:left="240"/>
              <w:spacing w:after="0"/>
              <w:rPr>
                <w:sz w:val="20"/>
                <w:szCs w:val="20"/>
                <w:color w:val="auto"/>
              </w:rPr>
            </w:pPr>
            <w:r>
              <w:rPr>
                <w:rFonts w:ascii="Arial" w:cs="Arial" w:eastAsia="Arial" w:hAnsi="Arial"/>
                <w:sz w:val="16"/>
                <w:szCs w:val="16"/>
                <w:b w:val="1"/>
                <w:bCs w:val="1"/>
                <w:color w:val="auto"/>
              </w:rPr>
              <w:t>elected at the meeting</w:t>
            </w:r>
          </w:p>
        </w:tc>
        <w:tc>
          <w:tcPr>
            <w:tcW w:w="1560" w:type="dxa"/>
            <w:vAlign w:val="bottom"/>
          </w:tcPr>
          <w:p>
            <w:pPr>
              <w:jc w:val="center"/>
              <w:ind w:left="20"/>
              <w:spacing w:after="0"/>
              <w:rPr>
                <w:sz w:val="20"/>
                <w:szCs w:val="20"/>
                <w:color w:val="auto"/>
              </w:rPr>
            </w:pPr>
            <w:r>
              <w:rPr>
                <w:rFonts w:ascii="Arial" w:cs="Arial" w:eastAsia="Arial" w:hAnsi="Arial"/>
                <w:sz w:val="16"/>
                <w:szCs w:val="16"/>
                <w:b w:val="1"/>
                <w:bCs w:val="1"/>
                <w:color w:val="auto"/>
              </w:rPr>
              <w:t>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8</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6</w:t>
            </w:r>
          </w:p>
        </w:tc>
        <w:tc>
          <w:tcPr>
            <w:tcW w:w="3500" w:type="dxa"/>
            <w:vAlign w:val="bottom"/>
          </w:tcPr>
          <w:p>
            <w:pPr>
              <w:spacing w:after="0"/>
              <w:rPr>
                <w:sz w:val="19"/>
                <w:szCs w:val="19"/>
                <w:color w:val="auto"/>
              </w:rPr>
            </w:pPr>
          </w:p>
        </w:tc>
      </w:tr>
      <w:tr>
        <w:trPr>
          <w:trHeight w:val="54"/>
        </w:trPr>
        <w:tc>
          <w:tcPr>
            <w:tcW w:w="2940" w:type="dxa"/>
            <w:vAlign w:val="bottom"/>
            <w:tcBorders>
              <w:bottom w:val="single" w:sz="8" w:color="D64000"/>
            </w:tcBorders>
          </w:tcPr>
          <w:p>
            <w:pPr>
              <w:spacing w:after="0"/>
              <w:rPr>
                <w:sz w:val="4"/>
                <w:szCs w:val="4"/>
                <w:color w:val="auto"/>
              </w:rPr>
            </w:pPr>
          </w:p>
        </w:tc>
        <w:tc>
          <w:tcPr>
            <w:tcW w:w="1560" w:type="dxa"/>
            <w:vAlign w:val="bottom"/>
            <w:tcBorders>
              <w:bottom w:val="single" w:sz="8" w:color="D64000"/>
            </w:tcBorders>
          </w:tcPr>
          <w:p>
            <w:pPr>
              <w:spacing w:after="0"/>
              <w:rPr>
                <w:sz w:val="4"/>
                <w:szCs w:val="4"/>
                <w:color w:val="auto"/>
              </w:rPr>
            </w:pPr>
          </w:p>
        </w:tc>
        <w:tc>
          <w:tcPr>
            <w:tcW w:w="1380" w:type="dxa"/>
            <w:vAlign w:val="bottom"/>
            <w:tcBorders>
              <w:bottom w:val="single" w:sz="8" w:color="D64000"/>
            </w:tcBorders>
          </w:tcPr>
          <w:p>
            <w:pPr>
              <w:spacing w:after="0"/>
              <w:rPr>
                <w:sz w:val="4"/>
                <w:szCs w:val="4"/>
                <w:color w:val="auto"/>
              </w:rPr>
            </w:pPr>
          </w:p>
        </w:tc>
        <w:tc>
          <w:tcPr>
            <w:tcW w:w="1540" w:type="dxa"/>
            <w:vAlign w:val="bottom"/>
            <w:tcBorders>
              <w:bottom w:val="single" w:sz="8" w:color="D64000"/>
            </w:tcBorders>
          </w:tcPr>
          <w:p>
            <w:pPr>
              <w:spacing w:after="0"/>
              <w:rPr>
                <w:sz w:val="4"/>
                <w:szCs w:val="4"/>
                <w:color w:val="auto"/>
              </w:rPr>
            </w:pPr>
          </w:p>
        </w:tc>
        <w:tc>
          <w:tcPr>
            <w:tcW w:w="3500" w:type="dxa"/>
            <w:vAlign w:val="bottom"/>
            <w:tcBorders>
              <w:bottom w:val="single" w:sz="8" w:color="D64000"/>
            </w:tcBorders>
          </w:tcPr>
          <w:p>
            <w:pPr>
              <w:spacing w:after="0"/>
              <w:rPr>
                <w:sz w:val="4"/>
                <w:szCs w:val="4"/>
                <w:color w:val="auto"/>
              </w:rPr>
            </w:pPr>
          </w:p>
        </w:tc>
      </w:tr>
    </w:tbl>
    <w:p>
      <w:pPr>
        <w:spacing w:after="0" w:line="81" w:lineRule="exact"/>
        <w:rPr>
          <w:sz w:val="20"/>
          <w:szCs w:val="20"/>
          <w:color w:val="auto"/>
        </w:rPr>
      </w:pPr>
    </w:p>
    <w:p>
      <w:pPr>
        <w:ind w:left="220" w:hanging="213"/>
        <w:spacing w:after="0"/>
        <w:tabs>
          <w:tab w:leader="none" w:pos="2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Kirk Koenigsbauer will complete his service on the Board at this meeting.</w:t>
      </w:r>
    </w:p>
    <w:p>
      <w:pPr>
        <w:spacing w:after="0" w:line="95"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David Thomson, Peter Thomson, Michael Medline, Paul Sagan and Michael Friisdahl are not members of Thomson Reuters executive management team. With its substantial equity investment in Thomson Reuters, Woodbridge considers that its interests as a shareholder are aligned with those of all other shareholders.</w:t>
      </w:r>
    </w:p>
    <w:p>
      <w:pPr>
        <w:spacing w:after="0" w:line="5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In determining the independence of directors, the Board also considers that in the normal course of business, we provide services to, and receive services from, companies with which some of the independent directors are affiliated. Based on the specific facts and circumstances, the Board determined in March 2026 that these relationships are not material or would not, in the Board’s view, interfere with the exercise of the applicable director’s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929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17</w:t>
      </w:r>
    </w:p>
    <w:p>
      <w:pPr>
        <w:sectPr>
          <w:pgSz w:w="11900" w:h="16838" w:orient="portrait"/>
          <w:cols w:equalWidth="0" w:num="1">
            <w:col w:w="10920"/>
          </w:cols>
          <w:pgMar w:left="480" w:top="262" w:right="499" w:bottom="1440" w:gutter="0" w:footer="0" w:header="0"/>
        </w:sectPr>
      </w:pPr>
    </w:p>
    <w:bookmarkStart w:id="27" w:name="page28"/>
    <w:bookmarkEnd w:id="27"/>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Tenure</w:t>
      </w:r>
    </w:p>
    <w:p>
      <w:pPr>
        <w:spacing w:after="0" w:line="11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Board has not adopted a mandatory retirement age or term limits for individual directors. We believe that individuals can continue to remain effective directors beyond a mandated retirement age or maximum period of service. Without having a mandatory retirement age or term limits, we have experienced turnover on our Board that has brought directors with new perspectives and approaches. This has complemented the depth of knowledge and insight about our company and business operations that some of our more long-standing directors have developed over time.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shows the tenure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2242185" cy="13500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42185" cy="135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Three director nominees have been members of the Board for more than 10 years, two of whom (David Thomson and Peter Thomson) are affiliated with the company’s principal shareholder, Woodbridge.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Age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shows the age ranges of our director nominees. The average age of our director nominees is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2063750" cy="13500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63750" cy="135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Countries of Residence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shows the countries where our director nominees ordinarily reside.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2590165" cy="13500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0165" cy="1350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Interlocking Directorships</w:t>
      </w:r>
    </w:p>
    <w:p>
      <w:pPr>
        <w:spacing w:after="0" w:line="89"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We do not have any director nominees who serve together on boards of other public companies. The Board has adopted a policy that no more than two of our directors may serve together on the boards of other public companies without the consent of the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18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28" w:name="page29"/>
    <w:bookmarkEnd w:id="28"/>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Service on Other Boards</w:t>
      </w:r>
    </w:p>
    <w:p>
      <w:pPr>
        <w:spacing w:after="0" w:line="10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directors are not restricted from serving on the boards of other public or private companies so long as their commitments do not materially interfere with or are not incompatible with, their ability to fulfill their duties as a member of our company’s Board. Directors must, however, receive approval from the Chair of the Corporate Governance Committee before accepting an invitation to serve on the board of another public company and must notify the Chair of the Corporate Governance Committee in connection with accepting an invitation to serve on the board of a for-profit private company that is not a family business. The Corporate Governance Committee monitors the outside boards that our directors sit on to determine if there are circumstances that would impact a director’s ability to exercise independent judgment and to ensure that a director has sufficient time to fulfill his or her commitments to Thomson Reuters.</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Nominee Information</w:t>
      </w:r>
    </w:p>
    <w:p>
      <w:pPr>
        <w:spacing w:after="0" w:line="11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following provides information regarding the 14 director nominees who are proposed to be elected at the meeting, including a brief biography, city and country where they are based or reside, the year that they were appointed to our Board, independence status, primary areas of expertise, committee membership, attendance at Board and committee meetings in 2025 and ownership of Thomson Reuters securities. This information also reflects the percentage of “for” votes received by each director nominee who was a director at our 2025 annual meeting of shareholders.</w:t>
      </w:r>
    </w:p>
    <w:p>
      <w:pPr>
        <w:spacing w:after="0" w:line="2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the director nominee profiles, “securities held” by a director nominee includes common shares over which a director nominee exercised control or direction, and the number of deferred share units (DSUs), restricted share units (RSUs) and options held by, or credited to, each individual as of April 13, 2026. Information regarding common shares beneficially owned does not include shares that may be obtained through the exercise or vesting of DSUs, RSUs or options. Our CEO Steve Hasker is the only director who holds RSUs or options. Each director nominee provided us with information about how many common shares he or she beneficially owns.</w:t>
      </w:r>
    </w:p>
    <w:p>
      <w:pPr>
        <w:spacing w:after="0" w:line="61"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The market value of shares beneficially owned is based on the closing price of our common shares on the Nasdaq on April 13, 2026, which was $87.43. The market value of DSUs is also based on the closing price of our common shares on the Nasdaq on that date. We have also included information about each director nominee’s ownership of Thomson Reuters common shares and DSUs as of April 13, 2026 as a multiple of their annual retainer. Additional information about director share ownership guidelines is provided later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6929755" cy="27343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2734310"/>
                    </a:xfrm>
                    <a:prstGeom prst="rect">
                      <a:avLst/>
                    </a:prstGeom>
                    <a:noFill/>
                  </pic:spPr>
                </pic:pic>
              </a:graphicData>
            </a:graphic>
          </wp:anchor>
        </w:drawing>
      </w:r>
    </w:p>
    <w:p>
      <w:pPr>
        <w:sectPr>
          <w:pgSz w:w="11900" w:h="16838" w:orient="portrait"/>
          <w:cols w:equalWidth="0" w:num="1">
            <w:col w:w="10920"/>
          </w:cols>
          <w:pgMar w:left="480" w:top="26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David Thomson</w:t>
      </w:r>
      <w:r>
        <w:rPr>
          <w:rFonts w:ascii="Arial" w:cs="Arial" w:eastAsia="Arial" w:hAnsi="Arial"/>
          <w:sz w:val="20"/>
          <w:szCs w:val="20"/>
          <w:b w:val="1"/>
          <w:bCs w:val="1"/>
          <w:color w:val="auto"/>
          <w:vertAlign w:val="superscript"/>
        </w:rPr>
        <w:t>1</w:t>
      </w:r>
    </w:p>
    <w:p>
      <w:pPr>
        <w:ind w:left="100"/>
        <w:spacing w:after="0"/>
        <w:rPr>
          <w:sz w:val="20"/>
          <w:szCs w:val="20"/>
          <w:color w:val="auto"/>
        </w:rPr>
      </w:pPr>
      <w:r>
        <w:rPr>
          <w:rFonts w:ascii="Arial" w:cs="Arial" w:eastAsia="Arial" w:hAnsi="Arial"/>
          <w:sz w:val="13"/>
          <w:szCs w:val="13"/>
          <w:color w:val="auto"/>
        </w:rPr>
        <w:t>Age: 68</w:t>
      </w:r>
    </w:p>
    <w:p>
      <w:pPr>
        <w:spacing w:after="0" w:line="52" w:lineRule="exact"/>
        <w:rPr>
          <w:sz w:val="20"/>
          <w:szCs w:val="20"/>
          <w:color w:val="auto"/>
        </w:rPr>
      </w:pPr>
    </w:p>
    <w:p>
      <w:pPr>
        <w:ind w:left="100" w:right="360"/>
        <w:spacing w:after="0" w:line="343" w:lineRule="auto"/>
        <w:rPr>
          <w:sz w:val="20"/>
          <w:szCs w:val="20"/>
          <w:color w:val="auto"/>
        </w:rPr>
      </w:pPr>
      <w:r>
        <w:rPr>
          <w:rFonts w:ascii="Arial" w:cs="Arial" w:eastAsia="Arial" w:hAnsi="Arial"/>
          <w:sz w:val="13"/>
          <w:szCs w:val="13"/>
          <w:color w:val="auto"/>
        </w:rPr>
        <w:t>Toronto, Ontario, Canada Director since 1988 Non-independent</w:t>
      </w:r>
    </w:p>
    <w:p>
      <w:pPr>
        <w:spacing w:after="0" w:line="1" w:lineRule="exact"/>
        <w:rPr>
          <w:sz w:val="20"/>
          <w:szCs w:val="20"/>
          <w:color w:val="auto"/>
        </w:rPr>
      </w:pPr>
    </w:p>
    <w:p>
      <w:pPr>
        <w:ind w:left="100"/>
        <w:spacing w:after="0" w:line="256" w:lineRule="auto"/>
        <w:rPr>
          <w:sz w:val="20"/>
          <w:szCs w:val="20"/>
          <w:color w:val="auto"/>
        </w:rPr>
      </w:pPr>
      <w:r>
        <w:rPr>
          <w:rFonts w:ascii="Arial" w:cs="Arial" w:eastAsia="Arial" w:hAnsi="Arial"/>
          <w:sz w:val="13"/>
          <w:szCs w:val="13"/>
          <w:color w:val="auto"/>
        </w:rPr>
        <w:t>Primary areas of expertise: investment management, retail, media/publishing</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97.41%</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David Thomson</w:t>
      </w:r>
    </w:p>
    <w:p>
      <w:pPr>
        <w:spacing w:after="0" w:line="43" w:lineRule="exact"/>
        <w:rPr>
          <w:sz w:val="20"/>
          <w:szCs w:val="20"/>
          <w:color w:val="auto"/>
        </w:rPr>
      </w:pPr>
    </w:p>
    <w:p>
      <w:pPr>
        <w:ind w:left="40"/>
        <w:spacing w:after="0" w:line="260" w:lineRule="auto"/>
        <w:rPr>
          <w:sz w:val="20"/>
          <w:szCs w:val="20"/>
          <w:color w:val="auto"/>
        </w:rPr>
      </w:pPr>
      <w:r>
        <w:rPr>
          <w:rFonts w:ascii="Arial" w:cs="Arial" w:eastAsia="Arial" w:hAnsi="Arial"/>
          <w:sz w:val="14"/>
          <w:szCs w:val="14"/>
          <w:color w:val="auto"/>
        </w:rPr>
        <w:t>David Thomson is Chairman of Thomson Reuters. He is also a Chairman of Woodbridge, the Thomson family investment company, and Chairman of The Globe and Mail Inc., a Canadian media company. David is an active private investor with a focus on real estate and serves on the boards of several private companies. David has an MA from Cambridge.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54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2380" w:type="dxa"/>
            <w:vAlign w:val="bottom"/>
            <w:tcBorders>
              <w:bottom w:val="single" w:sz="8" w:color="B2B2B2"/>
            </w:tcBorders>
            <w:gridSpan w:val="3"/>
          </w:tcPr>
          <w:p>
            <w:pPr>
              <w:ind w:left="1120"/>
              <w:spacing w:after="0"/>
              <w:rPr>
                <w:sz w:val="20"/>
                <w:szCs w:val="20"/>
                <w:color w:val="auto"/>
              </w:rPr>
            </w:pPr>
            <w:r>
              <w:rPr>
                <w:rFonts w:ascii="Arial" w:cs="Arial" w:eastAsia="Arial" w:hAnsi="Arial"/>
                <w:sz w:val="14"/>
                <w:szCs w:val="14"/>
                <w:b w:val="1"/>
                <w:bCs w:val="1"/>
                <w:color w:val="auto"/>
              </w:rPr>
              <w:t>2025 attendance</w:t>
            </w:r>
          </w:p>
        </w:tc>
        <w:tc>
          <w:tcPr>
            <w:tcW w:w="3680" w:type="dxa"/>
            <w:vAlign w:val="bottom"/>
            <w:tcBorders>
              <w:bottom w:val="single" w:sz="8" w:color="B2B2B2"/>
            </w:tcBorders>
            <w:gridSpan w:val="5"/>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2540" w:type="dxa"/>
            <w:vAlign w:val="bottom"/>
          </w:tcPr>
          <w:p>
            <w:pPr>
              <w:ind w:left="40"/>
              <w:spacing w:after="0"/>
              <w:rPr>
                <w:sz w:val="20"/>
                <w:szCs w:val="20"/>
                <w:color w:val="auto"/>
              </w:rPr>
            </w:pPr>
            <w:r>
              <w:rPr>
                <w:rFonts w:ascii="Arial" w:cs="Arial" w:eastAsia="Arial" w:hAnsi="Arial"/>
                <w:sz w:val="14"/>
                <w:szCs w:val="14"/>
                <w:color w:val="auto"/>
              </w:rPr>
              <w:t>Board</w:t>
            </w: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6 of 6</w:t>
            </w:r>
          </w:p>
        </w:tc>
        <w:tc>
          <w:tcPr>
            <w:tcW w:w="880" w:type="dxa"/>
            <w:vAlign w:val="bottom"/>
          </w:tcPr>
          <w:p>
            <w:pPr>
              <w:jc w:val="right"/>
              <w:ind w:right="369"/>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3"/>
                <w:szCs w:val="23"/>
                <w:color w:val="auto"/>
              </w:rPr>
            </w:pPr>
          </w:p>
        </w:tc>
      </w:tr>
      <w:tr>
        <w:trPr>
          <w:trHeight w:val="48"/>
        </w:trPr>
        <w:tc>
          <w:tcPr>
            <w:tcW w:w="2540" w:type="dxa"/>
            <w:vAlign w:val="bottom"/>
            <w:tcBorders>
              <w:bottom w:val="single" w:sz="8" w:color="B2B2B2"/>
            </w:tcBorders>
          </w:tcPr>
          <w:p>
            <w:pPr>
              <w:spacing w:after="0"/>
              <w:rPr>
                <w:sz w:val="4"/>
                <w:szCs w:val="4"/>
                <w:color w:val="auto"/>
              </w:rPr>
            </w:pPr>
          </w:p>
        </w:tc>
        <w:tc>
          <w:tcPr>
            <w:tcW w:w="2380" w:type="dxa"/>
            <w:vAlign w:val="bottom"/>
            <w:tcBorders>
              <w:bottom w:val="single" w:sz="8" w:color="B2B2B2"/>
            </w:tcBorders>
            <w:gridSpan w:val="3"/>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380" w:type="dxa"/>
            <w:vAlign w:val="bottom"/>
            <w:gridSpan w:val="3"/>
          </w:tcPr>
          <w:p>
            <w:pPr>
              <w:ind w:left="1120"/>
              <w:spacing w:after="0"/>
              <w:rPr>
                <w:sz w:val="20"/>
                <w:szCs w:val="20"/>
                <w:color w:val="auto"/>
              </w:rPr>
            </w:pPr>
            <w:r>
              <w:rPr>
                <w:rFonts w:ascii="Arial" w:cs="Arial" w:eastAsia="Arial" w:hAnsi="Arial"/>
                <w:sz w:val="14"/>
                <w:szCs w:val="14"/>
                <w:b w:val="1"/>
                <w:bCs w:val="1"/>
                <w:color w:val="auto"/>
              </w:rPr>
              <w:t>6 of 6 100%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540" w:type="dxa"/>
            <w:vAlign w:val="bottom"/>
            <w:tcBorders>
              <w:bottom w:val="single" w:sz="8" w:color="B2B2B2"/>
            </w:tcBorders>
          </w:tcPr>
          <w:p>
            <w:pPr>
              <w:spacing w:after="0"/>
              <w:rPr>
                <w:sz w:val="7"/>
                <w:szCs w:val="7"/>
                <w:color w:val="auto"/>
              </w:rPr>
            </w:pPr>
          </w:p>
        </w:tc>
        <w:tc>
          <w:tcPr>
            <w:tcW w:w="1220" w:type="dxa"/>
            <w:vAlign w:val="bottom"/>
            <w:tcBorders>
              <w:bottom w:val="single" w:sz="8" w:color="B2B2B2"/>
            </w:tcBorders>
          </w:tcPr>
          <w:p>
            <w:pPr>
              <w:spacing w:after="0"/>
              <w:rPr>
                <w:sz w:val="7"/>
                <w:szCs w:val="7"/>
                <w:color w:val="auto"/>
              </w:rPr>
            </w:pPr>
          </w:p>
        </w:tc>
        <w:tc>
          <w:tcPr>
            <w:tcW w:w="280" w:type="dxa"/>
            <w:vAlign w:val="bottom"/>
            <w:tcBorders>
              <w:bottom w:val="single" w:sz="8" w:color="B2B2B2"/>
            </w:tcBorders>
          </w:tcPr>
          <w:p>
            <w:pPr>
              <w:spacing w:after="0"/>
              <w:rPr>
                <w:sz w:val="7"/>
                <w:szCs w:val="7"/>
                <w:color w:val="auto"/>
              </w:rPr>
            </w:pPr>
          </w:p>
        </w:tc>
        <w:tc>
          <w:tcPr>
            <w:tcW w:w="880" w:type="dxa"/>
            <w:vAlign w:val="bottom"/>
            <w:tcBorders>
              <w:bottom w:val="single" w:sz="8" w:color="B2B2B2"/>
            </w:tcBorders>
          </w:tcPr>
          <w:p>
            <w:pPr>
              <w:spacing w:after="0"/>
              <w:rPr>
                <w:sz w:val="7"/>
                <w:szCs w:val="7"/>
                <w:color w:val="auto"/>
              </w:rPr>
            </w:pPr>
          </w:p>
        </w:tc>
        <w:tc>
          <w:tcPr>
            <w:tcW w:w="140" w:type="dxa"/>
            <w:vAlign w:val="bottom"/>
            <w:tcBorders>
              <w:bottom w:val="single" w:sz="8" w:color="B2B2B2"/>
            </w:tcBorders>
          </w:tcPr>
          <w:p>
            <w:pPr>
              <w:spacing w:after="0"/>
              <w:rPr>
                <w:sz w:val="7"/>
                <w:szCs w:val="7"/>
                <w:color w:val="auto"/>
              </w:rPr>
            </w:pPr>
          </w:p>
        </w:tc>
        <w:tc>
          <w:tcPr>
            <w:tcW w:w="260" w:type="dxa"/>
            <w:vAlign w:val="bottom"/>
            <w:tcBorders>
              <w:bottom w:val="single" w:sz="8" w:color="B2B2B2"/>
            </w:tcBorders>
          </w:tcPr>
          <w:p>
            <w:pPr>
              <w:spacing w:after="0"/>
              <w:rPr>
                <w:sz w:val="7"/>
                <w:szCs w:val="7"/>
                <w:color w:val="auto"/>
              </w:rPr>
            </w:pPr>
          </w:p>
        </w:tc>
        <w:tc>
          <w:tcPr>
            <w:tcW w:w="14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1"/>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14"/>
        </w:trPr>
        <w:tc>
          <w:tcPr>
            <w:tcW w:w="2540" w:type="dxa"/>
            <w:vAlign w:val="bottom"/>
            <w:tcBorders>
              <w:bottom w:val="single" w:sz="8" w:color="B2B2B2"/>
            </w:tcBorders>
          </w:tcPr>
          <w:p>
            <w:pPr>
              <w:ind w:left="40"/>
              <w:spacing w:after="0" w:line="214" w:lineRule="exact"/>
              <w:rPr>
                <w:sz w:val="20"/>
                <w:szCs w:val="20"/>
                <w:color w:val="auto"/>
              </w:rPr>
            </w:pPr>
            <w:r>
              <w:rPr>
                <w:rFonts w:ascii="Arial" w:cs="Arial" w:eastAsia="Arial" w:hAnsi="Arial"/>
                <w:sz w:val="14"/>
                <w:szCs w:val="14"/>
                <w:b w:val="1"/>
                <w:bCs w:val="1"/>
                <w:color w:val="auto"/>
              </w:rPr>
              <w:t>(number and value)</w:t>
            </w:r>
            <w:r>
              <w:rPr>
                <w:rFonts w:ascii="Arial" w:cs="Arial" w:eastAsia="Arial" w:hAnsi="Arial"/>
                <w:sz w:val="21"/>
                <w:szCs w:val="21"/>
                <w:b w:val="1"/>
                <w:bCs w:val="1"/>
                <w:color w:val="auto"/>
                <w:vertAlign w:val="superscript"/>
              </w:rPr>
              <w:t>2</w:t>
            </w:r>
          </w:p>
        </w:tc>
        <w:tc>
          <w:tcPr>
            <w:tcW w:w="1220" w:type="dxa"/>
            <w:vAlign w:val="bottom"/>
            <w:tcBorders>
              <w:bottom w:val="single" w:sz="8" w:color="B2B2B2"/>
            </w:tcBorders>
          </w:tcPr>
          <w:p>
            <w:pPr>
              <w:spacing w:after="0"/>
              <w:rPr>
                <w:sz w:val="18"/>
                <w:szCs w:val="18"/>
                <w:color w:val="auto"/>
              </w:rPr>
            </w:pPr>
          </w:p>
        </w:tc>
        <w:tc>
          <w:tcPr>
            <w:tcW w:w="280" w:type="dxa"/>
            <w:vAlign w:val="bottom"/>
            <w:tcBorders>
              <w:bottom w:val="single" w:sz="8" w:color="B2B2B2"/>
            </w:tcBorders>
          </w:tcPr>
          <w:p>
            <w:pPr>
              <w:spacing w:after="0"/>
              <w:rPr>
                <w:sz w:val="18"/>
                <w:szCs w:val="18"/>
                <w:color w:val="auto"/>
              </w:rPr>
            </w:pPr>
          </w:p>
        </w:tc>
        <w:tc>
          <w:tcPr>
            <w:tcW w:w="880" w:type="dxa"/>
            <w:vAlign w:val="bottom"/>
            <w:tcBorders>
              <w:bottom w:val="single" w:sz="8" w:color="B2B2B2"/>
            </w:tcBorders>
          </w:tcPr>
          <w:p>
            <w:pPr>
              <w:spacing w:after="0"/>
              <w:rPr>
                <w:sz w:val="18"/>
                <w:szCs w:val="18"/>
                <w:color w:val="auto"/>
              </w:rPr>
            </w:pPr>
          </w:p>
        </w:tc>
        <w:tc>
          <w:tcPr>
            <w:tcW w:w="14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tcBorders>
          </w:tcPr>
          <w:p>
            <w:pPr>
              <w:spacing w:after="0"/>
              <w:rPr>
                <w:sz w:val="18"/>
                <w:szCs w:val="18"/>
                <w:color w:val="auto"/>
              </w:rPr>
            </w:pPr>
          </w:p>
        </w:tc>
        <w:tc>
          <w:tcPr>
            <w:tcW w:w="140" w:type="dxa"/>
            <w:vAlign w:val="bottom"/>
            <w:tcBorders>
              <w:bottom w:val="single" w:sz="8" w:color="B2B2B2"/>
            </w:tcBorders>
          </w:tcPr>
          <w:p>
            <w:pPr>
              <w:spacing w:after="0"/>
              <w:rPr>
                <w:sz w:val="18"/>
                <w:szCs w:val="18"/>
                <w:color w:val="auto"/>
              </w:rPr>
            </w:pPr>
          </w:p>
        </w:tc>
        <w:tc>
          <w:tcPr>
            <w:tcW w:w="1780" w:type="dxa"/>
            <w:vAlign w:val="bottom"/>
            <w:tcBorders>
              <w:bottom w:val="single" w:sz="8" w:color="B2B2B2"/>
            </w:tcBorders>
          </w:tcPr>
          <w:p>
            <w:pPr>
              <w:ind w:left="20"/>
              <w:spacing w:after="0" w:line="214" w:lineRule="exact"/>
              <w:rPr>
                <w:sz w:val="20"/>
                <w:szCs w:val="20"/>
                <w:color w:val="auto"/>
              </w:rPr>
            </w:pPr>
            <w:r>
              <w:rPr>
                <w:rFonts w:ascii="Arial" w:cs="Arial" w:eastAsia="Arial" w:hAnsi="Arial"/>
                <w:sz w:val="14"/>
                <w:szCs w:val="14"/>
                <w:b w:val="1"/>
                <w:bCs w:val="1"/>
                <w:color w:val="auto"/>
              </w:rPr>
              <w:t>and DSUs</w:t>
            </w:r>
            <w:r>
              <w:rPr>
                <w:rFonts w:ascii="Arial" w:cs="Arial" w:eastAsia="Arial" w:hAnsi="Arial"/>
                <w:sz w:val="21"/>
                <w:szCs w:val="21"/>
                <w:b w:val="1"/>
                <w:bCs w:val="1"/>
                <w:color w:val="auto"/>
                <w:vertAlign w:val="superscript"/>
              </w:rPr>
              <w:t>3</w:t>
            </w:r>
            <w:r>
              <w:rPr>
                <w:rFonts w:ascii="Arial" w:cs="Arial" w:eastAsia="Arial" w:hAnsi="Arial"/>
                <w:sz w:val="14"/>
                <w:szCs w:val="14"/>
                <w:b w:val="1"/>
                <w:bCs w:val="1"/>
                <w:color w:val="auto"/>
              </w:rPr>
              <w:t xml:space="preserve">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25"/>
        </w:trPr>
        <w:tc>
          <w:tcPr>
            <w:tcW w:w="254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2380" w:type="dxa"/>
            <w:vAlign w:val="bottom"/>
            <w:gridSpan w:val="3"/>
          </w:tcPr>
          <w:p>
            <w:pPr>
              <w:ind w:left="1120"/>
              <w:spacing w:after="0"/>
              <w:rPr>
                <w:sz w:val="20"/>
                <w:szCs w:val="20"/>
                <w:color w:val="auto"/>
              </w:rPr>
            </w:pPr>
            <w:r>
              <w:rPr>
                <w:rFonts w:ascii="Arial" w:cs="Arial" w:eastAsia="Arial" w:hAnsi="Arial"/>
                <w:sz w:val="14"/>
                <w:szCs w:val="14"/>
                <w:color w:val="auto"/>
              </w:rPr>
              <w:t> RSUs DSUs</w:t>
            </w:r>
          </w:p>
        </w:tc>
        <w:tc>
          <w:tcPr>
            <w:tcW w:w="540" w:type="dxa"/>
            <w:vAlign w:val="bottom"/>
            <w:gridSpan w:val="3"/>
          </w:tcPr>
          <w:p>
            <w:pPr>
              <w:ind w:left="20"/>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2540" w:type="dxa"/>
            <w:vAlign w:val="bottom"/>
          </w:tcPr>
          <w:p>
            <w:pPr>
              <w:ind w:left="40"/>
              <w:spacing w:after="0"/>
              <w:rPr>
                <w:sz w:val="20"/>
                <w:szCs w:val="20"/>
                <w:color w:val="auto"/>
              </w:rPr>
            </w:pPr>
            <w:r>
              <w:rPr>
                <w:rFonts w:ascii="Arial" w:cs="Arial" w:eastAsia="Arial" w:hAnsi="Arial"/>
                <w:sz w:val="14"/>
                <w:szCs w:val="14"/>
                <w:color w:val="auto"/>
              </w:rPr>
              <w:t>48,198</w:t>
            </w:r>
          </w:p>
        </w:tc>
        <w:tc>
          <w:tcPr>
            <w:tcW w:w="1220" w:type="dxa"/>
            <w:vAlign w:val="bottom"/>
          </w:tcPr>
          <w:p>
            <w:pPr>
              <w:ind w:left="1120"/>
              <w:spacing w:after="0"/>
              <w:rPr>
                <w:sz w:val="20"/>
                <w:szCs w:val="20"/>
                <w:color w:val="auto"/>
              </w:rPr>
            </w:pPr>
            <w:r>
              <w:rPr>
                <w:rFonts w:ascii="Arial" w:cs="Arial" w:eastAsia="Arial" w:hAnsi="Arial"/>
                <w:sz w:val="11"/>
                <w:szCs w:val="11"/>
                <w:color w:val="auto"/>
                <w:w w:val="72"/>
              </w:rPr>
              <w:t> </w:t>
            </w:r>
          </w:p>
        </w:tc>
        <w:tc>
          <w:tcPr>
            <w:tcW w:w="280" w:type="dxa"/>
            <w:vAlign w:val="bottom"/>
          </w:tcPr>
          <w:p>
            <w:pPr>
              <w:ind w:left="40"/>
              <w:spacing w:after="0"/>
              <w:rPr>
                <w:sz w:val="20"/>
                <w:szCs w:val="20"/>
                <w:color w:val="auto"/>
              </w:rPr>
            </w:pPr>
            <w:r>
              <w:rPr>
                <w:rFonts w:ascii="Arial" w:cs="Arial" w:eastAsia="Arial" w:hAnsi="Arial"/>
                <w:sz w:val="14"/>
                <w:szCs w:val="14"/>
                <w:color w:val="auto"/>
                <w:w w:val="90"/>
              </w:rPr>
              <w:t> – </w:t>
            </w:r>
          </w:p>
        </w:tc>
        <w:tc>
          <w:tcPr>
            <w:tcW w:w="880" w:type="dxa"/>
            <w:vAlign w:val="bottom"/>
          </w:tcPr>
          <w:p>
            <w:pPr>
              <w:ind w:left="20"/>
              <w:spacing w:after="0"/>
              <w:rPr>
                <w:sz w:val="20"/>
                <w:szCs w:val="20"/>
                <w:color w:val="auto"/>
              </w:rPr>
            </w:pPr>
            <w:r>
              <w:rPr>
                <w:rFonts w:ascii="Arial" w:cs="Arial" w:eastAsia="Arial" w:hAnsi="Arial"/>
                <w:sz w:val="14"/>
                <w:szCs w:val="14"/>
                <w:color w:val="auto"/>
              </w:rPr>
              <w:t>  135,916</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color w:val="auto"/>
                <w:w w:val="74"/>
              </w:rPr>
              <w:t> – </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780" w:type="dxa"/>
            <w:vAlign w:val="bottom"/>
          </w:tcPr>
          <w:p>
            <w:pPr>
              <w:ind w:left="20"/>
              <w:spacing w:after="0"/>
              <w:rPr>
                <w:sz w:val="20"/>
                <w:szCs w:val="20"/>
                <w:color w:val="auto"/>
              </w:rPr>
            </w:pPr>
            <w:r>
              <w:rPr>
                <w:rFonts w:ascii="Arial" w:cs="Arial" w:eastAsia="Arial" w:hAnsi="Arial"/>
                <w:sz w:val="14"/>
                <w:szCs w:val="14"/>
                <w:color w:val="auto"/>
              </w:rPr>
              <w:t>184,114</w:t>
            </w:r>
          </w:p>
        </w:tc>
        <w:tc>
          <w:tcPr>
            <w:tcW w:w="1360" w:type="dxa"/>
            <w:vAlign w:val="bottom"/>
          </w:tcPr>
          <w:p>
            <w:pPr>
              <w:spacing w:after="0"/>
              <w:rPr>
                <w:sz w:val="17"/>
                <w:szCs w:val="17"/>
                <w:color w:val="auto"/>
              </w:rPr>
            </w:pPr>
          </w:p>
        </w:tc>
      </w:tr>
      <w:tr>
        <w:trPr>
          <w:trHeight w:val="48"/>
        </w:trPr>
        <w:tc>
          <w:tcPr>
            <w:tcW w:w="2540" w:type="dxa"/>
            <w:vAlign w:val="bottom"/>
            <w:tcBorders>
              <w:bottom w:val="single" w:sz="8" w:color="B2B2B2"/>
            </w:tcBorders>
          </w:tcPr>
          <w:p>
            <w:pPr>
              <w:spacing w:after="0"/>
              <w:rPr>
                <w:sz w:val="4"/>
                <w:szCs w:val="4"/>
                <w:color w:val="auto"/>
              </w:rPr>
            </w:pPr>
          </w:p>
        </w:tc>
        <w:tc>
          <w:tcPr>
            <w:tcW w:w="122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2540" w:type="dxa"/>
            <w:vAlign w:val="bottom"/>
          </w:tcPr>
          <w:p>
            <w:pPr>
              <w:ind w:left="40"/>
              <w:spacing w:after="0"/>
              <w:rPr>
                <w:sz w:val="20"/>
                <w:szCs w:val="20"/>
                <w:color w:val="auto"/>
              </w:rPr>
            </w:pPr>
            <w:r>
              <w:rPr>
                <w:rFonts w:ascii="Arial" w:cs="Arial" w:eastAsia="Arial" w:hAnsi="Arial"/>
                <w:sz w:val="14"/>
                <w:szCs w:val="14"/>
                <w:i w:val="1"/>
                <w:iCs w:val="1"/>
                <w:color w:val="auto"/>
              </w:rPr>
              <w:t>$4,213,951</w:t>
            </w:r>
          </w:p>
        </w:tc>
        <w:tc>
          <w:tcPr>
            <w:tcW w:w="1220" w:type="dxa"/>
            <w:vAlign w:val="bottom"/>
          </w:tcPr>
          <w:p>
            <w:pPr>
              <w:ind w:left="1120"/>
              <w:spacing w:after="0"/>
              <w:rPr>
                <w:sz w:val="20"/>
                <w:szCs w:val="20"/>
                <w:color w:val="auto"/>
              </w:rPr>
            </w:pPr>
            <w:r>
              <w:rPr>
                <w:rFonts w:ascii="Arial" w:cs="Arial" w:eastAsia="Arial" w:hAnsi="Arial"/>
                <w:sz w:val="11"/>
                <w:szCs w:val="11"/>
                <w:i w:val="1"/>
                <w:iCs w:val="1"/>
                <w:color w:val="auto"/>
                <w:w w:val="72"/>
              </w:rPr>
              <w:t> </w:t>
            </w:r>
          </w:p>
        </w:tc>
        <w:tc>
          <w:tcPr>
            <w:tcW w:w="280" w:type="dxa"/>
            <w:vAlign w:val="bottom"/>
          </w:tcPr>
          <w:p>
            <w:pPr>
              <w:ind w:left="40"/>
              <w:spacing w:after="0"/>
              <w:rPr>
                <w:sz w:val="20"/>
                <w:szCs w:val="20"/>
                <w:color w:val="auto"/>
              </w:rPr>
            </w:pPr>
            <w:r>
              <w:rPr>
                <w:rFonts w:ascii="Arial" w:cs="Arial" w:eastAsia="Arial" w:hAnsi="Arial"/>
                <w:sz w:val="14"/>
                <w:szCs w:val="14"/>
                <w:i w:val="1"/>
                <w:iCs w:val="1"/>
                <w:color w:val="auto"/>
                <w:w w:val="90"/>
              </w:rPr>
              <w:t> – </w:t>
            </w:r>
          </w:p>
        </w:tc>
        <w:tc>
          <w:tcPr>
            <w:tcW w:w="880" w:type="dxa"/>
            <w:vAlign w:val="bottom"/>
          </w:tcPr>
          <w:p>
            <w:pPr>
              <w:ind w:left="20"/>
              <w:spacing w:after="0"/>
              <w:rPr>
                <w:sz w:val="20"/>
                <w:szCs w:val="20"/>
                <w:color w:val="auto"/>
              </w:rPr>
            </w:pPr>
            <w:r>
              <w:rPr>
                <w:rFonts w:ascii="Arial" w:cs="Arial" w:eastAsia="Arial" w:hAnsi="Arial"/>
                <w:sz w:val="14"/>
                <w:szCs w:val="14"/>
                <w:i w:val="1"/>
                <w:iCs w:val="1"/>
                <w:color w:val="auto"/>
                <w:w w:val="99"/>
              </w:rPr>
              <w:t>  $11,883,136</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color w:val="auto"/>
                <w:w w:val="74"/>
              </w:rPr>
              <w:t> – </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780" w:type="dxa"/>
            <w:vAlign w:val="bottom"/>
          </w:tcPr>
          <w:p>
            <w:pPr>
              <w:ind w:left="900"/>
              <w:spacing w:after="0"/>
              <w:rPr>
                <w:sz w:val="20"/>
                <w:szCs w:val="20"/>
                <w:color w:val="auto"/>
              </w:rPr>
            </w:pPr>
            <w:r>
              <w:rPr>
                <w:rFonts w:ascii="Arial" w:cs="Arial" w:eastAsia="Arial" w:hAnsi="Arial"/>
                <w:sz w:val="14"/>
                <w:szCs w:val="14"/>
                <w:i w:val="1"/>
                <w:iCs w:val="1"/>
                <w:color w:val="auto"/>
              </w:rPr>
              <w:t>$16,097,087</w:t>
            </w:r>
          </w:p>
        </w:tc>
        <w:tc>
          <w:tcPr>
            <w:tcW w:w="1360" w:type="dxa"/>
            <w:vAlign w:val="bottom"/>
          </w:tcPr>
          <w:p>
            <w:pPr>
              <w:ind w:left="660"/>
              <w:spacing w:after="0"/>
              <w:rPr>
                <w:sz w:val="20"/>
                <w:szCs w:val="20"/>
                <w:color w:val="auto"/>
              </w:rPr>
            </w:pPr>
            <w:r>
              <w:rPr>
                <w:rFonts w:ascii="Arial" w:cs="Arial" w:eastAsia="Arial" w:hAnsi="Arial"/>
                <w:sz w:val="14"/>
                <w:szCs w:val="14"/>
                <w:i w:val="1"/>
                <w:iCs w:val="1"/>
                <w:color w:val="auto"/>
              </w:rPr>
              <w:t>–</w:t>
            </w:r>
          </w:p>
        </w:tc>
      </w:tr>
      <w:tr>
        <w:trPr>
          <w:trHeight w:val="48"/>
        </w:trPr>
        <w:tc>
          <w:tcPr>
            <w:tcW w:w="2540" w:type="dxa"/>
            <w:vAlign w:val="bottom"/>
            <w:tcBorders>
              <w:bottom w:val="single" w:sz="8" w:color="B2B2B2"/>
            </w:tcBorders>
          </w:tcPr>
          <w:p>
            <w:pPr>
              <w:spacing w:after="0"/>
              <w:rPr>
                <w:sz w:val="4"/>
                <w:szCs w:val="4"/>
                <w:color w:val="auto"/>
              </w:rPr>
            </w:pPr>
          </w:p>
        </w:tc>
        <w:tc>
          <w:tcPr>
            <w:tcW w:w="122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88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 David Thomson and Peter Thomson, both of whom are nominees, are brothers.</w:t>
      </w:r>
    </w:p>
    <w:p>
      <w:pPr>
        <w:spacing w:after="0" w:line="10" w:lineRule="exact"/>
        <w:rPr>
          <w:sz w:val="20"/>
          <w:szCs w:val="20"/>
          <w:color w:val="auto"/>
        </w:rPr>
      </w:pPr>
    </w:p>
    <w:p>
      <w:pPr>
        <w:ind w:left="300" w:right="140" w:hanging="267"/>
        <w:spacing w:after="0" w:line="236" w:lineRule="auto"/>
        <w:rPr>
          <w:sz w:val="20"/>
          <w:szCs w:val="20"/>
          <w:color w:val="auto"/>
        </w:rPr>
      </w:pPr>
      <w:r>
        <w:rPr>
          <w:rFonts w:ascii="Arial" w:cs="Arial" w:eastAsia="Arial" w:hAnsi="Arial"/>
          <w:sz w:val="13"/>
          <w:szCs w:val="13"/>
          <w:color w:val="auto"/>
        </w:rPr>
        <w:t>2    David Thomson and Peter Thomson are substantial shareholders of our company as members of the family that owns the equity of Woodbridge, our principal shareholder. For additional information, please see the “Principal Shareholder and Share Capital” section of this circular.</w:t>
      </w:r>
    </w:p>
    <w:p>
      <w:pPr>
        <w:ind w:left="40"/>
        <w:spacing w:after="0"/>
        <w:rPr>
          <w:sz w:val="20"/>
          <w:szCs w:val="20"/>
          <w:color w:val="auto"/>
        </w:rPr>
      </w:pPr>
      <w:r>
        <w:rPr>
          <w:rFonts w:ascii="Arial" w:cs="Arial" w:eastAsia="Arial" w:hAnsi="Arial"/>
          <w:sz w:val="13"/>
          <w:szCs w:val="13"/>
          <w:color w:val="auto"/>
        </w:rPr>
        <w:t>3     An additional 2,749 shares are held by an immediate family member of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168910</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360"/>
            <w:col w:w="8600"/>
          </w:cols>
          <w:pgMar w:left="480" w:top="262" w:right="499" w:bottom="1440" w:gutter="0" w:footer="0" w:header="0"/>
          <w:type w:val="continuous"/>
        </w:sectPr>
      </w:pPr>
    </w:p>
    <w:p>
      <w:pPr>
        <w:spacing w:after="0" w:line="97"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19</w:t>
      </w:r>
    </w:p>
    <w:p>
      <w:pPr>
        <w:sectPr>
          <w:pgSz w:w="11900" w:h="16838" w:orient="portrait"/>
          <w:cols w:equalWidth="0" w:num="1">
            <w:col w:w="10920"/>
          </w:cols>
          <w:pgMar w:left="480" w:top="262" w:right="499" w:bottom="144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Steve Hasker</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56</w:t>
      </w:r>
    </w:p>
    <w:p>
      <w:pPr>
        <w:spacing w:after="0" w:line="64" w:lineRule="exact"/>
        <w:rPr>
          <w:sz w:val="20"/>
          <w:szCs w:val="20"/>
          <w:color w:val="auto"/>
        </w:rPr>
      </w:pPr>
    </w:p>
    <w:p>
      <w:pPr>
        <w:ind w:left="100" w:right="520"/>
        <w:spacing w:after="0" w:line="343" w:lineRule="auto"/>
        <w:rPr>
          <w:sz w:val="20"/>
          <w:szCs w:val="20"/>
          <w:color w:val="auto"/>
        </w:rPr>
      </w:pPr>
      <w:r>
        <w:rPr>
          <w:rFonts w:ascii="Arial" w:cs="Arial" w:eastAsia="Arial" w:hAnsi="Arial"/>
          <w:sz w:val="13"/>
          <w:szCs w:val="13"/>
          <w:color w:val="auto"/>
        </w:rPr>
        <w:t>Toronto, Ontario, Canada Director since 2020 Non-independent</w:t>
      </w:r>
    </w:p>
    <w:p>
      <w:pPr>
        <w:spacing w:after="0" w:line="1" w:lineRule="exact"/>
        <w:rPr>
          <w:sz w:val="20"/>
          <w:szCs w:val="20"/>
          <w:color w:val="auto"/>
        </w:rPr>
      </w:pPr>
    </w:p>
    <w:p>
      <w:pPr>
        <w:ind w:left="100"/>
        <w:spacing w:after="0" w:line="256" w:lineRule="auto"/>
        <w:rPr>
          <w:sz w:val="20"/>
          <w:szCs w:val="20"/>
          <w:color w:val="auto"/>
        </w:rPr>
      </w:pPr>
      <w:r>
        <w:rPr>
          <w:rFonts w:ascii="Arial" w:cs="Arial" w:eastAsia="Arial" w:hAnsi="Arial"/>
          <w:sz w:val="13"/>
          <w:szCs w:val="13"/>
          <w:color w:val="auto"/>
        </w:rPr>
        <w:t>Primary areas of expertise: operations, international business, strategy and technology</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99.64%</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-271780</wp:posOffset>
            </wp:positionV>
            <wp:extent cx="7176135" cy="3295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295015"/>
                    </a:xfrm>
                    <a:prstGeom prst="rect">
                      <a:avLst/>
                    </a:prstGeom>
                    <a:noFill/>
                  </pic:spPr>
                </pic:pic>
              </a:graphicData>
            </a:graphic>
          </wp:anchor>
        </w:drawing>
      </w:r>
    </w:p>
    <w:p>
      <w:pPr>
        <w:spacing w:after="0" w:line="23" w:lineRule="exact"/>
        <w:rPr>
          <w:sz w:val="20"/>
          <w:szCs w:val="20"/>
          <w:color w:val="auto"/>
        </w:rPr>
      </w:pPr>
    </w:p>
    <w:p>
      <w:pPr>
        <w:ind w:left="40" w:right="60"/>
        <w:spacing w:after="0" w:line="243" w:lineRule="auto"/>
        <w:rPr>
          <w:sz w:val="20"/>
          <w:szCs w:val="20"/>
          <w:color w:val="auto"/>
        </w:rPr>
      </w:pPr>
      <w:r>
        <w:rPr>
          <w:rFonts w:ascii="Arial" w:cs="Arial" w:eastAsia="Arial" w:hAnsi="Arial"/>
          <w:sz w:val="14"/>
          <w:szCs w:val="14"/>
          <w:color w:val="auto"/>
        </w:rPr>
        <w:t>Steve Hasker has been President and Chief Executive Officer and a director of Thomson Reuters since March 2020. Prior to joining Thomson Reuters in February 2020, he was Senior Advisor to TPG Capital, a private equity firm, from August 2019 to February 2020. Prior to that, he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 2009. Before joining McKinsey, Steve spent five years in several financial roles in the United States and other countries. Steve started his career with PwC, where he qualified as a chartered accountant. He is a member of the Australia and New Zealand Institute of Chartered Accountants. Steve has an undergraduate economics degree from the University of Melbourne and received an MBA and master’s in international affairs from Columbia University.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780" w:type="dxa"/>
            <w:vAlign w:val="bottom"/>
          </w:tcPr>
          <w:p>
            <w:pPr>
              <w:ind w:left="124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62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2180" w:type="dxa"/>
            <w:vAlign w:val="bottom"/>
            <w:tcBorders>
              <w:bottom w:val="single" w:sz="8" w:color="B2B2B2"/>
            </w:tcBorders>
            <w:gridSpan w:val="3"/>
          </w:tcPr>
          <w:p>
            <w:pPr>
              <w:ind w:left="1240"/>
              <w:spacing w:after="0"/>
              <w:rPr>
                <w:sz w:val="20"/>
                <w:szCs w:val="20"/>
                <w:color w:val="auto"/>
              </w:rPr>
            </w:pPr>
            <w:r>
              <w:rPr>
                <w:rFonts w:ascii="Arial" w:cs="Arial" w:eastAsia="Arial" w:hAnsi="Arial"/>
                <w:sz w:val="14"/>
                <w:szCs w:val="14"/>
                <w:b w:val="1"/>
                <w:bCs w:val="1"/>
                <w:color w:val="auto"/>
              </w:rPr>
              <w:t>attendance</w:t>
            </w:r>
          </w:p>
        </w:tc>
        <w:tc>
          <w:tcPr>
            <w:tcW w:w="3760" w:type="dxa"/>
            <w:vAlign w:val="bottom"/>
            <w:tcBorders>
              <w:bottom w:val="single" w:sz="8" w:color="B2B2B2"/>
            </w:tcBorders>
            <w:gridSpan w:val="3"/>
          </w:tcPr>
          <w:p>
            <w:pPr>
              <w:ind w:left="8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183"/>
        </w:trPr>
        <w:tc>
          <w:tcPr>
            <w:tcW w:w="2620" w:type="dxa"/>
            <w:vAlign w:val="bottom"/>
          </w:tcPr>
          <w:p>
            <w:pPr>
              <w:ind w:left="40"/>
              <w:spacing w:after="0"/>
              <w:rPr>
                <w:sz w:val="20"/>
                <w:szCs w:val="20"/>
                <w:color w:val="auto"/>
              </w:rPr>
            </w:pPr>
            <w:r>
              <w:rPr>
                <w:rFonts w:ascii="Arial" w:cs="Arial" w:eastAsia="Arial" w:hAnsi="Arial"/>
                <w:sz w:val="14"/>
                <w:szCs w:val="14"/>
                <w:color w:val="auto"/>
              </w:rPr>
              <w:t>Board</w:t>
            </w:r>
          </w:p>
        </w:tc>
        <w:tc>
          <w:tcPr>
            <w:tcW w:w="1780" w:type="dxa"/>
            <w:vAlign w:val="bottom"/>
          </w:tcPr>
          <w:p>
            <w:pPr>
              <w:ind w:left="1240"/>
              <w:spacing w:after="0"/>
              <w:rPr>
                <w:sz w:val="20"/>
                <w:szCs w:val="20"/>
                <w:color w:val="auto"/>
              </w:rPr>
            </w:pPr>
            <w:r>
              <w:rPr>
                <w:rFonts w:ascii="Arial" w:cs="Arial" w:eastAsia="Arial" w:hAnsi="Arial"/>
                <w:sz w:val="14"/>
                <w:szCs w:val="14"/>
                <w:color w:val="auto"/>
              </w:rPr>
              <w:t>6 of 6</w:t>
            </w: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100%</w:t>
            </w:r>
          </w:p>
        </w:tc>
        <w:tc>
          <w:tcPr>
            <w:tcW w:w="1420" w:type="dxa"/>
            <w:vAlign w:val="bottom"/>
          </w:tcPr>
          <w:p>
            <w:pPr>
              <w:ind w:left="80"/>
              <w:spacing w:after="0"/>
              <w:rPr>
                <w:sz w:val="20"/>
                <w:szCs w:val="20"/>
                <w:color w:val="auto"/>
              </w:rPr>
            </w:pPr>
            <w:r>
              <w:rPr>
                <w:rFonts w:ascii="Arial" w:cs="Arial" w:eastAsia="Arial" w:hAnsi="Arial"/>
                <w:sz w:val="14"/>
                <w:szCs w:val="14"/>
                <w:color w:val="auto"/>
              </w:rPr>
              <w:t>Appen Limited</w:t>
            </w: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8"/>
        </w:trPr>
        <w:tc>
          <w:tcPr>
            <w:tcW w:w="2620" w:type="dxa"/>
            <w:vAlign w:val="bottom"/>
            <w:tcBorders>
              <w:bottom w:val="single" w:sz="8" w:color="B2B2B2"/>
            </w:tcBorders>
          </w:tcPr>
          <w:p>
            <w:pPr>
              <w:spacing w:after="0"/>
              <w:rPr>
                <w:sz w:val="3"/>
                <w:szCs w:val="3"/>
                <w:color w:val="auto"/>
              </w:rPr>
            </w:pPr>
          </w:p>
        </w:tc>
        <w:tc>
          <w:tcPr>
            <w:tcW w:w="1780" w:type="dxa"/>
            <w:vAlign w:val="bottom"/>
            <w:tcBorders>
              <w:bottom w:val="single" w:sz="8" w:color="B2B2B2"/>
            </w:tcBorders>
          </w:tcPr>
          <w:p>
            <w:pPr>
              <w:spacing w:after="0"/>
              <w:rPr>
                <w:sz w:val="3"/>
                <w:szCs w:val="3"/>
                <w:color w:val="auto"/>
              </w:rPr>
            </w:pPr>
          </w:p>
        </w:tc>
        <w:tc>
          <w:tcPr>
            <w:tcW w:w="400" w:type="dxa"/>
            <w:vAlign w:val="bottom"/>
            <w:tcBorders>
              <w:bottom w:val="single" w:sz="8" w:color="B2B2B2"/>
            </w:tcBorders>
            <w:gridSpan w:val="2"/>
          </w:tcPr>
          <w:p>
            <w:pPr>
              <w:spacing w:after="0"/>
              <w:rPr>
                <w:sz w:val="3"/>
                <w:szCs w:val="3"/>
                <w:color w:val="auto"/>
              </w:rPr>
            </w:pPr>
          </w:p>
        </w:tc>
        <w:tc>
          <w:tcPr>
            <w:tcW w:w="1420" w:type="dxa"/>
            <w:vAlign w:val="bottom"/>
            <w:tcBorders>
              <w:bottom w:val="single" w:sz="8" w:color="B2B2B2"/>
            </w:tcBorders>
          </w:tcPr>
          <w:p>
            <w:pPr>
              <w:spacing w:after="0"/>
              <w:rPr>
                <w:sz w:val="3"/>
                <w:szCs w:val="3"/>
                <w:color w:val="auto"/>
              </w:rPr>
            </w:pPr>
          </w:p>
        </w:tc>
        <w:tc>
          <w:tcPr>
            <w:tcW w:w="980" w:type="dxa"/>
            <w:vAlign w:val="bottom"/>
            <w:tcBorders>
              <w:bottom w:val="single" w:sz="8" w:color="B2B2B2"/>
            </w:tcBorders>
          </w:tcPr>
          <w:p>
            <w:pPr>
              <w:spacing w:after="0"/>
              <w:rPr>
                <w:sz w:val="3"/>
                <w:szCs w:val="3"/>
                <w:color w:val="auto"/>
              </w:rPr>
            </w:pPr>
          </w:p>
        </w:tc>
        <w:tc>
          <w:tcPr>
            <w:tcW w:w="1360" w:type="dxa"/>
            <w:vAlign w:val="bottom"/>
            <w:tcBorders>
              <w:bottom w:val="single" w:sz="8" w:color="B2B2B2"/>
            </w:tcBorders>
          </w:tcPr>
          <w:p>
            <w:pPr>
              <w:spacing w:after="0"/>
              <w:rPr>
                <w:sz w:val="3"/>
                <w:szCs w:val="3"/>
                <w:color w:val="auto"/>
              </w:rPr>
            </w:pPr>
          </w:p>
        </w:tc>
      </w:tr>
      <w:tr>
        <w:trPr>
          <w:trHeight w:val="273"/>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780" w:type="dxa"/>
            <w:vAlign w:val="bottom"/>
          </w:tcPr>
          <w:p>
            <w:pPr>
              <w:ind w:left="1240"/>
              <w:spacing w:after="0"/>
              <w:rPr>
                <w:sz w:val="20"/>
                <w:szCs w:val="20"/>
                <w:color w:val="auto"/>
              </w:rPr>
            </w:pPr>
            <w:r>
              <w:rPr>
                <w:rFonts w:ascii="Arial" w:cs="Arial" w:eastAsia="Arial" w:hAnsi="Arial"/>
                <w:sz w:val="14"/>
                <w:szCs w:val="14"/>
                <w:b w:val="1"/>
                <w:bCs w:val="1"/>
                <w:color w:val="auto"/>
              </w:rPr>
              <w:t>6 of 6</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100%</w:t>
            </w:r>
          </w:p>
        </w:tc>
        <w:tc>
          <w:tcPr>
            <w:tcW w:w="1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62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20" w:type="dxa"/>
            <w:vAlign w:val="bottom"/>
            <w:tcBorders>
              <w:bottom w:val="single" w:sz="8" w:color="B2B2B2"/>
            </w:tcBorders>
          </w:tcPr>
          <w:p>
            <w:pPr>
              <w:spacing w:after="0"/>
              <w:rPr>
                <w:sz w:val="7"/>
                <w:szCs w:val="7"/>
                <w:color w:val="auto"/>
              </w:rPr>
            </w:pPr>
          </w:p>
        </w:tc>
        <w:tc>
          <w:tcPr>
            <w:tcW w:w="280" w:type="dxa"/>
            <w:vAlign w:val="bottom"/>
            <w:tcBorders>
              <w:bottom w:val="single" w:sz="8" w:color="B2B2B2"/>
            </w:tcBorders>
          </w:tcPr>
          <w:p>
            <w:pPr>
              <w:spacing w:after="0"/>
              <w:rPr>
                <w:sz w:val="7"/>
                <w:szCs w:val="7"/>
                <w:color w:val="auto"/>
              </w:rPr>
            </w:pPr>
          </w:p>
        </w:tc>
        <w:tc>
          <w:tcPr>
            <w:tcW w:w="2400" w:type="dxa"/>
            <w:vAlign w:val="bottom"/>
            <w:tcBorders>
              <w:bottom w:val="single" w:sz="8" w:color="B2B2B2"/>
            </w:tcBorders>
            <w:gridSpan w:val="2"/>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1"/>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14"/>
        </w:trPr>
        <w:tc>
          <w:tcPr>
            <w:tcW w:w="262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(number and value)</w:t>
            </w:r>
          </w:p>
        </w:tc>
        <w:tc>
          <w:tcPr>
            <w:tcW w:w="1780" w:type="dxa"/>
            <w:vAlign w:val="bottom"/>
            <w:tcBorders>
              <w:bottom w:val="single" w:sz="8" w:color="B2B2B2"/>
            </w:tcBorders>
          </w:tcPr>
          <w:p>
            <w:pPr>
              <w:spacing w:after="0"/>
              <w:rPr>
                <w:sz w:val="18"/>
                <w:szCs w:val="18"/>
                <w:color w:val="auto"/>
              </w:rPr>
            </w:pPr>
          </w:p>
        </w:tc>
        <w:tc>
          <w:tcPr>
            <w:tcW w:w="120" w:type="dxa"/>
            <w:vAlign w:val="bottom"/>
            <w:tcBorders>
              <w:bottom w:val="single" w:sz="8" w:color="B2B2B2"/>
            </w:tcBorders>
          </w:tcPr>
          <w:p>
            <w:pPr>
              <w:spacing w:after="0"/>
              <w:rPr>
                <w:sz w:val="18"/>
                <w:szCs w:val="18"/>
                <w:color w:val="auto"/>
              </w:rPr>
            </w:pPr>
          </w:p>
        </w:tc>
        <w:tc>
          <w:tcPr>
            <w:tcW w:w="280" w:type="dxa"/>
            <w:vAlign w:val="bottom"/>
            <w:tcBorders>
              <w:bottom w:val="single" w:sz="8" w:color="B2B2B2"/>
            </w:tcBorders>
          </w:tcPr>
          <w:p>
            <w:pPr>
              <w:spacing w:after="0"/>
              <w:rPr>
                <w:sz w:val="18"/>
                <w:szCs w:val="18"/>
                <w:color w:val="auto"/>
              </w:rPr>
            </w:pPr>
          </w:p>
        </w:tc>
        <w:tc>
          <w:tcPr>
            <w:tcW w:w="1420" w:type="dxa"/>
            <w:vAlign w:val="bottom"/>
            <w:tcBorders>
              <w:bottom w:val="single" w:sz="8" w:color="B2B2B2"/>
            </w:tcBorders>
          </w:tcPr>
          <w:p>
            <w:pPr>
              <w:ind w:left="640"/>
              <w:spacing w:after="0"/>
              <w:rPr>
                <w:sz w:val="20"/>
                <w:szCs w:val="20"/>
                <w:color w:val="auto"/>
              </w:rPr>
            </w:pPr>
            <w:r>
              <w:rPr>
                <w:rFonts w:ascii="Arial" w:cs="Arial" w:eastAsia="Arial" w:hAnsi="Arial"/>
                <w:sz w:val="14"/>
                <w:szCs w:val="14"/>
                <w:b w:val="1"/>
                <w:bCs w:val="1"/>
                <w:color w:val="auto"/>
              </w:rPr>
              <w:t>and DSUs</w:t>
            </w:r>
          </w:p>
        </w:tc>
        <w:tc>
          <w:tcPr>
            <w:tcW w:w="980" w:type="dxa"/>
            <w:vAlign w:val="bottom"/>
            <w:tcBorders>
              <w:bottom w:val="single" w:sz="8" w:color="B2B2B2"/>
            </w:tcBorders>
          </w:tcPr>
          <w:p>
            <w:pPr>
              <w:ind w:left="100"/>
              <w:spacing w:after="0" w:line="214"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21"/>
                <w:szCs w:val="21"/>
                <w:b w:val="1"/>
                <w:bCs w:val="1"/>
                <w:color w:val="auto"/>
                <w:vertAlign w:val="superscript"/>
              </w:rPr>
              <w:t>1</w:t>
            </w:r>
          </w:p>
        </w:tc>
        <w:tc>
          <w:tcPr>
            <w:tcW w:w="1360" w:type="dxa"/>
            <w:vAlign w:val="bottom"/>
            <w:tcBorders>
              <w:bottom w:val="single" w:sz="8" w:color="B2B2B2"/>
            </w:tcBorders>
          </w:tcPr>
          <w:p>
            <w:pPr>
              <w:ind w:left="40"/>
              <w:spacing w:after="0" w:line="214" w:lineRule="exact"/>
              <w:rPr>
                <w:sz w:val="20"/>
                <w:szCs w:val="20"/>
                <w:color w:val="auto"/>
              </w:rPr>
            </w:pPr>
            <w:r>
              <w:rPr>
                <w:rFonts w:ascii="Arial" w:cs="Arial" w:eastAsia="Arial" w:hAnsi="Arial"/>
                <w:sz w:val="14"/>
                <w:szCs w:val="14"/>
                <w:b w:val="1"/>
                <w:bCs w:val="1"/>
                <w:color w:val="auto"/>
              </w:rPr>
              <w:t>of base salary</w:t>
            </w:r>
            <w:r>
              <w:rPr>
                <w:rFonts w:ascii="Arial" w:cs="Arial" w:eastAsia="Arial" w:hAnsi="Arial"/>
                <w:sz w:val="21"/>
                <w:szCs w:val="21"/>
                <w:b w:val="1"/>
                <w:bCs w:val="1"/>
                <w:color w:val="auto"/>
                <w:vertAlign w:val="superscript"/>
              </w:rPr>
              <w:t>2</w:t>
            </w:r>
          </w:p>
        </w:tc>
      </w:tr>
      <w:tr>
        <w:trPr>
          <w:trHeight w:val="225"/>
        </w:trPr>
        <w:tc>
          <w:tcPr>
            <w:tcW w:w="262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1780" w:type="dxa"/>
            <w:vAlign w:val="bottom"/>
          </w:tcPr>
          <w:p>
            <w:pPr>
              <w:ind w:left="1240"/>
              <w:spacing w:after="0"/>
              <w:rPr>
                <w:sz w:val="20"/>
                <w:szCs w:val="20"/>
                <w:color w:val="auto"/>
              </w:rPr>
            </w:pPr>
            <w:r>
              <w:rPr>
                <w:rFonts w:ascii="Arial" w:cs="Arial" w:eastAsia="Arial" w:hAnsi="Arial"/>
                <w:sz w:val="14"/>
                <w:szCs w:val="14"/>
                <w:color w:val="auto"/>
              </w:rPr>
              <w:t>RSUs</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DSUs Options</w:t>
            </w: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2620" w:type="dxa"/>
            <w:vAlign w:val="bottom"/>
          </w:tcPr>
          <w:p>
            <w:pPr>
              <w:ind w:left="40"/>
              <w:spacing w:after="0"/>
              <w:rPr>
                <w:sz w:val="20"/>
                <w:szCs w:val="20"/>
                <w:color w:val="auto"/>
              </w:rPr>
            </w:pPr>
            <w:r>
              <w:rPr>
                <w:rFonts w:ascii="Arial" w:cs="Arial" w:eastAsia="Arial" w:hAnsi="Arial"/>
                <w:sz w:val="14"/>
                <w:szCs w:val="14"/>
                <w:color w:val="auto"/>
              </w:rPr>
              <w:t>120,765</w:t>
            </w:r>
          </w:p>
        </w:tc>
        <w:tc>
          <w:tcPr>
            <w:tcW w:w="1780" w:type="dxa"/>
            <w:vAlign w:val="bottom"/>
          </w:tcPr>
          <w:p>
            <w:pPr>
              <w:ind w:left="1240"/>
              <w:spacing w:after="0"/>
              <w:rPr>
                <w:sz w:val="20"/>
                <w:szCs w:val="20"/>
                <w:color w:val="auto"/>
              </w:rPr>
            </w:pPr>
            <w:r>
              <w:rPr>
                <w:rFonts w:ascii="Arial" w:cs="Arial" w:eastAsia="Arial" w:hAnsi="Arial"/>
                <w:sz w:val="14"/>
                <w:szCs w:val="14"/>
                <w:color w:val="auto"/>
              </w:rPr>
              <w:t>129,442</w:t>
            </w:r>
          </w:p>
        </w:tc>
        <w:tc>
          <w:tcPr>
            <w:tcW w:w="120" w:type="dxa"/>
            <w:vAlign w:val="bottom"/>
          </w:tcPr>
          <w:p>
            <w:pPr>
              <w:ind w:left="20"/>
              <w:spacing w:after="0"/>
              <w:rPr>
                <w:sz w:val="20"/>
                <w:szCs w:val="20"/>
                <w:color w:val="auto"/>
              </w:rPr>
            </w:pPr>
            <w:r>
              <w:rPr>
                <w:rFonts w:ascii="Arial" w:cs="Arial" w:eastAsia="Arial" w:hAnsi="Arial"/>
                <w:sz w:val="11"/>
                <w:szCs w:val="11"/>
                <w:color w:val="auto"/>
                <w:w w:val="72"/>
              </w:rPr>
              <w:t> </w:t>
            </w:r>
          </w:p>
        </w:tc>
        <w:tc>
          <w:tcPr>
            <w:tcW w:w="280" w:type="dxa"/>
            <w:vAlign w:val="bottom"/>
          </w:tcPr>
          <w:p>
            <w:pPr>
              <w:ind w:left="60"/>
              <w:spacing w:after="0"/>
              <w:rPr>
                <w:sz w:val="20"/>
                <w:szCs w:val="20"/>
                <w:color w:val="auto"/>
              </w:rPr>
            </w:pPr>
            <w:r>
              <w:rPr>
                <w:rFonts w:ascii="Arial" w:cs="Arial" w:eastAsia="Arial" w:hAnsi="Arial"/>
                <w:sz w:val="14"/>
                <w:szCs w:val="14"/>
                <w:color w:val="auto"/>
                <w:w w:val="82"/>
              </w:rPr>
              <w:t> – </w:t>
            </w:r>
          </w:p>
        </w:tc>
        <w:tc>
          <w:tcPr>
            <w:tcW w:w="1420" w:type="dxa"/>
            <w:vAlign w:val="bottom"/>
          </w:tcPr>
          <w:p>
            <w:pPr>
              <w:ind w:left="20"/>
              <w:spacing w:after="0"/>
              <w:rPr>
                <w:sz w:val="20"/>
                <w:szCs w:val="20"/>
                <w:color w:val="auto"/>
              </w:rPr>
            </w:pPr>
            <w:r>
              <w:rPr>
                <w:rFonts w:ascii="Arial" w:cs="Arial" w:eastAsia="Arial" w:hAnsi="Arial"/>
                <w:sz w:val="14"/>
                <w:szCs w:val="14"/>
                <w:color w:val="auto"/>
              </w:rPr>
              <w:t>  808,885 120,765</w:t>
            </w: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262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2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14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2620" w:type="dxa"/>
            <w:vAlign w:val="bottom"/>
          </w:tcPr>
          <w:p>
            <w:pPr>
              <w:ind w:left="40"/>
              <w:spacing w:after="0"/>
              <w:rPr>
                <w:sz w:val="20"/>
                <w:szCs w:val="20"/>
                <w:color w:val="auto"/>
              </w:rPr>
            </w:pPr>
            <w:r>
              <w:rPr>
                <w:rFonts w:ascii="Arial" w:cs="Arial" w:eastAsia="Arial" w:hAnsi="Arial"/>
                <w:sz w:val="14"/>
                <w:szCs w:val="14"/>
                <w:i w:val="1"/>
                <w:iCs w:val="1"/>
                <w:color w:val="auto"/>
              </w:rPr>
              <w:t>$10,558,484</w:t>
            </w:r>
          </w:p>
        </w:tc>
        <w:tc>
          <w:tcPr>
            <w:tcW w:w="1780" w:type="dxa"/>
            <w:vAlign w:val="bottom"/>
          </w:tcPr>
          <w:p>
            <w:pPr>
              <w:ind w:left="1240"/>
              <w:spacing w:after="0"/>
              <w:rPr>
                <w:sz w:val="20"/>
                <w:szCs w:val="20"/>
                <w:color w:val="auto"/>
              </w:rPr>
            </w:pPr>
            <w:r>
              <w:rPr>
                <w:rFonts w:ascii="Arial" w:cs="Arial" w:eastAsia="Arial" w:hAnsi="Arial"/>
                <w:sz w:val="14"/>
                <w:szCs w:val="14"/>
                <w:i w:val="1"/>
                <w:iCs w:val="1"/>
                <w:color w:val="auto"/>
              </w:rPr>
              <w:t xml:space="preserve">    –    </w:t>
            </w:r>
          </w:p>
        </w:tc>
        <w:tc>
          <w:tcPr>
            <w:tcW w:w="120" w:type="dxa"/>
            <w:vAlign w:val="bottom"/>
          </w:tcPr>
          <w:p>
            <w:pPr>
              <w:ind w:left="20"/>
              <w:spacing w:after="0"/>
              <w:rPr>
                <w:sz w:val="20"/>
                <w:szCs w:val="20"/>
                <w:color w:val="auto"/>
              </w:rPr>
            </w:pPr>
            <w:r>
              <w:rPr>
                <w:rFonts w:ascii="Arial" w:cs="Arial" w:eastAsia="Arial" w:hAnsi="Arial"/>
                <w:sz w:val="11"/>
                <w:szCs w:val="11"/>
                <w:i w:val="1"/>
                <w:iCs w:val="1"/>
                <w:color w:val="auto"/>
                <w:w w:val="72"/>
              </w:rPr>
              <w:t> </w:t>
            </w:r>
          </w:p>
        </w:tc>
        <w:tc>
          <w:tcPr>
            <w:tcW w:w="280" w:type="dxa"/>
            <w:vAlign w:val="bottom"/>
          </w:tcPr>
          <w:p>
            <w:pPr>
              <w:ind w:left="60"/>
              <w:spacing w:after="0"/>
              <w:rPr>
                <w:sz w:val="20"/>
                <w:szCs w:val="20"/>
                <w:color w:val="auto"/>
              </w:rPr>
            </w:pPr>
            <w:r>
              <w:rPr>
                <w:rFonts w:ascii="Arial" w:cs="Arial" w:eastAsia="Arial" w:hAnsi="Arial"/>
                <w:sz w:val="14"/>
                <w:szCs w:val="14"/>
                <w:i w:val="1"/>
                <w:iCs w:val="1"/>
                <w:color w:val="auto"/>
                <w:w w:val="82"/>
              </w:rPr>
              <w:t> – </w:t>
            </w:r>
          </w:p>
        </w:tc>
        <w:tc>
          <w:tcPr>
            <w:tcW w:w="1420" w:type="dxa"/>
            <w:vAlign w:val="bottom"/>
          </w:tcPr>
          <w:p>
            <w:pPr>
              <w:ind w:left="20"/>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      –</w:t>
            </w:r>
          </w:p>
        </w:tc>
        <w:tc>
          <w:tcPr>
            <w:tcW w:w="980" w:type="dxa"/>
            <w:vAlign w:val="bottom"/>
          </w:tcPr>
          <w:p>
            <w:pPr>
              <w:ind w:left="100"/>
              <w:spacing w:after="0"/>
              <w:rPr>
                <w:sz w:val="20"/>
                <w:szCs w:val="20"/>
                <w:color w:val="auto"/>
              </w:rPr>
            </w:pPr>
            <w:r>
              <w:rPr>
                <w:rFonts w:ascii="Arial" w:cs="Arial" w:eastAsia="Arial" w:hAnsi="Arial"/>
                <w:sz w:val="14"/>
                <w:szCs w:val="14"/>
                <w:i w:val="1"/>
                <w:iCs w:val="1"/>
                <w:color w:val="auto"/>
              </w:rPr>
              <w:t>10,558,484</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9.2x</w:t>
            </w:r>
          </w:p>
        </w:tc>
      </w:tr>
      <w:tr>
        <w:trPr>
          <w:trHeight w:val="48"/>
        </w:trPr>
        <w:tc>
          <w:tcPr>
            <w:tcW w:w="262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2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14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bl>
    <w:p>
      <w:pPr>
        <w:spacing w:after="0" w:line="94" w:lineRule="exact"/>
        <w:rPr>
          <w:sz w:val="20"/>
          <w:szCs w:val="20"/>
          <w:color w:val="auto"/>
        </w:rPr>
      </w:pPr>
    </w:p>
    <w:p>
      <w:pPr>
        <w:ind w:left="340" w:right="280" w:hanging="200"/>
        <w:spacing w:after="0" w:line="245" w:lineRule="auto"/>
        <w:rPr>
          <w:sz w:val="20"/>
          <w:szCs w:val="20"/>
          <w:color w:val="auto"/>
        </w:rPr>
      </w:pPr>
      <w:r>
        <w:rPr>
          <w:rFonts w:ascii="Arial" w:cs="Arial" w:eastAsia="Arial" w:hAnsi="Arial"/>
          <w:sz w:val="13"/>
          <w:szCs w:val="13"/>
          <w:color w:val="auto"/>
        </w:rPr>
        <w:t>1   24,273 of Steve’s 129,442 RSUs are time-based restricted share units (TRSUs). As of April 13, 2026, the value of Steve’s TRSUs was $2,122,188.</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2    Reflects Steve’s ratio under his executive ownership guidelines, which is based on a multiple of his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219710</wp:posOffset>
            </wp:positionV>
            <wp:extent cx="6929755" cy="32613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3261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240"/>
            <w:col w:w="8560"/>
          </w:cols>
          <w:pgMar w:left="480" w:top="36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Kirk E. Arnold</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66</w:t>
      </w:r>
    </w:p>
    <w:p>
      <w:pPr>
        <w:spacing w:after="0" w:line="64" w:lineRule="exact"/>
        <w:rPr>
          <w:sz w:val="20"/>
          <w:szCs w:val="20"/>
          <w:color w:val="auto"/>
        </w:rPr>
      </w:pPr>
    </w:p>
    <w:p>
      <w:pPr>
        <w:ind w:left="100"/>
        <w:spacing w:after="0" w:line="405" w:lineRule="auto"/>
        <w:rPr>
          <w:sz w:val="20"/>
          <w:szCs w:val="20"/>
          <w:color w:val="auto"/>
        </w:rPr>
      </w:pPr>
      <w:r>
        <w:rPr>
          <w:rFonts w:ascii="Arial" w:cs="Arial" w:eastAsia="Arial" w:hAnsi="Arial"/>
          <w:sz w:val="13"/>
          <w:szCs w:val="13"/>
          <w:color w:val="auto"/>
        </w:rPr>
        <w:t>Kennebunk, Maine, United States Director since 2020 Independent</w:t>
      </w:r>
    </w:p>
    <w:p>
      <w:pPr>
        <w:spacing w:after="0" w:line="137" w:lineRule="exact"/>
        <w:rPr>
          <w:sz w:val="20"/>
          <w:szCs w:val="20"/>
          <w:color w:val="auto"/>
        </w:rPr>
      </w:pPr>
    </w:p>
    <w:p>
      <w:pPr>
        <w:ind w:left="100" w:right="300"/>
        <w:spacing w:after="0" w:line="249" w:lineRule="auto"/>
        <w:rPr>
          <w:sz w:val="20"/>
          <w:szCs w:val="20"/>
          <w:color w:val="auto"/>
        </w:rPr>
      </w:pPr>
      <w:r>
        <w:rPr>
          <w:rFonts w:ascii="Arial" w:cs="Arial" w:eastAsia="Arial" w:hAnsi="Arial"/>
          <w:sz w:val="13"/>
          <w:szCs w:val="13"/>
          <w:color w:val="auto"/>
        </w:rPr>
        <w:t>Primary areas of expertise: technology, strategy, sales &amp; marketing, human capital management</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99.62%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Kirk E. Arnold</w:t>
      </w:r>
    </w:p>
    <w:p>
      <w:pPr>
        <w:spacing w:after="0" w:line="43" w:lineRule="exact"/>
        <w:rPr>
          <w:sz w:val="20"/>
          <w:szCs w:val="20"/>
          <w:color w:val="auto"/>
        </w:rPr>
      </w:pPr>
    </w:p>
    <w:p>
      <w:pPr>
        <w:ind w:left="40" w:right="20"/>
        <w:spacing w:after="0" w:line="245" w:lineRule="auto"/>
        <w:rPr>
          <w:sz w:val="20"/>
          <w:szCs w:val="20"/>
          <w:color w:val="auto"/>
        </w:rPr>
      </w:pPr>
      <w:r>
        <w:rPr>
          <w:rFonts w:ascii="Arial" w:cs="Arial" w:eastAsia="Arial" w:hAnsi="Arial"/>
          <w:sz w:val="14"/>
          <w:szCs w:val="14"/>
          <w:color w:val="auto"/>
        </w:rPr>
        <w:t>Kirk E. Arnold is a corporate director. She was previously Chief Executive Officer of Data Intensity, LLC, a cloud-based data, applications and analytics managed service provider, from 2013 to 2017. Prior to that, Kirk was Chief Operating Officer of Avid, a technology provider in the media industry, and Chief Executive Officer and President of Keane, Inc., then a publicly traded global services provider. She has also held senior leadership roles at Computer Sciences Corp., Fidelity Investments and IBM. In addition, she was founder and Chief Executive Officer of NerveWire, a management consulting and systems integration provider. Kirk serves on the boards of several private companies, including Housecall Pro and The Predictive Index. She also previously served on the board of IngersollRand plc. In addition, she is a Senior Lecturer at MIT Sloan School of Management and an advisor to the Center for MIT Entrepreneurship. Kirk received a bachelor’s degree from Dartmouth College.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78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2200" w:type="dxa"/>
            <w:vAlign w:val="bottom"/>
            <w:tcBorders>
              <w:bottom w:val="single" w:sz="8" w:color="B2B2B2"/>
            </w:tcBorders>
            <w:gridSpan w:val="4"/>
          </w:tcPr>
          <w:p>
            <w:pPr>
              <w:ind w:left="900"/>
              <w:spacing w:after="0"/>
              <w:rPr>
                <w:sz w:val="20"/>
                <w:szCs w:val="20"/>
                <w:color w:val="auto"/>
              </w:rPr>
            </w:pPr>
            <w:r>
              <w:rPr>
                <w:rFonts w:ascii="Arial" w:cs="Arial" w:eastAsia="Arial" w:hAnsi="Arial"/>
                <w:sz w:val="14"/>
                <w:szCs w:val="14"/>
                <w:b w:val="1"/>
                <w:bCs w:val="1"/>
                <w:color w:val="auto"/>
              </w:rPr>
              <w:t>2025 attendance</w:t>
            </w:r>
          </w:p>
        </w:tc>
        <w:tc>
          <w:tcPr>
            <w:tcW w:w="3680" w:type="dxa"/>
            <w:vAlign w:val="bottom"/>
            <w:tcBorders>
              <w:bottom w:val="single" w:sz="8" w:color="B2B2B2"/>
            </w:tcBorders>
            <w:gridSpan w:val="3"/>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2780" w:type="dxa"/>
            <w:vAlign w:val="bottom"/>
          </w:tcPr>
          <w:p>
            <w:pPr>
              <w:ind w:left="40"/>
              <w:spacing w:after="0"/>
              <w:rPr>
                <w:sz w:val="20"/>
                <w:szCs w:val="20"/>
                <w:color w:val="auto"/>
              </w:rPr>
            </w:pPr>
            <w:r>
              <w:rPr>
                <w:rFonts w:ascii="Arial" w:cs="Arial" w:eastAsia="Arial" w:hAnsi="Arial"/>
                <w:sz w:val="14"/>
                <w:szCs w:val="14"/>
                <w:color w:val="auto"/>
              </w:rPr>
              <w:t>Board</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1360" w:type="dxa"/>
            <w:vAlign w:val="bottom"/>
          </w:tcPr>
          <w:p>
            <w:pPr>
              <w:ind w:left="20"/>
              <w:spacing w:after="0"/>
              <w:rPr>
                <w:sz w:val="20"/>
                <w:szCs w:val="20"/>
                <w:color w:val="auto"/>
              </w:rPr>
            </w:pPr>
            <w:r>
              <w:rPr>
                <w:rFonts w:ascii="Arial" w:cs="Arial" w:eastAsia="Arial" w:hAnsi="Arial"/>
                <w:sz w:val="14"/>
                <w:szCs w:val="14"/>
                <w:color w:val="auto"/>
              </w:rPr>
              <w:t>Trane Technologies</w:t>
            </w:r>
          </w:p>
        </w:tc>
        <w:tc>
          <w:tcPr>
            <w:tcW w:w="9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21"/>
        </w:trPr>
        <w:tc>
          <w:tcPr>
            <w:tcW w:w="2780" w:type="dxa"/>
            <w:vAlign w:val="bottom"/>
          </w:tcPr>
          <w:p>
            <w:pPr>
              <w:ind w:left="40"/>
              <w:spacing w:after="0"/>
              <w:rPr>
                <w:sz w:val="20"/>
                <w:szCs w:val="20"/>
                <w:color w:val="auto"/>
              </w:rPr>
            </w:pPr>
            <w:r>
              <w:rPr>
                <w:rFonts w:ascii="Arial" w:cs="Arial" w:eastAsia="Arial" w:hAnsi="Arial"/>
                <w:sz w:val="14"/>
                <w:szCs w:val="14"/>
                <w:color w:val="auto"/>
              </w:rPr>
              <w:t>Corporate Governance</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2780" w:type="dxa"/>
            <w:vAlign w:val="bottom"/>
          </w:tcPr>
          <w:p>
            <w:pPr>
              <w:ind w:left="40"/>
              <w:spacing w:after="0"/>
              <w:rPr>
                <w:sz w:val="20"/>
                <w:szCs w:val="20"/>
                <w:color w:val="auto"/>
              </w:rPr>
            </w:pPr>
            <w:r>
              <w:rPr>
                <w:rFonts w:ascii="Arial" w:cs="Arial" w:eastAsia="Arial" w:hAnsi="Arial"/>
                <w:sz w:val="14"/>
                <w:szCs w:val="14"/>
                <w:color w:val="auto"/>
              </w:rPr>
              <w:t>HR</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2780" w:type="dxa"/>
            <w:vAlign w:val="bottom"/>
          </w:tcPr>
          <w:p>
            <w:pPr>
              <w:ind w:left="40"/>
              <w:spacing w:after="0"/>
              <w:rPr>
                <w:sz w:val="20"/>
                <w:szCs w:val="20"/>
                <w:color w:val="auto"/>
              </w:rPr>
            </w:pPr>
            <w:r>
              <w:rPr>
                <w:rFonts w:ascii="Arial" w:cs="Arial" w:eastAsia="Arial" w:hAnsi="Arial"/>
                <w:sz w:val="14"/>
                <w:szCs w:val="14"/>
                <w:color w:val="auto"/>
              </w:rPr>
              <w:t>Risk</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4 of 4</w:t>
            </w:r>
          </w:p>
        </w:tc>
        <w:tc>
          <w:tcPr>
            <w:tcW w:w="1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2780" w:type="dxa"/>
            <w:vAlign w:val="bottom"/>
            <w:tcBorders>
              <w:bottom w:val="single" w:sz="8" w:color="B2B2B2"/>
            </w:tcBorders>
          </w:tcPr>
          <w:p>
            <w:pPr>
              <w:spacing w:after="0"/>
              <w:rPr>
                <w:sz w:val="4"/>
                <w:szCs w:val="4"/>
                <w:color w:val="auto"/>
              </w:rPr>
            </w:pPr>
          </w:p>
        </w:tc>
        <w:tc>
          <w:tcPr>
            <w:tcW w:w="1440" w:type="dxa"/>
            <w:vAlign w:val="bottom"/>
            <w:tcBorders>
              <w:bottom w:val="single" w:sz="8" w:color="B2B2B2"/>
            </w:tcBorders>
            <w:gridSpan w:val="3"/>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9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440" w:type="dxa"/>
            <w:vAlign w:val="bottom"/>
            <w:gridSpan w:val="3"/>
          </w:tcPr>
          <w:p>
            <w:pPr>
              <w:ind w:left="900"/>
              <w:spacing w:after="0"/>
              <w:rPr>
                <w:sz w:val="20"/>
                <w:szCs w:val="20"/>
                <w:color w:val="auto"/>
              </w:rPr>
            </w:pPr>
            <w:r>
              <w:rPr>
                <w:rFonts w:ascii="Arial" w:cs="Arial" w:eastAsia="Arial" w:hAnsi="Arial"/>
                <w:sz w:val="14"/>
                <w:szCs w:val="14"/>
                <w:b w:val="1"/>
                <w:bCs w:val="1"/>
                <w:color w:val="auto"/>
                <w:w w:val="99"/>
              </w:rPr>
              <w:t>22 of 22</w:t>
            </w: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100%</w:t>
            </w:r>
          </w:p>
        </w:tc>
        <w:tc>
          <w:tcPr>
            <w:tcW w:w="1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780" w:type="dxa"/>
            <w:vAlign w:val="bottom"/>
            <w:tcBorders>
              <w:bottom w:val="single" w:sz="8" w:color="B2B2B2"/>
            </w:tcBorders>
          </w:tcPr>
          <w:p>
            <w:pPr>
              <w:spacing w:after="0"/>
              <w:rPr>
                <w:sz w:val="7"/>
                <w:szCs w:val="7"/>
                <w:color w:val="auto"/>
              </w:rPr>
            </w:pPr>
          </w:p>
        </w:tc>
        <w:tc>
          <w:tcPr>
            <w:tcW w:w="980" w:type="dxa"/>
            <w:vAlign w:val="bottom"/>
            <w:tcBorders>
              <w:bottom w:val="single" w:sz="8" w:color="B2B2B2"/>
            </w:tcBorders>
          </w:tcPr>
          <w:p>
            <w:pPr>
              <w:spacing w:after="0"/>
              <w:rPr>
                <w:sz w:val="7"/>
                <w:szCs w:val="7"/>
                <w:color w:val="auto"/>
              </w:rPr>
            </w:pPr>
          </w:p>
        </w:tc>
        <w:tc>
          <w:tcPr>
            <w:tcW w:w="300" w:type="dxa"/>
            <w:vAlign w:val="bottom"/>
            <w:tcBorders>
              <w:bottom w:val="single" w:sz="8" w:color="B2B2B2"/>
            </w:tcBorders>
          </w:tcPr>
          <w:p>
            <w:pPr>
              <w:spacing w:after="0"/>
              <w:rPr>
                <w:sz w:val="7"/>
                <w:szCs w:val="7"/>
                <w:color w:val="auto"/>
              </w:rPr>
            </w:pPr>
          </w:p>
        </w:tc>
        <w:tc>
          <w:tcPr>
            <w:tcW w:w="160" w:type="dxa"/>
            <w:vAlign w:val="bottom"/>
            <w:tcBorders>
              <w:bottom w:val="single" w:sz="8" w:color="B2B2B2"/>
            </w:tcBorders>
          </w:tcPr>
          <w:p>
            <w:pPr>
              <w:spacing w:after="0"/>
              <w:rPr>
                <w:sz w:val="7"/>
                <w:szCs w:val="7"/>
                <w:color w:val="auto"/>
              </w:rPr>
            </w:pPr>
          </w:p>
        </w:tc>
        <w:tc>
          <w:tcPr>
            <w:tcW w:w="760" w:type="dxa"/>
            <w:vAlign w:val="bottom"/>
            <w:tcBorders>
              <w:bottom w:val="single" w:sz="8" w:color="B2B2B2"/>
            </w:tcBorders>
          </w:tcPr>
          <w:p>
            <w:pPr>
              <w:spacing w:after="0"/>
              <w:rPr>
                <w:sz w:val="7"/>
                <w:szCs w:val="7"/>
                <w:color w:val="auto"/>
              </w:rPr>
            </w:pPr>
          </w:p>
        </w:tc>
        <w:tc>
          <w:tcPr>
            <w:tcW w:w="2320" w:type="dxa"/>
            <w:vAlign w:val="bottom"/>
            <w:tcBorders>
              <w:bottom w:val="single" w:sz="8" w:color="B2B2B2"/>
            </w:tcBorders>
            <w:gridSpan w:val="2"/>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320" w:type="dxa"/>
            <w:vAlign w:val="bottom"/>
            <w:gridSpan w:val="2"/>
          </w:tcPr>
          <w:p>
            <w:pPr>
              <w:ind w:left="56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278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(number and value)</w:t>
            </w:r>
          </w:p>
        </w:tc>
        <w:tc>
          <w:tcPr>
            <w:tcW w:w="980" w:type="dxa"/>
            <w:vAlign w:val="bottom"/>
            <w:tcBorders>
              <w:bottom w:val="single" w:sz="8" w:color="B2B2B2"/>
            </w:tcBorders>
          </w:tcPr>
          <w:p>
            <w:pPr>
              <w:spacing w:after="0"/>
              <w:rPr>
                <w:sz w:val="17"/>
                <w:szCs w:val="17"/>
                <w:color w:val="auto"/>
              </w:rPr>
            </w:pPr>
          </w:p>
        </w:tc>
        <w:tc>
          <w:tcPr>
            <w:tcW w:w="3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760" w:type="dxa"/>
            <w:vAlign w:val="bottom"/>
            <w:tcBorders>
              <w:bottom w:val="single" w:sz="8" w:color="B2B2B2"/>
            </w:tcBorders>
          </w:tcPr>
          <w:p>
            <w:pPr>
              <w:spacing w:after="0"/>
              <w:rPr>
                <w:sz w:val="17"/>
                <w:szCs w:val="17"/>
                <w:color w:val="auto"/>
              </w:rPr>
            </w:pPr>
          </w:p>
        </w:tc>
        <w:tc>
          <w:tcPr>
            <w:tcW w:w="1360" w:type="dxa"/>
            <w:vAlign w:val="bottom"/>
            <w:tcBorders>
              <w:bottom w:val="single" w:sz="8" w:color="B2B2B2"/>
            </w:tcBorders>
          </w:tcPr>
          <w:p>
            <w:pPr>
              <w:ind w:left="560"/>
              <w:spacing w:after="0"/>
              <w:rPr>
                <w:sz w:val="20"/>
                <w:szCs w:val="20"/>
                <w:color w:val="auto"/>
              </w:rPr>
            </w:pPr>
            <w:r>
              <w:rPr>
                <w:rFonts w:ascii="Arial" w:cs="Arial" w:eastAsia="Arial" w:hAnsi="Arial"/>
                <w:sz w:val="14"/>
                <w:szCs w:val="14"/>
                <w:b w:val="1"/>
                <w:bCs w:val="1"/>
                <w:color w:val="auto"/>
              </w:rPr>
              <w:t>and DSUs</w:t>
            </w:r>
          </w:p>
        </w:tc>
        <w:tc>
          <w:tcPr>
            <w:tcW w:w="960" w:type="dxa"/>
            <w:vAlign w:val="bottom"/>
            <w:tcBorders>
              <w:bottom w:val="single" w:sz="8" w:color="B2B2B2"/>
            </w:tcBorders>
          </w:tcPr>
          <w:p>
            <w:pPr>
              <w:ind w:left="80"/>
              <w:spacing w:after="0"/>
              <w:rPr>
                <w:sz w:val="20"/>
                <w:szCs w:val="20"/>
                <w:color w:val="auto"/>
              </w:rPr>
            </w:pPr>
            <w:r>
              <w:rPr>
                <w:rFonts w:ascii="Arial" w:cs="Arial" w:eastAsia="Arial" w:hAnsi="Arial"/>
                <w:sz w:val="14"/>
                <w:szCs w:val="14"/>
                <w:b w:val="1"/>
                <w:bCs w:val="1"/>
                <w:color w:val="auto"/>
              </w:rPr>
              <w:t>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31"/>
        </w:trPr>
        <w:tc>
          <w:tcPr>
            <w:tcW w:w="278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w w:val="98"/>
              </w:rPr>
              <w:t>RSUs</w:t>
            </w:r>
          </w:p>
        </w:tc>
        <w:tc>
          <w:tcPr>
            <w:tcW w:w="16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DSUs</w:t>
            </w:r>
          </w:p>
        </w:tc>
        <w:tc>
          <w:tcPr>
            <w:tcW w:w="1360" w:type="dxa"/>
            <w:vAlign w:val="bottom"/>
          </w:tcPr>
          <w:p>
            <w:pPr>
              <w:ind w:left="20"/>
              <w:spacing w:after="0"/>
              <w:rPr>
                <w:sz w:val="20"/>
                <w:szCs w:val="20"/>
                <w:color w:val="auto"/>
              </w:rPr>
            </w:pPr>
            <w:r>
              <w:rPr>
                <w:rFonts w:ascii="Arial" w:cs="Arial" w:eastAsia="Arial" w:hAnsi="Arial"/>
                <w:sz w:val="14"/>
                <w:szCs w:val="14"/>
                <w:color w:val="auto"/>
              </w:rPr>
              <w:t>Options</w:t>
            </w: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2780" w:type="dxa"/>
            <w:vAlign w:val="bottom"/>
          </w:tcPr>
          <w:p>
            <w:pPr>
              <w:ind w:left="1800"/>
              <w:spacing w:after="0"/>
              <w:rPr>
                <w:sz w:val="20"/>
                <w:szCs w:val="20"/>
                <w:color w:val="auto"/>
              </w:rPr>
            </w:pPr>
            <w:r>
              <w:rPr>
                <w:rFonts w:ascii="Arial" w:cs="Arial" w:eastAsia="Arial" w:hAnsi="Arial"/>
                <w:sz w:val="14"/>
                <w:szCs w:val="14"/>
                <w:color w:val="auto"/>
              </w:rPr>
              <w:t>–</w:t>
            </w:r>
          </w:p>
        </w:tc>
        <w:tc>
          <w:tcPr>
            <w:tcW w:w="980" w:type="dxa"/>
            <w:vAlign w:val="bottom"/>
          </w:tcPr>
          <w:p>
            <w:pPr>
              <w:ind w:left="90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760" w:type="dxa"/>
            <w:vAlign w:val="bottom"/>
          </w:tcPr>
          <w:p>
            <w:pPr>
              <w:ind w:left="20"/>
              <w:spacing w:after="0"/>
              <w:rPr>
                <w:sz w:val="20"/>
                <w:szCs w:val="20"/>
                <w:color w:val="auto"/>
              </w:rPr>
            </w:pPr>
            <w:r>
              <w:rPr>
                <w:rFonts w:ascii="Arial" w:cs="Arial" w:eastAsia="Arial" w:hAnsi="Arial"/>
                <w:sz w:val="14"/>
                <w:szCs w:val="14"/>
                <w:color w:val="auto"/>
              </w:rPr>
              <w:t>13,350</w:t>
            </w:r>
          </w:p>
        </w:tc>
        <w:tc>
          <w:tcPr>
            <w:tcW w:w="1360" w:type="dxa"/>
            <w:vAlign w:val="bottom"/>
          </w:tcPr>
          <w:p>
            <w:pPr>
              <w:ind w:left="240"/>
              <w:spacing w:after="0"/>
              <w:rPr>
                <w:sz w:val="20"/>
                <w:szCs w:val="20"/>
                <w:color w:val="auto"/>
              </w:rPr>
            </w:pPr>
            <w:r>
              <w:rPr>
                <w:rFonts w:ascii="Arial" w:cs="Arial" w:eastAsia="Arial" w:hAnsi="Arial"/>
                <w:sz w:val="14"/>
                <w:szCs w:val="14"/>
                <w:color w:val="auto"/>
              </w:rPr>
              <w:t>–   13,350</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278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30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96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2780" w:type="dxa"/>
            <w:vAlign w:val="bottom"/>
          </w:tcPr>
          <w:p>
            <w:pPr>
              <w:ind w:left="1800"/>
              <w:spacing w:after="0"/>
              <w:rPr>
                <w:sz w:val="20"/>
                <w:szCs w:val="20"/>
                <w:color w:val="auto"/>
              </w:rPr>
            </w:pPr>
            <w:r>
              <w:rPr>
                <w:rFonts w:ascii="Arial" w:cs="Arial" w:eastAsia="Arial" w:hAnsi="Arial"/>
                <w:sz w:val="14"/>
                <w:szCs w:val="14"/>
                <w:i w:val="1"/>
                <w:iCs w:val="1"/>
                <w:color w:val="auto"/>
              </w:rPr>
              <w:t>–</w:t>
            </w:r>
          </w:p>
        </w:tc>
        <w:tc>
          <w:tcPr>
            <w:tcW w:w="980" w:type="dxa"/>
            <w:vAlign w:val="bottom"/>
          </w:tcPr>
          <w:p>
            <w:pPr>
              <w:ind w:left="90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760" w:type="dxa"/>
            <w:vAlign w:val="bottom"/>
          </w:tcPr>
          <w:p>
            <w:pPr>
              <w:ind w:left="20"/>
              <w:spacing w:after="0"/>
              <w:rPr>
                <w:sz w:val="20"/>
                <w:szCs w:val="20"/>
                <w:color w:val="auto"/>
              </w:rPr>
            </w:pPr>
            <w:r>
              <w:rPr>
                <w:rFonts w:ascii="Arial" w:cs="Arial" w:eastAsia="Arial" w:hAnsi="Arial"/>
                <w:sz w:val="14"/>
                <w:szCs w:val="14"/>
                <w:i w:val="1"/>
                <w:iCs w:val="1"/>
                <w:color w:val="auto"/>
              </w:rPr>
              <w:t>$1,167,191</w:t>
            </w:r>
          </w:p>
        </w:tc>
        <w:tc>
          <w:tcPr>
            <w:tcW w:w="1360" w:type="dxa"/>
            <w:vAlign w:val="bottom"/>
          </w:tcPr>
          <w:p>
            <w:pPr>
              <w:ind w:left="240"/>
              <w:spacing w:after="0"/>
              <w:rPr>
                <w:sz w:val="20"/>
                <w:szCs w:val="20"/>
                <w:color w:val="auto"/>
              </w:rPr>
            </w:pPr>
            <w:r>
              <w:rPr>
                <w:rFonts w:ascii="Arial" w:cs="Arial" w:eastAsia="Arial" w:hAnsi="Arial"/>
                <w:sz w:val="14"/>
                <w:szCs w:val="14"/>
                <w:color w:val="auto"/>
              </w:rPr>
              <w:t>–</w:t>
            </w:r>
          </w:p>
        </w:tc>
        <w:tc>
          <w:tcPr>
            <w:tcW w:w="960" w:type="dxa"/>
            <w:vAlign w:val="bottom"/>
          </w:tcPr>
          <w:p>
            <w:pPr>
              <w:ind w:left="80"/>
              <w:spacing w:after="0"/>
              <w:rPr>
                <w:sz w:val="20"/>
                <w:szCs w:val="20"/>
                <w:color w:val="auto"/>
              </w:rPr>
            </w:pPr>
            <w:r>
              <w:rPr>
                <w:rFonts w:ascii="Arial" w:cs="Arial" w:eastAsia="Arial" w:hAnsi="Arial"/>
                <w:sz w:val="14"/>
                <w:szCs w:val="14"/>
                <w:i w:val="1"/>
                <w:iCs w:val="1"/>
                <w:color w:val="auto"/>
              </w:rPr>
              <w:t>$1,167,191</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4.7x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149225</wp:posOffset>
            </wp:positionV>
            <wp:extent cx="69297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180"/>
            <w:col w:w="8660"/>
          </w:cols>
          <w:pgMar w:left="480" w:top="361" w:right="499" w:bottom="1440" w:gutter="0" w:footer="0" w:header="0"/>
          <w:type w:val="continuous"/>
        </w:sectPr>
      </w:pPr>
    </w:p>
    <w:p>
      <w:pPr>
        <w:spacing w:after="0" w:line="6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20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361" w:right="499" w:bottom="144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LaVerne Council</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64</w:t>
      </w:r>
    </w:p>
    <w:p>
      <w:pPr>
        <w:spacing w:after="0" w:line="64" w:lineRule="exact"/>
        <w:rPr>
          <w:sz w:val="20"/>
          <w:szCs w:val="20"/>
          <w:color w:val="auto"/>
        </w:rPr>
      </w:pPr>
    </w:p>
    <w:p>
      <w:pPr>
        <w:ind w:left="100"/>
        <w:spacing w:after="0" w:line="343" w:lineRule="auto"/>
        <w:rPr>
          <w:sz w:val="20"/>
          <w:szCs w:val="20"/>
          <w:color w:val="auto"/>
        </w:rPr>
      </w:pPr>
      <w:r>
        <w:rPr>
          <w:rFonts w:ascii="Arial" w:cs="Arial" w:eastAsia="Arial" w:hAnsi="Arial"/>
          <w:sz w:val="13"/>
          <w:szCs w:val="13"/>
          <w:color w:val="auto"/>
        </w:rPr>
        <w:t>Great Falls, Virginia, United States Director since January 2022 Independent</w:t>
      </w:r>
    </w:p>
    <w:p>
      <w:pPr>
        <w:spacing w:after="0" w:line="1" w:lineRule="exact"/>
        <w:rPr>
          <w:sz w:val="20"/>
          <w:szCs w:val="20"/>
          <w:color w:val="auto"/>
        </w:rPr>
      </w:pPr>
    </w:p>
    <w:p>
      <w:pPr>
        <w:ind w:left="100" w:right="440"/>
        <w:spacing w:after="0" w:line="256" w:lineRule="auto"/>
        <w:rPr>
          <w:sz w:val="20"/>
          <w:szCs w:val="20"/>
          <w:color w:val="auto"/>
        </w:rPr>
      </w:pPr>
      <w:r>
        <w:rPr>
          <w:rFonts w:ascii="Arial" w:cs="Arial" w:eastAsia="Arial" w:hAnsi="Arial"/>
          <w:sz w:val="13"/>
          <w:szCs w:val="13"/>
          <w:color w:val="auto"/>
        </w:rPr>
        <w:t>Primary areas of expertise: technology, operations, transformational change</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99.89%</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LaVerne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-271780</wp:posOffset>
            </wp:positionV>
            <wp:extent cx="7176135" cy="3456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456305"/>
                    </a:xfrm>
                    <a:prstGeom prst="rect">
                      <a:avLst/>
                    </a:prstGeom>
                    <a:noFill/>
                  </pic:spPr>
                </pic:pic>
              </a:graphicData>
            </a:graphic>
          </wp:anchor>
        </w:drawing>
      </w:r>
    </w:p>
    <w:p>
      <w:pPr>
        <w:spacing w:after="0" w:line="23" w:lineRule="exact"/>
        <w:rPr>
          <w:sz w:val="20"/>
          <w:szCs w:val="20"/>
          <w:color w:val="auto"/>
        </w:rPr>
      </w:pPr>
    </w:p>
    <w:p>
      <w:pPr>
        <w:ind w:left="40" w:right="20"/>
        <w:spacing w:after="0" w:line="243" w:lineRule="auto"/>
        <w:rPr>
          <w:sz w:val="20"/>
          <w:szCs w:val="20"/>
          <w:color w:val="auto"/>
        </w:rPr>
      </w:pPr>
      <w:r>
        <w:rPr>
          <w:rFonts w:ascii="Arial" w:cs="Arial" w:eastAsia="Arial" w:hAnsi="Arial"/>
          <w:sz w:val="14"/>
          <w:szCs w:val="14"/>
          <w:color w:val="auto"/>
        </w:rPr>
        <w:t>LaVerne Council is the Chief Executive Officer of Emerald One, LLC, an information technology consulting company focused on helping businesses develop innovative methodologies for driving change and transformation. She was the National Managing Principal, Enterprise Technology Strategy &amp; Innovation, for Grant Thornton LLP from 2017 to 2019 and served as the Senior Vice President and General Manager for MITRE Corporation in 2017. LaVerne was Assistant Secretary for the Office of Information &amp; Technology and Chief Information Officer for the United States Department of Veterans Affairs from 2015 to 2017. She was the Chief Executive Officer of Council Advisory Services, LLC from 2012 through 2015. LaVerne has also held significant corporate leadership roles focused on supply chain, IT centralization and integration. She served as the Corporate Vice President and Global Chief Information Officer for Johnson &amp; Johnson from 2006 through 2011. Before that, she served in several roles of increasing responsibility at DELL, Inc. from 2000 to 2006, including as the Global Vice President, Information Technology, Global Business Solutions, and Development Services. She received her Master of Business Administration from Illinois State University and her Bachelor of Business Administration in Computer Science from Western Illinois University. LaVerne also holds an honorary Doctorate of Business Administration from Drexel University.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Board/committee</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56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membership</w:t>
            </w:r>
          </w:p>
        </w:tc>
        <w:tc>
          <w:tcPr>
            <w:tcW w:w="2400" w:type="dxa"/>
            <w:vAlign w:val="bottom"/>
            <w:tcBorders>
              <w:bottom w:val="single" w:sz="8" w:color="B2B2B2"/>
            </w:tcBorders>
            <w:gridSpan w:val="4"/>
          </w:tcPr>
          <w:p>
            <w:pPr>
              <w:ind w:left="1220"/>
              <w:spacing w:after="0"/>
              <w:rPr>
                <w:sz w:val="20"/>
                <w:szCs w:val="20"/>
                <w:color w:val="auto"/>
              </w:rPr>
            </w:pPr>
            <w:r>
              <w:rPr>
                <w:rFonts w:ascii="Arial" w:cs="Arial" w:eastAsia="Arial" w:hAnsi="Arial"/>
                <w:sz w:val="14"/>
                <w:szCs w:val="14"/>
                <w:b w:val="1"/>
                <w:bCs w:val="1"/>
                <w:color w:val="auto"/>
              </w:rPr>
              <w:t>2025 attendance</w:t>
            </w:r>
          </w:p>
        </w:tc>
        <w:tc>
          <w:tcPr>
            <w:tcW w:w="3680" w:type="dxa"/>
            <w:vAlign w:val="bottom"/>
            <w:tcBorders>
              <w:bottom w:val="single" w:sz="8" w:color="B2B2B2"/>
            </w:tcBorders>
            <w:gridSpan w:val="5"/>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2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00" w:type="dxa"/>
            <w:vAlign w:val="bottom"/>
            <w:gridSpan w:val="2"/>
          </w:tcPr>
          <w:p>
            <w:pPr>
              <w:ind w:left="122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2320" w:type="dxa"/>
            <w:vAlign w:val="bottom"/>
            <w:gridSpan w:val="4"/>
          </w:tcPr>
          <w:p>
            <w:pPr>
              <w:ind w:left="20"/>
              <w:spacing w:after="0"/>
              <w:rPr>
                <w:sz w:val="20"/>
                <w:szCs w:val="20"/>
                <w:color w:val="auto"/>
              </w:rPr>
            </w:pPr>
            <w:r>
              <w:rPr>
                <w:rFonts w:ascii="Arial" w:cs="Arial" w:eastAsia="Arial" w:hAnsi="Arial"/>
                <w:sz w:val="14"/>
                <w:szCs w:val="14"/>
                <w:color w:val="auto"/>
              </w:rPr>
              <w:t>CONMED Corporation</w:t>
            </w:r>
          </w:p>
        </w:tc>
        <w:tc>
          <w:tcPr>
            <w:tcW w:w="1360" w:type="dxa"/>
            <w:vAlign w:val="bottom"/>
          </w:tcPr>
          <w:p>
            <w:pPr>
              <w:spacing w:after="0"/>
              <w:rPr>
                <w:sz w:val="23"/>
                <w:szCs w:val="23"/>
                <w:color w:val="auto"/>
              </w:rPr>
            </w:pPr>
          </w:p>
        </w:tc>
      </w:tr>
      <w:tr>
        <w:trPr>
          <w:trHeight w:val="321"/>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gridSpan w:val="2"/>
          </w:tcPr>
          <w:p>
            <w:pPr>
              <w:ind w:left="1220"/>
              <w:spacing w:after="0"/>
              <w:rPr>
                <w:sz w:val="20"/>
                <w:szCs w:val="20"/>
                <w:color w:val="auto"/>
              </w:rPr>
            </w:pPr>
            <w:r>
              <w:rPr>
                <w:rFonts w:ascii="Arial" w:cs="Arial" w:eastAsia="Arial" w:hAnsi="Arial"/>
                <w:sz w:val="14"/>
                <w:szCs w:val="14"/>
                <w:color w:val="auto"/>
              </w:rPr>
              <w:t>7 of 7</w:t>
            </w:r>
          </w:p>
        </w:tc>
        <w:tc>
          <w:tcPr>
            <w:tcW w:w="1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2320" w:type="dxa"/>
            <w:vAlign w:val="bottom"/>
            <w:gridSpan w:val="4"/>
          </w:tcPr>
          <w:p>
            <w:pPr>
              <w:ind w:left="20"/>
              <w:spacing w:after="0"/>
              <w:rPr>
                <w:sz w:val="20"/>
                <w:szCs w:val="20"/>
                <w:color w:val="auto"/>
              </w:rPr>
            </w:pPr>
            <w:r>
              <w:rPr>
                <w:rFonts w:ascii="Arial" w:cs="Arial" w:eastAsia="Arial" w:hAnsi="Arial"/>
                <w:sz w:val="14"/>
                <w:szCs w:val="14"/>
                <w:color w:val="auto"/>
              </w:rPr>
              <w:t>Concentrix Corporation</w:t>
            </w:r>
          </w:p>
        </w:tc>
        <w:tc>
          <w:tcPr>
            <w:tcW w:w="1360" w:type="dxa"/>
            <w:vAlign w:val="bottom"/>
          </w:tcPr>
          <w:p>
            <w:pPr>
              <w:spacing w:after="0"/>
              <w:rPr>
                <w:sz w:val="24"/>
                <w:szCs w:val="24"/>
                <w:color w:val="auto"/>
              </w:rPr>
            </w:pPr>
          </w:p>
        </w:tc>
      </w:tr>
      <w:tr>
        <w:trPr>
          <w:trHeight w:val="321"/>
        </w:trPr>
        <w:tc>
          <w:tcPr>
            <w:tcW w:w="340" w:type="dxa"/>
            <w:vAlign w:val="bottom"/>
            <w:gridSpan w:val="2"/>
          </w:tcPr>
          <w:p>
            <w:pPr>
              <w:ind w:left="40"/>
              <w:spacing w:after="0"/>
              <w:rPr>
                <w:sz w:val="20"/>
                <w:szCs w:val="20"/>
                <w:color w:val="auto"/>
              </w:rPr>
            </w:pPr>
            <w:r>
              <w:rPr>
                <w:rFonts w:ascii="Arial" w:cs="Arial" w:eastAsia="Arial" w:hAnsi="Arial"/>
                <w:sz w:val="14"/>
                <w:szCs w:val="14"/>
                <w:color w:val="auto"/>
              </w:rPr>
              <w:t>Risk</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gridSpan w:val="2"/>
          </w:tcPr>
          <w:p>
            <w:pPr>
              <w:ind w:left="1220"/>
              <w:spacing w:after="0"/>
              <w:rPr>
                <w:sz w:val="20"/>
                <w:szCs w:val="20"/>
                <w:color w:val="auto"/>
              </w:rPr>
            </w:pPr>
            <w:r>
              <w:rPr>
                <w:rFonts w:ascii="Arial" w:cs="Arial" w:eastAsia="Arial" w:hAnsi="Arial"/>
                <w:sz w:val="14"/>
                <w:szCs w:val="14"/>
                <w:color w:val="auto"/>
              </w:rPr>
              <w:t>4 of 4</w:t>
            </w:r>
          </w:p>
        </w:tc>
        <w:tc>
          <w:tcPr>
            <w:tcW w:w="1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460" w:type="dxa"/>
            <w:vAlign w:val="bottom"/>
            <w:tcBorders>
              <w:bottom w:val="single" w:sz="8" w:color="B2B2B2"/>
            </w:tcBorders>
            <w:gridSpan w:val="3"/>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840" w:type="dxa"/>
            <w:vAlign w:val="bottom"/>
            <w:tcBorders>
              <w:bottom w:val="single" w:sz="8" w:color="B2B2B2"/>
            </w:tcBorders>
          </w:tcPr>
          <w:p>
            <w:pPr>
              <w:spacing w:after="0"/>
              <w:rPr>
                <w:sz w:val="4"/>
                <w:szCs w:val="4"/>
                <w:color w:val="auto"/>
              </w:rPr>
            </w:pPr>
          </w:p>
        </w:tc>
        <w:tc>
          <w:tcPr>
            <w:tcW w:w="1760" w:type="dxa"/>
            <w:vAlign w:val="bottom"/>
            <w:tcBorders>
              <w:bottom w:val="single" w:sz="8" w:color="B2B2B2"/>
            </w:tcBorders>
            <w:gridSpan w:val="3"/>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1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60" w:type="dxa"/>
            <w:vAlign w:val="bottom"/>
            <w:gridSpan w:val="3"/>
          </w:tcPr>
          <w:p>
            <w:pPr>
              <w:ind w:left="1220"/>
              <w:spacing w:after="0"/>
              <w:rPr>
                <w:sz w:val="20"/>
                <w:szCs w:val="20"/>
                <w:color w:val="auto"/>
              </w:rPr>
            </w:pPr>
            <w:r>
              <w:rPr>
                <w:rFonts w:ascii="Arial" w:cs="Arial" w:eastAsia="Arial" w:hAnsi="Arial"/>
                <w:sz w:val="14"/>
                <w:szCs w:val="14"/>
                <w:b w:val="1"/>
                <w:bCs w:val="1"/>
                <w:color w:val="auto"/>
                <w:w w:val="99"/>
              </w:rPr>
              <w:t>17 of 17</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560" w:type="dxa"/>
            <w:vAlign w:val="bottom"/>
            <w:tcBorders>
              <w:bottom w:val="single" w:sz="8" w:color="B2B2B2"/>
            </w:tcBorders>
            <w:gridSpan w:val="5"/>
          </w:tcPr>
          <w:p>
            <w:pPr>
              <w:spacing w:after="0"/>
              <w:rPr>
                <w:sz w:val="7"/>
                <w:szCs w:val="7"/>
                <w:color w:val="auto"/>
              </w:rPr>
            </w:pPr>
          </w:p>
        </w:tc>
        <w:tc>
          <w:tcPr>
            <w:tcW w:w="1300" w:type="dxa"/>
            <w:vAlign w:val="bottom"/>
            <w:tcBorders>
              <w:bottom w:val="single" w:sz="8" w:color="B2B2B2"/>
            </w:tcBorders>
          </w:tcPr>
          <w:p>
            <w:pPr>
              <w:spacing w:after="0"/>
              <w:rPr>
                <w:sz w:val="7"/>
                <w:szCs w:val="7"/>
                <w:color w:val="auto"/>
              </w:rPr>
            </w:pPr>
          </w:p>
        </w:tc>
        <w:tc>
          <w:tcPr>
            <w:tcW w:w="300" w:type="dxa"/>
            <w:vAlign w:val="bottom"/>
            <w:tcBorders>
              <w:bottom w:val="single" w:sz="8" w:color="B2B2B2"/>
            </w:tcBorders>
          </w:tcPr>
          <w:p>
            <w:pPr>
              <w:spacing w:after="0"/>
              <w:rPr>
                <w:sz w:val="7"/>
                <w:szCs w:val="7"/>
                <w:color w:val="auto"/>
              </w:rPr>
            </w:pPr>
          </w:p>
        </w:tc>
        <w:tc>
          <w:tcPr>
            <w:tcW w:w="160" w:type="dxa"/>
            <w:vAlign w:val="bottom"/>
            <w:tcBorders>
              <w:bottom w:val="single" w:sz="8" w:color="B2B2B2"/>
            </w:tcBorders>
          </w:tcPr>
          <w:p>
            <w:pPr>
              <w:spacing w:after="0"/>
              <w:rPr>
                <w:sz w:val="7"/>
                <w:szCs w:val="7"/>
                <w:color w:val="auto"/>
              </w:rPr>
            </w:pPr>
          </w:p>
        </w:tc>
        <w:tc>
          <w:tcPr>
            <w:tcW w:w="640" w:type="dxa"/>
            <w:vAlign w:val="bottom"/>
            <w:tcBorders>
              <w:bottom w:val="single" w:sz="8" w:color="B2B2B2"/>
            </w:tcBorders>
          </w:tcPr>
          <w:p>
            <w:pPr>
              <w:spacing w:after="0"/>
              <w:rPr>
                <w:sz w:val="7"/>
                <w:szCs w:val="7"/>
                <w:color w:val="auto"/>
              </w:rPr>
            </w:pPr>
          </w:p>
        </w:tc>
        <w:tc>
          <w:tcPr>
            <w:tcW w:w="120" w:type="dxa"/>
            <w:vAlign w:val="bottom"/>
            <w:tcBorders>
              <w:bottom w:val="single" w:sz="8" w:color="B2B2B2"/>
            </w:tcBorders>
          </w:tcPr>
          <w:p>
            <w:pPr>
              <w:spacing w:after="0"/>
              <w:rPr>
                <w:sz w:val="7"/>
                <w:szCs w:val="7"/>
                <w:color w:val="auto"/>
              </w:rPr>
            </w:pPr>
          </w:p>
        </w:tc>
        <w:tc>
          <w:tcPr>
            <w:tcW w:w="240" w:type="dxa"/>
            <w:vAlign w:val="bottom"/>
            <w:tcBorders>
              <w:bottom w:val="single" w:sz="8" w:color="B2B2B2"/>
            </w:tcBorders>
          </w:tcPr>
          <w:p>
            <w:pPr>
              <w:spacing w:after="0"/>
              <w:rPr>
                <w:sz w:val="7"/>
                <w:szCs w:val="7"/>
                <w:color w:val="auto"/>
              </w:rPr>
            </w:pPr>
          </w:p>
        </w:tc>
        <w:tc>
          <w:tcPr>
            <w:tcW w:w="18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Securities held</w:t>
            </w: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256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(number and value)</w:t>
            </w:r>
          </w:p>
        </w:tc>
        <w:tc>
          <w:tcPr>
            <w:tcW w:w="1300" w:type="dxa"/>
            <w:vAlign w:val="bottom"/>
            <w:tcBorders>
              <w:bottom w:val="single" w:sz="8" w:color="B2B2B2"/>
            </w:tcBorders>
          </w:tcPr>
          <w:p>
            <w:pPr>
              <w:spacing w:after="0"/>
              <w:rPr>
                <w:sz w:val="17"/>
                <w:szCs w:val="17"/>
                <w:color w:val="auto"/>
              </w:rPr>
            </w:pPr>
          </w:p>
        </w:tc>
        <w:tc>
          <w:tcPr>
            <w:tcW w:w="3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6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180" w:type="dxa"/>
            <w:vAlign w:val="bottom"/>
            <w:tcBorders>
              <w:bottom w:val="single" w:sz="8" w:color="B2B2B2"/>
            </w:tcBorders>
          </w:tcPr>
          <w:p>
            <w:pPr>
              <w:spacing w:after="0"/>
              <w:rPr>
                <w:sz w:val="17"/>
                <w:szCs w:val="17"/>
                <w:color w:val="auto"/>
              </w:rPr>
            </w:pPr>
          </w:p>
        </w:tc>
        <w:tc>
          <w:tcPr>
            <w:tcW w:w="178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and DSUs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31"/>
        </w:trPr>
        <w:tc>
          <w:tcPr>
            <w:tcW w:w="2560" w:type="dxa"/>
            <w:vAlign w:val="bottom"/>
            <w:gridSpan w:val="5"/>
          </w:tcPr>
          <w:p>
            <w:pPr>
              <w:ind w:left="40"/>
              <w:spacing w:after="0"/>
              <w:rPr>
                <w:sz w:val="20"/>
                <w:szCs w:val="20"/>
                <w:color w:val="auto"/>
              </w:rPr>
            </w:pPr>
            <w:r>
              <w:rPr>
                <w:rFonts w:ascii="Arial" w:cs="Arial" w:eastAsia="Arial" w:hAnsi="Arial"/>
                <w:sz w:val="14"/>
                <w:szCs w:val="14"/>
                <w:color w:val="auto"/>
              </w:rPr>
              <w:t>Common shares</w:t>
            </w:r>
          </w:p>
        </w:tc>
        <w:tc>
          <w:tcPr>
            <w:tcW w:w="1600" w:type="dxa"/>
            <w:vAlign w:val="bottom"/>
            <w:gridSpan w:val="2"/>
          </w:tcPr>
          <w:p>
            <w:pPr>
              <w:ind w:left="1220"/>
              <w:spacing w:after="0"/>
              <w:rPr>
                <w:sz w:val="20"/>
                <w:szCs w:val="20"/>
                <w:color w:val="auto"/>
              </w:rPr>
            </w:pPr>
            <w:r>
              <w:rPr>
                <w:rFonts w:ascii="Arial" w:cs="Arial" w:eastAsia="Arial" w:hAnsi="Arial"/>
                <w:sz w:val="14"/>
                <w:szCs w:val="14"/>
                <w:color w:val="auto"/>
                <w:w w:val="98"/>
              </w:rPr>
              <w:t>RSUs</w:t>
            </w:r>
          </w:p>
        </w:tc>
        <w:tc>
          <w:tcPr>
            <w:tcW w:w="16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DSUs</w:t>
            </w:r>
          </w:p>
        </w:tc>
        <w:tc>
          <w:tcPr>
            <w:tcW w:w="540" w:type="dxa"/>
            <w:vAlign w:val="bottom"/>
            <w:gridSpan w:val="3"/>
          </w:tcPr>
          <w:p>
            <w:pPr>
              <w:ind w:left="20"/>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200" w:type="dxa"/>
            <w:vAlign w:val="bottom"/>
          </w:tcPr>
          <w:p>
            <w:pPr>
              <w:ind w:left="40"/>
              <w:spacing w:after="0"/>
              <w:rPr>
                <w:sz w:val="20"/>
                <w:szCs w:val="20"/>
                <w:color w:val="auto"/>
              </w:rPr>
            </w:pPr>
            <w:r>
              <w:rPr>
                <w:rFonts w:ascii="Arial" w:cs="Arial" w:eastAsia="Arial" w:hAnsi="Arial"/>
                <w:sz w:val="14"/>
                <w:szCs w:val="14"/>
                <w:i w:val="1"/>
                <w:iCs w:val="1"/>
                <w:color w:val="auto"/>
                <w:w w:val="85"/>
              </w:rPr>
              <w:t>  </w:t>
            </w:r>
          </w:p>
        </w:tc>
        <w:tc>
          <w:tcPr>
            <w:tcW w:w="120" w:type="dxa"/>
            <w:vAlign w:val="bottom"/>
          </w:tcPr>
          <w:p>
            <w:pPr>
              <w:ind w:left="20"/>
              <w:spacing w:after="0"/>
              <w:rPr>
                <w:sz w:val="20"/>
                <w:szCs w:val="20"/>
                <w:color w:val="auto"/>
              </w:rPr>
            </w:pPr>
            <w:r>
              <w:rPr>
                <w:rFonts w:ascii="Arial" w:cs="Arial" w:eastAsia="Arial" w:hAnsi="Arial"/>
                <w:sz w:val="9"/>
                <w:szCs w:val="9"/>
                <w:i w:val="1"/>
                <w:iCs w:val="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i w:val="1"/>
                <w:iCs w:val="1"/>
                <w:color w:val="auto"/>
                <w:w w:val="74"/>
              </w:rPr>
              <w:t> – </w:t>
            </w:r>
          </w:p>
        </w:tc>
        <w:tc>
          <w:tcPr>
            <w:tcW w:w="184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1300" w:type="dxa"/>
            <w:vAlign w:val="bottom"/>
          </w:tcPr>
          <w:p>
            <w:pPr>
              <w:ind w:left="122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640" w:type="dxa"/>
            <w:vAlign w:val="bottom"/>
          </w:tcPr>
          <w:p>
            <w:pPr>
              <w:ind w:left="20"/>
              <w:spacing w:after="0"/>
              <w:rPr>
                <w:sz w:val="20"/>
                <w:szCs w:val="20"/>
                <w:color w:val="auto"/>
              </w:rPr>
            </w:pPr>
            <w:r>
              <w:rPr>
                <w:rFonts w:ascii="Arial" w:cs="Arial" w:eastAsia="Arial" w:hAnsi="Arial"/>
                <w:sz w:val="14"/>
                <w:szCs w:val="14"/>
                <w:color w:val="auto"/>
              </w:rPr>
              <w:t>7,696</w:t>
            </w:r>
          </w:p>
        </w:tc>
        <w:tc>
          <w:tcPr>
            <w:tcW w:w="120" w:type="dxa"/>
            <w:vAlign w:val="bottom"/>
          </w:tcPr>
          <w:p>
            <w:pPr>
              <w:ind w:left="20"/>
              <w:spacing w:after="0"/>
              <w:rPr>
                <w:sz w:val="20"/>
                <w:szCs w:val="20"/>
                <w:color w:val="auto"/>
              </w:rPr>
            </w:pPr>
            <w:r>
              <w:rPr>
                <w:rFonts w:ascii="Arial" w:cs="Arial" w:eastAsia="Arial" w:hAnsi="Arial"/>
                <w:sz w:val="11"/>
                <w:szCs w:val="11"/>
                <w:i w:val="1"/>
                <w:iCs w:val="1"/>
                <w:color w:val="auto"/>
                <w:w w:val="72"/>
              </w:rPr>
              <w:t> </w:t>
            </w:r>
          </w:p>
        </w:tc>
        <w:tc>
          <w:tcPr>
            <w:tcW w:w="240" w:type="dxa"/>
            <w:vAlign w:val="bottom"/>
          </w:tcPr>
          <w:p>
            <w:pPr>
              <w:ind w:left="60"/>
              <w:spacing w:after="0"/>
              <w:rPr>
                <w:sz w:val="20"/>
                <w:szCs w:val="20"/>
                <w:color w:val="auto"/>
              </w:rPr>
            </w:pPr>
            <w:r>
              <w:rPr>
                <w:rFonts w:ascii="Arial" w:cs="Arial" w:eastAsia="Arial" w:hAnsi="Arial"/>
                <w:sz w:val="13"/>
                <w:szCs w:val="13"/>
                <w:i w:val="1"/>
                <w:iCs w:val="1"/>
                <w:color w:val="auto"/>
                <w:w w:val="71"/>
              </w:rPr>
              <w:t> – </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1780" w:type="dxa"/>
            <w:vAlign w:val="bottom"/>
          </w:tcPr>
          <w:p>
            <w:pPr>
              <w:ind w:left="20"/>
              <w:spacing w:after="0"/>
              <w:rPr>
                <w:sz w:val="20"/>
                <w:szCs w:val="20"/>
                <w:color w:val="auto"/>
              </w:rPr>
            </w:pPr>
            <w:r>
              <w:rPr>
                <w:rFonts w:ascii="Arial" w:cs="Arial" w:eastAsia="Arial" w:hAnsi="Arial"/>
                <w:sz w:val="14"/>
                <w:szCs w:val="14"/>
                <w:color w:val="auto"/>
              </w:rPr>
              <w:t>7,696</w:t>
            </w:r>
          </w:p>
        </w:tc>
        <w:tc>
          <w:tcPr>
            <w:tcW w:w="1360" w:type="dxa"/>
            <w:vAlign w:val="bottom"/>
          </w:tcPr>
          <w:p>
            <w:pPr>
              <w:spacing w:after="0"/>
              <w:rPr>
                <w:sz w:val="17"/>
                <w:szCs w:val="17"/>
                <w:color w:val="auto"/>
              </w:rPr>
            </w:pPr>
          </w:p>
        </w:tc>
      </w:tr>
      <w:tr>
        <w:trPr>
          <w:trHeight w:val="48"/>
        </w:trPr>
        <w:tc>
          <w:tcPr>
            <w:tcW w:w="14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2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840" w:type="dxa"/>
            <w:vAlign w:val="bottom"/>
            <w:tcBorders>
              <w:bottom w:val="single" w:sz="8" w:color="B2B2B2"/>
            </w:tcBorders>
          </w:tcPr>
          <w:p>
            <w:pPr>
              <w:spacing w:after="0"/>
              <w:rPr>
                <w:sz w:val="4"/>
                <w:szCs w:val="4"/>
                <w:color w:val="auto"/>
              </w:rPr>
            </w:pPr>
          </w:p>
        </w:tc>
        <w:tc>
          <w:tcPr>
            <w:tcW w:w="1300" w:type="dxa"/>
            <w:vAlign w:val="bottom"/>
            <w:tcBorders>
              <w:bottom w:val="single" w:sz="8" w:color="B2B2B2"/>
            </w:tcBorders>
          </w:tcPr>
          <w:p>
            <w:pPr>
              <w:spacing w:after="0"/>
              <w:rPr>
                <w:sz w:val="4"/>
                <w:szCs w:val="4"/>
                <w:color w:val="auto"/>
              </w:rPr>
            </w:pPr>
          </w:p>
        </w:tc>
        <w:tc>
          <w:tcPr>
            <w:tcW w:w="30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12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200" w:type="dxa"/>
            <w:vAlign w:val="bottom"/>
          </w:tcPr>
          <w:p>
            <w:pPr>
              <w:ind w:left="40"/>
              <w:spacing w:after="0"/>
              <w:rPr>
                <w:sz w:val="20"/>
                <w:szCs w:val="20"/>
                <w:color w:val="auto"/>
              </w:rPr>
            </w:pPr>
            <w:r>
              <w:rPr>
                <w:rFonts w:ascii="Arial" w:cs="Arial" w:eastAsia="Arial" w:hAnsi="Arial"/>
                <w:sz w:val="14"/>
                <w:szCs w:val="14"/>
                <w:i w:val="1"/>
                <w:iCs w:val="1"/>
                <w:color w:val="auto"/>
                <w:w w:val="85"/>
              </w:rPr>
              <w:t>  </w:t>
            </w:r>
          </w:p>
        </w:tc>
        <w:tc>
          <w:tcPr>
            <w:tcW w:w="120" w:type="dxa"/>
            <w:vAlign w:val="bottom"/>
          </w:tcPr>
          <w:p>
            <w:pPr>
              <w:ind w:left="20"/>
              <w:spacing w:after="0"/>
              <w:rPr>
                <w:sz w:val="20"/>
                <w:szCs w:val="20"/>
                <w:color w:val="auto"/>
              </w:rPr>
            </w:pPr>
            <w:r>
              <w:rPr>
                <w:rFonts w:ascii="Arial" w:cs="Arial" w:eastAsia="Arial" w:hAnsi="Arial"/>
                <w:sz w:val="9"/>
                <w:szCs w:val="9"/>
                <w:i w:val="1"/>
                <w:iCs w:val="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i w:val="1"/>
                <w:iCs w:val="1"/>
                <w:color w:val="auto"/>
                <w:w w:val="74"/>
              </w:rPr>
              <w:t> – </w:t>
            </w:r>
          </w:p>
        </w:tc>
        <w:tc>
          <w:tcPr>
            <w:tcW w:w="184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1300" w:type="dxa"/>
            <w:vAlign w:val="bottom"/>
          </w:tcPr>
          <w:p>
            <w:pPr>
              <w:ind w:left="122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640" w:type="dxa"/>
            <w:vAlign w:val="bottom"/>
          </w:tcPr>
          <w:p>
            <w:pPr>
              <w:ind w:left="20"/>
              <w:spacing w:after="0"/>
              <w:rPr>
                <w:sz w:val="20"/>
                <w:szCs w:val="20"/>
                <w:color w:val="auto"/>
              </w:rPr>
            </w:pPr>
            <w:r>
              <w:rPr>
                <w:rFonts w:ascii="Arial" w:cs="Arial" w:eastAsia="Arial" w:hAnsi="Arial"/>
                <w:sz w:val="14"/>
                <w:szCs w:val="14"/>
                <w:i w:val="1"/>
                <w:iCs w:val="1"/>
                <w:color w:val="auto"/>
              </w:rPr>
              <w:t>$672,861</w:t>
            </w:r>
          </w:p>
        </w:tc>
        <w:tc>
          <w:tcPr>
            <w:tcW w:w="120" w:type="dxa"/>
            <w:vAlign w:val="bottom"/>
          </w:tcPr>
          <w:p>
            <w:pPr>
              <w:ind w:left="20"/>
              <w:spacing w:after="0"/>
              <w:rPr>
                <w:sz w:val="20"/>
                <w:szCs w:val="20"/>
                <w:color w:val="auto"/>
              </w:rPr>
            </w:pPr>
            <w:r>
              <w:rPr>
                <w:rFonts w:ascii="Arial" w:cs="Arial" w:eastAsia="Arial" w:hAnsi="Arial"/>
                <w:sz w:val="11"/>
                <w:szCs w:val="11"/>
                <w:i w:val="1"/>
                <w:iCs w:val="1"/>
                <w:color w:val="auto"/>
                <w:w w:val="72"/>
              </w:rPr>
              <w:t> </w:t>
            </w:r>
          </w:p>
        </w:tc>
        <w:tc>
          <w:tcPr>
            <w:tcW w:w="240" w:type="dxa"/>
            <w:vAlign w:val="bottom"/>
          </w:tcPr>
          <w:p>
            <w:pPr>
              <w:ind w:left="60"/>
              <w:spacing w:after="0"/>
              <w:rPr>
                <w:sz w:val="20"/>
                <w:szCs w:val="20"/>
                <w:color w:val="auto"/>
              </w:rPr>
            </w:pPr>
            <w:r>
              <w:rPr>
                <w:rFonts w:ascii="Arial" w:cs="Arial" w:eastAsia="Arial" w:hAnsi="Arial"/>
                <w:sz w:val="13"/>
                <w:szCs w:val="13"/>
                <w:i w:val="1"/>
                <w:iCs w:val="1"/>
                <w:color w:val="auto"/>
                <w:w w:val="71"/>
              </w:rPr>
              <w:t> – </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1780" w:type="dxa"/>
            <w:vAlign w:val="bottom"/>
          </w:tcPr>
          <w:p>
            <w:pPr>
              <w:jc w:val="right"/>
              <w:ind w:right="229"/>
              <w:spacing w:after="0"/>
              <w:rPr>
                <w:sz w:val="20"/>
                <w:szCs w:val="20"/>
                <w:color w:val="auto"/>
              </w:rPr>
            </w:pPr>
            <w:r>
              <w:rPr>
                <w:rFonts w:ascii="Arial" w:cs="Arial" w:eastAsia="Arial" w:hAnsi="Arial"/>
                <w:sz w:val="14"/>
                <w:szCs w:val="14"/>
                <w:i w:val="1"/>
                <w:iCs w:val="1"/>
                <w:color w:val="auto"/>
              </w:rPr>
              <w:t>$672,861</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2.7x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200025</wp:posOffset>
            </wp:positionV>
            <wp:extent cx="6929755" cy="27343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27343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140"/>
            <w:col w:w="8640"/>
          </w:cols>
          <w:pgMar w:left="480" w:top="36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Michael Friisdahl</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63</w:t>
      </w:r>
    </w:p>
    <w:p>
      <w:pPr>
        <w:spacing w:after="0" w:line="64" w:lineRule="exact"/>
        <w:rPr>
          <w:sz w:val="20"/>
          <w:szCs w:val="20"/>
          <w:color w:val="auto"/>
        </w:rPr>
      </w:pPr>
    </w:p>
    <w:p>
      <w:pPr>
        <w:ind w:left="100"/>
        <w:spacing w:after="0" w:line="343" w:lineRule="auto"/>
        <w:rPr>
          <w:sz w:val="20"/>
          <w:szCs w:val="20"/>
          <w:color w:val="auto"/>
        </w:rPr>
      </w:pPr>
      <w:r>
        <w:rPr>
          <w:rFonts w:ascii="Arial" w:cs="Arial" w:eastAsia="Arial" w:hAnsi="Arial"/>
          <w:sz w:val="13"/>
          <w:szCs w:val="13"/>
          <w:color w:val="auto"/>
        </w:rPr>
        <w:t>Boca Raton, Florida, United States Director since 2025 Non-independent</w:t>
      </w:r>
    </w:p>
    <w:p>
      <w:pPr>
        <w:spacing w:after="0" w:line="1" w:lineRule="exact"/>
        <w:rPr>
          <w:sz w:val="20"/>
          <w:szCs w:val="20"/>
          <w:color w:val="auto"/>
        </w:rPr>
      </w:pPr>
    </w:p>
    <w:p>
      <w:pPr>
        <w:ind w:left="100" w:right="260"/>
        <w:spacing w:after="0" w:line="256" w:lineRule="auto"/>
        <w:rPr>
          <w:sz w:val="20"/>
          <w:szCs w:val="20"/>
          <w:color w:val="auto"/>
        </w:rPr>
      </w:pPr>
      <w:r>
        <w:rPr>
          <w:rFonts w:ascii="Arial" w:cs="Arial" w:eastAsia="Arial" w:hAnsi="Arial"/>
          <w:sz w:val="13"/>
          <w:szCs w:val="13"/>
          <w:color w:val="auto"/>
        </w:rPr>
        <w:t>Primary areas of expertise: executive leadership, strategy, media</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98.17%</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Michael Friisdahl</w:t>
      </w:r>
    </w:p>
    <w:p>
      <w:pPr>
        <w:spacing w:after="0" w:line="43" w:lineRule="exact"/>
        <w:rPr>
          <w:sz w:val="20"/>
          <w:szCs w:val="20"/>
          <w:color w:val="auto"/>
        </w:rPr>
      </w:pPr>
    </w:p>
    <w:p>
      <w:pPr>
        <w:ind w:left="40" w:right="100"/>
        <w:spacing w:after="0" w:line="247" w:lineRule="auto"/>
        <w:rPr>
          <w:sz w:val="20"/>
          <w:szCs w:val="20"/>
          <w:color w:val="auto"/>
        </w:rPr>
      </w:pPr>
      <w:r>
        <w:rPr>
          <w:rFonts w:ascii="Arial" w:cs="Arial" w:eastAsia="Arial" w:hAnsi="Arial"/>
          <w:sz w:val="14"/>
          <w:szCs w:val="14"/>
          <w:color w:val="auto"/>
        </w:rPr>
        <w:t>Michael Friisdahl is a corporate director. From January 2022 until October 2023, he was the Executive Chairman of Signature Aviation, a global network of private aviation terminals and services. From 2015 to 2022, Michael was the President and CEO of Maple Leaf Sports &amp; Entertainment (MLSE), a diversified sports and entertainment company based in Toronto. Prior to that, he was also Chief Executive Officer of Air Canada Leisure Group, Chief Executive Officer of Thomas Cook North America and on the Group Executive Board of Thomas Cook Group plc. Michael serves on the board of The Woodbridge Company Limited as an independent director. He also previously served as a non-executive director of Entertainment One Ltd. and SAS AB.</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Board/committee</w:t>
            </w:r>
          </w:p>
        </w:tc>
        <w:tc>
          <w:tcPr>
            <w:tcW w:w="1560" w:type="dxa"/>
            <w:vAlign w:val="bottom"/>
            <w:gridSpan w:val="2"/>
          </w:tcPr>
          <w:p>
            <w:pPr>
              <w:ind w:left="1200"/>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68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membership</w:t>
            </w:r>
          </w:p>
        </w:tc>
        <w:tc>
          <w:tcPr>
            <w:tcW w:w="2260" w:type="dxa"/>
            <w:vAlign w:val="bottom"/>
            <w:tcBorders>
              <w:bottom w:val="single" w:sz="8" w:color="B2B2B2"/>
            </w:tcBorders>
            <w:gridSpan w:val="3"/>
          </w:tcPr>
          <w:p>
            <w:pPr>
              <w:ind w:left="1200"/>
              <w:spacing w:after="0"/>
              <w:rPr>
                <w:sz w:val="20"/>
                <w:szCs w:val="20"/>
                <w:color w:val="auto"/>
              </w:rPr>
            </w:pPr>
            <w:r>
              <w:rPr>
                <w:rFonts w:ascii="Arial" w:cs="Arial" w:eastAsia="Arial" w:hAnsi="Arial"/>
                <w:sz w:val="14"/>
                <w:szCs w:val="14"/>
                <w:b w:val="1"/>
                <w:bCs w:val="1"/>
                <w:color w:val="auto"/>
              </w:rPr>
              <w:t>attendance</w:t>
            </w:r>
          </w:p>
        </w:tc>
        <w:tc>
          <w:tcPr>
            <w:tcW w:w="3680" w:type="dxa"/>
            <w:vAlign w:val="bottom"/>
            <w:tcBorders>
              <w:bottom w:val="single" w:sz="8" w:color="B2B2B2"/>
            </w:tcBorders>
            <w:gridSpan w:val="5"/>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48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2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w w:val="96"/>
              </w:rPr>
              <w:t>2 of 2</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7"/>
        </w:trPr>
        <w:tc>
          <w:tcPr>
            <w:tcW w:w="2680" w:type="dxa"/>
            <w:vAlign w:val="bottom"/>
            <w:gridSpan w:val="5"/>
          </w:tcPr>
          <w:p>
            <w:pPr>
              <w:ind w:left="40"/>
              <w:spacing w:after="0"/>
              <w:rPr>
                <w:sz w:val="20"/>
                <w:szCs w:val="20"/>
                <w:color w:val="auto"/>
              </w:rPr>
            </w:pPr>
            <w:r>
              <w:rPr>
                <w:rFonts w:ascii="Arial" w:cs="Arial" w:eastAsia="Arial" w:hAnsi="Arial"/>
                <w:sz w:val="14"/>
                <w:szCs w:val="14"/>
                <w:color w:val="auto"/>
              </w:rPr>
              <w:t>Corporate Governance</w:t>
            </w: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w w:val="96"/>
              </w:rPr>
              <w:t>2 of 2</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HR</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Arial" w:cs="Arial" w:eastAsia="Arial" w:hAnsi="Arial"/>
                <w:sz w:val="14"/>
                <w:szCs w:val="14"/>
                <w:color w:val="auto"/>
                <w:w w:val="96"/>
              </w:rPr>
              <w:t>2 of 2</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8"/>
        </w:trPr>
        <w:tc>
          <w:tcPr>
            <w:tcW w:w="480" w:type="dxa"/>
            <w:vAlign w:val="bottom"/>
            <w:tcBorders>
              <w:bottom w:val="single" w:sz="8" w:color="B2B2B2"/>
            </w:tcBorders>
            <w:gridSpan w:val="3"/>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960" w:type="dxa"/>
            <w:vAlign w:val="bottom"/>
            <w:tcBorders>
              <w:bottom w:val="single" w:sz="8" w:color="B2B2B2"/>
            </w:tcBorders>
          </w:tcPr>
          <w:p>
            <w:pPr>
              <w:spacing w:after="0"/>
              <w:rPr>
                <w:sz w:val="4"/>
                <w:szCs w:val="4"/>
                <w:color w:val="auto"/>
              </w:rPr>
            </w:pPr>
          </w:p>
        </w:tc>
        <w:tc>
          <w:tcPr>
            <w:tcW w:w="2260" w:type="dxa"/>
            <w:vAlign w:val="bottom"/>
            <w:tcBorders>
              <w:bottom w:val="single" w:sz="8" w:color="B2B2B2"/>
            </w:tcBorders>
            <w:gridSpan w:val="3"/>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4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260" w:type="dxa"/>
            <w:vAlign w:val="bottom"/>
            <w:gridSpan w:val="3"/>
          </w:tcPr>
          <w:p>
            <w:pPr>
              <w:ind w:left="1200"/>
              <w:spacing w:after="0"/>
              <w:rPr>
                <w:sz w:val="20"/>
                <w:szCs w:val="20"/>
                <w:color w:val="auto"/>
              </w:rPr>
            </w:pPr>
            <w:r>
              <w:rPr>
                <w:rFonts w:ascii="Arial" w:cs="Arial" w:eastAsia="Arial" w:hAnsi="Arial"/>
                <w:sz w:val="14"/>
                <w:szCs w:val="14"/>
                <w:b w:val="1"/>
                <w:bCs w:val="1"/>
                <w:color w:val="auto"/>
              </w:rPr>
              <w:t>6 of 6 100%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680" w:type="dxa"/>
            <w:vAlign w:val="bottom"/>
            <w:tcBorders>
              <w:bottom w:val="single" w:sz="8" w:color="B2B2B2"/>
            </w:tcBorders>
            <w:gridSpan w:val="5"/>
          </w:tcPr>
          <w:p>
            <w:pPr>
              <w:spacing w:after="0"/>
              <w:rPr>
                <w:sz w:val="7"/>
                <w:szCs w:val="7"/>
                <w:color w:val="auto"/>
              </w:rPr>
            </w:pPr>
          </w:p>
        </w:tc>
        <w:tc>
          <w:tcPr>
            <w:tcW w:w="1280" w:type="dxa"/>
            <w:vAlign w:val="bottom"/>
            <w:tcBorders>
              <w:bottom w:val="single" w:sz="8" w:color="B2B2B2"/>
            </w:tcBorders>
          </w:tcPr>
          <w:p>
            <w:pPr>
              <w:spacing w:after="0"/>
              <w:rPr>
                <w:sz w:val="7"/>
                <w:szCs w:val="7"/>
                <w:color w:val="auto"/>
              </w:rPr>
            </w:pPr>
          </w:p>
        </w:tc>
        <w:tc>
          <w:tcPr>
            <w:tcW w:w="280" w:type="dxa"/>
            <w:vAlign w:val="bottom"/>
            <w:tcBorders>
              <w:bottom w:val="single" w:sz="8" w:color="B2B2B2"/>
            </w:tcBorders>
          </w:tcPr>
          <w:p>
            <w:pPr>
              <w:spacing w:after="0"/>
              <w:rPr>
                <w:sz w:val="7"/>
                <w:szCs w:val="7"/>
                <w:color w:val="auto"/>
              </w:rPr>
            </w:pPr>
          </w:p>
        </w:tc>
        <w:tc>
          <w:tcPr>
            <w:tcW w:w="700" w:type="dxa"/>
            <w:vAlign w:val="bottom"/>
            <w:tcBorders>
              <w:bottom w:val="single" w:sz="8" w:color="B2B2B2"/>
            </w:tcBorders>
          </w:tcPr>
          <w:p>
            <w:pPr>
              <w:spacing w:after="0"/>
              <w:rPr>
                <w:sz w:val="7"/>
                <w:szCs w:val="7"/>
                <w:color w:val="auto"/>
              </w:rPr>
            </w:pPr>
          </w:p>
        </w:tc>
        <w:tc>
          <w:tcPr>
            <w:tcW w:w="140" w:type="dxa"/>
            <w:vAlign w:val="bottom"/>
            <w:tcBorders>
              <w:bottom w:val="single" w:sz="8" w:color="B2B2B2"/>
            </w:tcBorders>
          </w:tcPr>
          <w:p>
            <w:pPr>
              <w:spacing w:after="0"/>
              <w:rPr>
                <w:sz w:val="7"/>
                <w:szCs w:val="7"/>
                <w:color w:val="auto"/>
              </w:rPr>
            </w:pPr>
          </w:p>
        </w:tc>
        <w:tc>
          <w:tcPr>
            <w:tcW w:w="240" w:type="dxa"/>
            <w:vAlign w:val="bottom"/>
            <w:tcBorders>
              <w:bottom w:val="single" w:sz="8" w:color="B2B2B2"/>
            </w:tcBorders>
          </w:tcPr>
          <w:p>
            <w:pPr>
              <w:spacing w:after="0"/>
              <w:rPr>
                <w:sz w:val="7"/>
                <w:szCs w:val="7"/>
                <w:color w:val="auto"/>
              </w:rPr>
            </w:pPr>
          </w:p>
        </w:tc>
        <w:tc>
          <w:tcPr>
            <w:tcW w:w="16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Securities held</w:t>
            </w: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268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(number and value)</w:t>
            </w:r>
          </w:p>
        </w:tc>
        <w:tc>
          <w:tcPr>
            <w:tcW w:w="1280" w:type="dxa"/>
            <w:vAlign w:val="bottom"/>
            <w:tcBorders>
              <w:bottom w:val="single" w:sz="8" w:color="B2B2B2"/>
            </w:tcBorders>
          </w:tcPr>
          <w:p>
            <w:pPr>
              <w:spacing w:after="0"/>
              <w:rPr>
                <w:sz w:val="17"/>
                <w:szCs w:val="17"/>
                <w:color w:val="auto"/>
              </w:rPr>
            </w:pPr>
          </w:p>
        </w:tc>
        <w:tc>
          <w:tcPr>
            <w:tcW w:w="28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78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and DSUs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31"/>
        </w:trPr>
        <w:tc>
          <w:tcPr>
            <w:tcW w:w="2680" w:type="dxa"/>
            <w:vAlign w:val="bottom"/>
            <w:gridSpan w:val="5"/>
          </w:tcPr>
          <w:p>
            <w:pPr>
              <w:ind w:left="40"/>
              <w:spacing w:after="0"/>
              <w:rPr>
                <w:sz w:val="20"/>
                <w:szCs w:val="20"/>
                <w:color w:val="auto"/>
              </w:rPr>
            </w:pPr>
            <w:r>
              <w:rPr>
                <w:rFonts w:ascii="Arial" w:cs="Arial" w:eastAsia="Arial" w:hAnsi="Arial"/>
                <w:sz w:val="14"/>
                <w:szCs w:val="14"/>
                <w:color w:val="auto"/>
              </w:rPr>
              <w:t>Common shares</w:t>
            </w:r>
          </w:p>
        </w:tc>
        <w:tc>
          <w:tcPr>
            <w:tcW w:w="2260" w:type="dxa"/>
            <w:vAlign w:val="bottom"/>
            <w:gridSpan w:val="3"/>
          </w:tcPr>
          <w:p>
            <w:pPr>
              <w:ind w:left="1200"/>
              <w:spacing w:after="0"/>
              <w:rPr>
                <w:sz w:val="20"/>
                <w:szCs w:val="20"/>
                <w:color w:val="auto"/>
              </w:rPr>
            </w:pPr>
            <w:r>
              <w:rPr>
                <w:rFonts w:ascii="Arial" w:cs="Arial" w:eastAsia="Arial" w:hAnsi="Arial"/>
                <w:sz w:val="14"/>
                <w:szCs w:val="14"/>
                <w:color w:val="auto"/>
              </w:rPr>
              <w:t> RSUs DSUs</w:t>
            </w:r>
          </w:p>
        </w:tc>
        <w:tc>
          <w:tcPr>
            <w:tcW w:w="540" w:type="dxa"/>
            <w:vAlign w:val="bottom"/>
            <w:gridSpan w:val="3"/>
          </w:tcPr>
          <w:p>
            <w:pPr>
              <w:ind w:left="20"/>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9"/>
                <w:szCs w:val="9"/>
                <w:color w:val="auto"/>
                <w:w w:val="75"/>
              </w:rPr>
              <w:t>  </w:t>
            </w:r>
          </w:p>
        </w:tc>
        <w:tc>
          <w:tcPr>
            <w:tcW w:w="180" w:type="dxa"/>
            <w:vAlign w:val="bottom"/>
          </w:tcPr>
          <w:p>
            <w:pPr>
              <w:ind w:left="60"/>
              <w:spacing w:after="0"/>
              <w:rPr>
                <w:sz w:val="20"/>
                <w:szCs w:val="20"/>
                <w:color w:val="auto"/>
              </w:rPr>
            </w:pPr>
            <w:r>
              <w:rPr>
                <w:rFonts w:ascii="Arial" w:cs="Arial" w:eastAsia="Arial" w:hAnsi="Arial"/>
                <w:sz w:val="12"/>
                <w:szCs w:val="12"/>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color w:val="auto"/>
                <w:w w:val="74"/>
              </w:rPr>
              <w:t> – </w:t>
            </w:r>
          </w:p>
        </w:tc>
        <w:tc>
          <w:tcPr>
            <w:tcW w:w="1960" w:type="dxa"/>
            <w:vAlign w:val="bottom"/>
          </w:tcPr>
          <w:p>
            <w:pPr>
              <w:ind w:left="40"/>
              <w:spacing w:after="0"/>
              <w:rPr>
                <w:sz w:val="20"/>
                <w:szCs w:val="20"/>
                <w:color w:val="auto"/>
              </w:rPr>
            </w:pPr>
            <w:r>
              <w:rPr>
                <w:rFonts w:ascii="Arial" w:cs="Arial" w:eastAsia="Arial" w:hAnsi="Arial"/>
                <w:sz w:val="14"/>
                <w:szCs w:val="14"/>
                <w:color w:val="auto"/>
              </w:rPr>
              <w:t> </w:t>
            </w:r>
          </w:p>
        </w:tc>
        <w:tc>
          <w:tcPr>
            <w:tcW w:w="1280" w:type="dxa"/>
            <w:vAlign w:val="bottom"/>
          </w:tcPr>
          <w:p>
            <w:pPr>
              <w:ind w:left="1200"/>
              <w:spacing w:after="0"/>
              <w:rPr>
                <w:sz w:val="20"/>
                <w:szCs w:val="20"/>
                <w:color w:val="auto"/>
              </w:rPr>
            </w:pPr>
            <w:r>
              <w:rPr>
                <w:rFonts w:ascii="Arial" w:cs="Arial" w:eastAsia="Arial" w:hAnsi="Arial"/>
                <w:sz w:val="8"/>
                <w:szCs w:val="8"/>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color w:val="auto"/>
                <w:w w:val="82"/>
              </w:rPr>
              <w:t> – </w:t>
            </w:r>
          </w:p>
        </w:tc>
        <w:tc>
          <w:tcPr>
            <w:tcW w:w="700" w:type="dxa"/>
            <w:vAlign w:val="bottom"/>
          </w:tcPr>
          <w:p>
            <w:pPr>
              <w:ind w:left="20"/>
              <w:spacing w:after="0"/>
              <w:rPr>
                <w:sz w:val="20"/>
                <w:szCs w:val="20"/>
                <w:color w:val="auto"/>
              </w:rPr>
            </w:pPr>
            <w:r>
              <w:rPr>
                <w:rFonts w:ascii="Arial" w:cs="Arial" w:eastAsia="Arial" w:hAnsi="Arial"/>
                <w:sz w:val="14"/>
                <w:szCs w:val="14"/>
                <w:color w:val="auto"/>
              </w:rPr>
              <w:t>  1,596</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240" w:type="dxa"/>
            <w:vAlign w:val="bottom"/>
          </w:tcPr>
          <w:p>
            <w:pPr>
              <w:ind w:left="60"/>
              <w:spacing w:after="0"/>
              <w:rPr>
                <w:sz w:val="20"/>
                <w:szCs w:val="20"/>
                <w:color w:val="auto"/>
              </w:rPr>
            </w:pPr>
            <w:r>
              <w:rPr>
                <w:rFonts w:ascii="Arial" w:cs="Arial" w:eastAsia="Arial" w:hAnsi="Arial"/>
                <w:sz w:val="13"/>
                <w:szCs w:val="13"/>
                <w:color w:val="auto"/>
                <w:w w:val="71"/>
              </w:rPr>
              <w:t> – </w:t>
            </w:r>
          </w:p>
        </w:tc>
        <w:tc>
          <w:tcPr>
            <w:tcW w:w="160" w:type="dxa"/>
            <w:vAlign w:val="bottom"/>
          </w:tcPr>
          <w:p>
            <w:pPr>
              <w:ind w:left="60"/>
              <w:spacing w:after="0"/>
              <w:rPr>
                <w:sz w:val="20"/>
                <w:szCs w:val="20"/>
                <w:color w:val="auto"/>
              </w:rPr>
            </w:pPr>
            <w:r>
              <w:rPr>
                <w:rFonts w:ascii="Arial" w:cs="Arial" w:eastAsia="Arial" w:hAnsi="Arial"/>
                <w:sz w:val="14"/>
                <w:szCs w:val="14"/>
                <w:color w:val="auto"/>
              </w:rPr>
              <w:t> </w:t>
            </w:r>
          </w:p>
        </w:tc>
        <w:tc>
          <w:tcPr>
            <w:tcW w:w="1780" w:type="dxa"/>
            <w:vAlign w:val="bottom"/>
          </w:tcPr>
          <w:p>
            <w:pPr>
              <w:ind w:left="20"/>
              <w:spacing w:after="0"/>
              <w:rPr>
                <w:sz w:val="20"/>
                <w:szCs w:val="20"/>
                <w:color w:val="auto"/>
              </w:rPr>
            </w:pPr>
            <w:r>
              <w:rPr>
                <w:rFonts w:ascii="Arial" w:cs="Arial" w:eastAsia="Arial" w:hAnsi="Arial"/>
                <w:sz w:val="14"/>
                <w:szCs w:val="14"/>
                <w:color w:val="auto"/>
              </w:rPr>
              <w:t>1,596</w:t>
            </w:r>
          </w:p>
        </w:tc>
        <w:tc>
          <w:tcPr>
            <w:tcW w:w="1360" w:type="dxa"/>
            <w:vAlign w:val="bottom"/>
          </w:tcPr>
          <w:p>
            <w:pPr>
              <w:spacing w:after="0"/>
              <w:rPr>
                <w:sz w:val="17"/>
                <w:szCs w:val="17"/>
                <w:color w:val="auto"/>
              </w:rPr>
            </w:pPr>
          </w:p>
        </w:tc>
      </w:tr>
      <w:tr>
        <w:trPr>
          <w:trHeight w:val="48"/>
        </w:trPr>
        <w:tc>
          <w:tcPr>
            <w:tcW w:w="14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960" w:type="dxa"/>
            <w:vAlign w:val="bottom"/>
            <w:tcBorders>
              <w:bottom w:val="single" w:sz="8" w:color="B2B2B2"/>
            </w:tcBorders>
          </w:tcPr>
          <w:p>
            <w:pPr>
              <w:spacing w:after="0"/>
              <w:rPr>
                <w:sz w:val="4"/>
                <w:szCs w:val="4"/>
                <w:color w:val="auto"/>
              </w:rPr>
            </w:pPr>
          </w:p>
        </w:tc>
        <w:tc>
          <w:tcPr>
            <w:tcW w:w="128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9"/>
                <w:szCs w:val="9"/>
                <w:color w:val="auto"/>
                <w:w w:val="75"/>
              </w:rPr>
              <w:t>  </w:t>
            </w:r>
          </w:p>
        </w:tc>
        <w:tc>
          <w:tcPr>
            <w:tcW w:w="180" w:type="dxa"/>
            <w:vAlign w:val="bottom"/>
          </w:tcPr>
          <w:p>
            <w:pPr>
              <w:ind w:left="60"/>
              <w:spacing w:after="0"/>
              <w:rPr>
                <w:sz w:val="20"/>
                <w:szCs w:val="20"/>
                <w:color w:val="auto"/>
              </w:rPr>
            </w:pPr>
            <w:r>
              <w:rPr>
                <w:rFonts w:ascii="Arial" w:cs="Arial" w:eastAsia="Arial" w:hAnsi="Arial"/>
                <w:sz w:val="12"/>
                <w:szCs w:val="12"/>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color w:val="auto"/>
                <w:w w:val="74"/>
              </w:rPr>
              <w:t> – </w:t>
            </w:r>
          </w:p>
        </w:tc>
        <w:tc>
          <w:tcPr>
            <w:tcW w:w="1960" w:type="dxa"/>
            <w:vAlign w:val="bottom"/>
          </w:tcPr>
          <w:p>
            <w:pPr>
              <w:ind w:left="40"/>
              <w:spacing w:after="0"/>
              <w:rPr>
                <w:sz w:val="20"/>
                <w:szCs w:val="20"/>
                <w:color w:val="auto"/>
              </w:rPr>
            </w:pPr>
            <w:r>
              <w:rPr>
                <w:rFonts w:ascii="Arial" w:cs="Arial" w:eastAsia="Arial" w:hAnsi="Arial"/>
                <w:sz w:val="14"/>
                <w:szCs w:val="14"/>
                <w:color w:val="auto"/>
              </w:rPr>
              <w:t> </w:t>
            </w:r>
          </w:p>
        </w:tc>
        <w:tc>
          <w:tcPr>
            <w:tcW w:w="1280" w:type="dxa"/>
            <w:vAlign w:val="bottom"/>
          </w:tcPr>
          <w:p>
            <w:pPr>
              <w:ind w:left="1200"/>
              <w:spacing w:after="0"/>
              <w:rPr>
                <w:sz w:val="20"/>
                <w:szCs w:val="20"/>
                <w:color w:val="auto"/>
              </w:rPr>
            </w:pPr>
            <w:r>
              <w:rPr>
                <w:rFonts w:ascii="Arial" w:cs="Arial" w:eastAsia="Arial" w:hAnsi="Arial"/>
                <w:sz w:val="8"/>
                <w:szCs w:val="8"/>
                <w:i w:val="1"/>
                <w:iCs w:val="1"/>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i w:val="1"/>
                <w:iCs w:val="1"/>
                <w:color w:val="auto"/>
                <w:w w:val="82"/>
              </w:rPr>
              <w:t> – </w:t>
            </w:r>
          </w:p>
        </w:tc>
        <w:tc>
          <w:tcPr>
            <w:tcW w:w="700" w:type="dxa"/>
            <w:vAlign w:val="bottom"/>
          </w:tcPr>
          <w:p>
            <w:pPr>
              <w:ind w:left="20"/>
              <w:spacing w:after="0"/>
              <w:rPr>
                <w:sz w:val="20"/>
                <w:szCs w:val="20"/>
                <w:color w:val="auto"/>
              </w:rPr>
            </w:pPr>
            <w:r>
              <w:rPr>
                <w:rFonts w:ascii="Arial" w:cs="Arial" w:eastAsia="Arial" w:hAnsi="Arial"/>
                <w:sz w:val="14"/>
                <w:szCs w:val="14"/>
                <w:i w:val="1"/>
                <w:iCs w:val="1"/>
                <w:color w:val="auto"/>
              </w:rPr>
              <w:t>  $139,538</w:t>
            </w:r>
          </w:p>
        </w:tc>
        <w:tc>
          <w:tcPr>
            <w:tcW w:w="140" w:type="dxa"/>
            <w:vAlign w:val="bottom"/>
          </w:tcPr>
          <w:p>
            <w:pPr>
              <w:ind w:left="20"/>
              <w:spacing w:after="0"/>
              <w:rPr>
                <w:sz w:val="20"/>
                <w:szCs w:val="20"/>
                <w:color w:val="auto"/>
              </w:rPr>
            </w:pPr>
            <w:r>
              <w:rPr>
                <w:rFonts w:ascii="Arial" w:cs="Arial" w:eastAsia="Arial" w:hAnsi="Arial"/>
                <w:sz w:val="14"/>
                <w:szCs w:val="14"/>
                <w:i w:val="1"/>
                <w:iCs w:val="1"/>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i w:val="1"/>
                <w:iCs w:val="1"/>
                <w:color w:val="auto"/>
                <w:w w:val="74"/>
              </w:rPr>
              <w:t> – </w:t>
            </w:r>
          </w:p>
        </w:tc>
        <w:tc>
          <w:tcPr>
            <w:tcW w:w="16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1780" w:type="dxa"/>
            <w:vAlign w:val="bottom"/>
          </w:tcPr>
          <w:p>
            <w:pPr>
              <w:jc w:val="right"/>
              <w:ind w:right="229"/>
              <w:spacing w:after="0"/>
              <w:rPr>
                <w:sz w:val="20"/>
                <w:szCs w:val="20"/>
                <w:color w:val="auto"/>
              </w:rPr>
            </w:pPr>
            <w:r>
              <w:rPr>
                <w:rFonts w:ascii="Arial" w:cs="Arial" w:eastAsia="Arial" w:hAnsi="Arial"/>
                <w:sz w:val="14"/>
                <w:szCs w:val="14"/>
                <w:i w:val="1"/>
                <w:iCs w:val="1"/>
                <w:color w:val="auto"/>
              </w:rPr>
              <w:t>$139,538</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0.6x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149225</wp:posOffset>
            </wp:positionV>
            <wp:extent cx="692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40"/>
            <w:col w:w="8620"/>
          </w:cols>
          <w:pgMar w:left="480" w:top="361" w:right="499" w:bottom="1440" w:gutter="0" w:footer="0" w:header="0"/>
          <w:type w:val="continuous"/>
        </w:sectPr>
      </w:pPr>
    </w:p>
    <w:p>
      <w:pPr>
        <w:spacing w:after="0" w:line="6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21</w:t>
      </w:r>
    </w:p>
    <w:p>
      <w:pPr>
        <w:sectPr>
          <w:pgSz w:w="11900" w:h="16838" w:orient="portrait"/>
          <w:cols w:equalWidth="0" w:num="1">
            <w:col w:w="10920"/>
          </w:cols>
          <w:pgMar w:left="480" w:top="361" w:right="499" w:bottom="144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right="500"/>
        <w:spacing w:after="0" w:line="345" w:lineRule="auto"/>
        <w:rPr>
          <w:sz w:val="20"/>
          <w:szCs w:val="20"/>
          <w:color w:val="auto"/>
        </w:rPr>
      </w:pPr>
      <w:r>
        <w:rPr>
          <w:rFonts w:ascii="Arial" w:cs="Arial" w:eastAsia="Arial" w:hAnsi="Arial"/>
          <w:sz w:val="13"/>
          <w:szCs w:val="13"/>
          <w:b w:val="1"/>
          <w:bCs w:val="1"/>
          <w:color w:val="auto"/>
        </w:rPr>
        <w:t xml:space="preserve">Deanna Oppenheimer </w:t>
      </w:r>
      <w:r>
        <w:rPr>
          <w:rFonts w:ascii="Arial" w:cs="Arial" w:eastAsia="Arial" w:hAnsi="Arial"/>
          <w:sz w:val="13"/>
          <w:szCs w:val="13"/>
          <w:color w:val="auto"/>
        </w:rPr>
        <w:t>Age: 68</w:t>
      </w:r>
    </w:p>
    <w:p>
      <w:pPr>
        <w:ind w:left="100" w:right="660"/>
        <w:spacing w:after="0" w:line="277" w:lineRule="auto"/>
        <w:rPr>
          <w:sz w:val="20"/>
          <w:szCs w:val="20"/>
          <w:color w:val="auto"/>
        </w:rPr>
      </w:pPr>
      <w:r>
        <w:rPr>
          <w:rFonts w:ascii="Arial" w:cs="Arial" w:eastAsia="Arial" w:hAnsi="Arial"/>
          <w:sz w:val="13"/>
          <w:szCs w:val="13"/>
          <w:color w:val="auto"/>
        </w:rPr>
        <w:t>Seattle, Washington, United States</w:t>
      </w:r>
    </w:p>
    <w:p>
      <w:pPr>
        <w:spacing w:after="0" w:line="16" w:lineRule="exact"/>
        <w:rPr>
          <w:sz w:val="20"/>
          <w:szCs w:val="20"/>
          <w:color w:val="auto"/>
        </w:rPr>
      </w:pPr>
    </w:p>
    <w:p>
      <w:pPr>
        <w:ind w:left="100" w:right="740"/>
        <w:spacing w:after="0" w:line="343" w:lineRule="auto"/>
        <w:rPr>
          <w:sz w:val="20"/>
          <w:szCs w:val="20"/>
          <w:color w:val="auto"/>
        </w:rPr>
      </w:pPr>
      <w:r>
        <w:rPr>
          <w:rFonts w:ascii="Arial" w:cs="Arial" w:eastAsia="Arial" w:hAnsi="Arial"/>
          <w:sz w:val="13"/>
          <w:szCs w:val="13"/>
          <w:color w:val="auto"/>
        </w:rPr>
        <w:t>Director since 2020 Independent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Primary areas of expertise: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operations, strategy, technology</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99.47%</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Deanna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-271780</wp:posOffset>
            </wp:positionV>
            <wp:extent cx="7176135" cy="2947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2947035"/>
                    </a:xfrm>
                    <a:prstGeom prst="rect">
                      <a:avLst/>
                    </a:prstGeom>
                    <a:noFill/>
                  </pic:spPr>
                </pic:pic>
              </a:graphicData>
            </a:graphic>
          </wp:anchor>
        </w:drawing>
      </w:r>
    </w:p>
    <w:p>
      <w:pPr>
        <w:spacing w:after="0" w:line="23" w:lineRule="exact"/>
        <w:rPr>
          <w:sz w:val="20"/>
          <w:szCs w:val="20"/>
          <w:color w:val="auto"/>
        </w:rPr>
      </w:pPr>
    </w:p>
    <w:p>
      <w:pPr>
        <w:ind w:left="40" w:right="20"/>
        <w:spacing w:after="0" w:line="247" w:lineRule="auto"/>
        <w:rPr>
          <w:sz w:val="20"/>
          <w:szCs w:val="20"/>
          <w:color w:val="auto"/>
        </w:rPr>
      </w:pPr>
      <w:r>
        <w:rPr>
          <w:rFonts w:ascii="Arial" w:cs="Arial" w:eastAsia="Arial" w:hAnsi="Arial"/>
          <w:sz w:val="14"/>
          <w:szCs w:val="14"/>
          <w:color w:val="auto"/>
        </w:rPr>
        <w:t>Deanna Oppenheimer is the founder of CameoWorks, LLC, a global firm that advises leaders of early stage companies and consultancies. Deanna founded CameoWorks in 2012. From 2005 to 2011, Deanna served in a number of roles at Barclays PLC, first as chief executive of UK Retail and Business Banking and then as vice chair of Global Retail Banking. From 1985 to 2005, Deanna served in a number of positions at Washington Mutual, Inc., with her last role as president of Consumer Banking. Deanna is a non-executive director of Slalom and is the founder of BoardReady. She is also a former director of the King’s Trust UK, a royal charity. Deanna received a BA from the University of Puget Sound.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5"/>
          </w:tcPr>
          <w:p>
            <w:pPr>
              <w:ind w:left="40"/>
              <w:spacing w:after="0"/>
              <w:rPr>
                <w:sz w:val="20"/>
                <w:szCs w:val="20"/>
                <w:color w:val="auto"/>
              </w:rPr>
            </w:pPr>
            <w:r>
              <w:rPr>
                <w:rFonts w:ascii="Arial" w:cs="Arial" w:eastAsia="Arial" w:hAnsi="Arial"/>
                <w:sz w:val="14"/>
                <w:szCs w:val="14"/>
                <w:b w:val="1"/>
                <w:bCs w:val="1"/>
                <w:color w:val="auto"/>
              </w:rPr>
              <w:t>Board/committee</w:t>
            </w: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64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membership</w:t>
            </w:r>
          </w:p>
        </w:tc>
        <w:tc>
          <w:tcPr>
            <w:tcW w:w="2320" w:type="dxa"/>
            <w:vAlign w:val="bottom"/>
            <w:tcBorders>
              <w:bottom w:val="single" w:sz="8" w:color="B2B2B2"/>
            </w:tcBorders>
            <w:gridSpan w:val="4"/>
          </w:tcPr>
          <w:p>
            <w:pPr>
              <w:ind w:left="1140"/>
              <w:spacing w:after="0"/>
              <w:rPr>
                <w:sz w:val="20"/>
                <w:szCs w:val="20"/>
                <w:color w:val="auto"/>
              </w:rPr>
            </w:pPr>
            <w:r>
              <w:rPr>
                <w:rFonts w:ascii="Arial" w:cs="Arial" w:eastAsia="Arial" w:hAnsi="Arial"/>
                <w:sz w:val="14"/>
                <w:szCs w:val="14"/>
                <w:b w:val="1"/>
                <w:bCs w:val="1"/>
                <w:color w:val="auto"/>
              </w:rPr>
              <w:t>2025 attendance</w:t>
            </w:r>
          </w:p>
        </w:tc>
        <w:tc>
          <w:tcPr>
            <w:tcW w:w="3680" w:type="dxa"/>
            <w:vAlign w:val="bottom"/>
            <w:tcBorders>
              <w:bottom w:val="single" w:sz="8" w:color="B2B2B2"/>
            </w:tcBorders>
            <w:gridSpan w:val="3"/>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2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520" w:type="dxa"/>
            <w:vAlign w:val="bottom"/>
            <w:gridSpan w:val="2"/>
          </w:tcPr>
          <w:p>
            <w:pPr>
              <w:ind w:left="114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InterContinental Hotels Group PLC</w:t>
            </w:r>
          </w:p>
        </w:tc>
        <w:tc>
          <w:tcPr>
            <w:tcW w:w="1360" w:type="dxa"/>
            <w:vAlign w:val="bottom"/>
          </w:tcPr>
          <w:p>
            <w:pPr>
              <w:spacing w:after="0"/>
              <w:rPr>
                <w:sz w:val="23"/>
                <w:szCs w:val="23"/>
                <w:color w:val="auto"/>
              </w:rPr>
            </w:pPr>
          </w:p>
        </w:tc>
      </w:tr>
      <w:tr>
        <w:trPr>
          <w:trHeight w:val="321"/>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gridSpan w:val="2"/>
          </w:tcPr>
          <w:p>
            <w:pPr>
              <w:ind w:left="1140"/>
              <w:spacing w:after="0"/>
              <w:rPr>
                <w:sz w:val="20"/>
                <w:szCs w:val="20"/>
                <w:color w:val="auto"/>
              </w:rPr>
            </w:pPr>
            <w:r>
              <w:rPr>
                <w:rFonts w:ascii="Arial" w:cs="Arial" w:eastAsia="Arial" w:hAnsi="Arial"/>
                <w:sz w:val="14"/>
                <w:szCs w:val="14"/>
                <w:color w:val="auto"/>
              </w:rPr>
              <w:t>6 of 7</w:t>
            </w:r>
          </w:p>
        </w:tc>
        <w:tc>
          <w:tcPr>
            <w:tcW w:w="1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86%</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2640" w:type="dxa"/>
            <w:vAlign w:val="bottom"/>
            <w:gridSpan w:val="5"/>
          </w:tcPr>
          <w:p>
            <w:pPr>
              <w:ind w:left="40"/>
              <w:spacing w:after="0"/>
              <w:rPr>
                <w:sz w:val="20"/>
                <w:szCs w:val="20"/>
                <w:color w:val="auto"/>
              </w:rPr>
            </w:pPr>
            <w:r>
              <w:rPr>
                <w:rFonts w:ascii="Arial" w:cs="Arial" w:eastAsia="Arial" w:hAnsi="Arial"/>
                <w:sz w:val="14"/>
                <w:szCs w:val="14"/>
                <w:color w:val="auto"/>
              </w:rPr>
              <w:t>Corporate Governance</w:t>
            </w:r>
          </w:p>
        </w:tc>
        <w:tc>
          <w:tcPr>
            <w:tcW w:w="1520" w:type="dxa"/>
            <w:vAlign w:val="bottom"/>
            <w:gridSpan w:val="2"/>
          </w:tcPr>
          <w:p>
            <w:pPr>
              <w:ind w:left="114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460" w:type="dxa"/>
            <w:vAlign w:val="bottom"/>
            <w:tcBorders>
              <w:bottom w:val="single" w:sz="8" w:color="B2B2B2"/>
            </w:tcBorders>
            <w:gridSpan w:val="3"/>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9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gridSpan w:val="3"/>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680" w:type="dxa"/>
            <w:vAlign w:val="bottom"/>
            <w:gridSpan w:val="3"/>
          </w:tcPr>
          <w:p>
            <w:pPr>
              <w:ind w:left="1140"/>
              <w:spacing w:after="0"/>
              <w:rPr>
                <w:sz w:val="20"/>
                <w:szCs w:val="20"/>
                <w:color w:val="auto"/>
              </w:rPr>
            </w:pPr>
            <w:r>
              <w:rPr>
                <w:rFonts w:ascii="Arial" w:cs="Arial" w:eastAsia="Arial" w:hAnsi="Arial"/>
                <w:sz w:val="14"/>
                <w:szCs w:val="14"/>
                <w:b w:val="1"/>
                <w:bCs w:val="1"/>
                <w:color w:val="auto"/>
                <w:w w:val="99"/>
              </w:rPr>
              <w:t>18 of 19</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95%</w:t>
            </w: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640" w:type="dxa"/>
            <w:vAlign w:val="bottom"/>
            <w:tcBorders>
              <w:bottom w:val="single" w:sz="8" w:color="B2B2B2"/>
            </w:tcBorders>
            <w:gridSpan w:val="5"/>
          </w:tcPr>
          <w:p>
            <w:pPr>
              <w:spacing w:after="0"/>
              <w:rPr>
                <w:sz w:val="7"/>
                <w:szCs w:val="7"/>
                <w:color w:val="auto"/>
              </w:rPr>
            </w:pPr>
          </w:p>
        </w:tc>
        <w:tc>
          <w:tcPr>
            <w:tcW w:w="1220" w:type="dxa"/>
            <w:vAlign w:val="bottom"/>
            <w:tcBorders>
              <w:bottom w:val="single" w:sz="8" w:color="B2B2B2"/>
            </w:tcBorders>
          </w:tcPr>
          <w:p>
            <w:pPr>
              <w:spacing w:after="0"/>
              <w:rPr>
                <w:sz w:val="7"/>
                <w:szCs w:val="7"/>
                <w:color w:val="auto"/>
              </w:rPr>
            </w:pPr>
          </w:p>
        </w:tc>
        <w:tc>
          <w:tcPr>
            <w:tcW w:w="300" w:type="dxa"/>
            <w:vAlign w:val="bottom"/>
            <w:tcBorders>
              <w:bottom w:val="single" w:sz="8" w:color="B2B2B2"/>
            </w:tcBorders>
          </w:tcPr>
          <w:p>
            <w:pPr>
              <w:spacing w:after="0"/>
              <w:rPr>
                <w:sz w:val="7"/>
                <w:szCs w:val="7"/>
                <w:color w:val="auto"/>
              </w:rPr>
            </w:pPr>
          </w:p>
        </w:tc>
        <w:tc>
          <w:tcPr>
            <w:tcW w:w="160" w:type="dxa"/>
            <w:vAlign w:val="bottom"/>
            <w:tcBorders>
              <w:bottom w:val="single" w:sz="8" w:color="B2B2B2"/>
            </w:tcBorders>
          </w:tcPr>
          <w:p>
            <w:pPr>
              <w:spacing w:after="0"/>
              <w:rPr>
                <w:sz w:val="7"/>
                <w:szCs w:val="7"/>
                <w:color w:val="auto"/>
              </w:rPr>
            </w:pPr>
          </w:p>
        </w:tc>
        <w:tc>
          <w:tcPr>
            <w:tcW w:w="640" w:type="dxa"/>
            <w:vAlign w:val="bottom"/>
            <w:tcBorders>
              <w:bottom w:val="single" w:sz="8" w:color="B2B2B2"/>
            </w:tcBorders>
          </w:tcPr>
          <w:p>
            <w:pPr>
              <w:spacing w:after="0"/>
              <w:rPr>
                <w:sz w:val="7"/>
                <w:szCs w:val="7"/>
                <w:color w:val="auto"/>
              </w:rPr>
            </w:pPr>
          </w:p>
        </w:tc>
        <w:tc>
          <w:tcPr>
            <w:tcW w:w="54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2640" w:type="dxa"/>
            <w:vAlign w:val="bottom"/>
            <w:gridSpan w:val="5"/>
          </w:tcPr>
          <w:p>
            <w:pPr>
              <w:ind w:left="40"/>
              <w:spacing w:after="0"/>
              <w:rPr>
                <w:sz w:val="20"/>
                <w:szCs w:val="20"/>
                <w:color w:val="auto"/>
              </w:rPr>
            </w:pPr>
            <w:r>
              <w:rPr>
                <w:rFonts w:ascii="Arial" w:cs="Arial" w:eastAsia="Arial" w:hAnsi="Arial"/>
                <w:sz w:val="14"/>
                <w:szCs w:val="14"/>
                <w:b w:val="1"/>
                <w:bCs w:val="1"/>
                <w:color w:val="auto"/>
              </w:rPr>
              <w:t>Securities held</w:t>
            </w: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264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(number and value)</w:t>
            </w:r>
          </w:p>
        </w:tc>
        <w:tc>
          <w:tcPr>
            <w:tcW w:w="1220" w:type="dxa"/>
            <w:vAlign w:val="bottom"/>
            <w:tcBorders>
              <w:bottom w:val="single" w:sz="8" w:color="B2B2B2"/>
            </w:tcBorders>
          </w:tcPr>
          <w:p>
            <w:pPr>
              <w:spacing w:after="0"/>
              <w:rPr>
                <w:sz w:val="17"/>
                <w:szCs w:val="17"/>
                <w:color w:val="auto"/>
              </w:rPr>
            </w:pPr>
          </w:p>
        </w:tc>
        <w:tc>
          <w:tcPr>
            <w:tcW w:w="3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640" w:type="dxa"/>
            <w:vAlign w:val="bottom"/>
            <w:tcBorders>
              <w:bottom w:val="single" w:sz="8" w:color="B2B2B2"/>
            </w:tcBorders>
          </w:tcPr>
          <w:p>
            <w:pPr>
              <w:spacing w:after="0"/>
              <w:rPr>
                <w:sz w:val="17"/>
                <w:szCs w:val="17"/>
                <w:color w:val="auto"/>
              </w:rPr>
            </w:pPr>
          </w:p>
        </w:tc>
        <w:tc>
          <w:tcPr>
            <w:tcW w:w="540" w:type="dxa"/>
            <w:vAlign w:val="bottom"/>
            <w:tcBorders>
              <w:bottom w:val="single" w:sz="8" w:color="B2B2B2"/>
            </w:tcBorders>
          </w:tcPr>
          <w:p>
            <w:pPr>
              <w:spacing w:after="0"/>
              <w:rPr>
                <w:sz w:val="17"/>
                <w:szCs w:val="17"/>
                <w:color w:val="auto"/>
              </w:rPr>
            </w:pPr>
          </w:p>
        </w:tc>
        <w:tc>
          <w:tcPr>
            <w:tcW w:w="178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and DSUs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31"/>
        </w:trPr>
        <w:tc>
          <w:tcPr>
            <w:tcW w:w="2640" w:type="dxa"/>
            <w:vAlign w:val="bottom"/>
            <w:gridSpan w:val="5"/>
          </w:tcPr>
          <w:p>
            <w:pPr>
              <w:ind w:left="40"/>
              <w:spacing w:after="0"/>
              <w:rPr>
                <w:sz w:val="20"/>
                <w:szCs w:val="20"/>
                <w:color w:val="auto"/>
              </w:rPr>
            </w:pPr>
            <w:r>
              <w:rPr>
                <w:rFonts w:ascii="Arial" w:cs="Arial" w:eastAsia="Arial" w:hAnsi="Arial"/>
                <w:sz w:val="14"/>
                <w:szCs w:val="14"/>
                <w:color w:val="auto"/>
              </w:rPr>
              <w:t>Common shares</w:t>
            </w:r>
          </w:p>
        </w:tc>
        <w:tc>
          <w:tcPr>
            <w:tcW w:w="1520" w:type="dxa"/>
            <w:vAlign w:val="bottom"/>
            <w:gridSpan w:val="2"/>
          </w:tcPr>
          <w:p>
            <w:pPr>
              <w:ind w:left="1140"/>
              <w:spacing w:after="0"/>
              <w:rPr>
                <w:sz w:val="20"/>
                <w:szCs w:val="20"/>
                <w:color w:val="auto"/>
              </w:rPr>
            </w:pPr>
            <w:r>
              <w:rPr>
                <w:rFonts w:ascii="Arial" w:cs="Arial" w:eastAsia="Arial" w:hAnsi="Arial"/>
                <w:sz w:val="14"/>
                <w:szCs w:val="14"/>
                <w:color w:val="auto"/>
                <w:w w:val="98"/>
              </w:rPr>
              <w:t>RSUs</w:t>
            </w:r>
          </w:p>
        </w:tc>
        <w:tc>
          <w:tcPr>
            <w:tcW w:w="16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DSUs</w:t>
            </w:r>
          </w:p>
        </w:tc>
        <w:tc>
          <w:tcPr>
            <w:tcW w:w="540" w:type="dxa"/>
            <w:vAlign w:val="bottom"/>
          </w:tcPr>
          <w:p>
            <w:pPr>
              <w:ind w:left="20"/>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2"/>
                <w:szCs w:val="12"/>
                <w:color w:val="auto"/>
                <w:w w:val="71"/>
              </w:rPr>
              <w:t>  </w:t>
            </w:r>
          </w:p>
        </w:tc>
        <w:tc>
          <w:tcPr>
            <w:tcW w:w="160" w:type="dxa"/>
            <w:vAlign w:val="bottom"/>
          </w:tcPr>
          <w:p>
            <w:pPr>
              <w:ind w:left="60"/>
              <w:spacing w:after="0"/>
              <w:rPr>
                <w:sz w:val="20"/>
                <w:szCs w:val="20"/>
                <w:color w:val="auto"/>
              </w:rPr>
            </w:pPr>
            <w:r>
              <w:rPr>
                <w:rFonts w:ascii="Arial" w:cs="Arial" w:eastAsia="Arial" w:hAnsi="Arial"/>
                <w:sz w:val="9"/>
                <w:szCs w:val="9"/>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color w:val="auto"/>
                <w:w w:val="74"/>
              </w:rPr>
              <w:t> – </w:t>
            </w:r>
          </w:p>
        </w:tc>
        <w:tc>
          <w:tcPr>
            <w:tcW w:w="1920" w:type="dxa"/>
            <w:vAlign w:val="bottom"/>
          </w:tcPr>
          <w:p>
            <w:pPr>
              <w:ind w:left="40"/>
              <w:spacing w:after="0"/>
              <w:rPr>
                <w:sz w:val="20"/>
                <w:szCs w:val="20"/>
                <w:color w:val="auto"/>
              </w:rPr>
            </w:pPr>
            <w:r>
              <w:rPr>
                <w:rFonts w:ascii="Arial" w:cs="Arial" w:eastAsia="Arial" w:hAnsi="Arial"/>
                <w:sz w:val="14"/>
                <w:szCs w:val="14"/>
                <w:color w:val="auto"/>
              </w:rPr>
              <w:t> </w:t>
            </w:r>
          </w:p>
        </w:tc>
        <w:tc>
          <w:tcPr>
            <w:tcW w:w="1220" w:type="dxa"/>
            <w:vAlign w:val="bottom"/>
          </w:tcPr>
          <w:p>
            <w:pPr>
              <w:ind w:left="114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640" w:type="dxa"/>
            <w:vAlign w:val="bottom"/>
          </w:tcPr>
          <w:p>
            <w:pPr>
              <w:ind w:left="20"/>
              <w:spacing w:after="0"/>
              <w:rPr>
                <w:sz w:val="20"/>
                <w:szCs w:val="20"/>
                <w:color w:val="auto"/>
              </w:rPr>
            </w:pPr>
            <w:r>
              <w:rPr>
                <w:rFonts w:ascii="Arial" w:cs="Arial" w:eastAsia="Arial" w:hAnsi="Arial"/>
                <w:sz w:val="14"/>
                <w:szCs w:val="14"/>
                <w:color w:val="auto"/>
              </w:rPr>
              <w:t>10,514</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1780" w:type="dxa"/>
            <w:vAlign w:val="bottom"/>
          </w:tcPr>
          <w:p>
            <w:pPr>
              <w:ind w:left="20"/>
              <w:spacing w:after="0"/>
              <w:rPr>
                <w:sz w:val="20"/>
                <w:szCs w:val="20"/>
                <w:color w:val="auto"/>
              </w:rPr>
            </w:pPr>
            <w:r>
              <w:rPr>
                <w:rFonts w:ascii="Arial" w:cs="Arial" w:eastAsia="Arial" w:hAnsi="Arial"/>
                <w:sz w:val="14"/>
                <w:szCs w:val="14"/>
                <w:color w:val="auto"/>
              </w:rPr>
              <w:t>10,514</w:t>
            </w:r>
          </w:p>
        </w:tc>
        <w:tc>
          <w:tcPr>
            <w:tcW w:w="1360" w:type="dxa"/>
            <w:vAlign w:val="bottom"/>
          </w:tcPr>
          <w:p>
            <w:pPr>
              <w:spacing w:after="0"/>
              <w:rPr>
                <w:sz w:val="17"/>
                <w:szCs w:val="17"/>
                <w:color w:val="auto"/>
              </w:rPr>
            </w:pPr>
          </w:p>
        </w:tc>
      </w:tr>
      <w:tr>
        <w:trPr>
          <w:trHeight w:val="48"/>
        </w:trPr>
        <w:tc>
          <w:tcPr>
            <w:tcW w:w="14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920" w:type="dxa"/>
            <w:vAlign w:val="bottom"/>
            <w:tcBorders>
              <w:bottom w:val="single" w:sz="8" w:color="B2B2B2"/>
            </w:tcBorders>
          </w:tcPr>
          <w:p>
            <w:pPr>
              <w:spacing w:after="0"/>
              <w:rPr>
                <w:sz w:val="4"/>
                <w:szCs w:val="4"/>
                <w:color w:val="auto"/>
              </w:rPr>
            </w:pPr>
          </w:p>
        </w:tc>
        <w:tc>
          <w:tcPr>
            <w:tcW w:w="1220" w:type="dxa"/>
            <w:vAlign w:val="bottom"/>
            <w:tcBorders>
              <w:bottom w:val="single" w:sz="8" w:color="B2B2B2"/>
            </w:tcBorders>
          </w:tcPr>
          <w:p>
            <w:pPr>
              <w:spacing w:after="0"/>
              <w:rPr>
                <w:sz w:val="4"/>
                <w:szCs w:val="4"/>
                <w:color w:val="auto"/>
              </w:rPr>
            </w:pPr>
          </w:p>
        </w:tc>
        <w:tc>
          <w:tcPr>
            <w:tcW w:w="30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160" w:type="dxa"/>
            <w:vAlign w:val="bottom"/>
          </w:tcPr>
          <w:p>
            <w:pPr>
              <w:ind w:left="40"/>
              <w:spacing w:after="0"/>
              <w:rPr>
                <w:sz w:val="20"/>
                <w:szCs w:val="20"/>
                <w:color w:val="auto"/>
              </w:rPr>
            </w:pPr>
            <w:r>
              <w:rPr>
                <w:rFonts w:ascii="Arial" w:cs="Arial" w:eastAsia="Arial" w:hAnsi="Arial"/>
                <w:sz w:val="12"/>
                <w:szCs w:val="12"/>
                <w:i w:val="1"/>
                <w:iCs w:val="1"/>
                <w:color w:val="auto"/>
                <w:w w:val="71"/>
              </w:rPr>
              <w:t>  </w:t>
            </w:r>
          </w:p>
        </w:tc>
        <w:tc>
          <w:tcPr>
            <w:tcW w:w="160" w:type="dxa"/>
            <w:vAlign w:val="bottom"/>
          </w:tcPr>
          <w:p>
            <w:pPr>
              <w:ind w:left="60"/>
              <w:spacing w:after="0"/>
              <w:rPr>
                <w:sz w:val="20"/>
                <w:szCs w:val="20"/>
                <w:color w:val="auto"/>
              </w:rPr>
            </w:pPr>
            <w:r>
              <w:rPr>
                <w:rFonts w:ascii="Arial" w:cs="Arial" w:eastAsia="Arial" w:hAnsi="Arial"/>
                <w:sz w:val="9"/>
                <w:szCs w:val="9"/>
                <w:i w:val="1"/>
                <w:iCs w:val="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i w:val="1"/>
                <w:iCs w:val="1"/>
                <w:color w:val="auto"/>
                <w:w w:val="74"/>
              </w:rPr>
              <w:t> – </w:t>
            </w:r>
          </w:p>
        </w:tc>
        <w:tc>
          <w:tcPr>
            <w:tcW w:w="1920" w:type="dxa"/>
            <w:vAlign w:val="bottom"/>
          </w:tcPr>
          <w:p>
            <w:pPr>
              <w:ind w:left="40"/>
              <w:spacing w:after="0"/>
              <w:rPr>
                <w:sz w:val="20"/>
                <w:szCs w:val="20"/>
                <w:color w:val="auto"/>
              </w:rPr>
            </w:pPr>
            <w:r>
              <w:rPr>
                <w:rFonts w:ascii="Arial" w:cs="Arial" w:eastAsia="Arial" w:hAnsi="Arial"/>
                <w:sz w:val="14"/>
                <w:szCs w:val="14"/>
                <w:i w:val="1"/>
                <w:iCs w:val="1"/>
                <w:color w:val="auto"/>
              </w:rPr>
              <w:t> </w:t>
            </w:r>
          </w:p>
        </w:tc>
        <w:tc>
          <w:tcPr>
            <w:tcW w:w="1220" w:type="dxa"/>
            <w:vAlign w:val="bottom"/>
          </w:tcPr>
          <w:p>
            <w:pPr>
              <w:ind w:left="114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640" w:type="dxa"/>
            <w:vAlign w:val="bottom"/>
          </w:tcPr>
          <w:p>
            <w:pPr>
              <w:ind w:left="20"/>
              <w:spacing w:after="0"/>
              <w:rPr>
                <w:sz w:val="20"/>
                <w:szCs w:val="20"/>
                <w:color w:val="auto"/>
              </w:rPr>
            </w:pPr>
            <w:r>
              <w:rPr>
                <w:rFonts w:ascii="Arial" w:cs="Arial" w:eastAsia="Arial" w:hAnsi="Arial"/>
                <w:sz w:val="14"/>
                <w:szCs w:val="14"/>
                <w:i w:val="1"/>
                <w:iCs w:val="1"/>
                <w:color w:val="auto"/>
              </w:rPr>
              <w:t>$919,239</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229"/>
              <w:spacing w:after="0"/>
              <w:rPr>
                <w:sz w:val="20"/>
                <w:szCs w:val="20"/>
                <w:color w:val="auto"/>
              </w:rPr>
            </w:pPr>
            <w:r>
              <w:rPr>
                <w:rFonts w:ascii="Arial" w:cs="Arial" w:eastAsia="Arial" w:hAnsi="Arial"/>
                <w:sz w:val="14"/>
                <w:szCs w:val="14"/>
                <w:i w:val="1"/>
                <w:iCs w:val="1"/>
                <w:color w:val="auto"/>
              </w:rPr>
              <w:t>$919,239</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3.7x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200025</wp:posOffset>
            </wp:positionV>
            <wp:extent cx="6929755" cy="32613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3261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300"/>
            <w:col w:w="8640"/>
          </w:cols>
          <w:pgMar w:left="480" w:top="36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Simon Paris</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56</w:t>
      </w:r>
    </w:p>
    <w:p>
      <w:pPr>
        <w:spacing w:after="0" w:line="64" w:lineRule="exact"/>
        <w:rPr>
          <w:sz w:val="20"/>
          <w:szCs w:val="20"/>
          <w:color w:val="auto"/>
        </w:rPr>
      </w:pPr>
    </w:p>
    <w:p>
      <w:pPr>
        <w:ind w:left="100" w:right="420"/>
        <w:spacing w:after="0" w:line="343" w:lineRule="auto"/>
        <w:rPr>
          <w:sz w:val="20"/>
          <w:szCs w:val="20"/>
          <w:color w:val="auto"/>
        </w:rPr>
      </w:pPr>
      <w:r>
        <w:rPr>
          <w:rFonts w:ascii="Arial" w:cs="Arial" w:eastAsia="Arial" w:hAnsi="Arial"/>
          <w:sz w:val="13"/>
          <w:szCs w:val="13"/>
          <w:color w:val="auto"/>
        </w:rPr>
        <w:t>London, United Kingdom Director since 2020 Independent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Primary areas of expertise: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operations, strategy, technology</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99.47%</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Simon Paris</w:t>
      </w:r>
    </w:p>
    <w:p>
      <w:pPr>
        <w:spacing w:after="0" w:line="43" w:lineRule="exact"/>
        <w:rPr>
          <w:sz w:val="20"/>
          <w:szCs w:val="20"/>
          <w:color w:val="auto"/>
        </w:rPr>
      </w:pPr>
    </w:p>
    <w:p>
      <w:pPr>
        <w:ind w:left="40" w:right="40"/>
        <w:spacing w:after="0" w:line="247" w:lineRule="auto"/>
        <w:rPr>
          <w:sz w:val="20"/>
          <w:szCs w:val="20"/>
          <w:color w:val="auto"/>
        </w:rPr>
      </w:pPr>
      <w:r>
        <w:rPr>
          <w:rFonts w:ascii="Arial" w:cs="Arial" w:eastAsia="Arial" w:hAnsi="Arial"/>
          <w:sz w:val="14"/>
          <w:szCs w:val="14"/>
          <w:color w:val="auto"/>
        </w:rPr>
        <w:t>Simon Paris is the Chief Executive Officer of Unit4, a company that provides enterprise cloud applications for organizations, since February 2025. Prior to that, Simon was Chief Executive Officer of Finastra, a global financial technology (fintech) provider, from 2018 to January 2025. He joined Finastra (previously Misys) as president in 2015 and also served as its Chief Sales Officer, before being appointed Deputy CEO in 2017 and CEO in 2018. Simon previously worked at SAP from 2007 to 2015, where he held a number of senior leadership positions. Simon was also previously a senior consultant with McKinsey &amp; Company. Simon holds a BA from the European Business School and an MBA from INSEAD.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9"/>
        </w:trPr>
        <w:tc>
          <w:tcPr>
            <w:tcW w:w="374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1200" w:type="dxa"/>
            <w:vAlign w:val="bottom"/>
            <w:tcBorders>
              <w:bottom w:val="single" w:sz="8" w:color="B2B2B2"/>
            </w:tcBorders>
            <w:gridSpan w:val="4"/>
          </w:tcPr>
          <w:p>
            <w:pPr>
              <w:ind w:left="40"/>
              <w:spacing w:after="0"/>
              <w:rPr>
                <w:sz w:val="20"/>
                <w:szCs w:val="20"/>
                <w:color w:val="auto"/>
              </w:rPr>
            </w:pPr>
            <w:r>
              <w:rPr>
                <w:rFonts w:ascii="Arial" w:cs="Arial" w:eastAsia="Arial" w:hAnsi="Arial"/>
                <w:sz w:val="14"/>
                <w:szCs w:val="14"/>
                <w:b w:val="1"/>
                <w:bCs w:val="1"/>
                <w:color w:val="auto"/>
              </w:rPr>
              <w:t>2025 attendance</w:t>
            </w:r>
          </w:p>
        </w:tc>
        <w:tc>
          <w:tcPr>
            <w:tcW w:w="3700" w:type="dxa"/>
            <w:vAlign w:val="bottom"/>
            <w:tcBorders>
              <w:bottom w:val="single" w:sz="8" w:color="B2B2B2"/>
            </w:tcBorders>
            <w:gridSpan w:val="3"/>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3740" w:type="dxa"/>
            <w:vAlign w:val="bottom"/>
          </w:tcPr>
          <w:p>
            <w:pPr>
              <w:ind w:left="40"/>
              <w:spacing w:after="0"/>
              <w:rPr>
                <w:sz w:val="20"/>
                <w:szCs w:val="20"/>
                <w:color w:val="auto"/>
              </w:rPr>
            </w:pPr>
            <w:r>
              <w:rPr>
                <w:rFonts w:ascii="Arial" w:cs="Arial" w:eastAsia="Arial" w:hAnsi="Arial"/>
                <w:sz w:val="14"/>
                <w:szCs w:val="14"/>
                <w:color w:val="auto"/>
              </w:rPr>
              <w:t>Board</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3"/>
                <w:szCs w:val="23"/>
                <w:color w:val="auto"/>
              </w:rPr>
            </w:pPr>
          </w:p>
        </w:tc>
        <w:tc>
          <w:tcPr>
            <w:tcW w:w="1780" w:type="dxa"/>
            <w:vAlign w:val="bottom"/>
          </w:tcPr>
          <w:p>
            <w:pPr>
              <w:ind w:left="92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3"/>
                <w:szCs w:val="23"/>
                <w:color w:val="auto"/>
              </w:rPr>
            </w:pPr>
          </w:p>
        </w:tc>
      </w:tr>
      <w:tr>
        <w:trPr>
          <w:trHeight w:val="321"/>
        </w:trPr>
        <w:tc>
          <w:tcPr>
            <w:tcW w:w="3740" w:type="dxa"/>
            <w:vAlign w:val="bottom"/>
          </w:tcPr>
          <w:p>
            <w:pPr>
              <w:ind w:left="40"/>
              <w:spacing w:after="0"/>
              <w:rPr>
                <w:sz w:val="20"/>
                <w:szCs w:val="20"/>
                <w:color w:val="auto"/>
              </w:rPr>
            </w:pPr>
            <w:r>
              <w:rPr>
                <w:rFonts w:ascii="Arial" w:cs="Arial" w:eastAsia="Arial" w:hAnsi="Arial"/>
                <w:sz w:val="14"/>
                <w:szCs w:val="14"/>
                <w:color w:val="auto"/>
              </w:rPr>
              <w:t>Audit</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4 of 4</w:t>
            </w:r>
          </w:p>
        </w:tc>
        <w:tc>
          <w:tcPr>
            <w:tcW w:w="16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3740" w:type="dxa"/>
            <w:vAlign w:val="bottom"/>
          </w:tcPr>
          <w:p>
            <w:pPr>
              <w:ind w:left="40"/>
              <w:spacing w:after="0"/>
              <w:rPr>
                <w:sz w:val="20"/>
                <w:szCs w:val="20"/>
                <w:color w:val="auto"/>
              </w:rPr>
            </w:pPr>
            <w:r>
              <w:rPr>
                <w:rFonts w:ascii="Arial" w:cs="Arial" w:eastAsia="Arial" w:hAnsi="Arial"/>
                <w:sz w:val="14"/>
                <w:szCs w:val="14"/>
                <w:color w:val="auto"/>
              </w:rPr>
              <w:t>Corporate Governance</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3740" w:type="dxa"/>
            <w:vAlign w:val="bottom"/>
          </w:tcPr>
          <w:p>
            <w:pPr>
              <w:ind w:left="40"/>
              <w:spacing w:after="0"/>
              <w:rPr>
                <w:sz w:val="20"/>
                <w:szCs w:val="20"/>
                <w:color w:val="auto"/>
              </w:rPr>
            </w:pPr>
            <w:r>
              <w:rPr>
                <w:rFonts w:ascii="Arial" w:cs="Arial" w:eastAsia="Arial" w:hAnsi="Arial"/>
                <w:sz w:val="14"/>
                <w:szCs w:val="14"/>
                <w:color w:val="auto"/>
              </w:rPr>
              <w:t>HR</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2 of 2</w:t>
            </w:r>
          </w:p>
        </w:tc>
        <w:tc>
          <w:tcPr>
            <w:tcW w:w="16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3740" w:type="dxa"/>
            <w:vAlign w:val="bottom"/>
          </w:tcPr>
          <w:p>
            <w:pPr>
              <w:ind w:left="40"/>
              <w:spacing w:after="0"/>
              <w:rPr>
                <w:sz w:val="20"/>
                <w:szCs w:val="20"/>
                <w:color w:val="auto"/>
              </w:rPr>
            </w:pPr>
            <w:r>
              <w:rPr>
                <w:rFonts w:ascii="Arial" w:cs="Arial" w:eastAsia="Arial" w:hAnsi="Arial"/>
                <w:sz w:val="14"/>
                <w:szCs w:val="14"/>
                <w:color w:val="auto"/>
              </w:rPr>
              <w:t>Risk</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2 of 2</w:t>
            </w:r>
          </w:p>
        </w:tc>
        <w:tc>
          <w:tcPr>
            <w:tcW w:w="16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3740" w:type="dxa"/>
            <w:vAlign w:val="bottom"/>
            <w:tcBorders>
              <w:bottom w:val="single" w:sz="8" w:color="B2B2B2"/>
            </w:tcBorders>
          </w:tcPr>
          <w:p>
            <w:pPr>
              <w:spacing w:after="0"/>
              <w:rPr>
                <w:sz w:val="4"/>
                <w:szCs w:val="4"/>
                <w:color w:val="auto"/>
              </w:rPr>
            </w:pPr>
          </w:p>
        </w:tc>
        <w:tc>
          <w:tcPr>
            <w:tcW w:w="580" w:type="dxa"/>
            <w:vAlign w:val="bottom"/>
            <w:tcBorders>
              <w:bottom w:val="single" w:sz="8" w:color="B9C5C2"/>
            </w:tcBorders>
            <w:gridSpan w:val="3"/>
          </w:tcPr>
          <w:p>
            <w:pPr>
              <w:spacing w:after="0"/>
              <w:rPr>
                <w:sz w:val="4"/>
                <w:szCs w:val="4"/>
                <w:color w:val="auto"/>
              </w:rPr>
            </w:pPr>
          </w:p>
        </w:tc>
        <w:tc>
          <w:tcPr>
            <w:tcW w:w="620" w:type="dxa"/>
            <w:vAlign w:val="bottom"/>
            <w:tcBorders>
              <w:bottom w:val="single" w:sz="8" w:color="B9C5C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20 of 20</w:t>
            </w: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100%</w:t>
            </w:r>
          </w:p>
        </w:tc>
        <w:tc>
          <w:tcPr>
            <w:tcW w:w="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3740" w:type="dxa"/>
            <w:vAlign w:val="bottom"/>
            <w:tcBorders>
              <w:bottom w:val="single" w:sz="8" w:color="B2B2B2"/>
            </w:tcBorders>
          </w:tcPr>
          <w:p>
            <w:pPr>
              <w:spacing w:after="0"/>
              <w:rPr>
                <w:sz w:val="7"/>
                <w:szCs w:val="7"/>
                <w:color w:val="auto"/>
              </w:rPr>
            </w:pPr>
          </w:p>
        </w:tc>
        <w:tc>
          <w:tcPr>
            <w:tcW w:w="120" w:type="dxa"/>
            <w:vAlign w:val="bottom"/>
            <w:tcBorders>
              <w:bottom w:val="single" w:sz="8" w:color="B2B2B2"/>
            </w:tcBorders>
          </w:tcPr>
          <w:p>
            <w:pPr>
              <w:spacing w:after="0"/>
              <w:rPr>
                <w:sz w:val="7"/>
                <w:szCs w:val="7"/>
                <w:color w:val="auto"/>
              </w:rPr>
            </w:pPr>
          </w:p>
        </w:tc>
        <w:tc>
          <w:tcPr>
            <w:tcW w:w="300" w:type="dxa"/>
            <w:vAlign w:val="bottom"/>
            <w:tcBorders>
              <w:bottom w:val="single" w:sz="8" w:color="B2B2B2"/>
            </w:tcBorders>
          </w:tcPr>
          <w:p>
            <w:pPr>
              <w:spacing w:after="0"/>
              <w:rPr>
                <w:sz w:val="7"/>
                <w:szCs w:val="7"/>
                <w:color w:val="auto"/>
              </w:rPr>
            </w:pPr>
          </w:p>
        </w:tc>
        <w:tc>
          <w:tcPr>
            <w:tcW w:w="160" w:type="dxa"/>
            <w:vAlign w:val="bottom"/>
            <w:tcBorders>
              <w:bottom w:val="single" w:sz="8" w:color="B2B2B2"/>
            </w:tcBorders>
          </w:tcPr>
          <w:p>
            <w:pPr>
              <w:spacing w:after="0"/>
              <w:rPr>
                <w:sz w:val="7"/>
                <w:szCs w:val="7"/>
                <w:color w:val="auto"/>
              </w:rPr>
            </w:pPr>
          </w:p>
        </w:tc>
        <w:tc>
          <w:tcPr>
            <w:tcW w:w="620" w:type="dxa"/>
            <w:vAlign w:val="bottom"/>
            <w:tcBorders>
              <w:bottom w:val="single" w:sz="8" w:color="B2B2B2"/>
            </w:tcBorders>
          </w:tcPr>
          <w:p>
            <w:pPr>
              <w:spacing w:after="0"/>
              <w:rPr>
                <w:sz w:val="7"/>
                <w:szCs w:val="7"/>
                <w:color w:val="auto"/>
              </w:rPr>
            </w:pPr>
          </w:p>
        </w:tc>
        <w:tc>
          <w:tcPr>
            <w:tcW w:w="56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374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(number and value)</w:t>
            </w:r>
          </w:p>
        </w:tc>
        <w:tc>
          <w:tcPr>
            <w:tcW w:w="120" w:type="dxa"/>
            <w:vAlign w:val="bottom"/>
            <w:tcBorders>
              <w:bottom w:val="single" w:sz="8" w:color="B2B2B2"/>
            </w:tcBorders>
          </w:tcPr>
          <w:p>
            <w:pPr>
              <w:spacing w:after="0"/>
              <w:rPr>
                <w:sz w:val="17"/>
                <w:szCs w:val="17"/>
                <w:color w:val="auto"/>
              </w:rPr>
            </w:pPr>
          </w:p>
        </w:tc>
        <w:tc>
          <w:tcPr>
            <w:tcW w:w="3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6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spacing w:after="0"/>
              <w:rPr>
                <w:sz w:val="17"/>
                <w:szCs w:val="17"/>
                <w:color w:val="auto"/>
              </w:rPr>
            </w:pPr>
          </w:p>
        </w:tc>
        <w:tc>
          <w:tcPr>
            <w:tcW w:w="178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and DSUs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31"/>
        </w:trPr>
        <w:tc>
          <w:tcPr>
            <w:tcW w:w="374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w w:val="98"/>
              </w:rPr>
              <w:t>RSUs</w:t>
            </w:r>
          </w:p>
        </w:tc>
        <w:tc>
          <w:tcPr>
            <w:tcW w:w="16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DSUs</w:t>
            </w:r>
          </w:p>
        </w:tc>
        <w:tc>
          <w:tcPr>
            <w:tcW w:w="560" w:type="dxa"/>
            <w:vAlign w:val="bottom"/>
          </w:tcPr>
          <w:p>
            <w:pPr>
              <w:jc w:val="center"/>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740" w:type="dxa"/>
            <w:vAlign w:val="bottom"/>
          </w:tcPr>
          <w:p>
            <w:pPr>
              <w:ind w:left="40"/>
              <w:spacing w:after="0"/>
              <w:rPr>
                <w:sz w:val="20"/>
                <w:szCs w:val="20"/>
                <w:color w:val="auto"/>
              </w:rPr>
            </w:pPr>
            <w:r>
              <w:rPr>
                <w:rFonts w:ascii="Arial" w:cs="Arial" w:eastAsia="Arial" w:hAnsi="Arial"/>
                <w:sz w:val="14"/>
                <w:szCs w:val="14"/>
                <w:color w:val="auto"/>
              </w:rPr>
              <w:t>4,650</w:t>
            </w:r>
          </w:p>
        </w:tc>
        <w:tc>
          <w:tcPr>
            <w:tcW w:w="120" w:type="dxa"/>
            <w:vAlign w:val="bottom"/>
          </w:tcPr>
          <w:p>
            <w:pPr>
              <w:ind w:left="4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620" w:type="dxa"/>
            <w:vAlign w:val="bottom"/>
          </w:tcPr>
          <w:p>
            <w:pPr>
              <w:ind w:left="20"/>
              <w:spacing w:after="0"/>
              <w:rPr>
                <w:sz w:val="20"/>
                <w:szCs w:val="20"/>
                <w:color w:val="auto"/>
              </w:rPr>
            </w:pPr>
            <w:r>
              <w:rPr>
                <w:rFonts w:ascii="Arial" w:cs="Arial" w:eastAsia="Arial" w:hAnsi="Arial"/>
                <w:sz w:val="14"/>
                <w:szCs w:val="14"/>
                <w:color w:val="auto"/>
              </w:rPr>
              <w:t>10,893</w:t>
            </w:r>
          </w:p>
        </w:tc>
        <w:tc>
          <w:tcPr>
            <w:tcW w:w="56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ind w:left="20"/>
              <w:spacing w:after="0"/>
              <w:rPr>
                <w:sz w:val="20"/>
                <w:szCs w:val="20"/>
                <w:color w:val="auto"/>
              </w:rPr>
            </w:pPr>
            <w:r>
              <w:rPr>
                <w:rFonts w:ascii="Arial" w:cs="Arial" w:eastAsia="Arial" w:hAnsi="Arial"/>
                <w:sz w:val="14"/>
                <w:szCs w:val="14"/>
                <w:color w:val="auto"/>
              </w:rPr>
              <w:t>15,543</w:t>
            </w:r>
          </w:p>
        </w:tc>
        <w:tc>
          <w:tcPr>
            <w:tcW w:w="1360" w:type="dxa"/>
            <w:vAlign w:val="bottom"/>
          </w:tcPr>
          <w:p>
            <w:pPr>
              <w:spacing w:after="0"/>
              <w:rPr>
                <w:sz w:val="17"/>
                <w:szCs w:val="17"/>
                <w:color w:val="auto"/>
              </w:rPr>
            </w:pPr>
          </w:p>
        </w:tc>
      </w:tr>
      <w:tr>
        <w:trPr>
          <w:trHeight w:val="48"/>
        </w:trPr>
        <w:tc>
          <w:tcPr>
            <w:tcW w:w="3740" w:type="dxa"/>
            <w:vAlign w:val="bottom"/>
            <w:tcBorders>
              <w:bottom w:val="single" w:sz="8" w:color="B2B2B2"/>
            </w:tcBorders>
          </w:tcPr>
          <w:p>
            <w:pPr>
              <w:spacing w:after="0"/>
              <w:rPr>
                <w:sz w:val="4"/>
                <w:szCs w:val="4"/>
                <w:color w:val="auto"/>
              </w:rPr>
            </w:pPr>
          </w:p>
        </w:tc>
        <w:tc>
          <w:tcPr>
            <w:tcW w:w="120" w:type="dxa"/>
            <w:vAlign w:val="bottom"/>
            <w:tcBorders>
              <w:bottom w:val="single" w:sz="8" w:color="B2B2B2"/>
            </w:tcBorders>
          </w:tcPr>
          <w:p>
            <w:pPr>
              <w:spacing w:after="0"/>
              <w:rPr>
                <w:sz w:val="4"/>
                <w:szCs w:val="4"/>
                <w:color w:val="auto"/>
              </w:rPr>
            </w:pPr>
          </w:p>
        </w:tc>
        <w:tc>
          <w:tcPr>
            <w:tcW w:w="30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620" w:type="dxa"/>
            <w:vAlign w:val="bottom"/>
            <w:tcBorders>
              <w:bottom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3740" w:type="dxa"/>
            <w:vAlign w:val="bottom"/>
          </w:tcPr>
          <w:p>
            <w:pPr>
              <w:ind w:left="40"/>
              <w:spacing w:after="0"/>
              <w:rPr>
                <w:sz w:val="20"/>
                <w:szCs w:val="20"/>
                <w:color w:val="auto"/>
              </w:rPr>
            </w:pPr>
            <w:r>
              <w:rPr>
                <w:rFonts w:ascii="Arial" w:cs="Arial" w:eastAsia="Arial" w:hAnsi="Arial"/>
                <w:sz w:val="14"/>
                <w:szCs w:val="14"/>
                <w:color w:val="auto"/>
              </w:rPr>
              <w:t>$406,550</w:t>
            </w:r>
          </w:p>
        </w:tc>
        <w:tc>
          <w:tcPr>
            <w:tcW w:w="120" w:type="dxa"/>
            <w:vAlign w:val="bottom"/>
          </w:tcPr>
          <w:p>
            <w:pPr>
              <w:ind w:left="4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620" w:type="dxa"/>
            <w:vAlign w:val="bottom"/>
          </w:tcPr>
          <w:p>
            <w:pPr>
              <w:ind w:left="20"/>
              <w:spacing w:after="0"/>
              <w:rPr>
                <w:sz w:val="20"/>
                <w:szCs w:val="20"/>
                <w:color w:val="auto"/>
              </w:rPr>
            </w:pPr>
            <w:r>
              <w:rPr>
                <w:rFonts w:ascii="Arial" w:cs="Arial" w:eastAsia="Arial" w:hAnsi="Arial"/>
                <w:sz w:val="14"/>
                <w:szCs w:val="14"/>
                <w:i w:val="1"/>
                <w:iCs w:val="1"/>
                <w:color w:val="auto"/>
                <w:w w:val="99"/>
              </w:rPr>
              <w:t>$952,375</w:t>
            </w:r>
          </w:p>
        </w:tc>
        <w:tc>
          <w:tcPr>
            <w:tcW w:w="56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ind w:left="900"/>
              <w:spacing w:after="0"/>
              <w:rPr>
                <w:sz w:val="20"/>
                <w:szCs w:val="20"/>
                <w:color w:val="auto"/>
              </w:rPr>
            </w:pPr>
            <w:r>
              <w:rPr>
                <w:rFonts w:ascii="Arial" w:cs="Arial" w:eastAsia="Arial" w:hAnsi="Arial"/>
                <w:sz w:val="14"/>
                <w:szCs w:val="14"/>
                <w:i w:val="1"/>
                <w:iCs w:val="1"/>
                <w:color w:val="auto"/>
              </w:rPr>
              <w:t>$1,358,924</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5.4x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149225</wp:posOffset>
            </wp:positionV>
            <wp:extent cx="69297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300"/>
            <w:col w:w="8640"/>
          </w:cols>
          <w:pgMar w:left="480" w:top="361" w:right="499" w:bottom="1440" w:gutter="0" w:footer="0" w:header="0"/>
          <w:type w:val="continuous"/>
        </w:sectPr>
      </w:pPr>
    </w:p>
    <w:p>
      <w:pPr>
        <w:spacing w:after="0" w:line="6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22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361" w:right="499" w:bottom="144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Kim M. Rivera</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57</w:t>
      </w:r>
    </w:p>
    <w:p>
      <w:pPr>
        <w:spacing w:after="0" w:line="64" w:lineRule="exact"/>
        <w:rPr>
          <w:sz w:val="20"/>
          <w:szCs w:val="20"/>
          <w:color w:val="auto"/>
        </w:rPr>
      </w:pPr>
    </w:p>
    <w:p>
      <w:pPr>
        <w:ind w:left="100" w:right="360"/>
        <w:spacing w:after="0" w:line="277" w:lineRule="auto"/>
        <w:rPr>
          <w:sz w:val="20"/>
          <w:szCs w:val="20"/>
          <w:color w:val="auto"/>
        </w:rPr>
      </w:pPr>
      <w:r>
        <w:rPr>
          <w:rFonts w:ascii="Arial" w:cs="Arial" w:eastAsia="Arial" w:hAnsi="Arial"/>
          <w:sz w:val="13"/>
          <w:szCs w:val="13"/>
          <w:color w:val="auto"/>
        </w:rPr>
        <w:t>Portola Valley, California, United States</w:t>
      </w:r>
    </w:p>
    <w:p>
      <w:pPr>
        <w:spacing w:after="0" w:line="16" w:lineRule="exact"/>
        <w:rPr>
          <w:sz w:val="20"/>
          <w:szCs w:val="20"/>
          <w:color w:val="auto"/>
        </w:rPr>
      </w:pPr>
    </w:p>
    <w:p>
      <w:pPr>
        <w:ind w:left="100" w:right="700"/>
        <w:spacing w:after="0" w:line="343" w:lineRule="auto"/>
        <w:rPr>
          <w:sz w:val="20"/>
          <w:szCs w:val="20"/>
          <w:color w:val="auto"/>
        </w:rPr>
      </w:pPr>
      <w:r>
        <w:rPr>
          <w:rFonts w:ascii="Arial" w:cs="Arial" w:eastAsia="Arial" w:hAnsi="Arial"/>
          <w:sz w:val="13"/>
          <w:szCs w:val="13"/>
          <w:color w:val="auto"/>
        </w:rPr>
        <w:t>Director since 2019 Independent</w:t>
      </w:r>
    </w:p>
    <w:p>
      <w:pPr>
        <w:spacing w:after="0" w:line="1" w:lineRule="exact"/>
        <w:rPr>
          <w:sz w:val="20"/>
          <w:szCs w:val="20"/>
          <w:color w:val="auto"/>
        </w:rPr>
      </w:pPr>
    </w:p>
    <w:p>
      <w:pPr>
        <w:jc w:val="both"/>
        <w:ind w:left="100" w:right="240"/>
        <w:spacing w:after="0" w:line="256" w:lineRule="auto"/>
        <w:rPr>
          <w:sz w:val="20"/>
          <w:szCs w:val="20"/>
          <w:color w:val="auto"/>
        </w:rPr>
      </w:pPr>
      <w:r>
        <w:rPr>
          <w:rFonts w:ascii="Arial" w:cs="Arial" w:eastAsia="Arial" w:hAnsi="Arial"/>
          <w:sz w:val="13"/>
          <w:szCs w:val="13"/>
          <w:color w:val="auto"/>
        </w:rPr>
        <w:t>Primary areas of expertise: legal, strategy, technology, operations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99.90%</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Kim M.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-271780</wp:posOffset>
            </wp:positionV>
            <wp:extent cx="7176135" cy="3201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201670"/>
                    </a:xfrm>
                    <a:prstGeom prst="rect">
                      <a:avLst/>
                    </a:prstGeom>
                    <a:noFill/>
                  </pic:spPr>
                </pic:pic>
              </a:graphicData>
            </a:graphic>
          </wp:anchor>
        </w:drawing>
      </w:r>
    </w:p>
    <w:p>
      <w:pPr>
        <w:spacing w:after="0" w:line="23" w:lineRule="exact"/>
        <w:rPr>
          <w:sz w:val="20"/>
          <w:szCs w:val="20"/>
          <w:color w:val="auto"/>
        </w:rPr>
      </w:pPr>
    </w:p>
    <w:p>
      <w:pPr>
        <w:ind w:left="40" w:right="40"/>
        <w:spacing w:after="0" w:line="245" w:lineRule="auto"/>
        <w:rPr>
          <w:sz w:val="20"/>
          <w:szCs w:val="20"/>
          <w:color w:val="auto"/>
        </w:rPr>
      </w:pPr>
      <w:r>
        <w:rPr>
          <w:rFonts w:ascii="Arial" w:cs="Arial" w:eastAsia="Arial" w:hAnsi="Arial"/>
          <w:sz w:val="14"/>
          <w:szCs w:val="14"/>
          <w:color w:val="auto"/>
        </w:rPr>
        <w:t>Kim M. Rivera is the Chief Legal and Business Affairs Officer of OneTrust, LLC, a privacy, security and governance management software company. She was Special Advisor to the CEO of HP Inc. from February 2021 through December 2021. Prior to that, Kim was President, Strategy and Business Management and Chief Legal Officer at HP Inc. from January 2019 through January 2021. She served as Chief Legal Officer and General Counsel of HP Inc. from November 2015 to January 2019. Prior to joining HP Inc., Kim was the Chief Legal Officer and Corporate Secretary for DaVita HealthCare Partners where she was employed from 2010 to 2015. Prior to that, she served as the Chief Compliance Officer and Head of International Legal Services at The Clorox Company; and Chief Litigation Counsel for Rockwell Automation, as well as General Counsel for its Automation Controls and Information Group. Kim has a bachelor’s degree from Duke University and a Juris Doctor degree from Harvard Law School.</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Board/committee</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52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membership</w:t>
            </w:r>
          </w:p>
        </w:tc>
        <w:tc>
          <w:tcPr>
            <w:tcW w:w="2460" w:type="dxa"/>
            <w:vAlign w:val="bottom"/>
            <w:tcBorders>
              <w:bottom w:val="single" w:sz="8" w:color="B2B2B2"/>
            </w:tcBorders>
            <w:gridSpan w:val="4"/>
          </w:tcPr>
          <w:p>
            <w:pPr>
              <w:ind w:left="1160"/>
              <w:spacing w:after="0"/>
              <w:rPr>
                <w:sz w:val="20"/>
                <w:szCs w:val="20"/>
                <w:color w:val="auto"/>
              </w:rPr>
            </w:pPr>
            <w:r>
              <w:rPr>
                <w:rFonts w:ascii="Arial" w:cs="Arial" w:eastAsia="Arial" w:hAnsi="Arial"/>
                <w:sz w:val="14"/>
                <w:szCs w:val="14"/>
                <w:b w:val="1"/>
                <w:bCs w:val="1"/>
                <w:color w:val="auto"/>
              </w:rPr>
              <w:t>2025 attendance</w:t>
            </w:r>
          </w:p>
        </w:tc>
        <w:tc>
          <w:tcPr>
            <w:tcW w:w="3680" w:type="dxa"/>
            <w:vAlign w:val="bottom"/>
            <w:tcBorders>
              <w:bottom w:val="single" w:sz="8" w:color="B2B2B2"/>
            </w:tcBorders>
            <w:gridSpan w:val="3"/>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540" w:type="dxa"/>
            <w:vAlign w:val="bottom"/>
            <w:gridSpan w:val="2"/>
          </w:tcPr>
          <w:p>
            <w:pPr>
              <w:ind w:left="116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540" w:type="dxa"/>
            <w:vAlign w:val="bottom"/>
          </w:tcPr>
          <w:p>
            <w:pPr>
              <w:spacing w:after="0"/>
              <w:rPr>
                <w:sz w:val="23"/>
                <w:szCs w:val="23"/>
                <w:color w:val="auto"/>
              </w:rPr>
            </w:pPr>
          </w:p>
        </w:tc>
        <w:tc>
          <w:tcPr>
            <w:tcW w:w="1780" w:type="dxa"/>
            <w:vAlign w:val="bottom"/>
          </w:tcPr>
          <w:p>
            <w:pPr>
              <w:ind w:left="92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3"/>
                <w:szCs w:val="23"/>
                <w:color w:val="auto"/>
              </w:rPr>
            </w:pPr>
          </w:p>
        </w:tc>
      </w:tr>
      <w:tr>
        <w:trPr>
          <w:trHeight w:val="321"/>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gridSpan w:val="2"/>
          </w:tcPr>
          <w:p>
            <w:pPr>
              <w:ind w:left="1160"/>
              <w:spacing w:after="0"/>
              <w:rPr>
                <w:sz w:val="20"/>
                <w:szCs w:val="20"/>
                <w:color w:val="auto"/>
              </w:rPr>
            </w:pPr>
            <w:r>
              <w:rPr>
                <w:rFonts w:ascii="Arial" w:cs="Arial" w:eastAsia="Arial" w:hAnsi="Arial"/>
                <w:sz w:val="14"/>
                <w:szCs w:val="14"/>
                <w:color w:val="auto"/>
              </w:rPr>
              <w:t>7 of 7</w:t>
            </w:r>
          </w:p>
        </w:tc>
        <w:tc>
          <w:tcPr>
            <w:tcW w:w="1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320" w:type="dxa"/>
            <w:vAlign w:val="bottom"/>
            <w:gridSpan w:val="2"/>
          </w:tcPr>
          <w:p>
            <w:pPr>
              <w:ind w:left="40"/>
              <w:spacing w:after="0"/>
              <w:rPr>
                <w:sz w:val="20"/>
                <w:szCs w:val="20"/>
                <w:color w:val="auto"/>
              </w:rPr>
            </w:pPr>
            <w:r>
              <w:rPr>
                <w:rFonts w:ascii="Arial" w:cs="Arial" w:eastAsia="Arial" w:hAnsi="Arial"/>
                <w:sz w:val="14"/>
                <w:szCs w:val="14"/>
                <w:color w:val="auto"/>
                <w:w w:val="95"/>
              </w:rPr>
              <w:t>Risk</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gridSpan w:val="2"/>
          </w:tcPr>
          <w:p>
            <w:pPr>
              <w:ind w:left="1160"/>
              <w:spacing w:after="0"/>
              <w:rPr>
                <w:sz w:val="20"/>
                <w:szCs w:val="20"/>
                <w:color w:val="auto"/>
              </w:rPr>
            </w:pPr>
            <w:r>
              <w:rPr>
                <w:rFonts w:ascii="Arial" w:cs="Arial" w:eastAsia="Arial" w:hAnsi="Arial"/>
                <w:sz w:val="14"/>
                <w:szCs w:val="14"/>
                <w:color w:val="auto"/>
              </w:rPr>
              <w:t>4 of 4</w:t>
            </w:r>
          </w:p>
        </w:tc>
        <w:tc>
          <w:tcPr>
            <w:tcW w:w="1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460" w:type="dxa"/>
            <w:vAlign w:val="bottom"/>
            <w:tcBorders>
              <w:bottom w:val="single" w:sz="8" w:color="B2B2B2"/>
            </w:tcBorders>
            <w:gridSpan w:val="3"/>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820" w:type="dxa"/>
            <w:vAlign w:val="bottom"/>
            <w:tcBorders>
              <w:bottom w:val="single" w:sz="8" w:color="B2B2B2"/>
            </w:tcBorders>
          </w:tcPr>
          <w:p>
            <w:pPr>
              <w:spacing w:after="0"/>
              <w:rPr>
                <w:sz w:val="4"/>
                <w:szCs w:val="4"/>
                <w:color w:val="auto"/>
              </w:rPr>
            </w:pPr>
          </w:p>
        </w:tc>
        <w:tc>
          <w:tcPr>
            <w:tcW w:w="1700" w:type="dxa"/>
            <w:vAlign w:val="bottom"/>
            <w:tcBorders>
              <w:bottom w:val="single" w:sz="8" w:color="B2B2B2"/>
            </w:tcBorders>
            <w:gridSpan w:val="3"/>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00" w:type="dxa"/>
            <w:vAlign w:val="bottom"/>
            <w:gridSpan w:val="3"/>
          </w:tcPr>
          <w:p>
            <w:pPr>
              <w:ind w:left="1160"/>
              <w:spacing w:after="0"/>
              <w:rPr>
                <w:sz w:val="20"/>
                <w:szCs w:val="20"/>
                <w:color w:val="auto"/>
              </w:rPr>
            </w:pPr>
            <w:r>
              <w:rPr>
                <w:rFonts w:ascii="Arial" w:cs="Arial" w:eastAsia="Arial" w:hAnsi="Arial"/>
                <w:sz w:val="14"/>
                <w:szCs w:val="14"/>
                <w:b w:val="1"/>
                <w:bCs w:val="1"/>
                <w:color w:val="auto"/>
                <w:w w:val="99"/>
              </w:rPr>
              <w:t>17 of 17</w:t>
            </w: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100%</w:t>
            </w:r>
          </w:p>
        </w:tc>
        <w:tc>
          <w:tcPr>
            <w:tcW w:w="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520" w:type="dxa"/>
            <w:vAlign w:val="bottom"/>
            <w:tcBorders>
              <w:bottom w:val="single" w:sz="8" w:color="B2B2B2"/>
            </w:tcBorders>
            <w:gridSpan w:val="5"/>
          </w:tcPr>
          <w:p>
            <w:pPr>
              <w:spacing w:after="0"/>
              <w:rPr>
                <w:sz w:val="7"/>
                <w:szCs w:val="7"/>
                <w:color w:val="auto"/>
              </w:rPr>
            </w:pPr>
          </w:p>
        </w:tc>
        <w:tc>
          <w:tcPr>
            <w:tcW w:w="1240" w:type="dxa"/>
            <w:vAlign w:val="bottom"/>
            <w:tcBorders>
              <w:bottom w:val="single" w:sz="8" w:color="B2B2B2"/>
            </w:tcBorders>
          </w:tcPr>
          <w:p>
            <w:pPr>
              <w:spacing w:after="0"/>
              <w:rPr>
                <w:sz w:val="7"/>
                <w:szCs w:val="7"/>
                <w:color w:val="auto"/>
              </w:rPr>
            </w:pPr>
          </w:p>
        </w:tc>
        <w:tc>
          <w:tcPr>
            <w:tcW w:w="300" w:type="dxa"/>
            <w:vAlign w:val="bottom"/>
            <w:tcBorders>
              <w:bottom w:val="single" w:sz="8" w:color="B2B2B2"/>
            </w:tcBorders>
          </w:tcPr>
          <w:p>
            <w:pPr>
              <w:spacing w:after="0"/>
              <w:rPr>
                <w:sz w:val="7"/>
                <w:szCs w:val="7"/>
                <w:color w:val="auto"/>
              </w:rPr>
            </w:pPr>
          </w:p>
        </w:tc>
        <w:tc>
          <w:tcPr>
            <w:tcW w:w="160" w:type="dxa"/>
            <w:vAlign w:val="bottom"/>
            <w:tcBorders>
              <w:bottom w:val="single" w:sz="8" w:color="B2B2B2"/>
            </w:tcBorders>
          </w:tcPr>
          <w:p>
            <w:pPr>
              <w:spacing w:after="0"/>
              <w:rPr>
                <w:sz w:val="7"/>
                <w:szCs w:val="7"/>
                <w:color w:val="auto"/>
              </w:rPr>
            </w:pPr>
          </w:p>
        </w:tc>
        <w:tc>
          <w:tcPr>
            <w:tcW w:w="760" w:type="dxa"/>
            <w:vAlign w:val="bottom"/>
            <w:tcBorders>
              <w:bottom w:val="single" w:sz="8" w:color="B2B2B2"/>
            </w:tcBorders>
          </w:tcPr>
          <w:p>
            <w:pPr>
              <w:spacing w:after="0"/>
              <w:rPr>
                <w:sz w:val="7"/>
                <w:szCs w:val="7"/>
                <w:color w:val="auto"/>
              </w:rPr>
            </w:pPr>
          </w:p>
        </w:tc>
        <w:tc>
          <w:tcPr>
            <w:tcW w:w="54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2520" w:type="dxa"/>
            <w:vAlign w:val="bottom"/>
            <w:gridSpan w:val="5"/>
          </w:tcPr>
          <w:p>
            <w:pPr>
              <w:ind w:left="40"/>
              <w:spacing w:after="0"/>
              <w:rPr>
                <w:sz w:val="20"/>
                <w:szCs w:val="20"/>
                <w:color w:val="auto"/>
              </w:rPr>
            </w:pPr>
            <w:r>
              <w:rPr>
                <w:rFonts w:ascii="Arial" w:cs="Arial" w:eastAsia="Arial" w:hAnsi="Arial"/>
                <w:sz w:val="14"/>
                <w:szCs w:val="14"/>
                <w:b w:val="1"/>
                <w:bCs w:val="1"/>
                <w:color w:val="auto"/>
              </w:rPr>
              <w:t>Securities held</w:t>
            </w: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252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(number and value)</w:t>
            </w:r>
          </w:p>
        </w:tc>
        <w:tc>
          <w:tcPr>
            <w:tcW w:w="1240" w:type="dxa"/>
            <w:vAlign w:val="bottom"/>
            <w:tcBorders>
              <w:bottom w:val="single" w:sz="8" w:color="B2B2B2"/>
            </w:tcBorders>
          </w:tcPr>
          <w:p>
            <w:pPr>
              <w:spacing w:after="0"/>
              <w:rPr>
                <w:sz w:val="17"/>
                <w:szCs w:val="17"/>
                <w:color w:val="auto"/>
              </w:rPr>
            </w:pPr>
          </w:p>
        </w:tc>
        <w:tc>
          <w:tcPr>
            <w:tcW w:w="3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760" w:type="dxa"/>
            <w:vAlign w:val="bottom"/>
            <w:tcBorders>
              <w:bottom w:val="single" w:sz="8" w:color="B2B2B2"/>
            </w:tcBorders>
          </w:tcPr>
          <w:p>
            <w:pPr>
              <w:spacing w:after="0"/>
              <w:rPr>
                <w:sz w:val="17"/>
                <w:szCs w:val="17"/>
                <w:color w:val="auto"/>
              </w:rPr>
            </w:pPr>
          </w:p>
        </w:tc>
        <w:tc>
          <w:tcPr>
            <w:tcW w:w="540" w:type="dxa"/>
            <w:vAlign w:val="bottom"/>
            <w:tcBorders>
              <w:bottom w:val="single" w:sz="8" w:color="B2B2B2"/>
            </w:tcBorders>
          </w:tcPr>
          <w:p>
            <w:pPr>
              <w:spacing w:after="0"/>
              <w:rPr>
                <w:sz w:val="17"/>
                <w:szCs w:val="17"/>
                <w:color w:val="auto"/>
              </w:rPr>
            </w:pPr>
          </w:p>
        </w:tc>
        <w:tc>
          <w:tcPr>
            <w:tcW w:w="178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and DSUs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312"/>
        </w:trPr>
        <w:tc>
          <w:tcPr>
            <w:tcW w:w="2520" w:type="dxa"/>
            <w:vAlign w:val="bottom"/>
            <w:gridSpan w:val="5"/>
          </w:tcPr>
          <w:p>
            <w:pPr>
              <w:ind w:left="40"/>
              <w:spacing w:after="0"/>
              <w:rPr>
                <w:sz w:val="20"/>
                <w:szCs w:val="20"/>
                <w:color w:val="auto"/>
              </w:rPr>
            </w:pPr>
            <w:r>
              <w:rPr>
                <w:rFonts w:ascii="Arial" w:cs="Arial" w:eastAsia="Arial" w:hAnsi="Arial"/>
                <w:sz w:val="14"/>
                <w:szCs w:val="14"/>
                <w:color w:val="auto"/>
              </w:rPr>
              <w:t>Common shares</w:t>
            </w:r>
          </w:p>
        </w:tc>
        <w:tc>
          <w:tcPr>
            <w:tcW w:w="1540" w:type="dxa"/>
            <w:vAlign w:val="bottom"/>
            <w:gridSpan w:val="2"/>
          </w:tcPr>
          <w:p>
            <w:pPr>
              <w:ind w:left="1160"/>
              <w:spacing w:after="0"/>
              <w:rPr>
                <w:sz w:val="20"/>
                <w:szCs w:val="20"/>
                <w:color w:val="auto"/>
              </w:rPr>
            </w:pPr>
            <w:r>
              <w:rPr>
                <w:rFonts w:ascii="Arial" w:cs="Arial" w:eastAsia="Arial" w:hAnsi="Arial"/>
                <w:sz w:val="14"/>
                <w:szCs w:val="14"/>
                <w:color w:val="auto"/>
                <w:w w:val="98"/>
              </w:rPr>
              <w:t>RSUs</w:t>
            </w:r>
          </w:p>
        </w:tc>
        <w:tc>
          <w:tcPr>
            <w:tcW w:w="1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DSUs</w:t>
            </w:r>
          </w:p>
        </w:tc>
        <w:tc>
          <w:tcPr>
            <w:tcW w:w="540" w:type="dxa"/>
            <w:vAlign w:val="bottom"/>
          </w:tcPr>
          <w:p>
            <w:pPr>
              <w:jc w:val="center"/>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200" w:type="dxa"/>
            <w:vAlign w:val="bottom"/>
          </w:tcPr>
          <w:p>
            <w:pPr>
              <w:ind w:left="60"/>
              <w:spacing w:after="0"/>
              <w:rPr>
                <w:sz w:val="20"/>
                <w:szCs w:val="20"/>
                <w:color w:val="auto"/>
              </w:rPr>
            </w:pPr>
            <w:r>
              <w:rPr>
                <w:rFonts w:ascii="Arial" w:cs="Arial" w:eastAsia="Arial" w:hAnsi="Arial"/>
                <w:sz w:val="14"/>
                <w:szCs w:val="14"/>
                <w:color w:val="auto"/>
                <w:w w:val="73"/>
              </w:rPr>
              <w:t>  </w:t>
            </w:r>
          </w:p>
        </w:tc>
        <w:tc>
          <w:tcPr>
            <w:tcW w:w="140" w:type="dxa"/>
            <w:vAlign w:val="bottom"/>
          </w:tcPr>
          <w:p>
            <w:pPr>
              <w:ind w:left="20"/>
              <w:spacing w:after="0"/>
              <w:rPr>
                <w:sz w:val="20"/>
                <w:szCs w:val="20"/>
                <w:color w:val="auto"/>
              </w:rPr>
            </w:pPr>
            <w:r>
              <w:rPr>
                <w:rFonts w:ascii="Arial" w:cs="Arial" w:eastAsia="Arial" w:hAnsi="Arial"/>
                <w:sz w:val="12"/>
                <w:szCs w:val="12"/>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color w:val="auto"/>
                <w:w w:val="74"/>
              </w:rPr>
              <w:t> – </w:t>
            </w:r>
          </w:p>
        </w:tc>
        <w:tc>
          <w:tcPr>
            <w:tcW w:w="1820" w:type="dxa"/>
            <w:vAlign w:val="bottom"/>
          </w:tcPr>
          <w:p>
            <w:pPr>
              <w:ind w:left="60"/>
              <w:spacing w:after="0"/>
              <w:rPr>
                <w:sz w:val="20"/>
                <w:szCs w:val="20"/>
                <w:color w:val="auto"/>
              </w:rPr>
            </w:pPr>
            <w:r>
              <w:rPr>
                <w:rFonts w:ascii="Arial" w:cs="Arial" w:eastAsia="Arial" w:hAnsi="Arial"/>
                <w:sz w:val="14"/>
                <w:szCs w:val="14"/>
                <w:color w:val="auto"/>
              </w:rPr>
              <w:t> </w:t>
            </w:r>
          </w:p>
        </w:tc>
        <w:tc>
          <w:tcPr>
            <w:tcW w:w="1240" w:type="dxa"/>
            <w:vAlign w:val="bottom"/>
          </w:tcPr>
          <w:p>
            <w:pPr>
              <w:ind w:left="116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760" w:type="dxa"/>
            <w:vAlign w:val="bottom"/>
          </w:tcPr>
          <w:p>
            <w:pPr>
              <w:ind w:left="20"/>
              <w:spacing w:after="0"/>
              <w:rPr>
                <w:sz w:val="20"/>
                <w:szCs w:val="20"/>
                <w:color w:val="auto"/>
              </w:rPr>
            </w:pPr>
            <w:r>
              <w:rPr>
                <w:rFonts w:ascii="Arial" w:cs="Arial" w:eastAsia="Arial" w:hAnsi="Arial"/>
                <w:sz w:val="14"/>
                <w:szCs w:val="14"/>
                <w:color w:val="auto"/>
              </w:rPr>
              <w:t>13,973</w:t>
            </w: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ind w:left="20"/>
              <w:spacing w:after="0"/>
              <w:rPr>
                <w:sz w:val="20"/>
                <w:szCs w:val="20"/>
                <w:color w:val="auto"/>
              </w:rPr>
            </w:pPr>
            <w:r>
              <w:rPr>
                <w:rFonts w:ascii="Arial" w:cs="Arial" w:eastAsia="Arial" w:hAnsi="Arial"/>
                <w:sz w:val="14"/>
                <w:szCs w:val="14"/>
                <w:color w:val="auto"/>
              </w:rPr>
              <w:t>13,973</w:t>
            </w:r>
          </w:p>
        </w:tc>
        <w:tc>
          <w:tcPr>
            <w:tcW w:w="1360" w:type="dxa"/>
            <w:vAlign w:val="bottom"/>
          </w:tcPr>
          <w:p>
            <w:pPr>
              <w:spacing w:after="0"/>
              <w:rPr>
                <w:sz w:val="17"/>
                <w:szCs w:val="17"/>
                <w:color w:val="auto"/>
              </w:rPr>
            </w:pPr>
          </w:p>
        </w:tc>
      </w:tr>
      <w:tr>
        <w:trPr>
          <w:trHeight w:val="48"/>
        </w:trPr>
        <w:tc>
          <w:tcPr>
            <w:tcW w:w="12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820" w:type="dxa"/>
            <w:vAlign w:val="bottom"/>
            <w:tcBorders>
              <w:bottom w:val="single" w:sz="8" w:color="B2B2B2"/>
            </w:tcBorders>
          </w:tcPr>
          <w:p>
            <w:pPr>
              <w:spacing w:after="0"/>
              <w:rPr>
                <w:sz w:val="4"/>
                <w:szCs w:val="4"/>
                <w:color w:val="auto"/>
              </w:rPr>
            </w:pPr>
          </w:p>
        </w:tc>
        <w:tc>
          <w:tcPr>
            <w:tcW w:w="1240" w:type="dxa"/>
            <w:vAlign w:val="bottom"/>
            <w:tcBorders>
              <w:bottom w:val="single" w:sz="8" w:color="B2B2B2"/>
            </w:tcBorders>
          </w:tcPr>
          <w:p>
            <w:pPr>
              <w:spacing w:after="0"/>
              <w:rPr>
                <w:sz w:val="4"/>
                <w:szCs w:val="4"/>
                <w:color w:val="auto"/>
              </w:rPr>
            </w:pPr>
          </w:p>
        </w:tc>
        <w:tc>
          <w:tcPr>
            <w:tcW w:w="30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120" w:type="dxa"/>
            <w:vAlign w:val="bottom"/>
          </w:tcPr>
          <w:p>
            <w:pPr>
              <w:ind w:left="40"/>
              <w:spacing w:after="0"/>
              <w:rPr>
                <w:sz w:val="20"/>
                <w:szCs w:val="20"/>
                <w:color w:val="auto"/>
              </w:rPr>
            </w:pPr>
            <w:r>
              <w:rPr>
                <w:rFonts w:ascii="Arial" w:cs="Arial" w:eastAsia="Arial" w:hAnsi="Arial"/>
                <w:sz w:val="8"/>
                <w:szCs w:val="8"/>
                <w:i w:val="1"/>
                <w:iCs w:val="1"/>
                <w:color w:val="auto"/>
                <w:w w:val="74"/>
              </w:rPr>
              <w:t> </w:t>
            </w:r>
          </w:p>
        </w:tc>
        <w:tc>
          <w:tcPr>
            <w:tcW w:w="200" w:type="dxa"/>
            <w:vAlign w:val="bottom"/>
          </w:tcPr>
          <w:p>
            <w:pPr>
              <w:ind w:left="60"/>
              <w:spacing w:after="0"/>
              <w:rPr>
                <w:sz w:val="20"/>
                <w:szCs w:val="20"/>
                <w:color w:val="auto"/>
              </w:rPr>
            </w:pPr>
            <w:r>
              <w:rPr>
                <w:rFonts w:ascii="Arial" w:cs="Arial" w:eastAsia="Arial" w:hAnsi="Arial"/>
                <w:sz w:val="14"/>
                <w:szCs w:val="14"/>
                <w:i w:val="1"/>
                <w:iCs w:val="1"/>
                <w:color w:val="auto"/>
                <w:w w:val="73"/>
              </w:rPr>
              <w:t>  </w:t>
            </w:r>
          </w:p>
        </w:tc>
        <w:tc>
          <w:tcPr>
            <w:tcW w:w="140" w:type="dxa"/>
            <w:vAlign w:val="bottom"/>
          </w:tcPr>
          <w:p>
            <w:pPr>
              <w:ind w:left="20"/>
              <w:spacing w:after="0"/>
              <w:rPr>
                <w:sz w:val="20"/>
                <w:szCs w:val="20"/>
                <w:color w:val="auto"/>
              </w:rPr>
            </w:pPr>
            <w:r>
              <w:rPr>
                <w:rFonts w:ascii="Arial" w:cs="Arial" w:eastAsia="Arial" w:hAnsi="Arial"/>
                <w:sz w:val="12"/>
                <w:szCs w:val="12"/>
                <w:i w:val="1"/>
                <w:iCs w:val="1"/>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i w:val="1"/>
                <w:iCs w:val="1"/>
                <w:color w:val="auto"/>
                <w:w w:val="74"/>
              </w:rPr>
              <w:t> – </w:t>
            </w:r>
          </w:p>
        </w:tc>
        <w:tc>
          <w:tcPr>
            <w:tcW w:w="182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1240" w:type="dxa"/>
            <w:vAlign w:val="bottom"/>
          </w:tcPr>
          <w:p>
            <w:pPr>
              <w:ind w:left="116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760" w:type="dxa"/>
            <w:vAlign w:val="bottom"/>
          </w:tcPr>
          <w:p>
            <w:pPr>
              <w:ind w:left="20"/>
              <w:spacing w:after="0"/>
              <w:rPr>
                <w:sz w:val="20"/>
                <w:szCs w:val="20"/>
                <w:color w:val="auto"/>
              </w:rPr>
            </w:pPr>
            <w:r>
              <w:rPr>
                <w:rFonts w:ascii="Arial" w:cs="Arial" w:eastAsia="Arial" w:hAnsi="Arial"/>
                <w:sz w:val="14"/>
                <w:szCs w:val="14"/>
                <w:i w:val="1"/>
                <w:iCs w:val="1"/>
                <w:color w:val="auto"/>
              </w:rPr>
              <w:t>$1,221,659</w:t>
            </w:r>
          </w:p>
        </w:tc>
        <w:tc>
          <w:tcPr>
            <w:tcW w:w="54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ind w:left="900"/>
              <w:spacing w:after="0"/>
              <w:rPr>
                <w:sz w:val="20"/>
                <w:szCs w:val="20"/>
                <w:color w:val="auto"/>
              </w:rPr>
            </w:pPr>
            <w:r>
              <w:rPr>
                <w:rFonts w:ascii="Arial" w:cs="Arial" w:eastAsia="Arial" w:hAnsi="Arial"/>
                <w:sz w:val="14"/>
                <w:szCs w:val="14"/>
                <w:i w:val="1"/>
                <w:iCs w:val="1"/>
                <w:color w:val="auto"/>
              </w:rPr>
              <w:t>$1,221,659</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4.9x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200025</wp:posOffset>
            </wp:positionV>
            <wp:extent cx="6929755" cy="2598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2598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320"/>
            <w:col w:w="8660"/>
          </w:cols>
          <w:pgMar w:left="480" w:top="36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Paul Sagan</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67</w:t>
      </w:r>
    </w:p>
    <w:p>
      <w:pPr>
        <w:spacing w:after="0" w:line="64" w:lineRule="exact"/>
        <w:rPr>
          <w:sz w:val="20"/>
          <w:szCs w:val="20"/>
          <w:color w:val="auto"/>
        </w:rPr>
      </w:pPr>
    </w:p>
    <w:p>
      <w:pPr>
        <w:ind w:left="100" w:right="180"/>
        <w:spacing w:after="0" w:line="277" w:lineRule="auto"/>
        <w:rPr>
          <w:sz w:val="20"/>
          <w:szCs w:val="20"/>
          <w:color w:val="auto"/>
        </w:rPr>
      </w:pPr>
      <w:r>
        <w:rPr>
          <w:rFonts w:ascii="Arial" w:cs="Arial" w:eastAsia="Arial" w:hAnsi="Arial"/>
          <w:sz w:val="13"/>
          <w:szCs w:val="13"/>
          <w:color w:val="auto"/>
        </w:rPr>
        <w:t>Cambridge, Massachusetts, United States</w:t>
      </w:r>
    </w:p>
    <w:p>
      <w:pPr>
        <w:spacing w:after="0" w:line="16" w:lineRule="exact"/>
        <w:rPr>
          <w:sz w:val="20"/>
          <w:szCs w:val="20"/>
          <w:color w:val="auto"/>
        </w:rPr>
      </w:pPr>
    </w:p>
    <w:p>
      <w:pPr>
        <w:ind w:left="100" w:right="700"/>
        <w:spacing w:after="0" w:line="343" w:lineRule="auto"/>
        <w:rPr>
          <w:sz w:val="20"/>
          <w:szCs w:val="20"/>
          <w:color w:val="auto"/>
        </w:rPr>
      </w:pPr>
      <w:r>
        <w:rPr>
          <w:rFonts w:ascii="Arial" w:cs="Arial" w:eastAsia="Arial" w:hAnsi="Arial"/>
          <w:sz w:val="13"/>
          <w:szCs w:val="13"/>
          <w:color w:val="auto"/>
        </w:rPr>
        <w:t>Director since 2025 Non-independent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Primary areas of expertise: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technology, operations, media</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98.17%</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Paul Sagan</w:t>
      </w:r>
    </w:p>
    <w:p>
      <w:pPr>
        <w:spacing w:after="0" w:line="43" w:lineRule="exact"/>
        <w:rPr>
          <w:sz w:val="20"/>
          <w:szCs w:val="20"/>
          <w:color w:val="auto"/>
        </w:rPr>
      </w:pPr>
    </w:p>
    <w:p>
      <w:pPr>
        <w:ind w:left="40" w:right="160"/>
        <w:spacing w:after="0" w:line="249" w:lineRule="auto"/>
        <w:rPr>
          <w:sz w:val="20"/>
          <w:szCs w:val="20"/>
          <w:color w:val="auto"/>
        </w:rPr>
      </w:pPr>
      <w:r>
        <w:rPr>
          <w:rFonts w:ascii="Arial" w:cs="Arial" w:eastAsia="Arial" w:hAnsi="Arial"/>
          <w:sz w:val="14"/>
          <w:szCs w:val="14"/>
          <w:color w:val="auto"/>
        </w:rPr>
        <w:t>Paul Sagan is a Catalyst Advisor at General Catalyst, a venture capital and private equity firm, which he joined in 2013 and became a Managing Director in 2018. Prior to that, he was Chief Executive Officer of Akamai Technologies, Inc., a company that specializes in content delivery, cybersecurity, DDoS mitigation and cloud services. He has also served as a senior advisor to the World Economic Forum, a senior executive at Time Warner in online services and cable programming, and a news executive with CBS Inc. Paul has a B.S. from the Medill School of Journalism at Northwestern University.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Board/committee</w:t>
            </w:r>
          </w:p>
        </w:tc>
        <w:tc>
          <w:tcPr>
            <w:tcW w:w="1620" w:type="dxa"/>
            <w:vAlign w:val="bottom"/>
            <w:gridSpan w:val="2"/>
          </w:tcPr>
          <w:p>
            <w:pPr>
              <w:ind w:left="1260"/>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62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membership</w:t>
            </w:r>
          </w:p>
        </w:tc>
        <w:tc>
          <w:tcPr>
            <w:tcW w:w="2320" w:type="dxa"/>
            <w:vAlign w:val="bottom"/>
            <w:tcBorders>
              <w:bottom w:val="single" w:sz="8" w:color="B2B2B2"/>
            </w:tcBorders>
            <w:gridSpan w:val="3"/>
          </w:tcPr>
          <w:p>
            <w:pPr>
              <w:ind w:left="1260"/>
              <w:spacing w:after="0"/>
              <w:rPr>
                <w:sz w:val="20"/>
                <w:szCs w:val="20"/>
                <w:color w:val="auto"/>
              </w:rPr>
            </w:pPr>
            <w:r>
              <w:rPr>
                <w:rFonts w:ascii="Arial" w:cs="Arial" w:eastAsia="Arial" w:hAnsi="Arial"/>
                <w:sz w:val="14"/>
                <w:szCs w:val="14"/>
                <w:b w:val="1"/>
                <w:bCs w:val="1"/>
                <w:color w:val="auto"/>
              </w:rPr>
              <w:t>attendance</w:t>
            </w:r>
          </w:p>
        </w:tc>
        <w:tc>
          <w:tcPr>
            <w:tcW w:w="3680" w:type="dxa"/>
            <w:vAlign w:val="bottom"/>
            <w:tcBorders>
              <w:bottom w:val="single" w:sz="8" w:color="B2B2B2"/>
            </w:tcBorders>
            <w:gridSpan w:val="3"/>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2620" w:type="dxa"/>
            <w:vAlign w:val="bottom"/>
          </w:tcPr>
          <w:p>
            <w:pPr>
              <w:ind w:left="40"/>
              <w:spacing w:after="0"/>
              <w:rPr>
                <w:sz w:val="20"/>
                <w:szCs w:val="20"/>
                <w:color w:val="auto"/>
              </w:rPr>
            </w:pPr>
            <w:r>
              <w:rPr>
                <w:rFonts w:ascii="Arial" w:cs="Arial" w:eastAsia="Arial" w:hAnsi="Arial"/>
                <w:sz w:val="14"/>
                <w:szCs w:val="14"/>
                <w:color w:val="auto"/>
              </w:rPr>
              <w:t>Board</w:t>
            </w:r>
          </w:p>
        </w:tc>
        <w:tc>
          <w:tcPr>
            <w:tcW w:w="1620" w:type="dxa"/>
            <w:vAlign w:val="bottom"/>
            <w:gridSpan w:val="2"/>
          </w:tcPr>
          <w:p>
            <w:pPr>
              <w:ind w:left="1260"/>
              <w:spacing w:after="0"/>
              <w:rPr>
                <w:sz w:val="20"/>
                <w:szCs w:val="20"/>
                <w:color w:val="auto"/>
              </w:rPr>
            </w:pPr>
            <w:r>
              <w:rPr>
                <w:rFonts w:ascii="Arial" w:cs="Arial" w:eastAsia="Arial" w:hAnsi="Arial"/>
                <w:sz w:val="14"/>
                <w:szCs w:val="14"/>
                <w:color w:val="auto"/>
                <w:w w:val="96"/>
              </w:rPr>
              <w:t>2 of 2</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100%</w:t>
            </w:r>
          </w:p>
        </w:tc>
        <w:tc>
          <w:tcPr>
            <w:tcW w:w="1340" w:type="dxa"/>
            <w:vAlign w:val="bottom"/>
          </w:tcPr>
          <w:p>
            <w:pPr>
              <w:ind w:left="20"/>
              <w:spacing w:after="0"/>
              <w:rPr>
                <w:sz w:val="20"/>
                <w:szCs w:val="20"/>
                <w:color w:val="auto"/>
              </w:rPr>
            </w:pPr>
            <w:r>
              <w:rPr>
                <w:rFonts w:ascii="Arial" w:cs="Arial" w:eastAsia="Arial" w:hAnsi="Arial"/>
                <w:sz w:val="14"/>
                <w:szCs w:val="14"/>
                <w:color w:val="auto"/>
              </w:rPr>
              <w:t>Moderna, Inc.</w:t>
            </w: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21"/>
        </w:trPr>
        <w:tc>
          <w:tcPr>
            <w:tcW w:w="2620" w:type="dxa"/>
            <w:vAlign w:val="bottom"/>
          </w:tcPr>
          <w:p>
            <w:pPr>
              <w:ind w:left="40"/>
              <w:spacing w:after="0"/>
              <w:rPr>
                <w:sz w:val="20"/>
                <w:szCs w:val="20"/>
                <w:color w:val="auto"/>
              </w:rPr>
            </w:pPr>
            <w:r>
              <w:rPr>
                <w:rFonts w:ascii="Arial" w:cs="Arial" w:eastAsia="Arial" w:hAnsi="Arial"/>
                <w:sz w:val="14"/>
                <w:szCs w:val="14"/>
                <w:color w:val="auto"/>
              </w:rPr>
              <w:t>Risk</w:t>
            </w:r>
          </w:p>
        </w:tc>
        <w:tc>
          <w:tcPr>
            <w:tcW w:w="1620" w:type="dxa"/>
            <w:vAlign w:val="bottom"/>
            <w:gridSpan w:val="2"/>
          </w:tcPr>
          <w:p>
            <w:pPr>
              <w:ind w:left="1260"/>
              <w:spacing w:after="0"/>
              <w:rPr>
                <w:sz w:val="20"/>
                <w:szCs w:val="20"/>
                <w:color w:val="auto"/>
              </w:rPr>
            </w:pPr>
            <w:r>
              <w:rPr>
                <w:rFonts w:ascii="Arial" w:cs="Arial" w:eastAsia="Arial" w:hAnsi="Arial"/>
                <w:sz w:val="14"/>
                <w:szCs w:val="14"/>
                <w:color w:val="auto"/>
                <w:w w:val="96"/>
              </w:rPr>
              <w:t>2 of 2</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100%</w:t>
            </w:r>
          </w:p>
        </w:tc>
        <w:tc>
          <w:tcPr>
            <w:tcW w:w="1340" w:type="dxa"/>
            <w:vAlign w:val="bottom"/>
          </w:tcPr>
          <w:p>
            <w:pPr>
              <w:ind w:left="20"/>
              <w:spacing w:after="0"/>
              <w:rPr>
                <w:sz w:val="20"/>
                <w:szCs w:val="20"/>
                <w:color w:val="auto"/>
              </w:rPr>
            </w:pPr>
            <w:r>
              <w:rPr>
                <w:rFonts w:ascii="Arial" w:cs="Arial" w:eastAsia="Arial" w:hAnsi="Arial"/>
                <w:sz w:val="14"/>
                <w:szCs w:val="14"/>
                <w:color w:val="auto"/>
              </w:rPr>
              <w:t>Okta Inc.</w:t>
            </w: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2620" w:type="dxa"/>
            <w:vAlign w:val="bottom"/>
            <w:tcBorders>
              <w:bottom w:val="single" w:sz="8" w:color="B2B2B2"/>
            </w:tcBorders>
          </w:tcPr>
          <w:p>
            <w:pPr>
              <w:spacing w:after="0"/>
              <w:rPr>
                <w:sz w:val="4"/>
                <w:szCs w:val="4"/>
                <w:color w:val="auto"/>
              </w:rPr>
            </w:pPr>
          </w:p>
        </w:tc>
        <w:tc>
          <w:tcPr>
            <w:tcW w:w="2320" w:type="dxa"/>
            <w:vAlign w:val="bottom"/>
            <w:tcBorders>
              <w:bottom w:val="single" w:sz="8" w:color="B2B2B2"/>
            </w:tcBorders>
            <w:gridSpan w:val="3"/>
          </w:tcPr>
          <w:p>
            <w:pPr>
              <w:spacing w:after="0"/>
              <w:rPr>
                <w:sz w:val="4"/>
                <w:szCs w:val="4"/>
                <w:color w:val="auto"/>
              </w:rPr>
            </w:pPr>
          </w:p>
        </w:tc>
        <w:tc>
          <w:tcPr>
            <w:tcW w:w="134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320" w:type="dxa"/>
            <w:vAlign w:val="bottom"/>
            <w:gridSpan w:val="3"/>
          </w:tcPr>
          <w:p>
            <w:pPr>
              <w:ind w:left="1260"/>
              <w:spacing w:after="0"/>
              <w:rPr>
                <w:sz w:val="20"/>
                <w:szCs w:val="20"/>
                <w:color w:val="auto"/>
              </w:rPr>
            </w:pPr>
            <w:r>
              <w:rPr>
                <w:rFonts w:ascii="Arial" w:cs="Arial" w:eastAsia="Arial" w:hAnsi="Arial"/>
                <w:sz w:val="14"/>
                <w:szCs w:val="14"/>
                <w:b w:val="1"/>
                <w:bCs w:val="1"/>
                <w:color w:val="auto"/>
              </w:rPr>
              <w:t>4 of 4 100%</w:t>
            </w: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620" w:type="dxa"/>
            <w:vAlign w:val="bottom"/>
            <w:tcBorders>
              <w:bottom w:val="single" w:sz="8" w:color="B2B2B2"/>
            </w:tcBorders>
          </w:tcPr>
          <w:p>
            <w:pPr>
              <w:spacing w:after="0"/>
              <w:rPr>
                <w:sz w:val="7"/>
                <w:szCs w:val="7"/>
                <w:color w:val="auto"/>
              </w:rPr>
            </w:pPr>
          </w:p>
        </w:tc>
        <w:tc>
          <w:tcPr>
            <w:tcW w:w="1340" w:type="dxa"/>
            <w:vAlign w:val="bottom"/>
            <w:tcBorders>
              <w:bottom w:val="single" w:sz="8" w:color="B2B2B2"/>
            </w:tcBorders>
          </w:tcPr>
          <w:p>
            <w:pPr>
              <w:spacing w:after="0"/>
              <w:rPr>
                <w:sz w:val="7"/>
                <w:szCs w:val="7"/>
                <w:color w:val="auto"/>
              </w:rPr>
            </w:pPr>
          </w:p>
        </w:tc>
        <w:tc>
          <w:tcPr>
            <w:tcW w:w="280" w:type="dxa"/>
            <w:vAlign w:val="bottom"/>
            <w:tcBorders>
              <w:bottom w:val="single" w:sz="8" w:color="B2B2B2"/>
            </w:tcBorders>
          </w:tcPr>
          <w:p>
            <w:pPr>
              <w:spacing w:after="0"/>
              <w:rPr>
                <w:sz w:val="7"/>
                <w:szCs w:val="7"/>
                <w:color w:val="auto"/>
              </w:rPr>
            </w:pPr>
          </w:p>
        </w:tc>
        <w:tc>
          <w:tcPr>
            <w:tcW w:w="700" w:type="dxa"/>
            <w:vAlign w:val="bottom"/>
            <w:tcBorders>
              <w:bottom w:val="single" w:sz="8" w:color="B2B2B2"/>
            </w:tcBorders>
          </w:tcPr>
          <w:p>
            <w:pPr>
              <w:spacing w:after="0"/>
              <w:rPr>
                <w:sz w:val="7"/>
                <w:szCs w:val="7"/>
                <w:color w:val="auto"/>
              </w:rPr>
            </w:pPr>
          </w:p>
        </w:tc>
        <w:tc>
          <w:tcPr>
            <w:tcW w:w="2320" w:type="dxa"/>
            <w:vAlign w:val="bottom"/>
            <w:tcBorders>
              <w:bottom w:val="single" w:sz="8" w:color="B2B2B2"/>
            </w:tcBorders>
            <w:gridSpan w:val="2"/>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Securities held</w:t>
            </w: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320" w:type="dxa"/>
            <w:vAlign w:val="bottom"/>
            <w:gridSpan w:val="2"/>
          </w:tcPr>
          <w:p>
            <w:pPr>
              <w:ind w:left="56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262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(number and value)</w:t>
            </w:r>
          </w:p>
        </w:tc>
        <w:tc>
          <w:tcPr>
            <w:tcW w:w="1340" w:type="dxa"/>
            <w:vAlign w:val="bottom"/>
            <w:tcBorders>
              <w:bottom w:val="single" w:sz="8" w:color="B2B2B2"/>
            </w:tcBorders>
          </w:tcPr>
          <w:p>
            <w:pPr>
              <w:spacing w:after="0"/>
              <w:rPr>
                <w:sz w:val="17"/>
                <w:szCs w:val="17"/>
                <w:color w:val="auto"/>
              </w:rPr>
            </w:pPr>
          </w:p>
        </w:tc>
        <w:tc>
          <w:tcPr>
            <w:tcW w:w="28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spacing w:after="0"/>
              <w:rPr>
                <w:sz w:val="17"/>
                <w:szCs w:val="17"/>
                <w:color w:val="auto"/>
              </w:rPr>
            </w:pPr>
          </w:p>
        </w:tc>
        <w:tc>
          <w:tcPr>
            <w:tcW w:w="1340" w:type="dxa"/>
            <w:vAlign w:val="bottom"/>
            <w:tcBorders>
              <w:bottom w:val="single" w:sz="8" w:color="B2B2B2"/>
            </w:tcBorders>
          </w:tcPr>
          <w:p>
            <w:pPr>
              <w:ind w:left="560"/>
              <w:spacing w:after="0"/>
              <w:rPr>
                <w:sz w:val="20"/>
                <w:szCs w:val="20"/>
                <w:color w:val="auto"/>
              </w:rPr>
            </w:pPr>
            <w:r>
              <w:rPr>
                <w:rFonts w:ascii="Arial" w:cs="Arial" w:eastAsia="Arial" w:hAnsi="Arial"/>
                <w:sz w:val="14"/>
                <w:szCs w:val="14"/>
                <w:b w:val="1"/>
                <w:bCs w:val="1"/>
                <w:color w:val="auto"/>
              </w:rPr>
              <w:t>and DSUs</w:t>
            </w:r>
          </w:p>
        </w:tc>
        <w:tc>
          <w:tcPr>
            <w:tcW w:w="980" w:type="dxa"/>
            <w:vAlign w:val="bottom"/>
            <w:tcBorders>
              <w:bottom w:val="single" w:sz="8" w:color="B2B2B2"/>
            </w:tcBorders>
          </w:tcPr>
          <w:p>
            <w:pPr>
              <w:ind w:left="100"/>
              <w:spacing w:after="0"/>
              <w:rPr>
                <w:sz w:val="20"/>
                <w:szCs w:val="20"/>
                <w:color w:val="auto"/>
              </w:rPr>
            </w:pPr>
            <w:r>
              <w:rPr>
                <w:rFonts w:ascii="Arial" w:cs="Arial" w:eastAsia="Arial" w:hAnsi="Arial"/>
                <w:sz w:val="14"/>
                <w:szCs w:val="14"/>
                <w:b w:val="1"/>
                <w:bCs w:val="1"/>
                <w:color w:val="auto"/>
              </w:rPr>
              <w:t>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312"/>
        </w:trPr>
        <w:tc>
          <w:tcPr>
            <w:tcW w:w="2620" w:type="dxa"/>
            <w:vAlign w:val="bottom"/>
          </w:tcPr>
          <w:p>
            <w:pPr>
              <w:ind w:left="40"/>
              <w:spacing w:after="0"/>
              <w:rPr>
                <w:sz w:val="20"/>
                <w:szCs w:val="20"/>
                <w:color w:val="auto"/>
              </w:rPr>
            </w:pPr>
            <w:r>
              <w:rPr>
                <w:rFonts w:ascii="Arial" w:cs="Arial" w:eastAsia="Arial" w:hAnsi="Arial"/>
                <w:sz w:val="14"/>
                <w:szCs w:val="14"/>
                <w:color w:val="auto"/>
              </w:rPr>
              <w:t>Common shares</w:t>
            </w:r>
          </w:p>
        </w:tc>
        <w:tc>
          <w:tcPr>
            <w:tcW w:w="2320" w:type="dxa"/>
            <w:vAlign w:val="bottom"/>
            <w:gridSpan w:val="3"/>
          </w:tcPr>
          <w:p>
            <w:pPr>
              <w:ind w:left="1260"/>
              <w:spacing w:after="0"/>
              <w:rPr>
                <w:sz w:val="20"/>
                <w:szCs w:val="20"/>
                <w:color w:val="auto"/>
              </w:rPr>
            </w:pPr>
            <w:r>
              <w:rPr>
                <w:rFonts w:ascii="Arial" w:cs="Arial" w:eastAsia="Arial" w:hAnsi="Arial"/>
                <w:sz w:val="14"/>
                <w:szCs w:val="14"/>
                <w:color w:val="auto"/>
              </w:rPr>
              <w:t>RSUs DSUs</w:t>
            </w:r>
          </w:p>
        </w:tc>
        <w:tc>
          <w:tcPr>
            <w:tcW w:w="1340" w:type="dxa"/>
            <w:vAlign w:val="bottom"/>
          </w:tcPr>
          <w:p>
            <w:pPr>
              <w:ind w:left="20"/>
              <w:spacing w:after="0"/>
              <w:rPr>
                <w:sz w:val="20"/>
                <w:szCs w:val="20"/>
                <w:color w:val="auto"/>
              </w:rPr>
            </w:pPr>
            <w:r>
              <w:rPr>
                <w:rFonts w:ascii="Arial" w:cs="Arial" w:eastAsia="Arial" w:hAnsi="Arial"/>
                <w:sz w:val="14"/>
                <w:szCs w:val="14"/>
                <w:color w:val="auto"/>
              </w:rPr>
              <w:t>Options</w:t>
            </w: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2"/>
        </w:trPr>
        <w:tc>
          <w:tcPr>
            <w:tcW w:w="2620" w:type="dxa"/>
            <w:vAlign w:val="bottom"/>
          </w:tcPr>
          <w:p>
            <w:pPr>
              <w:ind w:left="40"/>
              <w:spacing w:after="0"/>
              <w:rPr>
                <w:sz w:val="20"/>
                <w:szCs w:val="20"/>
                <w:color w:val="auto"/>
              </w:rPr>
            </w:pPr>
            <w:r>
              <w:rPr>
                <w:rFonts w:ascii="Arial" w:cs="Arial" w:eastAsia="Arial" w:hAnsi="Arial"/>
                <w:sz w:val="14"/>
                <w:szCs w:val="14"/>
                <w:color w:val="auto"/>
              </w:rPr>
              <w:t>2,360</w:t>
            </w:r>
          </w:p>
        </w:tc>
        <w:tc>
          <w:tcPr>
            <w:tcW w:w="1340" w:type="dxa"/>
            <w:vAlign w:val="bottom"/>
          </w:tcPr>
          <w:p>
            <w:pPr>
              <w:ind w:left="1260"/>
              <w:spacing w:after="0"/>
              <w:rPr>
                <w:sz w:val="20"/>
                <w:szCs w:val="20"/>
                <w:color w:val="auto"/>
              </w:rPr>
            </w:pPr>
            <w:r>
              <w:rPr>
                <w:rFonts w:ascii="Arial" w:cs="Arial" w:eastAsia="Arial" w:hAnsi="Arial"/>
                <w:sz w:val="8"/>
                <w:szCs w:val="8"/>
                <w:i w:val="1"/>
                <w:iCs w:val="1"/>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i w:val="1"/>
                <w:iCs w:val="1"/>
                <w:color w:val="auto"/>
                <w:w w:val="82"/>
              </w:rPr>
              <w:t> – </w:t>
            </w:r>
          </w:p>
        </w:tc>
        <w:tc>
          <w:tcPr>
            <w:tcW w:w="700" w:type="dxa"/>
            <w:vAlign w:val="bottom"/>
          </w:tcPr>
          <w:p>
            <w:pPr>
              <w:ind w:left="20"/>
              <w:spacing w:after="0"/>
              <w:rPr>
                <w:sz w:val="20"/>
                <w:szCs w:val="20"/>
                <w:color w:val="auto"/>
              </w:rPr>
            </w:pPr>
            <w:r>
              <w:rPr>
                <w:rFonts w:ascii="Arial" w:cs="Arial" w:eastAsia="Arial" w:hAnsi="Arial"/>
                <w:sz w:val="14"/>
                <w:szCs w:val="14"/>
                <w:i w:val="1"/>
                <w:iCs w:val="1"/>
                <w:color w:val="auto"/>
              </w:rPr>
              <w:t xml:space="preserve">  </w:t>
            </w:r>
            <w:r>
              <w:rPr>
                <w:rFonts w:ascii="Arial" w:cs="Arial" w:eastAsia="Arial" w:hAnsi="Arial"/>
                <w:sz w:val="14"/>
                <w:szCs w:val="14"/>
                <w:color w:val="auto"/>
              </w:rPr>
              <w:t>1,596</w:t>
            </w:r>
          </w:p>
        </w:tc>
        <w:tc>
          <w:tcPr>
            <w:tcW w:w="1340" w:type="dxa"/>
            <w:vAlign w:val="bottom"/>
          </w:tcPr>
          <w:p>
            <w:pPr>
              <w:ind w:left="240"/>
              <w:spacing w:after="0"/>
              <w:rPr>
                <w:sz w:val="20"/>
                <w:szCs w:val="20"/>
                <w:color w:val="auto"/>
              </w:rPr>
            </w:pPr>
            <w:r>
              <w:rPr>
                <w:rFonts w:ascii="Arial" w:cs="Arial" w:eastAsia="Arial" w:hAnsi="Arial"/>
                <w:sz w:val="14"/>
                <w:szCs w:val="14"/>
                <w:color w:val="auto"/>
              </w:rPr>
              <w:t>–   3,956</w:t>
            </w: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2620" w:type="dxa"/>
            <w:vAlign w:val="bottom"/>
            <w:tcBorders>
              <w:bottom w:val="single" w:sz="8" w:color="B2B2B2"/>
            </w:tcBorders>
          </w:tcPr>
          <w:p>
            <w:pPr>
              <w:spacing w:after="0"/>
              <w:rPr>
                <w:sz w:val="4"/>
                <w:szCs w:val="4"/>
                <w:color w:val="auto"/>
              </w:rPr>
            </w:pPr>
          </w:p>
        </w:tc>
        <w:tc>
          <w:tcPr>
            <w:tcW w:w="134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c>
          <w:tcPr>
            <w:tcW w:w="134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2620" w:type="dxa"/>
            <w:vAlign w:val="bottom"/>
          </w:tcPr>
          <w:p>
            <w:pPr>
              <w:ind w:left="40"/>
              <w:spacing w:after="0"/>
              <w:rPr>
                <w:sz w:val="20"/>
                <w:szCs w:val="20"/>
                <w:color w:val="auto"/>
              </w:rPr>
            </w:pPr>
            <w:r>
              <w:rPr>
                <w:rFonts w:ascii="Arial" w:cs="Arial" w:eastAsia="Arial" w:hAnsi="Arial"/>
                <w:sz w:val="14"/>
                <w:szCs w:val="14"/>
                <w:i w:val="1"/>
                <w:iCs w:val="1"/>
                <w:color w:val="auto"/>
              </w:rPr>
              <w:t>$206,335</w:t>
            </w:r>
          </w:p>
        </w:tc>
        <w:tc>
          <w:tcPr>
            <w:tcW w:w="1340" w:type="dxa"/>
            <w:vAlign w:val="bottom"/>
          </w:tcPr>
          <w:p>
            <w:pPr>
              <w:ind w:left="1260"/>
              <w:spacing w:after="0"/>
              <w:rPr>
                <w:sz w:val="20"/>
                <w:szCs w:val="20"/>
                <w:color w:val="auto"/>
              </w:rPr>
            </w:pPr>
            <w:r>
              <w:rPr>
                <w:rFonts w:ascii="Arial" w:cs="Arial" w:eastAsia="Arial" w:hAnsi="Arial"/>
                <w:sz w:val="8"/>
                <w:szCs w:val="8"/>
                <w:i w:val="1"/>
                <w:iCs w:val="1"/>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i w:val="1"/>
                <w:iCs w:val="1"/>
                <w:color w:val="auto"/>
                <w:w w:val="82"/>
              </w:rPr>
              <w:t> – </w:t>
            </w:r>
          </w:p>
        </w:tc>
        <w:tc>
          <w:tcPr>
            <w:tcW w:w="700" w:type="dxa"/>
            <w:vAlign w:val="bottom"/>
          </w:tcPr>
          <w:p>
            <w:pPr>
              <w:ind w:left="20"/>
              <w:spacing w:after="0"/>
              <w:rPr>
                <w:sz w:val="20"/>
                <w:szCs w:val="20"/>
                <w:color w:val="auto"/>
              </w:rPr>
            </w:pPr>
            <w:r>
              <w:rPr>
                <w:rFonts w:ascii="Arial" w:cs="Arial" w:eastAsia="Arial" w:hAnsi="Arial"/>
                <w:sz w:val="14"/>
                <w:szCs w:val="14"/>
                <w:i w:val="1"/>
                <w:iCs w:val="1"/>
                <w:color w:val="auto"/>
              </w:rPr>
              <w:t>  $139,538</w:t>
            </w:r>
          </w:p>
        </w:tc>
        <w:tc>
          <w:tcPr>
            <w:tcW w:w="1340" w:type="dxa"/>
            <w:vAlign w:val="bottom"/>
          </w:tcPr>
          <w:p>
            <w:pPr>
              <w:ind w:left="240"/>
              <w:spacing w:after="0"/>
              <w:rPr>
                <w:sz w:val="20"/>
                <w:szCs w:val="20"/>
                <w:color w:val="auto"/>
              </w:rPr>
            </w:pPr>
            <w:r>
              <w:rPr>
                <w:rFonts w:ascii="Arial" w:cs="Arial" w:eastAsia="Arial" w:hAnsi="Arial"/>
                <w:sz w:val="14"/>
                <w:szCs w:val="14"/>
                <w:color w:val="auto"/>
              </w:rPr>
              <w:t>–</w:t>
            </w:r>
          </w:p>
        </w:tc>
        <w:tc>
          <w:tcPr>
            <w:tcW w:w="980" w:type="dxa"/>
            <w:vAlign w:val="bottom"/>
          </w:tcPr>
          <w:p>
            <w:pPr>
              <w:ind w:left="100"/>
              <w:spacing w:after="0"/>
              <w:rPr>
                <w:sz w:val="20"/>
                <w:szCs w:val="20"/>
                <w:color w:val="auto"/>
              </w:rPr>
            </w:pPr>
            <w:r>
              <w:rPr>
                <w:rFonts w:ascii="Arial" w:cs="Arial" w:eastAsia="Arial" w:hAnsi="Arial"/>
                <w:sz w:val="14"/>
                <w:szCs w:val="14"/>
                <w:i w:val="1"/>
                <w:iCs w:val="1"/>
                <w:color w:val="auto"/>
              </w:rPr>
              <w:t>$345,873</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1.4x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149225</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360"/>
            <w:col w:w="8620"/>
          </w:cols>
          <w:pgMar w:left="480" w:top="361" w:right="499" w:bottom="1440" w:gutter="0" w:footer="0" w:header="0"/>
          <w:type w:val="continuous"/>
        </w:sectPr>
      </w:pPr>
    </w:p>
    <w:p>
      <w:pPr>
        <w:spacing w:after="0" w:line="6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23</w:t>
      </w:r>
    </w:p>
    <w:p>
      <w:pPr>
        <w:sectPr>
          <w:pgSz w:w="11900" w:h="16838" w:orient="portrait"/>
          <w:cols w:equalWidth="0" w:num="1">
            <w:col w:w="10920"/>
          </w:cols>
          <w:pgMar w:left="480" w:top="361" w:right="499" w:bottom="144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Barry Salzberg</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72</w:t>
      </w:r>
    </w:p>
    <w:p>
      <w:pPr>
        <w:spacing w:after="0" w:line="64" w:lineRule="exact"/>
        <w:rPr>
          <w:sz w:val="20"/>
          <w:szCs w:val="20"/>
          <w:color w:val="auto"/>
        </w:rPr>
      </w:pPr>
    </w:p>
    <w:p>
      <w:pPr>
        <w:ind w:left="100" w:right="600"/>
        <w:spacing w:after="0" w:line="277" w:lineRule="auto"/>
        <w:rPr>
          <w:sz w:val="20"/>
          <w:szCs w:val="20"/>
          <w:color w:val="auto"/>
        </w:rPr>
      </w:pPr>
      <w:r>
        <w:rPr>
          <w:rFonts w:ascii="Arial" w:cs="Arial" w:eastAsia="Arial" w:hAnsi="Arial"/>
          <w:sz w:val="13"/>
          <w:szCs w:val="13"/>
          <w:color w:val="auto"/>
        </w:rPr>
        <w:t>New York, New York, United States</w:t>
      </w:r>
    </w:p>
    <w:p>
      <w:pPr>
        <w:spacing w:after="0" w:line="16" w:lineRule="exact"/>
        <w:rPr>
          <w:sz w:val="20"/>
          <w:szCs w:val="20"/>
          <w:color w:val="auto"/>
        </w:rPr>
      </w:pPr>
    </w:p>
    <w:p>
      <w:pPr>
        <w:ind w:left="100" w:right="700"/>
        <w:spacing w:after="0" w:line="343" w:lineRule="auto"/>
        <w:rPr>
          <w:sz w:val="20"/>
          <w:szCs w:val="20"/>
          <w:color w:val="auto"/>
        </w:rPr>
      </w:pPr>
      <w:r>
        <w:rPr>
          <w:rFonts w:ascii="Arial" w:cs="Arial" w:eastAsia="Arial" w:hAnsi="Arial"/>
          <w:sz w:val="13"/>
          <w:szCs w:val="13"/>
          <w:color w:val="auto"/>
        </w:rPr>
        <w:t>Director since 2015 Independent</w:t>
      </w:r>
    </w:p>
    <w:p>
      <w:pPr>
        <w:spacing w:after="0" w:line="1" w:lineRule="exact"/>
        <w:rPr>
          <w:sz w:val="20"/>
          <w:szCs w:val="20"/>
          <w:color w:val="auto"/>
        </w:rPr>
      </w:pPr>
    </w:p>
    <w:p>
      <w:pPr>
        <w:ind w:left="100" w:right="140"/>
        <w:spacing w:after="0" w:line="256" w:lineRule="auto"/>
        <w:rPr>
          <w:sz w:val="20"/>
          <w:szCs w:val="20"/>
          <w:color w:val="auto"/>
        </w:rPr>
      </w:pPr>
      <w:r>
        <w:rPr>
          <w:rFonts w:ascii="Arial" w:cs="Arial" w:eastAsia="Arial" w:hAnsi="Arial"/>
          <w:sz w:val="13"/>
          <w:szCs w:val="13"/>
          <w:color w:val="auto"/>
        </w:rPr>
        <w:t>Primary areas of expertise: accounting/audit, operations, international business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99.53%</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Barry Salzberg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-271780</wp:posOffset>
            </wp:positionV>
            <wp:extent cx="7176135" cy="3150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150870"/>
                    </a:xfrm>
                    <a:prstGeom prst="rect">
                      <a:avLst/>
                    </a:prstGeom>
                    <a:noFill/>
                  </pic:spPr>
                </pic:pic>
              </a:graphicData>
            </a:graphic>
          </wp:anchor>
        </w:drawing>
      </w:r>
    </w:p>
    <w:p>
      <w:pPr>
        <w:spacing w:after="0" w:line="23" w:lineRule="exact"/>
        <w:rPr>
          <w:sz w:val="20"/>
          <w:szCs w:val="20"/>
          <w:color w:val="auto"/>
        </w:rPr>
      </w:pPr>
    </w:p>
    <w:p>
      <w:pPr>
        <w:ind w:left="40" w:right="20"/>
        <w:spacing w:after="0" w:line="247" w:lineRule="auto"/>
        <w:rPr>
          <w:sz w:val="20"/>
          <w:szCs w:val="20"/>
          <w:color w:val="auto"/>
        </w:rPr>
      </w:pPr>
      <w:r>
        <w:rPr>
          <w:rFonts w:ascii="Arial" w:cs="Arial" w:eastAsia="Arial" w:hAnsi="Arial"/>
          <w:sz w:val="14"/>
          <w:szCs w:val="14"/>
          <w:color w:val="auto"/>
        </w:rPr>
        <w:t>Barry Salzberg is a corporate director. Barry served as the Global Chief Executive Officer of Deloitte Touche Tohmatsu Limited from 2011 until his retirement in 2015. He joined Deloitte in 1977 and his roles included Chief Executive Officer and Managing Partner of the firm’s U.S. operations. Barry has previously served as a board member of Embark Intermediate Holdings, LLC and New Profit, Inc. and previously served as Chairman of the United Way Worldwide, Chairman of the board of College Summit and Chairman of the board of the YMCA of Greater New York. From July 2015 until June 2018, he was a Professor at Columbia Business School. Barry has a BS in Accounting from Brooklyn College, a JD from Brooklyn Law School, and an LLM in Taxation from the New York University School of Law.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5"/>
          </w:tcPr>
          <w:p>
            <w:pPr>
              <w:ind w:left="40"/>
              <w:spacing w:after="0"/>
              <w:rPr>
                <w:sz w:val="20"/>
                <w:szCs w:val="20"/>
                <w:color w:val="auto"/>
              </w:rPr>
            </w:pPr>
            <w:r>
              <w:rPr>
                <w:rFonts w:ascii="Arial" w:cs="Arial" w:eastAsia="Arial" w:hAnsi="Arial"/>
                <w:sz w:val="14"/>
                <w:szCs w:val="14"/>
                <w:b w:val="1"/>
                <w:bCs w:val="1"/>
                <w:color w:val="auto"/>
              </w:rPr>
              <w:t>Board/committee</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364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membership</w:t>
            </w:r>
          </w:p>
        </w:tc>
        <w:tc>
          <w:tcPr>
            <w:tcW w:w="1320" w:type="dxa"/>
            <w:vAlign w:val="bottom"/>
            <w:tcBorders>
              <w:bottom w:val="single" w:sz="8" w:color="B2B2B2"/>
            </w:tcBorders>
            <w:gridSpan w:val="4"/>
          </w:tcPr>
          <w:p>
            <w:pPr>
              <w:ind w:left="40"/>
              <w:spacing w:after="0"/>
              <w:rPr>
                <w:sz w:val="20"/>
                <w:szCs w:val="20"/>
                <w:color w:val="auto"/>
              </w:rPr>
            </w:pPr>
            <w:r>
              <w:rPr>
                <w:rFonts w:ascii="Arial" w:cs="Arial" w:eastAsia="Arial" w:hAnsi="Arial"/>
                <w:sz w:val="14"/>
                <w:szCs w:val="14"/>
                <w:b w:val="1"/>
                <w:bCs w:val="1"/>
                <w:color w:val="auto"/>
              </w:rPr>
              <w:t>2025 attendance</w:t>
            </w:r>
          </w:p>
        </w:tc>
        <w:tc>
          <w:tcPr>
            <w:tcW w:w="3700" w:type="dxa"/>
            <w:vAlign w:val="bottom"/>
            <w:tcBorders>
              <w:bottom w:val="single" w:sz="8" w:color="B2B2B2"/>
            </w:tcBorders>
            <w:gridSpan w:val="3"/>
          </w:tcPr>
          <w:p>
            <w:pPr>
              <w:ind w:left="4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2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3"/>
                <w:szCs w:val="23"/>
                <w:color w:val="auto"/>
              </w:rPr>
            </w:pPr>
          </w:p>
        </w:tc>
        <w:tc>
          <w:tcPr>
            <w:tcW w:w="1780" w:type="dxa"/>
            <w:vAlign w:val="bottom"/>
          </w:tcPr>
          <w:p>
            <w:pPr>
              <w:ind w:left="92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3"/>
                <w:szCs w:val="23"/>
                <w:color w:val="auto"/>
              </w:rPr>
            </w:pPr>
          </w:p>
        </w:tc>
      </w:tr>
      <w:tr>
        <w:trPr>
          <w:trHeight w:val="321"/>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7 of 7</w:t>
            </w:r>
          </w:p>
        </w:tc>
        <w:tc>
          <w:tcPr>
            <w:tcW w:w="16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3640" w:type="dxa"/>
            <w:vAlign w:val="bottom"/>
            <w:gridSpan w:val="5"/>
          </w:tcPr>
          <w:p>
            <w:pPr>
              <w:ind w:left="40"/>
              <w:spacing w:after="0"/>
              <w:rPr>
                <w:sz w:val="20"/>
                <w:szCs w:val="20"/>
                <w:color w:val="auto"/>
              </w:rPr>
            </w:pPr>
            <w:r>
              <w:rPr>
                <w:rFonts w:ascii="Arial" w:cs="Arial" w:eastAsia="Arial" w:hAnsi="Arial"/>
                <w:sz w:val="14"/>
                <w:szCs w:val="14"/>
                <w:color w:val="auto"/>
              </w:rPr>
              <w:t>Corporate Governance</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6 of 6</w:t>
            </w:r>
          </w:p>
        </w:tc>
        <w:tc>
          <w:tcPr>
            <w:tcW w:w="16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1"/>
        </w:trPr>
        <w:tc>
          <w:tcPr>
            <w:tcW w:w="320" w:type="dxa"/>
            <w:vAlign w:val="bottom"/>
            <w:gridSpan w:val="2"/>
          </w:tcPr>
          <w:p>
            <w:pPr>
              <w:ind w:left="40"/>
              <w:spacing w:after="0"/>
              <w:rPr>
                <w:sz w:val="20"/>
                <w:szCs w:val="20"/>
                <w:color w:val="auto"/>
              </w:rPr>
            </w:pPr>
            <w:r>
              <w:rPr>
                <w:rFonts w:ascii="Arial" w:cs="Arial" w:eastAsia="Arial" w:hAnsi="Arial"/>
                <w:sz w:val="14"/>
                <w:szCs w:val="14"/>
                <w:color w:val="auto"/>
                <w:w w:val="95"/>
              </w:rPr>
              <w:t>Risk</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4 of 4</w:t>
            </w:r>
          </w:p>
        </w:tc>
        <w:tc>
          <w:tcPr>
            <w:tcW w:w="16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100%</w:t>
            </w: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460" w:type="dxa"/>
            <w:vAlign w:val="bottom"/>
            <w:tcBorders>
              <w:bottom w:val="single" w:sz="8" w:color="B2B2B2"/>
            </w:tcBorders>
            <w:gridSpan w:val="3"/>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2940" w:type="dxa"/>
            <w:vAlign w:val="bottom"/>
            <w:tcBorders>
              <w:bottom w:val="single" w:sz="8" w:color="B2B2B2"/>
            </w:tcBorders>
          </w:tcPr>
          <w:p>
            <w:pPr>
              <w:spacing w:after="0"/>
              <w:rPr>
                <w:sz w:val="4"/>
                <w:szCs w:val="4"/>
                <w:color w:val="auto"/>
              </w:rPr>
            </w:pPr>
          </w:p>
        </w:tc>
        <w:tc>
          <w:tcPr>
            <w:tcW w:w="580" w:type="dxa"/>
            <w:vAlign w:val="bottom"/>
            <w:tcBorders>
              <w:bottom w:val="single" w:sz="8" w:color="B9C5C2"/>
            </w:tcBorders>
            <w:gridSpan w:val="3"/>
          </w:tcPr>
          <w:p>
            <w:pPr>
              <w:spacing w:after="0"/>
              <w:rPr>
                <w:sz w:val="4"/>
                <w:szCs w:val="4"/>
                <w:color w:val="auto"/>
              </w:rPr>
            </w:pPr>
          </w:p>
        </w:tc>
        <w:tc>
          <w:tcPr>
            <w:tcW w:w="740" w:type="dxa"/>
            <w:vAlign w:val="bottom"/>
            <w:tcBorders>
              <w:bottom w:val="single" w:sz="8" w:color="B9C5C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23 of 23</w:t>
            </w: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rPr>
              <w:t>100%</w:t>
            </w:r>
          </w:p>
        </w:tc>
        <w:tc>
          <w:tcPr>
            <w:tcW w:w="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3640" w:type="dxa"/>
            <w:vAlign w:val="bottom"/>
            <w:tcBorders>
              <w:bottom w:val="single" w:sz="8" w:color="B2B2B2"/>
            </w:tcBorders>
            <w:gridSpan w:val="5"/>
          </w:tcPr>
          <w:p>
            <w:pPr>
              <w:spacing w:after="0"/>
              <w:rPr>
                <w:sz w:val="7"/>
                <w:szCs w:val="7"/>
                <w:color w:val="auto"/>
              </w:rPr>
            </w:pPr>
          </w:p>
        </w:tc>
        <w:tc>
          <w:tcPr>
            <w:tcW w:w="120" w:type="dxa"/>
            <w:vAlign w:val="bottom"/>
            <w:tcBorders>
              <w:bottom w:val="single" w:sz="8" w:color="B2B2B2"/>
            </w:tcBorders>
          </w:tcPr>
          <w:p>
            <w:pPr>
              <w:spacing w:after="0"/>
              <w:rPr>
                <w:sz w:val="7"/>
                <w:szCs w:val="7"/>
                <w:color w:val="auto"/>
              </w:rPr>
            </w:pPr>
          </w:p>
        </w:tc>
        <w:tc>
          <w:tcPr>
            <w:tcW w:w="300" w:type="dxa"/>
            <w:vAlign w:val="bottom"/>
            <w:tcBorders>
              <w:bottom w:val="single" w:sz="8" w:color="B2B2B2"/>
            </w:tcBorders>
          </w:tcPr>
          <w:p>
            <w:pPr>
              <w:spacing w:after="0"/>
              <w:rPr>
                <w:sz w:val="7"/>
                <w:szCs w:val="7"/>
                <w:color w:val="auto"/>
              </w:rPr>
            </w:pPr>
          </w:p>
        </w:tc>
        <w:tc>
          <w:tcPr>
            <w:tcW w:w="16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56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3640" w:type="dxa"/>
            <w:vAlign w:val="bottom"/>
            <w:gridSpan w:val="5"/>
          </w:tcPr>
          <w:p>
            <w:pPr>
              <w:ind w:left="40"/>
              <w:spacing w:after="0"/>
              <w:rPr>
                <w:sz w:val="20"/>
                <w:szCs w:val="20"/>
                <w:color w:val="auto"/>
              </w:rPr>
            </w:pPr>
            <w:r>
              <w:rPr>
                <w:rFonts w:ascii="Arial" w:cs="Arial" w:eastAsia="Arial" w:hAnsi="Arial"/>
                <w:sz w:val="14"/>
                <w:szCs w:val="14"/>
                <w:b w:val="1"/>
                <w:bCs w:val="1"/>
                <w:color w:val="auto"/>
              </w:rPr>
              <w:t>Securities held</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364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(number and value)</w:t>
            </w:r>
          </w:p>
        </w:tc>
        <w:tc>
          <w:tcPr>
            <w:tcW w:w="120" w:type="dxa"/>
            <w:vAlign w:val="bottom"/>
            <w:tcBorders>
              <w:bottom w:val="single" w:sz="8" w:color="B2B2B2"/>
            </w:tcBorders>
          </w:tcPr>
          <w:p>
            <w:pPr>
              <w:spacing w:after="0"/>
              <w:rPr>
                <w:sz w:val="17"/>
                <w:szCs w:val="17"/>
                <w:color w:val="auto"/>
              </w:rPr>
            </w:pPr>
          </w:p>
        </w:tc>
        <w:tc>
          <w:tcPr>
            <w:tcW w:w="3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spacing w:after="0"/>
              <w:rPr>
                <w:sz w:val="17"/>
                <w:szCs w:val="17"/>
                <w:color w:val="auto"/>
              </w:rPr>
            </w:pPr>
          </w:p>
        </w:tc>
        <w:tc>
          <w:tcPr>
            <w:tcW w:w="1780" w:type="dxa"/>
            <w:vAlign w:val="bottom"/>
            <w:tcBorders>
              <w:bottom w:val="single" w:sz="8" w:color="B2B2B2"/>
            </w:tcBorders>
          </w:tcPr>
          <w:p>
            <w:pPr>
              <w:ind w:left="20"/>
              <w:spacing w:after="0"/>
              <w:rPr>
                <w:sz w:val="20"/>
                <w:szCs w:val="20"/>
                <w:color w:val="auto"/>
              </w:rPr>
            </w:pPr>
            <w:r>
              <w:rPr>
                <w:rFonts w:ascii="Arial" w:cs="Arial" w:eastAsia="Arial" w:hAnsi="Arial"/>
                <w:sz w:val="14"/>
                <w:szCs w:val="14"/>
                <w:b w:val="1"/>
                <w:bCs w:val="1"/>
                <w:color w:val="auto"/>
              </w:rPr>
              <w:t>and DSUs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31"/>
        </w:trPr>
        <w:tc>
          <w:tcPr>
            <w:tcW w:w="3640" w:type="dxa"/>
            <w:vAlign w:val="bottom"/>
            <w:gridSpan w:val="5"/>
          </w:tcPr>
          <w:p>
            <w:pPr>
              <w:ind w:left="40"/>
              <w:spacing w:after="0"/>
              <w:rPr>
                <w:sz w:val="20"/>
                <w:szCs w:val="20"/>
                <w:color w:val="auto"/>
              </w:rPr>
            </w:pPr>
            <w:r>
              <w:rPr>
                <w:rFonts w:ascii="Arial" w:cs="Arial" w:eastAsia="Arial" w:hAnsi="Arial"/>
                <w:sz w:val="14"/>
                <w:szCs w:val="14"/>
                <w:color w:val="auto"/>
              </w:rPr>
              <w:t>Common shares</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w w:val="98"/>
              </w:rPr>
              <w:t>RSUs</w:t>
            </w:r>
          </w:p>
        </w:tc>
        <w:tc>
          <w:tcPr>
            <w:tcW w:w="16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DSUs</w:t>
            </w:r>
          </w:p>
        </w:tc>
        <w:tc>
          <w:tcPr>
            <w:tcW w:w="560" w:type="dxa"/>
            <w:vAlign w:val="bottom"/>
          </w:tcPr>
          <w:p>
            <w:pPr>
              <w:jc w:val="center"/>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20" w:type="dxa"/>
            <w:vAlign w:val="bottom"/>
          </w:tcPr>
          <w:p>
            <w:pPr>
              <w:ind w:left="40"/>
              <w:spacing w:after="0"/>
              <w:rPr>
                <w:sz w:val="20"/>
                <w:szCs w:val="20"/>
                <w:color w:val="auto"/>
              </w:rPr>
            </w:pPr>
            <w:r>
              <w:rPr>
                <w:rFonts w:ascii="Arial" w:cs="Arial" w:eastAsia="Arial" w:hAnsi="Arial"/>
                <w:sz w:val="8"/>
                <w:szCs w:val="8"/>
                <w:i w:val="1"/>
                <w:iCs w:val="1"/>
                <w:color w:val="auto"/>
                <w:w w:val="74"/>
              </w:rPr>
              <w:t> </w:t>
            </w:r>
          </w:p>
        </w:tc>
        <w:tc>
          <w:tcPr>
            <w:tcW w:w="200" w:type="dxa"/>
            <w:vAlign w:val="bottom"/>
          </w:tcPr>
          <w:p>
            <w:pPr>
              <w:ind w:left="60"/>
              <w:spacing w:after="0"/>
              <w:rPr>
                <w:sz w:val="20"/>
                <w:szCs w:val="20"/>
                <w:color w:val="auto"/>
              </w:rPr>
            </w:pPr>
            <w:r>
              <w:rPr>
                <w:rFonts w:ascii="Arial" w:cs="Arial" w:eastAsia="Arial" w:hAnsi="Arial"/>
                <w:sz w:val="14"/>
                <w:szCs w:val="14"/>
                <w:i w:val="1"/>
                <w:iCs w:val="1"/>
                <w:color w:val="auto"/>
                <w:w w:val="73"/>
              </w:rPr>
              <w:t>  </w:t>
            </w:r>
          </w:p>
        </w:tc>
        <w:tc>
          <w:tcPr>
            <w:tcW w:w="140" w:type="dxa"/>
            <w:vAlign w:val="bottom"/>
          </w:tcPr>
          <w:p>
            <w:pPr>
              <w:ind w:left="20"/>
              <w:spacing w:after="0"/>
              <w:rPr>
                <w:sz w:val="20"/>
                <w:szCs w:val="20"/>
                <w:color w:val="auto"/>
              </w:rPr>
            </w:pPr>
            <w:r>
              <w:rPr>
                <w:rFonts w:ascii="Arial" w:cs="Arial" w:eastAsia="Arial" w:hAnsi="Arial"/>
                <w:sz w:val="12"/>
                <w:szCs w:val="12"/>
                <w:i w:val="1"/>
                <w:iCs w:val="1"/>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i w:val="1"/>
                <w:iCs w:val="1"/>
                <w:color w:val="auto"/>
                <w:w w:val="74"/>
              </w:rPr>
              <w:t> – </w:t>
            </w:r>
          </w:p>
        </w:tc>
        <w:tc>
          <w:tcPr>
            <w:tcW w:w="294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120" w:type="dxa"/>
            <w:vAlign w:val="bottom"/>
          </w:tcPr>
          <w:p>
            <w:pPr>
              <w:ind w:left="4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740" w:type="dxa"/>
            <w:vAlign w:val="bottom"/>
          </w:tcPr>
          <w:p>
            <w:pPr>
              <w:ind w:left="20"/>
              <w:spacing w:after="0"/>
              <w:rPr>
                <w:sz w:val="20"/>
                <w:szCs w:val="20"/>
                <w:color w:val="auto"/>
              </w:rPr>
            </w:pPr>
            <w:r>
              <w:rPr>
                <w:rFonts w:ascii="Arial" w:cs="Arial" w:eastAsia="Arial" w:hAnsi="Arial"/>
                <w:sz w:val="14"/>
                <w:szCs w:val="14"/>
                <w:color w:val="auto"/>
              </w:rPr>
              <w:t>34,142</w:t>
            </w:r>
          </w:p>
        </w:tc>
        <w:tc>
          <w:tcPr>
            <w:tcW w:w="56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ind w:left="20"/>
              <w:spacing w:after="0"/>
              <w:rPr>
                <w:sz w:val="20"/>
                <w:szCs w:val="20"/>
                <w:color w:val="auto"/>
              </w:rPr>
            </w:pPr>
            <w:r>
              <w:rPr>
                <w:rFonts w:ascii="Arial" w:cs="Arial" w:eastAsia="Arial" w:hAnsi="Arial"/>
                <w:sz w:val="14"/>
                <w:szCs w:val="14"/>
                <w:color w:val="auto"/>
              </w:rPr>
              <w:t>34,142</w:t>
            </w:r>
          </w:p>
        </w:tc>
        <w:tc>
          <w:tcPr>
            <w:tcW w:w="1360" w:type="dxa"/>
            <w:vAlign w:val="bottom"/>
          </w:tcPr>
          <w:p>
            <w:pPr>
              <w:spacing w:after="0"/>
              <w:rPr>
                <w:sz w:val="17"/>
                <w:szCs w:val="17"/>
                <w:color w:val="auto"/>
              </w:rPr>
            </w:pPr>
          </w:p>
        </w:tc>
      </w:tr>
      <w:tr>
        <w:trPr>
          <w:trHeight w:val="48"/>
        </w:trPr>
        <w:tc>
          <w:tcPr>
            <w:tcW w:w="120" w:type="dxa"/>
            <w:vAlign w:val="bottom"/>
            <w:tcBorders>
              <w:bottom w:val="single" w:sz="8" w:color="B2B2B2"/>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2940" w:type="dxa"/>
            <w:vAlign w:val="bottom"/>
            <w:tcBorders>
              <w:bottom w:val="single" w:sz="8" w:color="B2B2B2"/>
            </w:tcBorders>
          </w:tcPr>
          <w:p>
            <w:pPr>
              <w:spacing w:after="0"/>
              <w:rPr>
                <w:sz w:val="4"/>
                <w:szCs w:val="4"/>
                <w:color w:val="auto"/>
              </w:rPr>
            </w:pPr>
          </w:p>
        </w:tc>
        <w:tc>
          <w:tcPr>
            <w:tcW w:w="120" w:type="dxa"/>
            <w:vAlign w:val="bottom"/>
            <w:tcBorders>
              <w:bottom w:val="single" w:sz="8" w:color="B2B2B2"/>
            </w:tcBorders>
          </w:tcPr>
          <w:p>
            <w:pPr>
              <w:spacing w:after="0"/>
              <w:rPr>
                <w:sz w:val="4"/>
                <w:szCs w:val="4"/>
                <w:color w:val="auto"/>
              </w:rPr>
            </w:pPr>
          </w:p>
        </w:tc>
        <w:tc>
          <w:tcPr>
            <w:tcW w:w="30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c>
          <w:tcPr>
            <w:tcW w:w="56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120" w:type="dxa"/>
            <w:vAlign w:val="bottom"/>
          </w:tcPr>
          <w:p>
            <w:pPr>
              <w:ind w:left="40"/>
              <w:spacing w:after="0"/>
              <w:rPr>
                <w:sz w:val="20"/>
                <w:szCs w:val="20"/>
                <w:color w:val="auto"/>
              </w:rPr>
            </w:pPr>
            <w:r>
              <w:rPr>
                <w:rFonts w:ascii="Arial" w:cs="Arial" w:eastAsia="Arial" w:hAnsi="Arial"/>
                <w:sz w:val="8"/>
                <w:szCs w:val="8"/>
                <w:i w:val="1"/>
                <w:iCs w:val="1"/>
                <w:color w:val="auto"/>
                <w:w w:val="74"/>
              </w:rPr>
              <w:t> </w:t>
            </w:r>
          </w:p>
        </w:tc>
        <w:tc>
          <w:tcPr>
            <w:tcW w:w="200" w:type="dxa"/>
            <w:vAlign w:val="bottom"/>
          </w:tcPr>
          <w:p>
            <w:pPr>
              <w:ind w:left="60"/>
              <w:spacing w:after="0"/>
              <w:rPr>
                <w:sz w:val="20"/>
                <w:szCs w:val="20"/>
                <w:color w:val="auto"/>
              </w:rPr>
            </w:pPr>
            <w:r>
              <w:rPr>
                <w:rFonts w:ascii="Arial" w:cs="Arial" w:eastAsia="Arial" w:hAnsi="Arial"/>
                <w:sz w:val="14"/>
                <w:szCs w:val="14"/>
                <w:i w:val="1"/>
                <w:iCs w:val="1"/>
                <w:color w:val="auto"/>
                <w:w w:val="73"/>
              </w:rPr>
              <w:t>  </w:t>
            </w:r>
          </w:p>
        </w:tc>
        <w:tc>
          <w:tcPr>
            <w:tcW w:w="140" w:type="dxa"/>
            <w:vAlign w:val="bottom"/>
          </w:tcPr>
          <w:p>
            <w:pPr>
              <w:ind w:left="20"/>
              <w:spacing w:after="0"/>
              <w:rPr>
                <w:sz w:val="20"/>
                <w:szCs w:val="20"/>
                <w:color w:val="auto"/>
              </w:rPr>
            </w:pPr>
            <w:r>
              <w:rPr>
                <w:rFonts w:ascii="Arial" w:cs="Arial" w:eastAsia="Arial" w:hAnsi="Arial"/>
                <w:sz w:val="12"/>
                <w:szCs w:val="12"/>
                <w:i w:val="1"/>
                <w:iCs w:val="1"/>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i w:val="1"/>
                <w:iCs w:val="1"/>
                <w:color w:val="auto"/>
                <w:w w:val="74"/>
              </w:rPr>
              <w:t> – </w:t>
            </w:r>
          </w:p>
        </w:tc>
        <w:tc>
          <w:tcPr>
            <w:tcW w:w="2940" w:type="dxa"/>
            <w:vAlign w:val="bottom"/>
          </w:tcPr>
          <w:p>
            <w:pPr>
              <w:ind w:left="60"/>
              <w:spacing w:after="0"/>
              <w:rPr>
                <w:sz w:val="20"/>
                <w:szCs w:val="20"/>
                <w:color w:val="auto"/>
              </w:rPr>
            </w:pPr>
            <w:r>
              <w:rPr>
                <w:rFonts w:ascii="Arial" w:cs="Arial" w:eastAsia="Arial" w:hAnsi="Arial"/>
                <w:sz w:val="14"/>
                <w:szCs w:val="14"/>
                <w:i w:val="1"/>
                <w:iCs w:val="1"/>
                <w:color w:val="auto"/>
              </w:rPr>
              <w:t> </w:t>
            </w:r>
          </w:p>
        </w:tc>
        <w:tc>
          <w:tcPr>
            <w:tcW w:w="120" w:type="dxa"/>
            <w:vAlign w:val="bottom"/>
          </w:tcPr>
          <w:p>
            <w:pPr>
              <w:ind w:left="40"/>
              <w:spacing w:after="0"/>
              <w:rPr>
                <w:sz w:val="20"/>
                <w:szCs w:val="20"/>
                <w:color w:val="auto"/>
              </w:rPr>
            </w:pPr>
            <w:r>
              <w:rPr>
                <w:rFonts w:ascii="Arial" w:cs="Arial" w:eastAsia="Arial" w:hAnsi="Arial"/>
                <w:sz w:val="8"/>
                <w:szCs w:val="8"/>
                <w:i w:val="1"/>
                <w:iCs w:val="1"/>
                <w:color w:val="auto"/>
                <w:w w:val="74"/>
              </w:rPr>
              <w:t> </w:t>
            </w:r>
          </w:p>
        </w:tc>
        <w:tc>
          <w:tcPr>
            <w:tcW w:w="300" w:type="dxa"/>
            <w:vAlign w:val="bottom"/>
          </w:tcPr>
          <w:p>
            <w:pPr>
              <w:ind w:left="60"/>
              <w:spacing w:after="0"/>
              <w:rPr>
                <w:sz w:val="20"/>
                <w:szCs w:val="20"/>
                <w:color w:val="auto"/>
              </w:rPr>
            </w:pPr>
            <w:r>
              <w:rPr>
                <w:rFonts w:ascii="Arial" w:cs="Arial" w:eastAsia="Arial" w:hAnsi="Arial"/>
                <w:sz w:val="14"/>
                <w:szCs w:val="14"/>
                <w:i w:val="1"/>
                <w:iCs w:val="1"/>
                <w:color w:val="auto"/>
                <w:w w:val="90"/>
              </w:rPr>
              <w:t> – </w:t>
            </w:r>
          </w:p>
        </w:tc>
        <w:tc>
          <w:tcPr>
            <w:tcW w:w="160" w:type="dxa"/>
            <w:vAlign w:val="bottom"/>
          </w:tcPr>
          <w:p>
            <w:pPr>
              <w:spacing w:after="0"/>
              <w:rPr>
                <w:sz w:val="20"/>
                <w:szCs w:val="20"/>
                <w:color w:val="auto"/>
              </w:rPr>
            </w:pPr>
            <w:r>
              <w:rPr>
                <w:rFonts w:ascii="Arial" w:cs="Arial" w:eastAsia="Arial" w:hAnsi="Arial"/>
                <w:sz w:val="14"/>
                <w:szCs w:val="14"/>
                <w:i w:val="1"/>
                <w:iCs w:val="1"/>
                <w:color w:val="auto"/>
              </w:rPr>
              <w:t> </w:t>
            </w:r>
          </w:p>
        </w:tc>
        <w:tc>
          <w:tcPr>
            <w:tcW w:w="740" w:type="dxa"/>
            <w:vAlign w:val="bottom"/>
          </w:tcPr>
          <w:p>
            <w:pPr>
              <w:ind w:left="20"/>
              <w:spacing w:after="0"/>
              <w:rPr>
                <w:sz w:val="20"/>
                <w:szCs w:val="20"/>
                <w:color w:val="auto"/>
              </w:rPr>
            </w:pPr>
            <w:r>
              <w:rPr>
                <w:rFonts w:ascii="Arial" w:cs="Arial" w:eastAsia="Arial" w:hAnsi="Arial"/>
                <w:sz w:val="14"/>
                <w:szCs w:val="14"/>
                <w:i w:val="1"/>
                <w:iCs w:val="1"/>
                <w:color w:val="auto"/>
                <w:w w:val="99"/>
              </w:rPr>
              <w:t>$2,985,035</w:t>
            </w:r>
          </w:p>
        </w:tc>
        <w:tc>
          <w:tcPr>
            <w:tcW w:w="56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ind w:left="900"/>
              <w:spacing w:after="0"/>
              <w:rPr>
                <w:sz w:val="20"/>
                <w:szCs w:val="20"/>
                <w:color w:val="auto"/>
              </w:rPr>
            </w:pPr>
            <w:r>
              <w:rPr>
                <w:rFonts w:ascii="Arial" w:cs="Arial" w:eastAsia="Arial" w:hAnsi="Arial"/>
                <w:sz w:val="14"/>
                <w:szCs w:val="14"/>
                <w:i w:val="1"/>
                <w:iCs w:val="1"/>
                <w:color w:val="auto"/>
              </w:rPr>
              <w:t>$2,985,035</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11.9x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200025</wp:posOffset>
            </wp:positionV>
            <wp:extent cx="6929755" cy="2980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2980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320"/>
            <w:col w:w="8660"/>
          </w:cols>
          <w:pgMar w:left="480" w:top="36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right="840"/>
        <w:spacing w:after="0" w:line="258" w:lineRule="auto"/>
        <w:rPr>
          <w:sz w:val="20"/>
          <w:szCs w:val="20"/>
          <w:color w:val="auto"/>
        </w:rPr>
      </w:pPr>
      <w:r>
        <w:rPr>
          <w:rFonts w:ascii="Arial" w:cs="Arial" w:eastAsia="Arial" w:hAnsi="Arial"/>
          <w:sz w:val="13"/>
          <w:szCs w:val="13"/>
          <w:b w:val="1"/>
          <w:bCs w:val="1"/>
          <w:color w:val="auto"/>
        </w:rPr>
        <w:t>Peter J. Thomson</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13"/>
          <w:szCs w:val="13"/>
          <w:color w:val="auto"/>
        </w:rPr>
        <w:t>Age: 60</w:t>
      </w:r>
    </w:p>
    <w:p>
      <w:pPr>
        <w:spacing w:after="0" w:line="22" w:lineRule="exact"/>
        <w:rPr>
          <w:sz w:val="20"/>
          <w:szCs w:val="20"/>
          <w:color w:val="auto"/>
        </w:rPr>
      </w:pPr>
    </w:p>
    <w:p>
      <w:pPr>
        <w:ind w:left="100" w:right="520"/>
        <w:spacing w:after="0" w:line="343" w:lineRule="auto"/>
        <w:rPr>
          <w:sz w:val="20"/>
          <w:szCs w:val="20"/>
          <w:color w:val="auto"/>
        </w:rPr>
      </w:pPr>
      <w:r>
        <w:rPr>
          <w:rFonts w:ascii="Arial" w:cs="Arial" w:eastAsia="Arial" w:hAnsi="Arial"/>
          <w:sz w:val="13"/>
          <w:szCs w:val="13"/>
          <w:color w:val="auto"/>
        </w:rPr>
        <w:t>Toronto, Ontario, Canada Director since 1995 Non-independent</w:t>
      </w:r>
    </w:p>
    <w:p>
      <w:pPr>
        <w:spacing w:after="0" w:line="1" w:lineRule="exact"/>
        <w:rPr>
          <w:sz w:val="20"/>
          <w:szCs w:val="20"/>
          <w:color w:val="auto"/>
        </w:rPr>
      </w:pPr>
    </w:p>
    <w:p>
      <w:pPr>
        <w:ind w:left="100"/>
        <w:spacing w:after="0" w:line="256" w:lineRule="auto"/>
        <w:rPr>
          <w:sz w:val="20"/>
          <w:szCs w:val="20"/>
          <w:color w:val="auto"/>
        </w:rPr>
      </w:pPr>
      <w:r>
        <w:rPr>
          <w:rFonts w:ascii="Arial" w:cs="Arial" w:eastAsia="Arial" w:hAnsi="Arial"/>
          <w:sz w:val="13"/>
          <w:szCs w:val="13"/>
          <w:color w:val="auto"/>
        </w:rPr>
        <w:t>Primary areas of expertise: international business, investment management, technology</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94.97%</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Peter J. Thomson</w:t>
      </w:r>
    </w:p>
    <w:p>
      <w:pPr>
        <w:spacing w:after="0" w:line="43" w:lineRule="exact"/>
        <w:rPr>
          <w:sz w:val="20"/>
          <w:szCs w:val="20"/>
          <w:color w:val="auto"/>
        </w:rPr>
      </w:pPr>
    </w:p>
    <w:p>
      <w:pPr>
        <w:ind w:left="80" w:right="20"/>
        <w:spacing w:after="0" w:line="281" w:lineRule="auto"/>
        <w:rPr>
          <w:sz w:val="20"/>
          <w:szCs w:val="20"/>
          <w:color w:val="auto"/>
        </w:rPr>
      </w:pPr>
      <w:r>
        <w:rPr>
          <w:rFonts w:ascii="Arial" w:cs="Arial" w:eastAsia="Arial" w:hAnsi="Arial"/>
          <w:sz w:val="14"/>
          <w:szCs w:val="14"/>
          <w:color w:val="auto"/>
        </w:rPr>
        <w:t>Peter J. Thomson is a Chairman of Woodbridge, the Thomson family investment company. Peter is an active private equity investor and serves on the boards of several private companies. Peter has a BA from the University of Western Ontario.</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Board/committee</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560" w:type="dxa"/>
            <w:vAlign w:val="bottom"/>
            <w:tcBorders>
              <w:bottom w:val="single" w:sz="8" w:color="B2B2B2"/>
            </w:tcBorders>
          </w:tcPr>
          <w:p>
            <w:pPr>
              <w:ind w:left="80"/>
              <w:spacing w:after="0"/>
              <w:rPr>
                <w:sz w:val="20"/>
                <w:szCs w:val="20"/>
                <w:color w:val="auto"/>
              </w:rPr>
            </w:pPr>
            <w:r>
              <w:rPr>
                <w:rFonts w:ascii="Arial" w:cs="Arial" w:eastAsia="Arial" w:hAnsi="Arial"/>
                <w:sz w:val="14"/>
                <w:szCs w:val="14"/>
                <w:b w:val="1"/>
                <w:bCs w:val="1"/>
                <w:color w:val="auto"/>
              </w:rPr>
              <w:t>membership</w:t>
            </w:r>
          </w:p>
        </w:tc>
        <w:tc>
          <w:tcPr>
            <w:tcW w:w="2400" w:type="dxa"/>
            <w:vAlign w:val="bottom"/>
            <w:tcBorders>
              <w:bottom w:val="single" w:sz="8" w:color="B2B2B2"/>
            </w:tcBorders>
            <w:gridSpan w:val="4"/>
          </w:tcPr>
          <w:p>
            <w:pPr>
              <w:ind w:left="1100"/>
              <w:spacing w:after="0"/>
              <w:rPr>
                <w:sz w:val="20"/>
                <w:szCs w:val="20"/>
                <w:color w:val="auto"/>
              </w:rPr>
            </w:pPr>
            <w:r>
              <w:rPr>
                <w:rFonts w:ascii="Arial" w:cs="Arial" w:eastAsia="Arial" w:hAnsi="Arial"/>
                <w:sz w:val="14"/>
                <w:szCs w:val="14"/>
                <w:b w:val="1"/>
                <w:bCs w:val="1"/>
                <w:color w:val="auto"/>
              </w:rPr>
              <w:t>2025 attendance</w:t>
            </w:r>
          </w:p>
        </w:tc>
        <w:tc>
          <w:tcPr>
            <w:tcW w:w="3680" w:type="dxa"/>
            <w:vAlign w:val="bottom"/>
            <w:tcBorders>
              <w:bottom w:val="single" w:sz="8" w:color="B2B2B2"/>
            </w:tcBorders>
            <w:gridSpan w:val="5"/>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2560" w:type="dxa"/>
            <w:vAlign w:val="bottom"/>
          </w:tcPr>
          <w:p>
            <w:pPr>
              <w:ind w:left="80"/>
              <w:spacing w:after="0"/>
              <w:rPr>
                <w:sz w:val="20"/>
                <w:szCs w:val="20"/>
                <w:color w:val="auto"/>
              </w:rPr>
            </w:pPr>
            <w:r>
              <w:rPr>
                <w:rFonts w:ascii="Arial" w:cs="Arial" w:eastAsia="Arial" w:hAnsi="Arial"/>
                <w:sz w:val="14"/>
                <w:szCs w:val="14"/>
                <w:color w:val="auto"/>
              </w:rPr>
              <w:t>Board</w:t>
            </w:r>
          </w:p>
        </w:tc>
        <w:tc>
          <w:tcPr>
            <w:tcW w:w="1460" w:type="dxa"/>
            <w:vAlign w:val="bottom"/>
            <w:gridSpan w:val="2"/>
          </w:tcPr>
          <w:p>
            <w:pPr>
              <w:ind w:left="1100"/>
              <w:spacing w:after="0"/>
              <w:rPr>
                <w:sz w:val="20"/>
                <w:szCs w:val="20"/>
                <w:color w:val="auto"/>
              </w:rPr>
            </w:pPr>
            <w:r>
              <w:rPr>
                <w:rFonts w:ascii="Arial" w:cs="Arial" w:eastAsia="Arial" w:hAnsi="Arial"/>
                <w:sz w:val="14"/>
                <w:szCs w:val="14"/>
                <w:color w:val="auto"/>
                <w:w w:val="96"/>
              </w:rPr>
              <w:t>6 of 6</w:t>
            </w:r>
          </w:p>
        </w:tc>
        <w:tc>
          <w:tcPr>
            <w:tcW w:w="18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ind w:left="92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23"/>
                <w:szCs w:val="23"/>
                <w:color w:val="auto"/>
              </w:rPr>
            </w:pPr>
          </w:p>
        </w:tc>
      </w:tr>
      <w:tr>
        <w:trPr>
          <w:trHeight w:val="321"/>
        </w:trPr>
        <w:tc>
          <w:tcPr>
            <w:tcW w:w="2560" w:type="dxa"/>
            <w:vAlign w:val="bottom"/>
          </w:tcPr>
          <w:p>
            <w:pPr>
              <w:ind w:left="80"/>
              <w:spacing w:after="0"/>
              <w:rPr>
                <w:sz w:val="20"/>
                <w:szCs w:val="20"/>
                <w:color w:val="auto"/>
              </w:rPr>
            </w:pPr>
            <w:r>
              <w:rPr>
                <w:rFonts w:ascii="Arial" w:cs="Arial" w:eastAsia="Arial" w:hAnsi="Arial"/>
                <w:sz w:val="14"/>
                <w:szCs w:val="14"/>
                <w:color w:val="auto"/>
              </w:rPr>
              <w:t>HR</w:t>
            </w:r>
          </w:p>
        </w:tc>
        <w:tc>
          <w:tcPr>
            <w:tcW w:w="1460" w:type="dxa"/>
            <w:vAlign w:val="bottom"/>
            <w:gridSpan w:val="2"/>
          </w:tcPr>
          <w:p>
            <w:pPr>
              <w:ind w:left="1100"/>
              <w:spacing w:after="0"/>
              <w:rPr>
                <w:sz w:val="20"/>
                <w:szCs w:val="20"/>
                <w:color w:val="auto"/>
              </w:rPr>
            </w:pPr>
            <w:r>
              <w:rPr>
                <w:rFonts w:ascii="Arial" w:cs="Arial" w:eastAsia="Arial" w:hAnsi="Arial"/>
                <w:sz w:val="14"/>
                <w:szCs w:val="14"/>
                <w:color w:val="auto"/>
                <w:w w:val="96"/>
              </w:rPr>
              <w:t>5 of 6</w:t>
            </w:r>
          </w:p>
        </w:tc>
        <w:tc>
          <w:tcPr>
            <w:tcW w:w="18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8"/>
        </w:trPr>
        <w:tc>
          <w:tcPr>
            <w:tcW w:w="2560" w:type="dxa"/>
            <w:vAlign w:val="bottom"/>
            <w:tcBorders>
              <w:bottom w:val="single" w:sz="8" w:color="B2B2B2"/>
            </w:tcBorders>
          </w:tcPr>
          <w:p>
            <w:pPr>
              <w:spacing w:after="0"/>
              <w:rPr>
                <w:sz w:val="4"/>
                <w:szCs w:val="4"/>
                <w:color w:val="auto"/>
              </w:rPr>
            </w:pPr>
          </w:p>
        </w:tc>
        <w:tc>
          <w:tcPr>
            <w:tcW w:w="1640" w:type="dxa"/>
            <w:vAlign w:val="bottom"/>
            <w:tcBorders>
              <w:bottom w:val="single" w:sz="8" w:color="B2B2B2"/>
            </w:tcBorders>
            <w:gridSpan w:val="3"/>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3"/>
          </w:tcPr>
          <w:p>
            <w:pPr>
              <w:ind w:left="1100"/>
              <w:spacing w:after="0"/>
              <w:rPr>
                <w:sz w:val="20"/>
                <w:szCs w:val="20"/>
                <w:color w:val="auto"/>
              </w:rPr>
            </w:pPr>
            <w:r>
              <w:rPr>
                <w:rFonts w:ascii="Arial" w:cs="Arial" w:eastAsia="Arial" w:hAnsi="Arial"/>
                <w:sz w:val="14"/>
                <w:szCs w:val="14"/>
                <w:b w:val="1"/>
                <w:bCs w:val="1"/>
                <w:color w:val="auto"/>
                <w:w w:val="99"/>
              </w:rPr>
              <w:t>11 of 12</w:t>
            </w: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92%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560" w:type="dxa"/>
            <w:vAlign w:val="bottom"/>
            <w:tcBorders>
              <w:bottom w:val="single" w:sz="8" w:color="B2B2B2"/>
            </w:tcBorders>
          </w:tcPr>
          <w:p>
            <w:pPr>
              <w:spacing w:after="0"/>
              <w:rPr>
                <w:sz w:val="7"/>
                <w:szCs w:val="7"/>
                <w:color w:val="auto"/>
              </w:rPr>
            </w:pPr>
          </w:p>
        </w:tc>
        <w:tc>
          <w:tcPr>
            <w:tcW w:w="1180" w:type="dxa"/>
            <w:vAlign w:val="bottom"/>
            <w:tcBorders>
              <w:bottom w:val="single" w:sz="8" w:color="B2B2B2"/>
            </w:tcBorders>
          </w:tcPr>
          <w:p>
            <w:pPr>
              <w:spacing w:after="0"/>
              <w:rPr>
                <w:sz w:val="7"/>
                <w:szCs w:val="7"/>
                <w:color w:val="auto"/>
              </w:rPr>
            </w:pPr>
          </w:p>
        </w:tc>
        <w:tc>
          <w:tcPr>
            <w:tcW w:w="280" w:type="dxa"/>
            <w:vAlign w:val="bottom"/>
            <w:tcBorders>
              <w:bottom w:val="single" w:sz="8" w:color="B2B2B2"/>
            </w:tcBorders>
          </w:tcPr>
          <w:p>
            <w:pPr>
              <w:spacing w:after="0"/>
              <w:rPr>
                <w:sz w:val="7"/>
                <w:szCs w:val="7"/>
                <w:color w:val="auto"/>
              </w:rPr>
            </w:pPr>
          </w:p>
        </w:tc>
        <w:tc>
          <w:tcPr>
            <w:tcW w:w="180" w:type="dxa"/>
            <w:vAlign w:val="bottom"/>
            <w:tcBorders>
              <w:bottom w:val="single" w:sz="8" w:color="B2B2B2"/>
            </w:tcBorders>
          </w:tcPr>
          <w:p>
            <w:pPr>
              <w:spacing w:after="0"/>
              <w:rPr>
                <w:sz w:val="7"/>
                <w:szCs w:val="7"/>
                <w:color w:val="auto"/>
              </w:rPr>
            </w:pPr>
          </w:p>
        </w:tc>
        <w:tc>
          <w:tcPr>
            <w:tcW w:w="760" w:type="dxa"/>
            <w:vAlign w:val="bottom"/>
            <w:tcBorders>
              <w:bottom w:val="single" w:sz="8" w:color="B2B2B2"/>
            </w:tcBorders>
          </w:tcPr>
          <w:p>
            <w:pPr>
              <w:spacing w:after="0"/>
              <w:rPr>
                <w:sz w:val="7"/>
                <w:szCs w:val="7"/>
                <w:color w:val="auto"/>
              </w:rPr>
            </w:pPr>
          </w:p>
        </w:tc>
        <w:tc>
          <w:tcPr>
            <w:tcW w:w="140" w:type="dxa"/>
            <w:vAlign w:val="bottom"/>
            <w:tcBorders>
              <w:bottom w:val="single" w:sz="8" w:color="B2B2B2"/>
            </w:tcBorders>
          </w:tcPr>
          <w:p>
            <w:pPr>
              <w:spacing w:after="0"/>
              <w:rPr>
                <w:sz w:val="7"/>
                <w:szCs w:val="7"/>
                <w:color w:val="auto"/>
              </w:rPr>
            </w:pPr>
          </w:p>
        </w:tc>
        <w:tc>
          <w:tcPr>
            <w:tcW w:w="260" w:type="dxa"/>
            <w:vAlign w:val="bottom"/>
            <w:tcBorders>
              <w:bottom w:val="single" w:sz="8" w:color="B2B2B2"/>
            </w:tcBorders>
          </w:tcPr>
          <w:p>
            <w:pPr>
              <w:spacing w:after="0"/>
              <w:rPr>
                <w:sz w:val="7"/>
                <w:szCs w:val="7"/>
                <w:color w:val="auto"/>
              </w:rPr>
            </w:pPr>
          </w:p>
        </w:tc>
        <w:tc>
          <w:tcPr>
            <w:tcW w:w="140" w:type="dxa"/>
            <w:vAlign w:val="bottom"/>
            <w:tcBorders>
              <w:bottom w:val="single" w:sz="8" w:color="B2B2B2"/>
            </w:tcBorders>
          </w:tcPr>
          <w:p>
            <w:pPr>
              <w:spacing w:after="0"/>
              <w:rPr>
                <w:sz w:val="7"/>
                <w:szCs w:val="7"/>
                <w:color w:val="auto"/>
              </w:rPr>
            </w:pPr>
          </w:p>
        </w:tc>
        <w:tc>
          <w:tcPr>
            <w:tcW w:w="1780" w:type="dxa"/>
            <w:vAlign w:val="bottom"/>
            <w:tcBorders>
              <w:bottom w:val="single" w:sz="8" w:color="B2B2B2"/>
            </w:tcBorders>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1"/>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Securities held</w:t>
            </w: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14"/>
        </w:trPr>
        <w:tc>
          <w:tcPr>
            <w:tcW w:w="2560" w:type="dxa"/>
            <w:vAlign w:val="bottom"/>
            <w:tcBorders>
              <w:bottom w:val="single" w:sz="8" w:color="B2B2B2"/>
            </w:tcBorders>
          </w:tcPr>
          <w:p>
            <w:pPr>
              <w:ind w:left="80"/>
              <w:spacing w:after="0" w:line="214" w:lineRule="exact"/>
              <w:rPr>
                <w:sz w:val="20"/>
                <w:szCs w:val="20"/>
                <w:color w:val="auto"/>
              </w:rPr>
            </w:pPr>
            <w:r>
              <w:rPr>
                <w:rFonts w:ascii="Arial" w:cs="Arial" w:eastAsia="Arial" w:hAnsi="Arial"/>
                <w:sz w:val="14"/>
                <w:szCs w:val="14"/>
                <w:b w:val="1"/>
                <w:bCs w:val="1"/>
                <w:color w:val="auto"/>
              </w:rPr>
              <w:t>(number and value)</w:t>
            </w:r>
            <w:r>
              <w:rPr>
                <w:rFonts w:ascii="Arial" w:cs="Arial" w:eastAsia="Arial" w:hAnsi="Arial"/>
                <w:sz w:val="21"/>
                <w:szCs w:val="21"/>
                <w:b w:val="1"/>
                <w:bCs w:val="1"/>
                <w:color w:val="auto"/>
                <w:vertAlign w:val="superscript"/>
              </w:rPr>
              <w:t>2</w:t>
            </w:r>
          </w:p>
        </w:tc>
        <w:tc>
          <w:tcPr>
            <w:tcW w:w="1180" w:type="dxa"/>
            <w:vAlign w:val="bottom"/>
            <w:tcBorders>
              <w:bottom w:val="single" w:sz="8" w:color="B2B2B2"/>
            </w:tcBorders>
          </w:tcPr>
          <w:p>
            <w:pPr>
              <w:spacing w:after="0"/>
              <w:rPr>
                <w:sz w:val="18"/>
                <w:szCs w:val="18"/>
                <w:color w:val="auto"/>
              </w:rPr>
            </w:pPr>
          </w:p>
        </w:tc>
        <w:tc>
          <w:tcPr>
            <w:tcW w:w="280" w:type="dxa"/>
            <w:vAlign w:val="bottom"/>
            <w:tcBorders>
              <w:bottom w:val="single" w:sz="8" w:color="B2B2B2"/>
            </w:tcBorders>
          </w:tcPr>
          <w:p>
            <w:pPr>
              <w:spacing w:after="0"/>
              <w:rPr>
                <w:sz w:val="18"/>
                <w:szCs w:val="18"/>
                <w:color w:val="auto"/>
              </w:rPr>
            </w:pPr>
          </w:p>
        </w:tc>
        <w:tc>
          <w:tcPr>
            <w:tcW w:w="180" w:type="dxa"/>
            <w:vAlign w:val="bottom"/>
            <w:tcBorders>
              <w:bottom w:val="single" w:sz="8" w:color="B2B2B2"/>
            </w:tcBorders>
          </w:tcPr>
          <w:p>
            <w:pPr>
              <w:spacing w:after="0"/>
              <w:rPr>
                <w:sz w:val="18"/>
                <w:szCs w:val="18"/>
                <w:color w:val="auto"/>
              </w:rPr>
            </w:pPr>
          </w:p>
        </w:tc>
        <w:tc>
          <w:tcPr>
            <w:tcW w:w="760" w:type="dxa"/>
            <w:vAlign w:val="bottom"/>
            <w:tcBorders>
              <w:bottom w:val="single" w:sz="8" w:color="B2B2B2"/>
            </w:tcBorders>
          </w:tcPr>
          <w:p>
            <w:pPr>
              <w:spacing w:after="0"/>
              <w:rPr>
                <w:sz w:val="18"/>
                <w:szCs w:val="18"/>
                <w:color w:val="auto"/>
              </w:rPr>
            </w:pPr>
          </w:p>
        </w:tc>
        <w:tc>
          <w:tcPr>
            <w:tcW w:w="14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tcBorders>
          </w:tcPr>
          <w:p>
            <w:pPr>
              <w:spacing w:after="0"/>
              <w:rPr>
                <w:sz w:val="18"/>
                <w:szCs w:val="18"/>
                <w:color w:val="auto"/>
              </w:rPr>
            </w:pPr>
          </w:p>
        </w:tc>
        <w:tc>
          <w:tcPr>
            <w:tcW w:w="140" w:type="dxa"/>
            <w:vAlign w:val="bottom"/>
            <w:tcBorders>
              <w:bottom w:val="single" w:sz="8" w:color="B2B2B2"/>
            </w:tcBorders>
          </w:tcPr>
          <w:p>
            <w:pPr>
              <w:spacing w:after="0"/>
              <w:rPr>
                <w:sz w:val="18"/>
                <w:szCs w:val="18"/>
                <w:color w:val="auto"/>
              </w:rPr>
            </w:pPr>
          </w:p>
        </w:tc>
        <w:tc>
          <w:tcPr>
            <w:tcW w:w="1780" w:type="dxa"/>
            <w:vAlign w:val="bottom"/>
            <w:tcBorders>
              <w:bottom w:val="single" w:sz="8" w:color="B2B2B2"/>
            </w:tcBorders>
          </w:tcPr>
          <w:p>
            <w:pPr>
              <w:ind w:left="20"/>
              <w:spacing w:after="0" w:line="214" w:lineRule="exact"/>
              <w:rPr>
                <w:sz w:val="20"/>
                <w:szCs w:val="20"/>
                <w:color w:val="auto"/>
              </w:rPr>
            </w:pPr>
            <w:r>
              <w:rPr>
                <w:rFonts w:ascii="Arial" w:cs="Arial" w:eastAsia="Arial" w:hAnsi="Arial"/>
                <w:sz w:val="14"/>
                <w:szCs w:val="14"/>
                <w:b w:val="1"/>
                <w:bCs w:val="1"/>
                <w:color w:val="auto"/>
              </w:rPr>
              <w:t>and DSUs</w:t>
            </w:r>
            <w:r>
              <w:rPr>
                <w:rFonts w:ascii="Arial" w:cs="Arial" w:eastAsia="Arial" w:hAnsi="Arial"/>
                <w:sz w:val="21"/>
                <w:szCs w:val="21"/>
                <w:b w:val="1"/>
                <w:bCs w:val="1"/>
                <w:color w:val="auto"/>
                <w:vertAlign w:val="superscript"/>
              </w:rPr>
              <w:t>3</w:t>
            </w:r>
            <w:r>
              <w:rPr>
                <w:rFonts w:ascii="Arial" w:cs="Arial" w:eastAsia="Arial" w:hAnsi="Arial"/>
                <w:sz w:val="14"/>
                <w:szCs w:val="14"/>
                <w:b w:val="1"/>
                <w:bCs w:val="1"/>
                <w:color w:val="auto"/>
              </w:rPr>
              <w:t xml:space="preserve">  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25"/>
        </w:trPr>
        <w:tc>
          <w:tcPr>
            <w:tcW w:w="2560" w:type="dxa"/>
            <w:vAlign w:val="bottom"/>
          </w:tcPr>
          <w:p>
            <w:pPr>
              <w:ind w:left="80"/>
              <w:spacing w:after="0"/>
              <w:rPr>
                <w:sz w:val="20"/>
                <w:szCs w:val="20"/>
                <w:color w:val="auto"/>
              </w:rPr>
            </w:pPr>
            <w:r>
              <w:rPr>
                <w:rFonts w:ascii="Arial" w:cs="Arial" w:eastAsia="Arial" w:hAnsi="Arial"/>
                <w:sz w:val="14"/>
                <w:szCs w:val="14"/>
                <w:color w:val="auto"/>
              </w:rPr>
              <w:t>Common shares</w:t>
            </w:r>
          </w:p>
        </w:tc>
        <w:tc>
          <w:tcPr>
            <w:tcW w:w="1640" w:type="dxa"/>
            <w:vAlign w:val="bottom"/>
            <w:gridSpan w:val="3"/>
          </w:tcPr>
          <w:p>
            <w:pPr>
              <w:ind w:left="1100"/>
              <w:spacing w:after="0"/>
              <w:rPr>
                <w:sz w:val="20"/>
                <w:szCs w:val="20"/>
                <w:color w:val="auto"/>
              </w:rPr>
            </w:pPr>
            <w:r>
              <w:rPr>
                <w:rFonts w:ascii="Arial" w:cs="Arial" w:eastAsia="Arial" w:hAnsi="Arial"/>
                <w:sz w:val="14"/>
                <w:szCs w:val="14"/>
                <w:color w:val="auto"/>
              </w:rPr>
              <w:t> RSUs</w:t>
            </w:r>
          </w:p>
        </w:tc>
        <w:tc>
          <w:tcPr>
            <w:tcW w:w="760" w:type="dxa"/>
            <w:vAlign w:val="bottom"/>
          </w:tcPr>
          <w:p>
            <w:pPr>
              <w:ind w:left="20"/>
              <w:spacing w:after="0"/>
              <w:rPr>
                <w:sz w:val="20"/>
                <w:szCs w:val="20"/>
                <w:color w:val="auto"/>
              </w:rPr>
            </w:pPr>
            <w:r>
              <w:rPr>
                <w:rFonts w:ascii="Arial" w:cs="Arial" w:eastAsia="Arial" w:hAnsi="Arial"/>
                <w:sz w:val="14"/>
                <w:szCs w:val="14"/>
                <w:color w:val="auto"/>
              </w:rPr>
              <w:t>DSUs</w:t>
            </w:r>
          </w:p>
        </w:tc>
        <w:tc>
          <w:tcPr>
            <w:tcW w:w="540" w:type="dxa"/>
            <w:vAlign w:val="bottom"/>
            <w:gridSpan w:val="3"/>
          </w:tcPr>
          <w:p>
            <w:pPr>
              <w:ind w:left="20"/>
              <w:spacing w:after="0"/>
              <w:rPr>
                <w:sz w:val="20"/>
                <w:szCs w:val="20"/>
                <w:color w:val="auto"/>
              </w:rPr>
            </w:pPr>
            <w:r>
              <w:rPr>
                <w:rFonts w:ascii="Arial" w:cs="Arial" w:eastAsia="Arial" w:hAnsi="Arial"/>
                <w:sz w:val="14"/>
                <w:szCs w:val="14"/>
                <w:color w:val="auto"/>
              </w:rPr>
              <w:t>Options</w:t>
            </w:r>
          </w:p>
        </w:tc>
        <w:tc>
          <w:tcPr>
            <w:tcW w:w="17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2"/>
        </w:trPr>
        <w:tc>
          <w:tcPr>
            <w:tcW w:w="2560" w:type="dxa"/>
            <w:vAlign w:val="bottom"/>
          </w:tcPr>
          <w:p>
            <w:pPr>
              <w:ind w:left="80"/>
              <w:spacing w:after="0"/>
              <w:rPr>
                <w:sz w:val="20"/>
                <w:szCs w:val="20"/>
                <w:color w:val="auto"/>
              </w:rPr>
            </w:pPr>
            <w:r>
              <w:rPr>
                <w:rFonts w:ascii="Arial" w:cs="Arial" w:eastAsia="Arial" w:hAnsi="Arial"/>
                <w:sz w:val="14"/>
                <w:szCs w:val="14"/>
                <w:color w:val="auto"/>
              </w:rPr>
              <w:t>1,849</w:t>
            </w:r>
          </w:p>
        </w:tc>
        <w:tc>
          <w:tcPr>
            <w:tcW w:w="1180" w:type="dxa"/>
            <w:vAlign w:val="bottom"/>
          </w:tcPr>
          <w:p>
            <w:pPr>
              <w:ind w:left="1100"/>
              <w:spacing w:after="0"/>
              <w:rPr>
                <w:sz w:val="20"/>
                <w:szCs w:val="20"/>
                <w:color w:val="auto"/>
              </w:rPr>
            </w:pPr>
            <w:r>
              <w:rPr>
                <w:rFonts w:ascii="Arial" w:cs="Arial" w:eastAsia="Arial" w:hAnsi="Arial"/>
                <w:sz w:val="8"/>
                <w:szCs w:val="8"/>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color w:val="auto"/>
                <w:w w:val="82"/>
              </w:rPr>
              <w:t> – </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20"/>
              <w:spacing w:after="0"/>
              <w:rPr>
                <w:sz w:val="20"/>
                <w:szCs w:val="20"/>
                <w:color w:val="auto"/>
              </w:rPr>
            </w:pPr>
            <w:r>
              <w:rPr>
                <w:rFonts w:ascii="Arial" w:cs="Arial" w:eastAsia="Arial" w:hAnsi="Arial"/>
                <w:sz w:val="14"/>
                <w:szCs w:val="14"/>
                <w:color w:val="auto"/>
              </w:rPr>
              <w:t>17,928</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color w:val="auto"/>
                <w:w w:val="74"/>
              </w:rPr>
              <w:t> – </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780" w:type="dxa"/>
            <w:vAlign w:val="bottom"/>
          </w:tcPr>
          <w:p>
            <w:pPr>
              <w:ind w:left="20"/>
              <w:spacing w:after="0"/>
              <w:rPr>
                <w:sz w:val="20"/>
                <w:szCs w:val="20"/>
                <w:color w:val="auto"/>
              </w:rPr>
            </w:pPr>
            <w:r>
              <w:rPr>
                <w:rFonts w:ascii="Arial" w:cs="Arial" w:eastAsia="Arial" w:hAnsi="Arial"/>
                <w:sz w:val="14"/>
                <w:szCs w:val="14"/>
                <w:color w:val="auto"/>
              </w:rPr>
              <w:t>19,777</w:t>
            </w:r>
          </w:p>
        </w:tc>
        <w:tc>
          <w:tcPr>
            <w:tcW w:w="1360" w:type="dxa"/>
            <w:vAlign w:val="bottom"/>
          </w:tcPr>
          <w:p>
            <w:pPr>
              <w:spacing w:after="0"/>
              <w:rPr>
                <w:sz w:val="17"/>
                <w:szCs w:val="17"/>
                <w:color w:val="auto"/>
              </w:rPr>
            </w:pPr>
          </w:p>
        </w:tc>
      </w:tr>
      <w:tr>
        <w:trPr>
          <w:trHeight w:val="48"/>
        </w:trPr>
        <w:tc>
          <w:tcPr>
            <w:tcW w:w="2560" w:type="dxa"/>
            <w:vAlign w:val="bottom"/>
            <w:tcBorders>
              <w:bottom w:val="single" w:sz="8" w:color="B2B2B2"/>
            </w:tcBorders>
          </w:tcPr>
          <w:p>
            <w:pPr>
              <w:spacing w:after="0"/>
              <w:rPr>
                <w:sz w:val="4"/>
                <w:szCs w:val="4"/>
                <w:color w:val="auto"/>
              </w:rPr>
            </w:pPr>
          </w:p>
        </w:tc>
        <w:tc>
          <w:tcPr>
            <w:tcW w:w="118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2560" w:type="dxa"/>
            <w:vAlign w:val="bottom"/>
          </w:tcPr>
          <w:p>
            <w:pPr>
              <w:ind w:left="80"/>
              <w:spacing w:after="0"/>
              <w:rPr>
                <w:sz w:val="20"/>
                <w:szCs w:val="20"/>
                <w:color w:val="auto"/>
              </w:rPr>
            </w:pPr>
            <w:r>
              <w:rPr>
                <w:rFonts w:ascii="Arial" w:cs="Arial" w:eastAsia="Arial" w:hAnsi="Arial"/>
                <w:sz w:val="14"/>
                <w:szCs w:val="14"/>
                <w:i w:val="1"/>
                <w:iCs w:val="1"/>
                <w:color w:val="auto"/>
              </w:rPr>
              <w:t>$161,658</w:t>
            </w:r>
          </w:p>
        </w:tc>
        <w:tc>
          <w:tcPr>
            <w:tcW w:w="1180" w:type="dxa"/>
            <w:vAlign w:val="bottom"/>
          </w:tcPr>
          <w:p>
            <w:pPr>
              <w:ind w:left="1100"/>
              <w:spacing w:after="0"/>
              <w:rPr>
                <w:sz w:val="20"/>
                <w:szCs w:val="20"/>
                <w:color w:val="auto"/>
              </w:rPr>
            </w:pPr>
            <w:r>
              <w:rPr>
                <w:rFonts w:ascii="Arial" w:cs="Arial" w:eastAsia="Arial" w:hAnsi="Arial"/>
                <w:sz w:val="8"/>
                <w:szCs w:val="8"/>
                <w:i w:val="1"/>
                <w:iCs w:val="1"/>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i w:val="1"/>
                <w:iCs w:val="1"/>
                <w:color w:val="auto"/>
                <w:w w:val="82"/>
              </w:rPr>
              <w:t> – </w:t>
            </w:r>
          </w:p>
        </w:tc>
        <w:tc>
          <w:tcPr>
            <w:tcW w:w="18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760" w:type="dxa"/>
            <w:vAlign w:val="bottom"/>
          </w:tcPr>
          <w:p>
            <w:pPr>
              <w:ind w:left="20"/>
              <w:spacing w:after="0"/>
              <w:rPr>
                <w:sz w:val="20"/>
                <w:szCs w:val="20"/>
                <w:color w:val="auto"/>
              </w:rPr>
            </w:pPr>
            <w:r>
              <w:rPr>
                <w:rFonts w:ascii="Arial" w:cs="Arial" w:eastAsia="Arial" w:hAnsi="Arial"/>
                <w:sz w:val="14"/>
                <w:szCs w:val="14"/>
                <w:i w:val="1"/>
                <w:iCs w:val="1"/>
                <w:color w:val="auto"/>
              </w:rPr>
              <w:t>$1,567,445</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color w:val="auto"/>
                <w:w w:val="74"/>
              </w:rPr>
              <w:t> – </w:t>
            </w:r>
          </w:p>
        </w:tc>
        <w:tc>
          <w:tcPr>
            <w:tcW w:w="140" w:type="dxa"/>
            <w:vAlign w:val="bottom"/>
          </w:tcPr>
          <w:p>
            <w:pPr>
              <w:ind w:left="40"/>
              <w:spacing w:after="0"/>
              <w:rPr>
                <w:sz w:val="20"/>
                <w:szCs w:val="20"/>
                <w:color w:val="auto"/>
              </w:rPr>
            </w:pPr>
            <w:r>
              <w:rPr>
                <w:rFonts w:ascii="Arial" w:cs="Arial" w:eastAsia="Arial" w:hAnsi="Arial"/>
                <w:sz w:val="14"/>
                <w:szCs w:val="14"/>
                <w:color w:val="auto"/>
              </w:rPr>
              <w:t> </w:t>
            </w:r>
          </w:p>
        </w:tc>
        <w:tc>
          <w:tcPr>
            <w:tcW w:w="1780" w:type="dxa"/>
            <w:vAlign w:val="bottom"/>
          </w:tcPr>
          <w:p>
            <w:pPr>
              <w:ind w:left="900"/>
              <w:spacing w:after="0"/>
              <w:rPr>
                <w:sz w:val="20"/>
                <w:szCs w:val="20"/>
                <w:color w:val="auto"/>
              </w:rPr>
            </w:pPr>
            <w:r>
              <w:rPr>
                <w:rFonts w:ascii="Arial" w:cs="Arial" w:eastAsia="Arial" w:hAnsi="Arial"/>
                <w:sz w:val="14"/>
                <w:szCs w:val="14"/>
                <w:i w:val="1"/>
                <w:iCs w:val="1"/>
                <w:color w:val="auto"/>
              </w:rPr>
              <w:t>$1,729,103</w:t>
            </w:r>
          </w:p>
        </w:tc>
        <w:tc>
          <w:tcPr>
            <w:tcW w:w="1360" w:type="dxa"/>
            <w:vAlign w:val="bottom"/>
          </w:tcPr>
          <w:p>
            <w:pPr>
              <w:ind w:left="660"/>
              <w:spacing w:after="0"/>
              <w:rPr>
                <w:sz w:val="20"/>
                <w:szCs w:val="20"/>
                <w:color w:val="auto"/>
              </w:rPr>
            </w:pPr>
            <w:r>
              <w:rPr>
                <w:rFonts w:ascii="Arial" w:cs="Arial" w:eastAsia="Arial" w:hAnsi="Arial"/>
                <w:sz w:val="14"/>
                <w:szCs w:val="14"/>
                <w:i w:val="1"/>
                <w:iCs w:val="1"/>
                <w:color w:val="auto"/>
              </w:rPr>
              <w:t>–</w:t>
            </w:r>
          </w:p>
        </w:tc>
      </w:tr>
      <w:tr>
        <w:trPr>
          <w:trHeight w:val="48"/>
        </w:trPr>
        <w:tc>
          <w:tcPr>
            <w:tcW w:w="2560" w:type="dxa"/>
            <w:vAlign w:val="bottom"/>
            <w:tcBorders>
              <w:bottom w:val="single" w:sz="8" w:color="B2B2B2"/>
            </w:tcBorders>
          </w:tcPr>
          <w:p>
            <w:pPr>
              <w:spacing w:after="0"/>
              <w:rPr>
                <w:sz w:val="4"/>
                <w:szCs w:val="4"/>
                <w:color w:val="auto"/>
              </w:rPr>
            </w:pPr>
          </w:p>
        </w:tc>
        <w:tc>
          <w:tcPr>
            <w:tcW w:w="118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17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1    David Thomson and Peter Thomson, both of whom are nominees, are brothers.</w:t>
      </w:r>
    </w:p>
    <w:p>
      <w:pPr>
        <w:spacing w:after="0" w:line="10" w:lineRule="exact"/>
        <w:rPr>
          <w:sz w:val="20"/>
          <w:szCs w:val="20"/>
          <w:color w:val="auto"/>
        </w:rPr>
      </w:pPr>
    </w:p>
    <w:p>
      <w:pPr>
        <w:ind w:left="380" w:right="120" w:hanging="200"/>
        <w:spacing w:after="0" w:line="236" w:lineRule="auto"/>
        <w:rPr>
          <w:sz w:val="20"/>
          <w:szCs w:val="20"/>
          <w:color w:val="auto"/>
        </w:rPr>
      </w:pPr>
      <w:r>
        <w:rPr>
          <w:rFonts w:ascii="Arial" w:cs="Arial" w:eastAsia="Arial" w:hAnsi="Arial"/>
          <w:sz w:val="13"/>
          <w:szCs w:val="13"/>
          <w:color w:val="auto"/>
        </w:rPr>
        <w:t>2    David Thomson and Peter Thomson are substantial shareholders of our company as members of the family that owns the equity of Woodbridge, our principal shareholder. For additional information, please see the “Principal Shareholder and Share Capital” section of this circular.</w:t>
      </w:r>
    </w:p>
    <w:p>
      <w:pPr>
        <w:ind w:left="380" w:right="280" w:hanging="200"/>
        <w:spacing w:after="0" w:line="257" w:lineRule="auto"/>
        <w:rPr>
          <w:sz w:val="20"/>
          <w:szCs w:val="20"/>
          <w:color w:val="auto"/>
        </w:rPr>
      </w:pPr>
      <w:r>
        <w:rPr>
          <w:rFonts w:ascii="Arial" w:cs="Arial" w:eastAsia="Arial" w:hAnsi="Arial"/>
          <w:sz w:val="13"/>
          <w:szCs w:val="13"/>
          <w:color w:val="auto"/>
        </w:rPr>
        <w:t>3    The Nikita Foundation, a charity founded by Peter Thomson and his wife, both of whom sit on the board of directors, owns an additional 1,130,165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204470</wp:posOffset>
            </wp:positionV>
            <wp:extent cx="69297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160"/>
            <w:col w:w="8640"/>
          </w:cols>
          <w:pgMar w:left="480" w:top="361" w:right="499" w:bottom="1440" w:gutter="0" w:footer="0" w:header="0"/>
          <w:type w:val="continuous"/>
        </w:sectPr>
      </w:pPr>
    </w:p>
    <w:p>
      <w:pPr>
        <w:spacing w:after="0" w:line="154"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24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361" w:right="499" w:bottom="1440"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Beth Wilson</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57</w:t>
      </w:r>
    </w:p>
    <w:p>
      <w:pPr>
        <w:spacing w:after="0" w:line="64" w:lineRule="exact"/>
        <w:rPr>
          <w:sz w:val="20"/>
          <w:szCs w:val="20"/>
          <w:color w:val="auto"/>
        </w:rPr>
      </w:pPr>
    </w:p>
    <w:p>
      <w:pPr>
        <w:ind w:left="100" w:right="340"/>
        <w:spacing w:after="0" w:line="343" w:lineRule="auto"/>
        <w:rPr>
          <w:sz w:val="20"/>
          <w:szCs w:val="20"/>
          <w:color w:val="auto"/>
        </w:rPr>
      </w:pPr>
      <w:r>
        <w:rPr>
          <w:rFonts w:ascii="Arial" w:cs="Arial" w:eastAsia="Arial" w:hAnsi="Arial"/>
          <w:sz w:val="13"/>
          <w:szCs w:val="13"/>
          <w:color w:val="auto"/>
        </w:rPr>
        <w:t>Toronto, Ontario, Canada Director since 2022 Independent</w:t>
      </w:r>
    </w:p>
    <w:p>
      <w:pPr>
        <w:spacing w:after="0" w:line="1" w:lineRule="exact"/>
        <w:rPr>
          <w:sz w:val="20"/>
          <w:szCs w:val="20"/>
          <w:color w:val="auto"/>
        </w:rPr>
      </w:pPr>
    </w:p>
    <w:p>
      <w:pPr>
        <w:ind w:left="100" w:right="140"/>
        <w:spacing w:after="0" w:line="249" w:lineRule="auto"/>
        <w:rPr>
          <w:sz w:val="20"/>
          <w:szCs w:val="20"/>
          <w:color w:val="auto"/>
        </w:rPr>
      </w:pPr>
      <w:r>
        <w:rPr>
          <w:rFonts w:ascii="Arial" w:cs="Arial" w:eastAsia="Arial" w:hAnsi="Arial"/>
          <w:sz w:val="13"/>
          <w:szCs w:val="13"/>
          <w:color w:val="auto"/>
        </w:rPr>
        <w:t>Primary areas of expertise: tax and accounting and legal industries, audit, executive leadership</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2025 annual meeting votes for:</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99.91%</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Beth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-271780</wp:posOffset>
            </wp:positionV>
            <wp:extent cx="7176135" cy="3133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133725"/>
                    </a:xfrm>
                    <a:prstGeom prst="rect">
                      <a:avLst/>
                    </a:prstGeom>
                    <a:noFill/>
                  </pic:spPr>
                </pic:pic>
              </a:graphicData>
            </a:graphic>
          </wp:anchor>
        </w:drawing>
      </w:r>
    </w:p>
    <w:p>
      <w:pPr>
        <w:spacing w:after="0" w:line="23" w:lineRule="exact"/>
        <w:rPr>
          <w:sz w:val="20"/>
          <w:szCs w:val="20"/>
          <w:color w:val="auto"/>
        </w:rPr>
      </w:pPr>
    </w:p>
    <w:p>
      <w:pPr>
        <w:ind w:left="40"/>
        <w:spacing w:after="0" w:line="244" w:lineRule="auto"/>
        <w:rPr>
          <w:sz w:val="20"/>
          <w:szCs w:val="20"/>
          <w:color w:val="auto"/>
        </w:rPr>
      </w:pPr>
      <w:r>
        <w:rPr>
          <w:rFonts w:ascii="Arial" w:cs="Arial" w:eastAsia="Arial" w:hAnsi="Arial"/>
          <w:sz w:val="14"/>
          <w:szCs w:val="14"/>
          <w:color w:val="auto"/>
        </w:rPr>
        <w:t>Beth Wilson is a corporate director. Beth served as the Chair of the Chartered Professional Accountants of Canada from October 2023 to September 2025 and the Vice-Chair from October 2021 to October 2023. She is the former Chief Executive Officer of Dentons Canada LLP and was a member of the global leadership team, serving on the Global Board and Global Management Committee from July 2017 to January 2022. Prior to this role, Beth was an audit partner at KPMG from 2000 to 2016 and served as Managing Partner at KPMG in the Greater Toronto Area from 2009 to 2016. Between 2005 and 2016, she also served as a member of KPMG’s Management Committee in various leadership positions, including Canadian Managing Partner Community Leadership, Canadian Managing Partner Regions and Enterprise with responsibility for 24 regional offices across Canada, and Chief Human Resources Officer. Beth is currently a trustee at The Hospital for Sick Children, and a director at Fountain Tire, Woodgreen Community Services, and Traferox Technologies Inc. Beth has a BComm from the University of Toronto and is a CPA.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5"/>
          </w:tcPr>
          <w:p>
            <w:pPr>
              <w:ind w:left="40"/>
              <w:spacing w:after="0"/>
              <w:rPr>
                <w:sz w:val="20"/>
                <w:szCs w:val="20"/>
                <w:color w:val="auto"/>
              </w:rPr>
            </w:pPr>
            <w:r>
              <w:rPr>
                <w:rFonts w:ascii="Arial" w:cs="Arial" w:eastAsia="Arial" w:hAnsi="Arial"/>
                <w:sz w:val="14"/>
                <w:szCs w:val="14"/>
                <w:b w:val="1"/>
                <w:bCs w:val="1"/>
                <w:color w:val="auto"/>
              </w:rPr>
              <w:t>Board/committee</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254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membership</w:t>
            </w:r>
          </w:p>
        </w:tc>
        <w:tc>
          <w:tcPr>
            <w:tcW w:w="2360" w:type="dxa"/>
            <w:vAlign w:val="bottom"/>
            <w:tcBorders>
              <w:bottom w:val="single" w:sz="8" w:color="B2B2B2"/>
            </w:tcBorders>
            <w:gridSpan w:val="4"/>
          </w:tcPr>
          <w:p>
            <w:pPr>
              <w:ind w:left="1180"/>
              <w:spacing w:after="0"/>
              <w:rPr>
                <w:sz w:val="20"/>
                <w:szCs w:val="20"/>
                <w:color w:val="auto"/>
              </w:rPr>
            </w:pPr>
            <w:r>
              <w:rPr>
                <w:rFonts w:ascii="Arial" w:cs="Arial" w:eastAsia="Arial" w:hAnsi="Arial"/>
                <w:sz w:val="14"/>
                <w:szCs w:val="14"/>
                <w:b w:val="1"/>
                <w:bCs w:val="1"/>
                <w:color w:val="auto"/>
              </w:rPr>
              <w:t>2025 attendance</w:t>
            </w:r>
          </w:p>
        </w:tc>
        <w:tc>
          <w:tcPr>
            <w:tcW w:w="3680" w:type="dxa"/>
            <w:vAlign w:val="bottom"/>
            <w:tcBorders>
              <w:bottom w:val="single" w:sz="8" w:color="B2B2B2"/>
            </w:tcBorders>
            <w:gridSpan w:val="5"/>
          </w:tcPr>
          <w:p>
            <w:pPr>
              <w:ind w:left="20"/>
              <w:spacing w:after="0"/>
              <w:rPr>
                <w:sz w:val="20"/>
                <w:szCs w:val="20"/>
                <w:color w:val="auto"/>
              </w:rPr>
            </w:pPr>
            <w:r>
              <w:rPr>
                <w:rFonts w:ascii="Arial" w:cs="Arial" w:eastAsia="Arial" w:hAnsi="Arial"/>
                <w:sz w:val="14"/>
                <w:szCs w:val="14"/>
                <w:b w:val="1"/>
                <w:bCs w:val="1"/>
                <w:color w:val="auto"/>
              </w:rPr>
              <w:t>Other public company board memberships</w:t>
            </w:r>
          </w:p>
        </w:tc>
      </w:tr>
      <w:tr>
        <w:trPr>
          <w:trHeight w:val="267"/>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Board</w:t>
            </w: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540" w:type="dxa"/>
            <w:vAlign w:val="bottom"/>
            <w:gridSpan w:val="2"/>
          </w:tcPr>
          <w:p>
            <w:pPr>
              <w:ind w:left="1180"/>
              <w:spacing w:after="0"/>
              <w:rPr>
                <w:sz w:val="20"/>
                <w:szCs w:val="20"/>
                <w:color w:val="auto"/>
              </w:rPr>
            </w:pPr>
            <w:r>
              <w:rPr>
                <w:rFonts w:ascii="Arial" w:cs="Arial" w:eastAsia="Arial" w:hAnsi="Arial"/>
                <w:sz w:val="14"/>
                <w:szCs w:val="14"/>
                <w:color w:val="auto"/>
                <w:w w:val="96"/>
              </w:rPr>
              <w:t>6 of 6</w:t>
            </w:r>
          </w:p>
        </w:tc>
        <w:tc>
          <w:tcPr>
            <w:tcW w:w="18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IGM Financial Inc.</w:t>
            </w: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7"/>
        </w:trPr>
        <w:tc>
          <w:tcPr>
            <w:tcW w:w="46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4"/>
                <w:szCs w:val="14"/>
                <w:color w:val="auto"/>
                <w:w w:val="96"/>
              </w:rPr>
              <w:t>7 of 7</w:t>
            </w:r>
          </w:p>
        </w:tc>
        <w:tc>
          <w:tcPr>
            <w:tcW w:w="18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2320" w:type="dxa"/>
            <w:vAlign w:val="bottom"/>
            <w:gridSpan w:val="4"/>
          </w:tcPr>
          <w:p>
            <w:pPr>
              <w:ind w:left="20"/>
              <w:spacing w:after="0"/>
              <w:rPr>
                <w:sz w:val="20"/>
                <w:szCs w:val="20"/>
                <w:color w:val="auto"/>
              </w:rPr>
            </w:pPr>
            <w:r>
              <w:rPr>
                <w:rFonts w:ascii="Arial" w:cs="Arial" w:eastAsia="Arial" w:hAnsi="Arial"/>
                <w:sz w:val="14"/>
                <w:szCs w:val="14"/>
                <w:color w:val="auto"/>
              </w:rPr>
              <w:t>Power Corporation of Canada</w:t>
            </w:r>
          </w:p>
        </w:tc>
        <w:tc>
          <w:tcPr>
            <w:tcW w:w="1360" w:type="dxa"/>
            <w:vAlign w:val="bottom"/>
          </w:tcPr>
          <w:p>
            <w:pPr>
              <w:spacing w:after="0"/>
              <w:rPr>
                <w:sz w:val="19"/>
                <w:szCs w:val="19"/>
                <w:color w:val="auto"/>
              </w:rPr>
            </w:pPr>
          </w:p>
        </w:tc>
      </w:tr>
      <w:tr>
        <w:trPr>
          <w:trHeight w:val="22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HR</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4"/>
                <w:szCs w:val="14"/>
                <w:color w:val="auto"/>
                <w:w w:val="96"/>
              </w:rPr>
              <w:t>6 of 6</w:t>
            </w:r>
          </w:p>
        </w:tc>
        <w:tc>
          <w:tcPr>
            <w:tcW w:w="18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8"/>
        </w:trPr>
        <w:tc>
          <w:tcPr>
            <w:tcW w:w="460" w:type="dxa"/>
            <w:vAlign w:val="bottom"/>
            <w:tcBorders>
              <w:bottom w:val="single" w:sz="8" w:color="B2B2B2"/>
            </w:tcBorders>
            <w:gridSpan w:val="3"/>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840" w:type="dxa"/>
            <w:vAlign w:val="bottom"/>
            <w:tcBorders>
              <w:bottom w:val="single" w:sz="8" w:color="B2B2B2"/>
            </w:tcBorders>
          </w:tcPr>
          <w:p>
            <w:pPr>
              <w:spacing w:after="0"/>
              <w:rPr>
                <w:sz w:val="4"/>
                <w:szCs w:val="4"/>
                <w:color w:val="auto"/>
              </w:rPr>
            </w:pPr>
          </w:p>
        </w:tc>
        <w:tc>
          <w:tcPr>
            <w:tcW w:w="1720" w:type="dxa"/>
            <w:vAlign w:val="bottom"/>
            <w:tcBorders>
              <w:bottom w:val="single" w:sz="8" w:color="B2B2B2"/>
            </w:tcBorders>
            <w:gridSpan w:val="3"/>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73"/>
        </w:trPr>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20" w:type="dxa"/>
            <w:vAlign w:val="bottom"/>
            <w:gridSpan w:val="3"/>
          </w:tcPr>
          <w:p>
            <w:pPr>
              <w:ind w:left="1180"/>
              <w:spacing w:after="0"/>
              <w:rPr>
                <w:sz w:val="20"/>
                <w:szCs w:val="20"/>
                <w:color w:val="auto"/>
              </w:rPr>
            </w:pPr>
            <w:r>
              <w:rPr>
                <w:rFonts w:ascii="Arial" w:cs="Arial" w:eastAsia="Arial" w:hAnsi="Arial"/>
                <w:sz w:val="14"/>
                <w:szCs w:val="14"/>
                <w:b w:val="1"/>
                <w:bCs w:val="1"/>
                <w:color w:val="auto"/>
                <w:w w:val="99"/>
              </w:rPr>
              <w:t>19 of 19</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100%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82"/>
        </w:trPr>
        <w:tc>
          <w:tcPr>
            <w:tcW w:w="2540" w:type="dxa"/>
            <w:vAlign w:val="bottom"/>
            <w:tcBorders>
              <w:bottom w:val="single" w:sz="8" w:color="B2B2B2"/>
            </w:tcBorders>
            <w:gridSpan w:val="5"/>
          </w:tcPr>
          <w:p>
            <w:pPr>
              <w:spacing w:after="0"/>
              <w:rPr>
                <w:sz w:val="7"/>
                <w:szCs w:val="7"/>
                <w:color w:val="auto"/>
              </w:rPr>
            </w:pPr>
          </w:p>
        </w:tc>
        <w:tc>
          <w:tcPr>
            <w:tcW w:w="1260" w:type="dxa"/>
            <w:vAlign w:val="bottom"/>
            <w:tcBorders>
              <w:bottom w:val="single" w:sz="8" w:color="B2B2B2"/>
            </w:tcBorders>
          </w:tcPr>
          <w:p>
            <w:pPr>
              <w:spacing w:after="0"/>
              <w:rPr>
                <w:sz w:val="7"/>
                <w:szCs w:val="7"/>
                <w:color w:val="auto"/>
              </w:rPr>
            </w:pPr>
          </w:p>
        </w:tc>
        <w:tc>
          <w:tcPr>
            <w:tcW w:w="280" w:type="dxa"/>
            <w:vAlign w:val="bottom"/>
            <w:tcBorders>
              <w:bottom w:val="single" w:sz="8" w:color="B2B2B2"/>
            </w:tcBorders>
          </w:tcPr>
          <w:p>
            <w:pPr>
              <w:spacing w:after="0"/>
              <w:rPr>
                <w:sz w:val="7"/>
                <w:szCs w:val="7"/>
                <w:color w:val="auto"/>
              </w:rPr>
            </w:pPr>
          </w:p>
        </w:tc>
        <w:tc>
          <w:tcPr>
            <w:tcW w:w="180" w:type="dxa"/>
            <w:vAlign w:val="bottom"/>
            <w:tcBorders>
              <w:bottom w:val="single" w:sz="8" w:color="B2B2B2"/>
            </w:tcBorders>
          </w:tcPr>
          <w:p>
            <w:pPr>
              <w:spacing w:after="0"/>
              <w:rPr>
                <w:sz w:val="7"/>
                <w:szCs w:val="7"/>
                <w:color w:val="auto"/>
              </w:rPr>
            </w:pPr>
          </w:p>
        </w:tc>
        <w:tc>
          <w:tcPr>
            <w:tcW w:w="640" w:type="dxa"/>
            <w:vAlign w:val="bottom"/>
            <w:tcBorders>
              <w:bottom w:val="single" w:sz="8" w:color="B2B2B2"/>
            </w:tcBorders>
          </w:tcPr>
          <w:p>
            <w:pPr>
              <w:spacing w:after="0"/>
              <w:rPr>
                <w:sz w:val="7"/>
                <w:szCs w:val="7"/>
                <w:color w:val="auto"/>
              </w:rPr>
            </w:pPr>
          </w:p>
        </w:tc>
        <w:tc>
          <w:tcPr>
            <w:tcW w:w="140" w:type="dxa"/>
            <w:vAlign w:val="bottom"/>
            <w:tcBorders>
              <w:bottom w:val="single" w:sz="8" w:color="B2B2B2"/>
            </w:tcBorders>
          </w:tcPr>
          <w:p>
            <w:pPr>
              <w:spacing w:after="0"/>
              <w:rPr>
                <w:sz w:val="7"/>
                <w:szCs w:val="7"/>
                <w:color w:val="auto"/>
              </w:rPr>
            </w:pPr>
          </w:p>
        </w:tc>
        <w:tc>
          <w:tcPr>
            <w:tcW w:w="260" w:type="dxa"/>
            <w:vAlign w:val="bottom"/>
            <w:tcBorders>
              <w:bottom w:val="single" w:sz="8" w:color="B2B2B2"/>
            </w:tcBorders>
          </w:tcPr>
          <w:p>
            <w:pPr>
              <w:spacing w:after="0"/>
              <w:rPr>
                <w:sz w:val="7"/>
                <w:szCs w:val="7"/>
                <w:color w:val="auto"/>
              </w:rPr>
            </w:pPr>
          </w:p>
        </w:tc>
        <w:tc>
          <w:tcPr>
            <w:tcW w:w="1920" w:type="dxa"/>
            <w:vAlign w:val="bottom"/>
            <w:tcBorders>
              <w:bottom w:val="single" w:sz="8" w:color="B2B2B2"/>
            </w:tcBorders>
            <w:gridSpan w:val="2"/>
          </w:tcPr>
          <w:p>
            <w:pPr>
              <w:spacing w:after="0"/>
              <w:rPr>
                <w:sz w:val="7"/>
                <w:szCs w:val="7"/>
                <w:color w:val="auto"/>
              </w:rPr>
            </w:pPr>
          </w:p>
        </w:tc>
        <w:tc>
          <w:tcPr>
            <w:tcW w:w="1360" w:type="dxa"/>
            <w:vAlign w:val="bottom"/>
            <w:tcBorders>
              <w:bottom w:val="single" w:sz="8" w:color="B2B2B2"/>
            </w:tcBorders>
          </w:tcPr>
          <w:p>
            <w:pPr>
              <w:spacing w:after="0"/>
              <w:rPr>
                <w:sz w:val="7"/>
                <w:szCs w:val="7"/>
                <w:color w:val="auto"/>
              </w:rPr>
            </w:pPr>
          </w:p>
        </w:tc>
      </w:tr>
      <w:tr>
        <w:trPr>
          <w:trHeight w:val="265"/>
        </w:trPr>
        <w:tc>
          <w:tcPr>
            <w:tcW w:w="2540" w:type="dxa"/>
            <w:vAlign w:val="bottom"/>
            <w:gridSpan w:val="5"/>
          </w:tcPr>
          <w:p>
            <w:pPr>
              <w:ind w:left="40"/>
              <w:spacing w:after="0"/>
              <w:rPr>
                <w:sz w:val="20"/>
                <w:szCs w:val="20"/>
                <w:color w:val="auto"/>
              </w:rPr>
            </w:pPr>
            <w:r>
              <w:rPr>
                <w:rFonts w:ascii="Arial" w:cs="Arial" w:eastAsia="Arial" w:hAnsi="Arial"/>
                <w:sz w:val="14"/>
                <w:szCs w:val="14"/>
                <w:b w:val="1"/>
                <w:bCs w:val="1"/>
                <w:color w:val="auto"/>
              </w:rPr>
              <w:t>Securities held</w:t>
            </w: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 shares Total market</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Ownership multiple</w:t>
            </w:r>
          </w:p>
        </w:tc>
      </w:tr>
      <w:tr>
        <w:trPr>
          <w:trHeight w:val="203"/>
        </w:trPr>
        <w:tc>
          <w:tcPr>
            <w:tcW w:w="2540" w:type="dxa"/>
            <w:vAlign w:val="bottom"/>
            <w:tcBorders>
              <w:bottom w:val="single" w:sz="8" w:color="B2B2B2"/>
            </w:tcBorders>
            <w:gridSpan w:val="5"/>
          </w:tcPr>
          <w:p>
            <w:pPr>
              <w:ind w:left="40"/>
              <w:spacing w:after="0"/>
              <w:rPr>
                <w:sz w:val="20"/>
                <w:szCs w:val="20"/>
                <w:color w:val="auto"/>
              </w:rPr>
            </w:pPr>
            <w:r>
              <w:rPr>
                <w:rFonts w:ascii="Arial" w:cs="Arial" w:eastAsia="Arial" w:hAnsi="Arial"/>
                <w:sz w:val="14"/>
                <w:szCs w:val="14"/>
                <w:b w:val="1"/>
                <w:bCs w:val="1"/>
                <w:color w:val="auto"/>
              </w:rPr>
              <w:t>(number and value)</w:t>
            </w:r>
          </w:p>
        </w:tc>
        <w:tc>
          <w:tcPr>
            <w:tcW w:w="1260" w:type="dxa"/>
            <w:vAlign w:val="bottom"/>
            <w:tcBorders>
              <w:bottom w:val="single" w:sz="8" w:color="B2B2B2"/>
            </w:tcBorders>
          </w:tcPr>
          <w:p>
            <w:pPr>
              <w:spacing w:after="0"/>
              <w:rPr>
                <w:sz w:val="17"/>
                <w:szCs w:val="17"/>
                <w:color w:val="auto"/>
              </w:rPr>
            </w:pPr>
          </w:p>
        </w:tc>
        <w:tc>
          <w:tcPr>
            <w:tcW w:w="280" w:type="dxa"/>
            <w:vAlign w:val="bottom"/>
            <w:tcBorders>
              <w:bottom w:val="single" w:sz="8" w:color="B2B2B2"/>
            </w:tcBorders>
          </w:tcPr>
          <w:p>
            <w:pPr>
              <w:spacing w:after="0"/>
              <w:rPr>
                <w:sz w:val="17"/>
                <w:szCs w:val="17"/>
                <w:color w:val="auto"/>
              </w:rPr>
            </w:pPr>
          </w:p>
        </w:tc>
        <w:tc>
          <w:tcPr>
            <w:tcW w:w="180" w:type="dxa"/>
            <w:vAlign w:val="bottom"/>
            <w:tcBorders>
              <w:bottom w:val="single" w:sz="8" w:color="B2B2B2"/>
            </w:tcBorders>
          </w:tcPr>
          <w:p>
            <w:pPr>
              <w:spacing w:after="0"/>
              <w:rPr>
                <w:sz w:val="17"/>
                <w:szCs w:val="17"/>
                <w:color w:val="auto"/>
              </w:rPr>
            </w:pPr>
          </w:p>
        </w:tc>
        <w:tc>
          <w:tcPr>
            <w:tcW w:w="6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260" w:type="dxa"/>
            <w:vAlign w:val="bottom"/>
            <w:tcBorders>
              <w:bottom w:val="single" w:sz="8" w:color="B2B2B2"/>
            </w:tcBorders>
          </w:tcPr>
          <w:p>
            <w:pPr>
              <w:spacing w:after="0"/>
              <w:rPr>
                <w:sz w:val="17"/>
                <w:szCs w:val="17"/>
                <w:color w:val="auto"/>
              </w:rPr>
            </w:pPr>
          </w:p>
        </w:tc>
        <w:tc>
          <w:tcPr>
            <w:tcW w:w="940" w:type="dxa"/>
            <w:vAlign w:val="bottom"/>
            <w:tcBorders>
              <w:bottom w:val="single" w:sz="8" w:color="B2B2B2"/>
            </w:tcBorders>
          </w:tcPr>
          <w:p>
            <w:pPr>
              <w:ind w:left="160"/>
              <w:spacing w:after="0"/>
              <w:rPr>
                <w:sz w:val="20"/>
                <w:szCs w:val="20"/>
                <w:color w:val="auto"/>
              </w:rPr>
            </w:pPr>
            <w:r>
              <w:rPr>
                <w:rFonts w:ascii="Arial" w:cs="Arial" w:eastAsia="Arial" w:hAnsi="Arial"/>
                <w:sz w:val="14"/>
                <w:szCs w:val="14"/>
                <w:b w:val="1"/>
                <w:bCs w:val="1"/>
                <w:color w:val="auto"/>
              </w:rPr>
              <w:t>and DSUs</w:t>
            </w:r>
          </w:p>
        </w:tc>
        <w:tc>
          <w:tcPr>
            <w:tcW w:w="980" w:type="dxa"/>
            <w:vAlign w:val="bottom"/>
            <w:tcBorders>
              <w:bottom w:val="single" w:sz="8" w:color="B2B2B2"/>
            </w:tcBorders>
          </w:tcPr>
          <w:p>
            <w:pPr>
              <w:ind w:left="100"/>
              <w:spacing w:after="0"/>
              <w:rPr>
                <w:sz w:val="20"/>
                <w:szCs w:val="20"/>
                <w:color w:val="auto"/>
              </w:rPr>
            </w:pPr>
            <w:r>
              <w:rPr>
                <w:rFonts w:ascii="Arial" w:cs="Arial" w:eastAsia="Arial" w:hAnsi="Arial"/>
                <w:sz w:val="14"/>
                <w:szCs w:val="14"/>
                <w:b w:val="1"/>
                <w:bCs w:val="1"/>
                <w:color w:val="auto"/>
              </w:rPr>
              <w:t>value</w:t>
            </w:r>
          </w:p>
        </w:tc>
        <w:tc>
          <w:tcPr>
            <w:tcW w:w="1360" w:type="dxa"/>
            <w:vAlign w:val="bottom"/>
            <w:tcBorders>
              <w:bottom w:val="single" w:sz="8" w:color="B2B2B2"/>
            </w:tcBorders>
          </w:tcPr>
          <w:p>
            <w:pPr>
              <w:ind w:left="40"/>
              <w:spacing w:after="0"/>
              <w:rPr>
                <w:sz w:val="20"/>
                <w:szCs w:val="20"/>
                <w:color w:val="auto"/>
              </w:rPr>
            </w:pPr>
            <w:r>
              <w:rPr>
                <w:rFonts w:ascii="Arial" w:cs="Arial" w:eastAsia="Arial" w:hAnsi="Arial"/>
                <w:sz w:val="14"/>
                <w:szCs w:val="14"/>
                <w:b w:val="1"/>
                <w:bCs w:val="1"/>
                <w:color w:val="auto"/>
              </w:rPr>
              <w:t>of annual retainer</w:t>
            </w:r>
          </w:p>
        </w:tc>
      </w:tr>
      <w:tr>
        <w:trPr>
          <w:trHeight w:val="231"/>
        </w:trPr>
        <w:tc>
          <w:tcPr>
            <w:tcW w:w="2540" w:type="dxa"/>
            <w:vAlign w:val="bottom"/>
            <w:gridSpan w:val="5"/>
          </w:tcPr>
          <w:p>
            <w:pPr>
              <w:ind w:left="40"/>
              <w:spacing w:after="0"/>
              <w:rPr>
                <w:sz w:val="20"/>
                <w:szCs w:val="20"/>
                <w:color w:val="auto"/>
              </w:rPr>
            </w:pPr>
            <w:r>
              <w:rPr>
                <w:rFonts w:ascii="Arial" w:cs="Arial" w:eastAsia="Arial" w:hAnsi="Arial"/>
                <w:sz w:val="14"/>
                <w:szCs w:val="14"/>
                <w:color w:val="auto"/>
              </w:rPr>
              <w:t>Common shares</w:t>
            </w:r>
          </w:p>
        </w:tc>
        <w:tc>
          <w:tcPr>
            <w:tcW w:w="1720" w:type="dxa"/>
            <w:vAlign w:val="bottom"/>
            <w:gridSpan w:val="3"/>
          </w:tcPr>
          <w:p>
            <w:pPr>
              <w:ind w:left="1180"/>
              <w:spacing w:after="0"/>
              <w:rPr>
                <w:sz w:val="20"/>
                <w:szCs w:val="20"/>
                <w:color w:val="auto"/>
              </w:rPr>
            </w:pPr>
            <w:r>
              <w:rPr>
                <w:rFonts w:ascii="Arial" w:cs="Arial" w:eastAsia="Arial" w:hAnsi="Arial"/>
                <w:sz w:val="14"/>
                <w:szCs w:val="14"/>
                <w:color w:val="auto"/>
              </w:rPr>
              <w:t> RSUs</w:t>
            </w:r>
          </w:p>
        </w:tc>
        <w:tc>
          <w:tcPr>
            <w:tcW w:w="640" w:type="dxa"/>
            <w:vAlign w:val="bottom"/>
          </w:tcPr>
          <w:p>
            <w:pPr>
              <w:ind w:left="20"/>
              <w:spacing w:after="0"/>
              <w:rPr>
                <w:sz w:val="20"/>
                <w:szCs w:val="20"/>
                <w:color w:val="auto"/>
              </w:rPr>
            </w:pPr>
            <w:r>
              <w:rPr>
                <w:rFonts w:ascii="Arial" w:cs="Arial" w:eastAsia="Arial" w:hAnsi="Arial"/>
                <w:sz w:val="14"/>
                <w:szCs w:val="14"/>
                <w:color w:val="auto"/>
              </w:rPr>
              <w:t>DSUs</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Options</w:t>
            </w: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60"/>
              <w:spacing w:after="0"/>
              <w:rPr>
                <w:sz w:val="20"/>
                <w:szCs w:val="20"/>
                <w:color w:val="auto"/>
              </w:rPr>
            </w:pPr>
            <w:r>
              <w:rPr>
                <w:rFonts w:ascii="Arial" w:cs="Arial" w:eastAsia="Arial" w:hAnsi="Arial"/>
                <w:sz w:val="12"/>
                <w:szCs w:val="12"/>
                <w:color w:val="auto"/>
                <w:w w:val="71"/>
              </w:rPr>
              <w:t>  </w:t>
            </w:r>
          </w:p>
        </w:tc>
        <w:tc>
          <w:tcPr>
            <w:tcW w:w="160" w:type="dxa"/>
            <w:vAlign w:val="bottom"/>
          </w:tcPr>
          <w:p>
            <w:pPr>
              <w:ind w:left="40"/>
              <w:spacing w:after="0"/>
              <w:rPr>
                <w:sz w:val="20"/>
                <w:szCs w:val="20"/>
                <w:color w:val="auto"/>
              </w:rPr>
            </w:pPr>
            <w:r>
              <w:rPr>
                <w:rFonts w:ascii="Arial" w:cs="Arial" w:eastAsia="Arial" w:hAnsi="Arial"/>
                <w:sz w:val="12"/>
                <w:szCs w:val="12"/>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color w:val="auto"/>
                <w:w w:val="74"/>
              </w:rPr>
              <w:t> – </w:t>
            </w:r>
          </w:p>
        </w:tc>
        <w:tc>
          <w:tcPr>
            <w:tcW w:w="1840" w:type="dxa"/>
            <w:vAlign w:val="bottom"/>
          </w:tcPr>
          <w:p>
            <w:pPr>
              <w:ind w:left="60"/>
              <w:spacing w:after="0"/>
              <w:rPr>
                <w:sz w:val="20"/>
                <w:szCs w:val="20"/>
                <w:color w:val="auto"/>
              </w:rPr>
            </w:pPr>
            <w:r>
              <w:rPr>
                <w:rFonts w:ascii="Arial" w:cs="Arial" w:eastAsia="Arial" w:hAnsi="Arial"/>
                <w:sz w:val="14"/>
                <w:szCs w:val="14"/>
                <w:color w:val="auto"/>
              </w:rPr>
              <w:t> </w:t>
            </w:r>
          </w:p>
        </w:tc>
        <w:tc>
          <w:tcPr>
            <w:tcW w:w="1260" w:type="dxa"/>
            <w:vAlign w:val="bottom"/>
          </w:tcPr>
          <w:p>
            <w:pPr>
              <w:ind w:left="1180"/>
              <w:spacing w:after="0"/>
              <w:rPr>
                <w:sz w:val="20"/>
                <w:szCs w:val="20"/>
                <w:color w:val="auto"/>
              </w:rPr>
            </w:pPr>
            <w:r>
              <w:rPr>
                <w:rFonts w:ascii="Arial" w:cs="Arial" w:eastAsia="Arial" w:hAnsi="Arial"/>
                <w:sz w:val="8"/>
                <w:szCs w:val="8"/>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color w:val="auto"/>
                <w:w w:val="82"/>
              </w:rPr>
              <w:t> – </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640" w:type="dxa"/>
            <w:vAlign w:val="bottom"/>
          </w:tcPr>
          <w:p>
            <w:pPr>
              <w:ind w:left="20"/>
              <w:spacing w:after="0"/>
              <w:rPr>
                <w:sz w:val="20"/>
                <w:szCs w:val="20"/>
                <w:color w:val="auto"/>
              </w:rPr>
            </w:pPr>
            <w:r>
              <w:rPr>
                <w:rFonts w:ascii="Arial" w:cs="Arial" w:eastAsia="Arial" w:hAnsi="Arial"/>
                <w:sz w:val="14"/>
                <w:szCs w:val="14"/>
                <w:color w:val="auto"/>
              </w:rPr>
              <w:t>5,827</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color w:val="auto"/>
                <w:w w:val="74"/>
              </w:rPr>
              <w:t> – </w:t>
            </w:r>
          </w:p>
        </w:tc>
        <w:tc>
          <w:tcPr>
            <w:tcW w:w="940" w:type="dxa"/>
            <w:vAlign w:val="bottom"/>
          </w:tcPr>
          <w:p>
            <w:pPr>
              <w:ind w:left="40"/>
              <w:spacing w:after="0"/>
              <w:rPr>
                <w:sz w:val="20"/>
                <w:szCs w:val="20"/>
                <w:color w:val="auto"/>
              </w:rPr>
            </w:pPr>
            <w:r>
              <w:rPr>
                <w:rFonts w:ascii="Arial" w:cs="Arial" w:eastAsia="Arial" w:hAnsi="Arial"/>
                <w:sz w:val="14"/>
                <w:szCs w:val="14"/>
                <w:color w:val="auto"/>
              </w:rPr>
              <w:t>  5,827</w:t>
            </w: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12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240" w:type="dxa"/>
            <w:vAlign w:val="bottom"/>
            <w:tcBorders>
              <w:bottom w:val="single" w:sz="8" w:color="B2B2B2"/>
            </w:tcBorders>
          </w:tcPr>
          <w:p>
            <w:pPr>
              <w:spacing w:after="0"/>
              <w:rPr>
                <w:sz w:val="4"/>
                <w:szCs w:val="4"/>
                <w:color w:val="auto"/>
              </w:rPr>
            </w:pPr>
          </w:p>
        </w:tc>
        <w:tc>
          <w:tcPr>
            <w:tcW w:w="1840" w:type="dxa"/>
            <w:vAlign w:val="bottom"/>
            <w:tcBorders>
              <w:bottom w:val="single" w:sz="8" w:color="B2B2B2"/>
            </w:tcBorders>
          </w:tcPr>
          <w:p>
            <w:pPr>
              <w:spacing w:after="0"/>
              <w:rPr>
                <w:sz w:val="4"/>
                <w:szCs w:val="4"/>
                <w:color w:val="auto"/>
              </w:rPr>
            </w:pPr>
          </w:p>
        </w:tc>
        <w:tc>
          <w:tcPr>
            <w:tcW w:w="1260" w:type="dxa"/>
            <w:vAlign w:val="bottom"/>
            <w:tcBorders>
              <w:bottom w:val="single" w:sz="8" w:color="B2B2B2"/>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140" w:type="dxa"/>
            <w:vAlign w:val="bottom"/>
            <w:tcBorders>
              <w:bottom w:val="single" w:sz="8" w:color="B2B2B2"/>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94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r>
      <w:tr>
        <w:trPr>
          <w:trHeight w:val="267"/>
        </w:trPr>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80" w:type="dxa"/>
            <w:vAlign w:val="bottom"/>
          </w:tcPr>
          <w:p>
            <w:pPr>
              <w:ind w:left="60"/>
              <w:spacing w:after="0"/>
              <w:rPr>
                <w:sz w:val="20"/>
                <w:szCs w:val="20"/>
                <w:color w:val="auto"/>
              </w:rPr>
            </w:pPr>
            <w:r>
              <w:rPr>
                <w:rFonts w:ascii="Arial" w:cs="Arial" w:eastAsia="Arial" w:hAnsi="Arial"/>
                <w:sz w:val="12"/>
                <w:szCs w:val="12"/>
                <w:color w:val="auto"/>
                <w:w w:val="71"/>
              </w:rPr>
              <w:t>  </w:t>
            </w:r>
          </w:p>
        </w:tc>
        <w:tc>
          <w:tcPr>
            <w:tcW w:w="160" w:type="dxa"/>
            <w:vAlign w:val="bottom"/>
          </w:tcPr>
          <w:p>
            <w:pPr>
              <w:ind w:left="40"/>
              <w:spacing w:after="0"/>
              <w:rPr>
                <w:sz w:val="20"/>
                <w:szCs w:val="20"/>
                <w:color w:val="auto"/>
              </w:rPr>
            </w:pPr>
            <w:r>
              <w:rPr>
                <w:rFonts w:ascii="Arial" w:cs="Arial" w:eastAsia="Arial" w:hAnsi="Arial"/>
                <w:sz w:val="12"/>
                <w:szCs w:val="12"/>
                <w:color w:val="auto"/>
                <w:w w:val="71"/>
              </w:rPr>
              <w:t>  </w:t>
            </w:r>
          </w:p>
        </w:tc>
        <w:tc>
          <w:tcPr>
            <w:tcW w:w="240" w:type="dxa"/>
            <w:vAlign w:val="bottom"/>
          </w:tcPr>
          <w:p>
            <w:pPr>
              <w:ind w:left="40"/>
              <w:spacing w:after="0"/>
              <w:rPr>
                <w:sz w:val="20"/>
                <w:szCs w:val="20"/>
                <w:color w:val="auto"/>
              </w:rPr>
            </w:pPr>
            <w:r>
              <w:rPr>
                <w:rFonts w:ascii="Arial" w:cs="Arial" w:eastAsia="Arial" w:hAnsi="Arial"/>
                <w:sz w:val="14"/>
                <w:szCs w:val="14"/>
                <w:color w:val="auto"/>
                <w:w w:val="74"/>
              </w:rPr>
              <w:t> – </w:t>
            </w:r>
          </w:p>
        </w:tc>
        <w:tc>
          <w:tcPr>
            <w:tcW w:w="1840" w:type="dxa"/>
            <w:vAlign w:val="bottom"/>
          </w:tcPr>
          <w:p>
            <w:pPr>
              <w:ind w:left="60"/>
              <w:spacing w:after="0"/>
              <w:rPr>
                <w:sz w:val="20"/>
                <w:szCs w:val="20"/>
                <w:color w:val="auto"/>
              </w:rPr>
            </w:pPr>
            <w:r>
              <w:rPr>
                <w:rFonts w:ascii="Arial" w:cs="Arial" w:eastAsia="Arial" w:hAnsi="Arial"/>
                <w:sz w:val="14"/>
                <w:szCs w:val="14"/>
                <w:color w:val="auto"/>
              </w:rPr>
              <w:t> </w:t>
            </w:r>
          </w:p>
        </w:tc>
        <w:tc>
          <w:tcPr>
            <w:tcW w:w="1260" w:type="dxa"/>
            <w:vAlign w:val="bottom"/>
          </w:tcPr>
          <w:p>
            <w:pPr>
              <w:ind w:left="1180"/>
              <w:spacing w:after="0"/>
              <w:rPr>
                <w:sz w:val="20"/>
                <w:szCs w:val="20"/>
                <w:color w:val="auto"/>
              </w:rPr>
            </w:pPr>
            <w:r>
              <w:rPr>
                <w:rFonts w:ascii="Arial" w:cs="Arial" w:eastAsia="Arial" w:hAnsi="Arial"/>
                <w:sz w:val="8"/>
                <w:szCs w:val="8"/>
                <w:i w:val="1"/>
                <w:iCs w:val="1"/>
                <w:color w:val="auto"/>
                <w:w w:val="74"/>
              </w:rPr>
              <w:t> </w:t>
            </w:r>
          </w:p>
        </w:tc>
        <w:tc>
          <w:tcPr>
            <w:tcW w:w="280" w:type="dxa"/>
            <w:vAlign w:val="bottom"/>
          </w:tcPr>
          <w:p>
            <w:pPr>
              <w:ind w:left="60"/>
              <w:spacing w:after="0"/>
              <w:rPr>
                <w:sz w:val="20"/>
                <w:szCs w:val="20"/>
                <w:color w:val="auto"/>
              </w:rPr>
            </w:pPr>
            <w:r>
              <w:rPr>
                <w:rFonts w:ascii="Arial" w:cs="Arial" w:eastAsia="Arial" w:hAnsi="Arial"/>
                <w:sz w:val="14"/>
                <w:szCs w:val="14"/>
                <w:i w:val="1"/>
                <w:iCs w:val="1"/>
                <w:color w:val="auto"/>
                <w:w w:val="82"/>
              </w:rPr>
              <w:t> – </w:t>
            </w:r>
          </w:p>
        </w:tc>
        <w:tc>
          <w:tcPr>
            <w:tcW w:w="18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640" w:type="dxa"/>
            <w:vAlign w:val="bottom"/>
          </w:tcPr>
          <w:p>
            <w:pPr>
              <w:ind w:left="20"/>
              <w:spacing w:after="0"/>
              <w:rPr>
                <w:sz w:val="20"/>
                <w:szCs w:val="20"/>
                <w:color w:val="auto"/>
              </w:rPr>
            </w:pPr>
            <w:r>
              <w:rPr>
                <w:rFonts w:ascii="Arial" w:cs="Arial" w:eastAsia="Arial" w:hAnsi="Arial"/>
                <w:sz w:val="14"/>
                <w:szCs w:val="14"/>
                <w:i w:val="1"/>
                <w:iCs w:val="1"/>
                <w:color w:val="auto"/>
              </w:rPr>
              <w:t>$509,455</w:t>
            </w:r>
          </w:p>
        </w:tc>
        <w:tc>
          <w:tcPr>
            <w:tcW w:w="140" w:type="dxa"/>
            <w:vAlign w:val="bottom"/>
          </w:tcPr>
          <w:p>
            <w:pPr>
              <w:ind w:left="20"/>
              <w:spacing w:after="0"/>
              <w:rPr>
                <w:sz w:val="20"/>
                <w:szCs w:val="20"/>
                <w:color w:val="auto"/>
              </w:rPr>
            </w:pPr>
            <w:r>
              <w:rPr>
                <w:rFonts w:ascii="Arial" w:cs="Arial" w:eastAsia="Arial" w:hAnsi="Arial"/>
                <w:sz w:val="11"/>
                <w:szCs w:val="11"/>
                <w:color w:val="auto"/>
                <w:w w:val="75"/>
              </w:rPr>
              <w:t>  </w:t>
            </w:r>
          </w:p>
        </w:tc>
        <w:tc>
          <w:tcPr>
            <w:tcW w:w="260" w:type="dxa"/>
            <w:vAlign w:val="bottom"/>
          </w:tcPr>
          <w:p>
            <w:pPr>
              <w:ind w:left="60"/>
              <w:spacing w:after="0"/>
              <w:rPr>
                <w:sz w:val="20"/>
                <w:szCs w:val="20"/>
                <w:color w:val="auto"/>
              </w:rPr>
            </w:pPr>
            <w:r>
              <w:rPr>
                <w:rFonts w:ascii="Arial" w:cs="Arial" w:eastAsia="Arial" w:hAnsi="Arial"/>
                <w:sz w:val="14"/>
                <w:szCs w:val="14"/>
                <w:color w:val="auto"/>
                <w:w w:val="74"/>
              </w:rPr>
              <w:t> – </w:t>
            </w:r>
          </w:p>
        </w:tc>
        <w:tc>
          <w:tcPr>
            <w:tcW w:w="940" w:type="dxa"/>
            <w:vAlign w:val="bottom"/>
          </w:tcPr>
          <w:p>
            <w:pPr>
              <w:ind w:left="40"/>
              <w:spacing w:after="0"/>
              <w:rPr>
                <w:sz w:val="20"/>
                <w:szCs w:val="20"/>
                <w:color w:val="auto"/>
              </w:rPr>
            </w:pPr>
            <w:r>
              <w:rPr>
                <w:rFonts w:ascii="Arial" w:cs="Arial" w:eastAsia="Arial" w:hAnsi="Arial"/>
                <w:sz w:val="14"/>
                <w:szCs w:val="14"/>
                <w:color w:val="auto"/>
              </w:rPr>
              <w:t> </w:t>
            </w:r>
          </w:p>
        </w:tc>
        <w:tc>
          <w:tcPr>
            <w:tcW w:w="980" w:type="dxa"/>
            <w:vAlign w:val="bottom"/>
          </w:tcPr>
          <w:p>
            <w:pPr>
              <w:ind w:left="100"/>
              <w:spacing w:after="0"/>
              <w:rPr>
                <w:sz w:val="20"/>
                <w:szCs w:val="20"/>
                <w:color w:val="auto"/>
              </w:rPr>
            </w:pPr>
            <w:r>
              <w:rPr>
                <w:rFonts w:ascii="Arial" w:cs="Arial" w:eastAsia="Arial" w:hAnsi="Arial"/>
                <w:sz w:val="14"/>
                <w:szCs w:val="14"/>
                <w:i w:val="1"/>
                <w:iCs w:val="1"/>
                <w:color w:val="auto"/>
              </w:rPr>
              <w:t>$509,455</w:t>
            </w:r>
          </w:p>
        </w:tc>
        <w:tc>
          <w:tcPr>
            <w:tcW w:w="1360" w:type="dxa"/>
            <w:vAlign w:val="bottom"/>
          </w:tcPr>
          <w:p>
            <w:pPr>
              <w:ind w:left="40"/>
              <w:spacing w:after="0"/>
              <w:rPr>
                <w:sz w:val="20"/>
                <w:szCs w:val="20"/>
                <w:color w:val="auto"/>
              </w:rPr>
            </w:pPr>
            <w:r>
              <w:rPr>
                <w:rFonts w:ascii="Arial" w:cs="Arial" w:eastAsia="Arial" w:hAnsi="Arial"/>
                <w:sz w:val="14"/>
                <w:szCs w:val="14"/>
                <w:i w:val="1"/>
                <w:iCs w:val="1"/>
                <w:color w:val="auto"/>
              </w:rPr>
              <w:t>2.0x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-1480820</wp:posOffset>
            </wp:positionH>
            <wp:positionV relativeFrom="paragraph">
              <wp:posOffset>149225</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400"/>
            <w:col w:w="8580"/>
          </w:cols>
          <w:pgMar w:left="480" w:top="361" w:right="499" w:bottom="1440" w:gutter="0" w:footer="0" w:header="0"/>
        </w:sectPr>
      </w:pPr>
    </w:p>
    <w:p>
      <w:pPr>
        <w:spacing w:after="0" w:line="6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25</w:t>
      </w:r>
    </w:p>
    <w:p>
      <w:pPr>
        <w:sectPr>
          <w:pgSz w:w="11900" w:h="16838" w:orient="portrait"/>
          <w:cols w:equalWidth="0" w:num="1">
            <w:col w:w="10920"/>
          </w:cols>
          <w:pgMar w:left="480" w:top="361" w:right="499" w:bottom="1440" w:gutter="0" w:footer="0" w:header="0"/>
          <w:type w:val="continuous"/>
        </w:sectPr>
      </w:pPr>
    </w:p>
    <w:bookmarkStart w:id="35" w:name="page36"/>
    <w:bookmarkEnd w:id="35"/>
    <w:p>
      <w:pPr>
        <w:ind w:right="4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Liz Hilton Segel and Michael Medline are proposed to be elected to the Board at the meeting and do not currently serve as directors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6929755" cy="2139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2139950"/>
                    </a:xfrm>
                    <a:prstGeom prst="rect">
                      <a:avLst/>
                    </a:prstGeom>
                    <a:noFill/>
                  </pic:spPr>
                </pic:pic>
              </a:graphicData>
            </a:graphic>
          </wp:anchor>
        </w:drawing>
      </w:r>
    </w:p>
    <w:p>
      <w:pPr>
        <w:sectPr>
          <w:pgSz w:w="11900" w:h="16838" w:orient="portrait"/>
          <w:cols w:equalWidth="0" w:num="1">
            <w:col w:w="10920"/>
          </w:cols>
          <w:pgMar w:left="480" w:top="26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Liz Hilton Segel</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55</w:t>
      </w:r>
    </w:p>
    <w:p>
      <w:pPr>
        <w:spacing w:after="0" w:line="64" w:lineRule="exact"/>
        <w:rPr>
          <w:sz w:val="20"/>
          <w:szCs w:val="20"/>
          <w:color w:val="auto"/>
        </w:rPr>
      </w:pPr>
    </w:p>
    <w:p>
      <w:pPr>
        <w:ind w:left="100"/>
        <w:spacing w:after="0" w:line="343" w:lineRule="auto"/>
        <w:rPr>
          <w:sz w:val="20"/>
          <w:szCs w:val="20"/>
          <w:color w:val="auto"/>
        </w:rPr>
      </w:pPr>
      <w:r>
        <w:rPr>
          <w:rFonts w:ascii="Arial" w:cs="Arial" w:eastAsia="Arial" w:hAnsi="Arial"/>
          <w:sz w:val="13"/>
          <w:szCs w:val="13"/>
          <w:color w:val="auto"/>
        </w:rPr>
        <w:t>New York, New York, United States Independent</w:t>
      </w:r>
    </w:p>
    <w:p>
      <w:pPr>
        <w:spacing w:after="0" w:line="1" w:lineRule="exact"/>
        <w:rPr>
          <w:sz w:val="20"/>
          <w:szCs w:val="20"/>
          <w:color w:val="auto"/>
        </w:rPr>
      </w:pPr>
    </w:p>
    <w:p>
      <w:pPr>
        <w:ind w:left="100" w:right="360"/>
        <w:spacing w:after="0" w:line="249" w:lineRule="auto"/>
        <w:rPr>
          <w:sz w:val="20"/>
          <w:szCs w:val="20"/>
          <w:color w:val="auto"/>
        </w:rPr>
      </w:pPr>
      <w:r>
        <w:rPr>
          <w:rFonts w:ascii="Arial" w:cs="Arial" w:eastAsia="Arial" w:hAnsi="Arial"/>
          <w:sz w:val="13"/>
          <w:szCs w:val="13"/>
          <w:color w:val="auto"/>
        </w:rPr>
        <w:t>Primary areas of expertise: executive leadership, transformational change, and international business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Liz Hilton Segel</w:t>
      </w:r>
    </w:p>
    <w:p>
      <w:pPr>
        <w:spacing w:after="0" w:line="43" w:lineRule="exact"/>
        <w:rPr>
          <w:sz w:val="20"/>
          <w:szCs w:val="20"/>
          <w:color w:val="auto"/>
        </w:rPr>
      </w:pPr>
    </w:p>
    <w:p>
      <w:pPr>
        <w:jc w:val="both"/>
        <w:ind w:right="60"/>
        <w:spacing w:after="0" w:line="246" w:lineRule="auto"/>
        <w:rPr>
          <w:sz w:val="20"/>
          <w:szCs w:val="20"/>
          <w:color w:val="auto"/>
        </w:rPr>
      </w:pPr>
      <w:r>
        <w:rPr>
          <w:rFonts w:ascii="Arial" w:cs="Arial" w:eastAsia="Arial" w:hAnsi="Arial"/>
          <w:sz w:val="14"/>
          <w:szCs w:val="14"/>
          <w:color w:val="auto"/>
        </w:rPr>
        <w:t>Liz Hilton Segel is a Senior Partner at McKinsey &amp; Company, a global management consulting firm, where she has been since 1992. She is the Chair of the People Committee of McKinsey’s Shareholders Council, the firm’s Board of Directors. She previously served as the Managing Partner for North America and subsequently as Chief Client Officer and Managing Partner for Industry Practices.</w:t>
      </w:r>
    </w:p>
    <w:p>
      <w:pPr>
        <w:jc w:val="both"/>
        <w:spacing w:after="0" w:line="244" w:lineRule="auto"/>
        <w:rPr>
          <w:sz w:val="20"/>
          <w:szCs w:val="20"/>
          <w:color w:val="auto"/>
        </w:rPr>
      </w:pPr>
      <w:r>
        <w:rPr>
          <w:rFonts w:ascii="Arial" w:cs="Arial" w:eastAsia="Arial" w:hAnsi="Arial"/>
          <w:sz w:val="14"/>
          <w:szCs w:val="14"/>
          <w:color w:val="auto"/>
        </w:rPr>
        <w:t>Earlier in her career she was Managing Partner of the firm’s Growth, Marketing and Sales Practice in the Americas. Ms. Hilton Segel currently serves on the board of Trustees of The Conference Board. She is also a board member of the Partnership for New York City and a lifetime member of the Council on Foreign Relations. Liz was previously a board member of the customer experience analytics company, ClickFox. Ms. Hilton Segel holds a Bachelor of Arts degree from Harvard College and a Master of Business Administration from Harvard Business School.</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Liz Hilton Segel does not own any Thomson Reuters securities as of April 13, 2026.</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board memberships: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226060</wp:posOffset>
            </wp:positionV>
            <wp:extent cx="6929755" cy="2199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2199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340"/>
            <w:col w:w="8400"/>
          </w:cols>
          <w:pgMar w:left="480" w:top="26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Michael Medline</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Age: 62</w:t>
      </w:r>
    </w:p>
    <w:p>
      <w:pPr>
        <w:spacing w:after="0" w:line="64" w:lineRule="exact"/>
        <w:rPr>
          <w:sz w:val="20"/>
          <w:szCs w:val="20"/>
          <w:color w:val="auto"/>
        </w:rPr>
      </w:pPr>
    </w:p>
    <w:p>
      <w:pPr>
        <w:ind w:left="100" w:right="520"/>
        <w:spacing w:after="0" w:line="343" w:lineRule="auto"/>
        <w:rPr>
          <w:sz w:val="20"/>
          <w:szCs w:val="20"/>
          <w:color w:val="auto"/>
        </w:rPr>
      </w:pPr>
      <w:r>
        <w:rPr>
          <w:rFonts w:ascii="Arial" w:cs="Arial" w:eastAsia="Arial" w:hAnsi="Arial"/>
          <w:sz w:val="13"/>
          <w:szCs w:val="13"/>
          <w:color w:val="auto"/>
        </w:rPr>
        <w:t>Toronto, Ontario, Canada Non-independent</w:t>
      </w:r>
    </w:p>
    <w:p>
      <w:pPr>
        <w:spacing w:after="0" w:line="1" w:lineRule="exact"/>
        <w:rPr>
          <w:sz w:val="20"/>
          <w:szCs w:val="20"/>
          <w:color w:val="auto"/>
        </w:rPr>
      </w:pPr>
    </w:p>
    <w:p>
      <w:pPr>
        <w:ind w:left="100"/>
        <w:spacing w:after="0" w:line="256" w:lineRule="auto"/>
        <w:rPr>
          <w:sz w:val="20"/>
          <w:szCs w:val="20"/>
          <w:color w:val="auto"/>
        </w:rPr>
      </w:pPr>
      <w:r>
        <w:rPr>
          <w:rFonts w:ascii="Arial" w:cs="Arial" w:eastAsia="Arial" w:hAnsi="Arial"/>
          <w:sz w:val="13"/>
          <w:szCs w:val="13"/>
          <w:color w:val="auto"/>
        </w:rPr>
        <w:t>Primary areas of expertise: executive leadership, strategy and corporate governance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Medline</w:t>
      </w:r>
    </w:p>
    <w:p>
      <w:pPr>
        <w:spacing w:after="0" w:line="43" w:lineRule="exact"/>
        <w:rPr>
          <w:sz w:val="20"/>
          <w:szCs w:val="20"/>
          <w:color w:val="auto"/>
        </w:rPr>
      </w:pPr>
    </w:p>
    <w:p>
      <w:pPr>
        <w:ind w:right="620"/>
        <w:spacing w:after="0" w:line="249" w:lineRule="auto"/>
        <w:rPr>
          <w:sz w:val="20"/>
          <w:szCs w:val="20"/>
          <w:color w:val="auto"/>
        </w:rPr>
      </w:pPr>
      <w:r>
        <w:rPr>
          <w:rFonts w:ascii="Arial" w:cs="Arial" w:eastAsia="Arial" w:hAnsi="Arial"/>
          <w:sz w:val="14"/>
          <w:szCs w:val="14"/>
          <w:color w:val="auto"/>
        </w:rPr>
        <w:t>Michael Medline is the President &amp; Chief Executive Officer of The Woodbridge Company Limited. Prior to that, he served as President &amp; Chief Executive Officer of Empire Company Limited and Sobeys Inc. from January 2017 to November 2025.</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Mr. Medline has also held senior retail leadership positions at Canadian Tire Corporation, including as President &amp; Chief Executive Officer. Mr. Medline serves on the board of directors of Scotiabank, on the board of trustees of SickKids, on the board of governors of Huron University at Western University, and on the board of trustees of the William &amp; Mary Business School Foundation. He is past Chair of the Retail Council of Canada as well as The Grocery Foundation and was formerly on the Board of Governors for Canada’s Sports Hall of Fame and the boards of the Sobey Foundation, the SickKids Foundation and the Black North Initiative.</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Mr. Medline holds an MBA from Raymond A. Mason School of Business, William &amp; Mary, an LL.B. from the University of Toronto, and a BA from Huron University College at Western University.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Michael Medline owns 3,644 Thomson Reuters shares as of April 13, 2026.</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 company board memberships: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Bank of Nova Scotia</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175260</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00"/>
            <w:col w:w="8400"/>
          </w:cols>
          <w:pgMar w:left="480" w:top="268" w:right="499" w:bottom="1440" w:gutter="0" w:footer="0" w:header="0"/>
          <w:type w:val="continuous"/>
        </w:sectPr>
      </w:pPr>
    </w:p>
    <w:p>
      <w:pPr>
        <w:spacing w:after="0" w:line="108"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26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8" w:right="4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 Compensation and Share Ownership</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Approach and Philosophy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Our approach and philosophy for director compensation is to:</w:t>
      </w:r>
    </w:p>
    <w:p>
      <w:pPr>
        <w:spacing w:after="0" w:line="85" w:lineRule="exact"/>
        <w:rPr>
          <w:sz w:val="20"/>
          <w:szCs w:val="20"/>
          <w:color w:val="auto"/>
        </w:rPr>
      </w:pPr>
    </w:p>
    <w:p>
      <w:pPr>
        <w:ind w:left="440" w:hanging="433"/>
        <w:spacing w:after="0"/>
        <w:tabs>
          <w:tab w:leader="none" w:pos="4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align the interests of our directors with those of our shareholders; and</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provide competitive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program for our directors considers:</w:t>
      </w:r>
    </w:p>
    <w:p>
      <w:pPr>
        <w:spacing w:after="0" w:line="85" w:lineRule="exact"/>
        <w:rPr>
          <w:sz w:val="20"/>
          <w:szCs w:val="20"/>
          <w:color w:val="auto"/>
        </w:rPr>
      </w:pPr>
    </w:p>
    <w:p>
      <w:pPr>
        <w:ind w:left="440" w:hanging="433"/>
        <w:spacing w:after="0"/>
        <w:tabs>
          <w:tab w:leader="none" w:pos="440" w:val="left"/>
        </w:tabs>
        <w:numPr>
          <w:ilvl w:val="0"/>
          <w:numId w:val="23"/>
        </w:numPr>
        <w:rPr>
          <w:rFonts w:ascii="Arial" w:cs="Arial" w:eastAsia="Arial" w:hAnsi="Arial"/>
          <w:sz w:val="17"/>
          <w:szCs w:val="17"/>
          <w:color w:val="D64000"/>
        </w:rPr>
      </w:pPr>
      <w:r>
        <w:rPr>
          <w:rFonts w:ascii="Arial" w:cs="Arial" w:eastAsia="Arial" w:hAnsi="Arial"/>
          <w:sz w:val="17"/>
          <w:szCs w:val="17"/>
          <w:color w:val="auto"/>
        </w:rPr>
        <w:t>the size, scope and complexity of our organization;</w:t>
      </w:r>
    </w:p>
    <w:p>
      <w:pPr>
        <w:spacing w:after="0" w:line="85" w:lineRule="exact"/>
        <w:rPr>
          <w:rFonts w:ascii="Arial" w:cs="Arial" w:eastAsia="Arial" w:hAnsi="Arial"/>
          <w:sz w:val="17"/>
          <w:szCs w:val="17"/>
          <w:color w:val="D64000"/>
        </w:rPr>
      </w:pPr>
    </w:p>
    <w:p>
      <w:pPr>
        <w:ind w:left="440" w:right="100" w:hanging="433"/>
        <w:spacing w:after="0" w:line="263" w:lineRule="auto"/>
        <w:tabs>
          <w:tab w:leader="none" w:pos="440" w:val="left"/>
        </w:tabs>
        <w:numPr>
          <w:ilvl w:val="0"/>
          <w:numId w:val="23"/>
        </w:numPr>
        <w:rPr>
          <w:rFonts w:ascii="Arial" w:cs="Arial" w:eastAsia="Arial" w:hAnsi="Arial"/>
          <w:sz w:val="17"/>
          <w:szCs w:val="17"/>
          <w:color w:val="D64000"/>
        </w:rPr>
      </w:pPr>
      <w:r>
        <w:rPr>
          <w:rFonts w:ascii="Arial" w:cs="Arial" w:eastAsia="Arial" w:hAnsi="Arial"/>
          <w:sz w:val="17"/>
          <w:szCs w:val="17"/>
          <w:color w:val="auto"/>
        </w:rPr>
        <w:t>the time commitment, contributions and effort required of directors to serve on the Board and one or more Board committees, as applicable (including Board/committee meetings and travel to and from Board/committee meetings and site visits);</w:t>
      </w:r>
    </w:p>
    <w:p>
      <w:pPr>
        <w:spacing w:after="0" w:line="39" w:lineRule="exact"/>
        <w:rPr>
          <w:rFonts w:ascii="Arial" w:cs="Arial" w:eastAsia="Arial" w:hAnsi="Arial"/>
          <w:sz w:val="17"/>
          <w:szCs w:val="17"/>
          <w:color w:val="D64000"/>
        </w:rPr>
      </w:pPr>
    </w:p>
    <w:p>
      <w:pPr>
        <w:ind w:left="440" w:hanging="433"/>
        <w:spacing w:after="0"/>
        <w:tabs>
          <w:tab w:leader="none" w:pos="440" w:val="left"/>
        </w:tabs>
        <w:numPr>
          <w:ilvl w:val="0"/>
          <w:numId w:val="23"/>
        </w:numPr>
        <w:rPr>
          <w:rFonts w:ascii="Arial" w:cs="Arial" w:eastAsia="Arial" w:hAnsi="Arial"/>
          <w:sz w:val="17"/>
          <w:szCs w:val="17"/>
          <w:color w:val="D64000"/>
        </w:rPr>
      </w:pPr>
      <w:r>
        <w:rPr>
          <w:rFonts w:ascii="Arial" w:cs="Arial" w:eastAsia="Arial" w:hAnsi="Arial"/>
          <w:sz w:val="17"/>
          <w:szCs w:val="17"/>
          <w:color w:val="auto"/>
        </w:rPr>
        <w:t>the experience and skills of our directors;</w:t>
      </w:r>
    </w:p>
    <w:p>
      <w:pPr>
        <w:spacing w:after="0" w:line="85" w:lineRule="exact"/>
        <w:rPr>
          <w:rFonts w:ascii="Arial" w:cs="Arial" w:eastAsia="Arial" w:hAnsi="Arial"/>
          <w:sz w:val="17"/>
          <w:szCs w:val="17"/>
          <w:color w:val="D64000"/>
        </w:rPr>
      </w:pPr>
    </w:p>
    <w:p>
      <w:pPr>
        <w:ind w:left="440" w:right="200" w:hanging="433"/>
        <w:spacing w:after="0" w:line="263" w:lineRule="auto"/>
        <w:tabs>
          <w:tab w:leader="none" w:pos="440" w:val="left"/>
        </w:tabs>
        <w:numPr>
          <w:ilvl w:val="0"/>
          <w:numId w:val="23"/>
        </w:numPr>
        <w:rPr>
          <w:rFonts w:ascii="Arial" w:cs="Arial" w:eastAsia="Arial" w:hAnsi="Arial"/>
          <w:sz w:val="17"/>
          <w:szCs w:val="17"/>
          <w:color w:val="D64000"/>
        </w:rPr>
      </w:pPr>
      <w:r>
        <w:rPr>
          <w:rFonts w:ascii="Arial" w:cs="Arial" w:eastAsia="Arial" w:hAnsi="Arial"/>
          <w:sz w:val="17"/>
          <w:szCs w:val="17"/>
          <w:color w:val="auto"/>
        </w:rPr>
        <w:t>compensation levels for boards of directors of other large comparable U.S. and Canada-based multinational public companies in order for amounts paid to our directors to be competitive to attract new candidates and to retain existing directors;</w:t>
      </w:r>
    </w:p>
    <w:p>
      <w:pPr>
        <w:spacing w:after="0" w:line="39" w:lineRule="exact"/>
        <w:rPr>
          <w:rFonts w:ascii="Arial" w:cs="Arial" w:eastAsia="Arial" w:hAnsi="Arial"/>
          <w:sz w:val="17"/>
          <w:szCs w:val="17"/>
          <w:color w:val="D64000"/>
        </w:rPr>
      </w:pPr>
    </w:p>
    <w:p>
      <w:pPr>
        <w:ind w:left="440" w:right="460" w:hanging="433"/>
        <w:spacing w:after="0" w:line="263" w:lineRule="auto"/>
        <w:tabs>
          <w:tab w:leader="none" w:pos="440" w:val="left"/>
        </w:tabs>
        <w:numPr>
          <w:ilvl w:val="0"/>
          <w:numId w:val="23"/>
        </w:numPr>
        <w:rPr>
          <w:rFonts w:ascii="Arial" w:cs="Arial" w:eastAsia="Arial" w:hAnsi="Arial"/>
          <w:sz w:val="17"/>
          <w:szCs w:val="17"/>
          <w:color w:val="D64000"/>
        </w:rPr>
      </w:pPr>
      <w:r>
        <w:rPr>
          <w:rFonts w:ascii="Arial" w:cs="Arial" w:eastAsia="Arial" w:hAnsi="Arial"/>
          <w:sz w:val="17"/>
          <w:szCs w:val="17"/>
          <w:color w:val="auto"/>
        </w:rPr>
        <w:t>an increasing trend in U.S. and Canadian public company director compensation programs to require a combination of mandatory and optional equity components to further align directors’ interests with shareholders; and</w:t>
      </w:r>
    </w:p>
    <w:p>
      <w:pPr>
        <w:spacing w:after="0" w:line="39" w:lineRule="exact"/>
        <w:rPr>
          <w:rFonts w:ascii="Arial" w:cs="Arial" w:eastAsia="Arial" w:hAnsi="Arial"/>
          <w:sz w:val="17"/>
          <w:szCs w:val="17"/>
          <w:color w:val="D64000"/>
        </w:rPr>
      </w:pPr>
    </w:p>
    <w:p>
      <w:pPr>
        <w:ind w:left="440" w:hanging="433"/>
        <w:spacing w:after="0"/>
        <w:tabs>
          <w:tab w:leader="none" w:pos="440" w:val="left"/>
        </w:tabs>
        <w:numPr>
          <w:ilvl w:val="0"/>
          <w:numId w:val="23"/>
        </w:numPr>
        <w:rPr>
          <w:rFonts w:ascii="Arial" w:cs="Arial" w:eastAsia="Arial" w:hAnsi="Arial"/>
          <w:sz w:val="17"/>
          <w:szCs w:val="17"/>
          <w:color w:val="D64000"/>
        </w:rPr>
      </w:pPr>
      <w:r>
        <w:rPr>
          <w:rFonts w:ascii="Arial" w:cs="Arial" w:eastAsia="Arial" w:hAnsi="Arial"/>
          <w:sz w:val="17"/>
          <w:szCs w:val="17"/>
          <w:color w:val="auto"/>
        </w:rPr>
        <w:t>our desire to have a flat fee structure.</w:t>
      </w:r>
    </w:p>
    <w:p>
      <w:pPr>
        <w:spacing w:after="0" w:line="85"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Our Corporate Governance Committee is responsible for periodically reviewing the adequacy and form of directors’ compensation. In November 2025, the Corporate Governance Committee reviewed our director compensation program and decided not to change the form or amount of director compensation.</w:t>
      </w:r>
    </w:p>
    <w:p>
      <w:pPr>
        <w:spacing w:after="0" w:line="41"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In periodically benchmarking director compensation, the Corporate Governance Committee evaluates publicly available data related to director compensation paid by the same peer group of companies utilized by the HR Committee for executive compensation benchmarking purposes.</w:t>
      </w:r>
    </w:p>
    <w:p>
      <w:pPr>
        <w:spacing w:after="0" w:line="16"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We do not grant stock options, RSUs or bonuses to our non-management directors. In addition, we do not provide our non-management directors with retirement/pension benefits, healthcare coverage or perquisites, other than reimbursement of reasonable travel and out-of-pocket expenses incurred in connection with their Thomson Reuters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69297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28" w:lineRule="exact"/>
        <w:rPr>
          <w:sz w:val="20"/>
          <w:szCs w:val="20"/>
          <w:color w:val="auto"/>
        </w:rPr>
      </w:pPr>
    </w:p>
    <w:p>
      <w:pPr>
        <w:jc w:val="both"/>
        <w:ind w:right="400"/>
        <w:spacing w:after="0" w:line="263" w:lineRule="auto"/>
        <w:rPr>
          <w:sz w:val="20"/>
          <w:szCs w:val="20"/>
          <w:color w:val="auto"/>
        </w:rPr>
      </w:pPr>
      <w:r>
        <w:rPr>
          <w:rFonts w:ascii="Arial" w:cs="Arial" w:eastAsia="Arial" w:hAnsi="Arial"/>
          <w:sz w:val="25"/>
          <w:szCs w:val="25"/>
          <w:color w:val="auto"/>
        </w:rPr>
        <w:t>As discussed later in this section, we require our directors to hold a minimum value of common shares and/or deferred share units (DSUs) and our director compensation program encourages directors to invest in our company beyond their minimum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69297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254635</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9"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27</w:t>
      </w:r>
    </w:p>
    <w:p>
      <w:pPr>
        <w:sectPr>
          <w:pgSz w:w="11900" w:h="16838" w:orient="portrait"/>
          <w:cols w:equalWidth="0" w:num="1">
            <w:col w:w="10920"/>
          </w:cols>
          <w:pgMar w:left="480" w:top="262" w:right="499" w:bottom="1440" w:gutter="0" w:footer="0" w:header="0"/>
        </w:sectPr>
      </w:pPr>
    </w:p>
    <w:bookmarkStart w:id="37" w:name="page38"/>
    <w:bookmarkEnd w:id="37"/>
    <w:p>
      <w:pPr>
        <w:ind w:right="260"/>
        <w:spacing w:after="0" w:line="281" w:lineRule="auto"/>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199390</wp:posOffset>
            </wp:positionV>
            <wp:extent cx="69297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17145"/>
                    </a:xfrm>
                    <a:prstGeom prst="rect">
                      <a:avLst/>
                    </a:prstGeom>
                    <a:noFill/>
                  </pic:spPr>
                </pic:pic>
              </a:graphicData>
            </a:graphic>
          </wp:anchor>
        </w:drawing>
        <w:t>Our directors have a mandatory equity component for their compensation. Approximately 94% of director compensation was paid in equity (DSUs or common shares)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69297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Components of Director Compensation</w:t>
      </w:r>
    </w:p>
    <w:p>
      <w:pPr>
        <w:spacing w:after="0" w:line="93" w:lineRule="exact"/>
        <w:rPr>
          <w:sz w:val="20"/>
          <w:szCs w:val="20"/>
          <w:color w:val="auto"/>
        </w:rPr>
      </w:pPr>
    </w:p>
    <w:p>
      <w:pPr>
        <w:ind w:right="480"/>
        <w:spacing w:after="0" w:line="243" w:lineRule="auto"/>
        <w:rPr>
          <w:sz w:val="20"/>
          <w:szCs w:val="20"/>
          <w:color w:val="auto"/>
        </w:rPr>
      </w:pPr>
      <w:r>
        <w:rPr>
          <w:rFonts w:ascii="Arial" w:cs="Arial" w:eastAsia="Arial" w:hAnsi="Arial"/>
          <w:sz w:val="18"/>
          <w:szCs w:val="18"/>
          <w:color w:val="auto"/>
        </w:rPr>
        <w:t>The table below sets forth the annual retainers that were payable to our non-management directors in 2025. Directors do not receive separate attendance or meeting fees. Chairs of the Board’s standing committees receive additional fees given their increased responsibilities and workloads. Additional information regarding the different components of our director compensation structure is provided following this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420" w:type="dxa"/>
            <w:vAlign w:val="bottom"/>
            <w:tcBorders>
              <w:bottom w:val="single" w:sz="8" w:color="D64000"/>
            </w:tcBorders>
          </w:tcPr>
          <w:p>
            <w:pPr>
              <w:spacing w:after="0"/>
              <w:rPr>
                <w:sz w:val="19"/>
                <w:szCs w:val="19"/>
                <w:color w:val="auto"/>
              </w:rPr>
            </w:pPr>
          </w:p>
        </w:tc>
        <w:tc>
          <w:tcPr>
            <w:tcW w:w="7480" w:type="dxa"/>
            <w:vAlign w:val="bottom"/>
            <w:tcBorders>
              <w:bottom w:val="single" w:sz="8" w:color="D64000"/>
            </w:tcBorders>
            <w:shd w:val="clear" w:color="auto" w:fill="1F473D"/>
          </w:tcPr>
          <w:p>
            <w:pPr>
              <w:jc w:val="center"/>
              <w:ind w:left="40"/>
              <w:spacing w:after="0"/>
              <w:rPr>
                <w:sz w:val="20"/>
                <w:szCs w:val="20"/>
                <w:color w:val="auto"/>
              </w:rPr>
            </w:pPr>
            <w:r>
              <w:rPr>
                <w:rFonts w:ascii="Arial" w:cs="Arial" w:eastAsia="Arial" w:hAnsi="Arial"/>
                <w:sz w:val="16"/>
                <w:szCs w:val="16"/>
                <w:b w:val="1"/>
                <w:bCs w:val="1"/>
                <w:color w:val="FFFFFF"/>
              </w:rPr>
              <w:t>2025 ($)</w:t>
            </w:r>
          </w:p>
        </w:tc>
      </w:tr>
      <w:tr>
        <w:trPr>
          <w:trHeight w:val="173"/>
        </w:trPr>
        <w:tc>
          <w:tcPr>
            <w:tcW w:w="20" w:type="dxa"/>
            <w:vAlign w:val="bottom"/>
          </w:tcPr>
          <w:p>
            <w:pPr>
              <w:spacing w:after="0"/>
              <w:rPr>
                <w:sz w:val="15"/>
                <w:szCs w:val="15"/>
                <w:color w:val="auto"/>
              </w:rPr>
            </w:pPr>
          </w:p>
        </w:tc>
        <w:tc>
          <w:tcPr>
            <w:tcW w:w="3420" w:type="dxa"/>
            <w:vAlign w:val="bottom"/>
          </w:tcPr>
          <w:p>
            <w:pPr>
              <w:spacing w:after="0" w:line="173"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Non-management directors</w:t>
            </w:r>
            <w:r>
              <w:rPr>
                <w:rFonts w:ascii="Arial" w:cs="Arial" w:eastAsia="Arial" w:hAnsi="Arial"/>
                <w:sz w:val="20"/>
                <w:szCs w:val="20"/>
                <w:b w:val="1"/>
                <w:bCs w:val="1"/>
                <w:color w:val="auto"/>
                <w:vertAlign w:val="superscript"/>
              </w:rPr>
              <w:t>1</w:t>
            </w:r>
          </w:p>
        </w:tc>
        <w:tc>
          <w:tcPr>
            <w:tcW w:w="7480" w:type="dxa"/>
            <w:vAlign w:val="bottom"/>
          </w:tcPr>
          <w:p>
            <w:pPr>
              <w:jc w:val="center"/>
              <w:ind w:left="20"/>
              <w:spacing w:after="0" w:line="173" w:lineRule="exact"/>
              <w:rPr>
                <w:sz w:val="20"/>
                <w:szCs w:val="20"/>
                <w:color w:val="auto"/>
              </w:rPr>
            </w:pPr>
            <w:r>
              <w:rPr>
                <w:rFonts w:ascii="Arial" w:cs="Arial" w:eastAsia="Arial" w:hAnsi="Arial"/>
                <w:sz w:val="16"/>
                <w:szCs w:val="16"/>
                <w:color w:val="auto"/>
              </w:rPr>
              <w:t>250,000</w:t>
            </w:r>
          </w:p>
        </w:tc>
      </w:tr>
      <w:tr>
        <w:trPr>
          <w:trHeight w:val="211"/>
        </w:trPr>
        <w:tc>
          <w:tcPr>
            <w:tcW w:w="20" w:type="dxa"/>
            <w:vAlign w:val="bottom"/>
          </w:tcPr>
          <w:p>
            <w:pPr>
              <w:spacing w:after="0"/>
              <w:rPr>
                <w:sz w:val="18"/>
                <w:szCs w:val="18"/>
                <w:color w:val="auto"/>
              </w:rPr>
            </w:pPr>
          </w:p>
        </w:tc>
        <w:tc>
          <w:tcPr>
            <w:tcW w:w="3420" w:type="dxa"/>
            <w:vAlign w:val="bottom"/>
            <w:tcBorders>
              <w:bottom w:val="single" w:sz="8" w:color="B2B2B2"/>
            </w:tcBorders>
          </w:tcPr>
          <w:p>
            <w:pPr>
              <w:spacing w:after="0"/>
              <w:rPr>
                <w:sz w:val="18"/>
                <w:szCs w:val="18"/>
                <w:color w:val="auto"/>
              </w:rPr>
            </w:pPr>
          </w:p>
        </w:tc>
        <w:tc>
          <w:tcPr>
            <w:tcW w:w="7480" w:type="dxa"/>
            <w:vAlign w:val="bottom"/>
            <w:tcBorders>
              <w:bottom w:val="single" w:sz="8" w:color="B2B2B2"/>
            </w:tcBorders>
          </w:tcPr>
          <w:p>
            <w:pPr>
              <w:jc w:val="center"/>
              <w:ind w:left="20"/>
              <w:spacing w:after="0"/>
              <w:rPr>
                <w:sz w:val="20"/>
                <w:szCs w:val="20"/>
                <w:color w:val="auto"/>
              </w:rPr>
            </w:pPr>
            <w:r>
              <w:rPr>
                <w:rFonts w:ascii="Arial" w:cs="Arial" w:eastAsia="Arial" w:hAnsi="Arial"/>
                <w:sz w:val="16"/>
                <w:szCs w:val="16"/>
                <w:color w:val="auto"/>
              </w:rPr>
              <w:t>(137,500 of which was required to be paid in DSUs)</w:t>
            </w:r>
          </w:p>
        </w:tc>
      </w:tr>
      <w:tr>
        <w:trPr>
          <w:trHeight w:val="184"/>
        </w:trPr>
        <w:tc>
          <w:tcPr>
            <w:tcW w:w="20" w:type="dxa"/>
            <w:vAlign w:val="bottom"/>
            <w:tcBorders>
              <w:bottom w:val="single" w:sz="8" w:color="B2B2B2"/>
            </w:tcBorders>
          </w:tcPr>
          <w:p>
            <w:pPr>
              <w:spacing w:after="0"/>
              <w:rPr>
                <w:sz w:val="16"/>
                <w:szCs w:val="16"/>
                <w:color w:val="auto"/>
              </w:rPr>
            </w:pPr>
          </w:p>
        </w:tc>
        <w:tc>
          <w:tcPr>
            <w:tcW w:w="34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Chairman of the Board</w:t>
            </w:r>
          </w:p>
        </w:tc>
        <w:tc>
          <w:tcPr>
            <w:tcW w:w="7480" w:type="dxa"/>
            <w:vAlign w:val="bottom"/>
            <w:tcBorders>
              <w:bottom w:val="single" w:sz="8" w:color="B2B2B2"/>
            </w:tcBorders>
          </w:tcPr>
          <w:p>
            <w:pPr>
              <w:jc w:val="center"/>
              <w:ind w:left="20"/>
              <w:spacing w:after="0"/>
              <w:rPr>
                <w:sz w:val="20"/>
                <w:szCs w:val="20"/>
                <w:color w:val="auto"/>
              </w:rPr>
            </w:pPr>
            <w:r>
              <w:rPr>
                <w:rFonts w:ascii="Arial" w:cs="Arial" w:eastAsia="Arial" w:hAnsi="Arial"/>
                <w:sz w:val="16"/>
                <w:szCs w:val="16"/>
                <w:color w:val="auto"/>
              </w:rPr>
              <w:t>600,000</w:t>
            </w:r>
          </w:p>
        </w:tc>
      </w:tr>
      <w:tr>
        <w:trPr>
          <w:trHeight w:val="181"/>
        </w:trPr>
        <w:tc>
          <w:tcPr>
            <w:tcW w:w="3440" w:type="dxa"/>
            <w:vAlign w:val="bottom"/>
            <w:gridSpan w:val="2"/>
          </w:tcPr>
          <w:p>
            <w:pPr>
              <w:spacing w:after="0" w:line="181"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Additional retainers</w:t>
            </w:r>
          </w:p>
        </w:tc>
        <w:tc>
          <w:tcPr>
            <w:tcW w:w="748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420" w:type="dxa"/>
            <w:vAlign w:val="bottom"/>
            <w:tcBorders>
              <w:top w:val="single" w:sz="8" w:color="B2B2B2"/>
              <w:bottom w:val="single" w:sz="8" w:color="B2B2B2"/>
            </w:tcBorders>
          </w:tcPr>
          <w:p>
            <w:pPr>
              <w:ind w:left="160"/>
              <w:spacing w:after="0" w:line="181" w:lineRule="exact"/>
              <w:rPr>
                <w:sz w:val="20"/>
                <w:szCs w:val="20"/>
                <w:color w:val="auto"/>
              </w:rPr>
            </w:pPr>
            <w:r>
              <w:rPr>
                <w:rFonts w:ascii="Arial" w:cs="Arial" w:eastAsia="Arial" w:hAnsi="Arial"/>
                <w:sz w:val="16"/>
                <w:szCs w:val="16"/>
                <w:color w:val="auto"/>
              </w:rPr>
              <w:t>   Deputy Chairman of the Board</w:t>
            </w:r>
          </w:p>
        </w:tc>
        <w:tc>
          <w:tcPr>
            <w:tcW w:w="7480" w:type="dxa"/>
            <w:vAlign w:val="bottom"/>
            <w:tcBorders>
              <w:top w:val="single" w:sz="8" w:color="B2B2B2"/>
              <w:bottom w:val="single" w:sz="8" w:color="B2B2B2"/>
            </w:tcBorders>
          </w:tcPr>
          <w:p>
            <w:pPr>
              <w:jc w:val="center"/>
              <w:ind w:left="20"/>
              <w:spacing w:after="0" w:line="181" w:lineRule="exact"/>
              <w:rPr>
                <w:sz w:val="20"/>
                <w:szCs w:val="20"/>
                <w:color w:val="auto"/>
              </w:rPr>
            </w:pPr>
            <w:r>
              <w:rPr>
                <w:rFonts w:ascii="Arial" w:cs="Arial" w:eastAsia="Arial" w:hAnsi="Arial"/>
                <w:sz w:val="16"/>
                <w:szCs w:val="16"/>
                <w:color w:val="auto"/>
                <w:w w:val="99"/>
              </w:rPr>
              <w:t>150,000 (paid in DSUs)</w:t>
            </w:r>
          </w:p>
        </w:tc>
      </w:tr>
      <w:tr>
        <w:trPr>
          <w:trHeight w:val="196"/>
        </w:trPr>
        <w:tc>
          <w:tcPr>
            <w:tcW w:w="20" w:type="dxa"/>
            <w:vAlign w:val="bottom"/>
          </w:tcPr>
          <w:p>
            <w:pPr>
              <w:spacing w:after="0"/>
              <w:rPr>
                <w:sz w:val="17"/>
                <w:szCs w:val="17"/>
                <w:color w:val="auto"/>
              </w:rPr>
            </w:pPr>
          </w:p>
        </w:tc>
        <w:tc>
          <w:tcPr>
            <w:tcW w:w="3420" w:type="dxa"/>
            <w:vAlign w:val="bottom"/>
          </w:tcPr>
          <w:p>
            <w:pPr>
              <w:ind w:left="160"/>
              <w:spacing w:after="0"/>
              <w:rPr>
                <w:sz w:val="20"/>
                <w:szCs w:val="20"/>
                <w:color w:val="auto"/>
              </w:rPr>
            </w:pPr>
            <w:r>
              <w:rPr>
                <w:rFonts w:ascii="Arial" w:cs="Arial" w:eastAsia="Arial" w:hAnsi="Arial"/>
                <w:sz w:val="16"/>
                <w:szCs w:val="16"/>
                <w:color w:val="auto"/>
              </w:rPr>
              <w:t>   Lead Independent Director</w:t>
            </w:r>
          </w:p>
        </w:tc>
        <w:tc>
          <w:tcPr>
            <w:tcW w:w="7480" w:type="dxa"/>
            <w:vAlign w:val="bottom"/>
          </w:tcPr>
          <w:p>
            <w:pPr>
              <w:jc w:val="center"/>
              <w:ind w:left="20"/>
              <w:spacing w:after="0"/>
              <w:rPr>
                <w:sz w:val="20"/>
                <w:szCs w:val="20"/>
                <w:color w:val="auto"/>
              </w:rPr>
            </w:pPr>
            <w:r>
              <w:rPr>
                <w:rFonts w:ascii="Arial" w:cs="Arial" w:eastAsia="Arial" w:hAnsi="Arial"/>
                <w:sz w:val="16"/>
                <w:szCs w:val="16"/>
                <w:color w:val="auto"/>
                <w:w w:val="99"/>
              </w:rPr>
              <w:t>150,000 (paid in DSUs)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-765175</wp:posOffset>
            </wp:positionV>
            <wp:extent cx="6929755" cy="1036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1036320"/>
                    </a:xfrm>
                    <a:prstGeom prst="rect">
                      <a:avLst/>
                    </a:prstGeom>
                    <a:noFill/>
                  </pic:spPr>
                </pic:pic>
              </a:graphicData>
            </a:graphic>
          </wp:anchor>
        </w:drawing>
      </w:r>
    </w:p>
    <w:p>
      <w:pPr>
        <w:ind w:left="80" w:hanging="73"/>
        <w:spacing w:after="0"/>
        <w:tabs>
          <w:tab w:leader="none" w:pos="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w:t>
      </w:r>
      <w:r>
        <w:rPr>
          <w:rFonts w:ascii="Arial" w:cs="Arial" w:eastAsia="Arial" w:hAnsi="Arial"/>
          <w:sz w:val="14"/>
          <w:szCs w:val="14"/>
          <w:b w:val="1"/>
          <w:bCs w:val="1"/>
          <w:color w:val="auto"/>
        </w:rPr>
        <w:t>Committee chairs – Audit, Corporate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tcBorders>
              <w:bottom w:val="single" w:sz="8" w:color="D64000"/>
            </w:tcBorders>
          </w:tcPr>
          <w:p>
            <w:pPr>
              <w:ind w:left="160"/>
              <w:spacing w:after="0"/>
              <w:rPr>
                <w:sz w:val="20"/>
                <w:szCs w:val="20"/>
                <w:color w:val="auto"/>
              </w:rPr>
            </w:pPr>
            <w:r>
              <w:rPr>
                <w:rFonts w:ascii="Arial" w:cs="Arial" w:eastAsia="Arial" w:hAnsi="Arial"/>
                <w:sz w:val="16"/>
                <w:szCs w:val="16"/>
                <w:b w:val="1"/>
                <w:bCs w:val="1"/>
                <w:color w:val="auto"/>
              </w:rPr>
              <w:t>Governance, HR and Risk</w:t>
            </w:r>
          </w:p>
        </w:tc>
        <w:tc>
          <w:tcPr>
            <w:tcW w:w="6640" w:type="dxa"/>
            <w:vAlign w:val="bottom"/>
            <w:tcBorders>
              <w:bottom w:val="single" w:sz="8" w:color="D64000"/>
            </w:tcBorders>
          </w:tcPr>
          <w:p>
            <w:pPr>
              <w:ind w:left="2160"/>
              <w:spacing w:after="0"/>
              <w:rPr>
                <w:sz w:val="20"/>
                <w:szCs w:val="20"/>
                <w:color w:val="auto"/>
              </w:rPr>
            </w:pPr>
            <w:r>
              <w:rPr>
                <w:rFonts w:ascii="Arial" w:cs="Arial" w:eastAsia="Arial" w:hAnsi="Arial"/>
                <w:sz w:val="16"/>
                <w:szCs w:val="16"/>
                <w:color w:val="auto"/>
              </w:rPr>
              <w:t>50,000 (paid in DSUs)</w:t>
            </w:r>
          </w:p>
        </w:tc>
      </w:tr>
    </w:tbl>
    <w:p>
      <w:pPr>
        <w:spacing w:after="0" w:line="81" w:lineRule="exact"/>
        <w:rPr>
          <w:sz w:val="20"/>
          <w:szCs w:val="20"/>
          <w:color w:val="auto"/>
        </w:rPr>
      </w:pPr>
    </w:p>
    <w:p>
      <w:pPr>
        <w:ind w:left="220" w:hanging="213"/>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Directors other than the Chairman and the CEO.</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Retainers / Mandatory Equity Component</w:t>
      </w:r>
    </w:p>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2025, we required a minimum of $137,500 of each non-management director’s (excluding the Chairman of the Board) $250,000 annual retainer to be paid in equity in the form of DSUs (payable quarterly). Our non-management directors then elect to receive the remaining $112,500 of their annual retainer in the form of DSUs, common shares or cash (or a mix thereof – payable quarterly).</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DSUs</w:t>
      </w:r>
    </w:p>
    <w:p>
      <w:pPr>
        <w:spacing w:after="0" w:line="103"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Each DSU has the same value as one common share, though DSUs do not have voting rights. DSUs are not performance-based units. If a director elects to receive DSUs, units representing the value of common shares are credited to the director’s account. DSUs accumulate additional units based on notional equivalents of dividends paid on our common shares. DSUs are fully vested upon grant, but they are only settled in common shares or, at the election of our company, in cash, following termination of the director’s Board service. Any common shares delivered to a director in connection with the settlement of DSUs are purchased in the open market.</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Common Shares</w:t>
      </w:r>
    </w:p>
    <w:p>
      <w:pPr>
        <w:spacing w:after="0" w:line="8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If a director elects to receive common shares, the cash amount (net of withholding taxes) is provided to our broker who uses such amount to buy shares in the open market.</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Committee Fees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Committee chair fees, which are payable entirely in DSUs, are reflected in the table above.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Chairman and Deputy Chairman Retainers</w:t>
      </w:r>
    </w:p>
    <w:p>
      <w:pPr>
        <w:spacing w:after="0" w:line="103" w:lineRule="exact"/>
        <w:rPr>
          <w:sz w:val="20"/>
          <w:szCs w:val="20"/>
          <w:color w:val="auto"/>
        </w:rPr>
      </w:pPr>
    </w:p>
    <w:p>
      <w:pPr>
        <w:ind w:right="440"/>
        <w:spacing w:after="0" w:line="246" w:lineRule="auto"/>
        <w:rPr>
          <w:sz w:val="20"/>
          <w:szCs w:val="20"/>
          <w:color w:val="auto"/>
        </w:rPr>
      </w:pPr>
      <w:r>
        <w:rPr>
          <w:rFonts w:ascii="Arial" w:cs="Arial" w:eastAsia="Arial" w:hAnsi="Arial"/>
          <w:sz w:val="17"/>
          <w:szCs w:val="17"/>
          <w:color w:val="auto"/>
        </w:rPr>
        <w:t>The Chairman’s annual retainer is $600,000. When there is a Deputy Chairman, the annual retainer is $150,000, which is payable entirely in DSUs. The Deputy Chairman would also receive the same $250,000 annual retainer paid to other non-management directors. Additional information about the Chairman and the Deputy Chairman is provided later in the “Corporate Governance Practices” section of this circular.</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Lead Independent Director Retainer</w:t>
      </w:r>
    </w:p>
    <w:p>
      <w:pPr>
        <w:spacing w:after="0" w:line="89"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The Lead Independent Director’s annual retainer is $150,000, which is payable entirely in DSUs. The Lead Independent Director also receives the same annual $250,000 retainer paid to other non-management directors. Additional information about the Lead Independent Director is provided later in the “Corporate Governance Practices”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28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358" w:right="499" w:bottom="1440" w:gutter="0" w:footer="0" w:header="0"/>
        </w:sectPr>
      </w:pPr>
    </w:p>
    <w:bookmarkStart w:id="38" w:name="page39"/>
    <w:bookmarkEnd w:id="38"/>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Benchmarking Director Compensation</w:t>
      </w:r>
    </w:p>
    <w:p>
      <w:pPr>
        <w:spacing w:after="0" w:line="10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In setting 2025 director compensation, the Corporate Governance Committee evaluated publicly available data related to director compensation paid by the same global peer group of companies utilized by the HR Committee for executive compensation benchmarking purposes.</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its most recent benchmarking review in November 2025, the Corporate Governance Committee reviewed director compensation at the following companies in Thomson Reuters’ global peer group for executive compensation purposes. As part of its review, the Corporate Governance Committee evaluated data for North American-based companies in the peer group as Thomson Reuters is headquartered in Canada and most of its directors reside in Canada or the United States. The Corporate Governance Committee also acknowledged that director compensation for U.S. companies is generally higher than Canadian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69297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Automatic Data Processing Inc.</w:t>
            </w:r>
          </w:p>
        </w:tc>
        <w:tc>
          <w:tcPr>
            <w:tcW w:w="3640" w:type="dxa"/>
            <w:vAlign w:val="bottom"/>
          </w:tcPr>
          <w:p>
            <w:pPr>
              <w:ind w:left="860"/>
              <w:spacing w:after="0"/>
              <w:rPr>
                <w:sz w:val="20"/>
                <w:szCs w:val="20"/>
                <w:color w:val="auto"/>
              </w:rPr>
            </w:pPr>
            <w:r>
              <w:rPr>
                <w:rFonts w:ascii="Arial" w:cs="Arial" w:eastAsia="Arial" w:hAnsi="Arial"/>
                <w:sz w:val="16"/>
                <w:szCs w:val="16"/>
                <w:color w:val="auto"/>
              </w:rPr>
              <w:t>Gartner Inc.</w:t>
            </w:r>
          </w:p>
        </w:tc>
        <w:tc>
          <w:tcPr>
            <w:tcW w:w="4180" w:type="dxa"/>
            <w:vAlign w:val="bottom"/>
          </w:tcPr>
          <w:p>
            <w:pPr>
              <w:ind w:left="1300"/>
              <w:spacing w:after="0"/>
              <w:rPr>
                <w:sz w:val="20"/>
                <w:szCs w:val="20"/>
                <w:color w:val="auto"/>
              </w:rPr>
            </w:pPr>
            <w:r>
              <w:rPr>
                <w:rFonts w:ascii="Arial" w:cs="Arial" w:eastAsia="Arial" w:hAnsi="Arial"/>
                <w:sz w:val="16"/>
                <w:szCs w:val="16"/>
                <w:color w:val="auto"/>
              </w:rPr>
              <w:t>S&amp;P Global Inc.</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CGI Group Inc.</w:t>
            </w:r>
          </w:p>
        </w:tc>
        <w:tc>
          <w:tcPr>
            <w:tcW w:w="3640" w:type="dxa"/>
            <w:vAlign w:val="bottom"/>
          </w:tcPr>
          <w:p>
            <w:pPr>
              <w:ind w:left="860"/>
              <w:spacing w:after="0"/>
              <w:rPr>
                <w:sz w:val="20"/>
                <w:szCs w:val="20"/>
                <w:color w:val="auto"/>
              </w:rPr>
            </w:pPr>
            <w:r>
              <w:rPr>
                <w:rFonts w:ascii="Arial" w:cs="Arial" w:eastAsia="Arial" w:hAnsi="Arial"/>
                <w:sz w:val="16"/>
                <w:szCs w:val="16"/>
                <w:color w:val="auto"/>
              </w:rPr>
              <w:t>Intuit Inc.</w:t>
            </w:r>
          </w:p>
        </w:tc>
        <w:tc>
          <w:tcPr>
            <w:tcW w:w="4180" w:type="dxa"/>
            <w:vAlign w:val="bottom"/>
          </w:tcPr>
          <w:p>
            <w:pPr>
              <w:ind w:left="1300"/>
              <w:spacing w:after="0"/>
              <w:rPr>
                <w:sz w:val="20"/>
                <w:szCs w:val="20"/>
                <w:color w:val="auto"/>
              </w:rPr>
            </w:pPr>
            <w:r>
              <w:rPr>
                <w:rFonts w:ascii="Arial" w:cs="Arial" w:eastAsia="Arial" w:hAnsi="Arial"/>
                <w:sz w:val="16"/>
                <w:szCs w:val="16"/>
                <w:color w:val="auto"/>
              </w:rPr>
              <w:t>TransUnion LLC</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eBay Inc.</w:t>
            </w:r>
          </w:p>
        </w:tc>
        <w:tc>
          <w:tcPr>
            <w:tcW w:w="3640" w:type="dxa"/>
            <w:vAlign w:val="bottom"/>
          </w:tcPr>
          <w:p>
            <w:pPr>
              <w:ind w:left="860"/>
              <w:spacing w:after="0"/>
              <w:rPr>
                <w:sz w:val="20"/>
                <w:szCs w:val="20"/>
                <w:color w:val="auto"/>
              </w:rPr>
            </w:pPr>
            <w:r>
              <w:rPr>
                <w:rFonts w:ascii="Arial" w:cs="Arial" w:eastAsia="Arial" w:hAnsi="Arial"/>
                <w:sz w:val="16"/>
                <w:szCs w:val="16"/>
                <w:color w:val="auto"/>
              </w:rPr>
              <w:t>Moody’s Corp.</w:t>
            </w:r>
          </w:p>
        </w:tc>
        <w:tc>
          <w:tcPr>
            <w:tcW w:w="4180" w:type="dxa"/>
            <w:vAlign w:val="bottom"/>
          </w:tcPr>
          <w:p>
            <w:pPr>
              <w:ind w:left="1300"/>
              <w:spacing w:after="0"/>
              <w:rPr>
                <w:sz w:val="20"/>
                <w:szCs w:val="20"/>
                <w:color w:val="auto"/>
              </w:rPr>
            </w:pPr>
            <w:r>
              <w:rPr>
                <w:rFonts w:ascii="Arial" w:cs="Arial" w:eastAsia="Arial" w:hAnsi="Arial"/>
                <w:sz w:val="16"/>
                <w:szCs w:val="16"/>
                <w:color w:val="auto"/>
              </w:rPr>
              <w:t>Verisk Analytics, Inc.</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Equifax Inc.</w:t>
            </w:r>
          </w:p>
        </w:tc>
        <w:tc>
          <w:tcPr>
            <w:tcW w:w="3640" w:type="dxa"/>
            <w:vAlign w:val="bottom"/>
          </w:tcPr>
          <w:p>
            <w:pPr>
              <w:ind w:left="860"/>
              <w:spacing w:after="0"/>
              <w:rPr>
                <w:sz w:val="20"/>
                <w:szCs w:val="20"/>
                <w:color w:val="auto"/>
              </w:rPr>
            </w:pPr>
            <w:r>
              <w:rPr>
                <w:rFonts w:ascii="Arial" w:cs="Arial" w:eastAsia="Arial" w:hAnsi="Arial"/>
                <w:sz w:val="16"/>
                <w:szCs w:val="16"/>
                <w:color w:val="auto"/>
              </w:rPr>
              <w:t>MSCI Inc.</w:t>
            </w:r>
          </w:p>
        </w:tc>
        <w:tc>
          <w:tcPr>
            <w:tcW w:w="4180" w:type="dxa"/>
            <w:vAlign w:val="bottom"/>
          </w:tcPr>
          <w:p>
            <w:pPr>
              <w:ind w:left="1300"/>
              <w:spacing w:after="0"/>
              <w:rPr>
                <w:sz w:val="20"/>
                <w:szCs w:val="20"/>
                <w:color w:val="auto"/>
              </w:rPr>
            </w:pPr>
            <w:r>
              <w:rPr>
                <w:rFonts w:ascii="Arial" w:cs="Arial" w:eastAsia="Arial" w:hAnsi="Arial"/>
                <w:sz w:val="16"/>
                <w:szCs w:val="16"/>
                <w:color w:val="auto"/>
              </w:rPr>
              <w:t>Wolters Kluwer NV</w:t>
            </w:r>
          </w:p>
        </w:tc>
      </w:tr>
      <w:tr>
        <w:trPr>
          <w:trHeight w:val="187"/>
        </w:trPr>
        <w:tc>
          <w:tcPr>
            <w:tcW w:w="3100" w:type="dxa"/>
            <w:vAlign w:val="bottom"/>
          </w:tcPr>
          <w:p>
            <w:pPr>
              <w:spacing w:after="0"/>
              <w:rPr>
                <w:sz w:val="20"/>
                <w:szCs w:val="20"/>
                <w:color w:val="auto"/>
              </w:rPr>
            </w:pPr>
            <w:r>
              <w:rPr>
                <w:rFonts w:ascii="Arial" w:cs="Arial" w:eastAsia="Arial" w:hAnsi="Arial"/>
                <w:sz w:val="16"/>
                <w:szCs w:val="16"/>
                <w:color w:val="auto"/>
              </w:rPr>
              <w:t>Experian Plc</w:t>
            </w:r>
          </w:p>
        </w:tc>
        <w:tc>
          <w:tcPr>
            <w:tcW w:w="3640" w:type="dxa"/>
            <w:vAlign w:val="bottom"/>
          </w:tcPr>
          <w:p>
            <w:pPr>
              <w:ind w:left="860"/>
              <w:spacing w:after="0"/>
              <w:rPr>
                <w:sz w:val="20"/>
                <w:szCs w:val="20"/>
                <w:color w:val="auto"/>
              </w:rPr>
            </w:pPr>
            <w:r>
              <w:rPr>
                <w:rFonts w:ascii="Arial" w:cs="Arial" w:eastAsia="Arial" w:hAnsi="Arial"/>
                <w:sz w:val="16"/>
                <w:szCs w:val="16"/>
                <w:color w:val="auto"/>
              </w:rPr>
              <w:t>Omnicom Group Inc.</w:t>
            </w:r>
          </w:p>
        </w:tc>
        <w:tc>
          <w:tcPr>
            <w:tcW w:w="4180" w:type="dxa"/>
            <w:vAlign w:val="bottom"/>
          </w:tcPr>
          <w:p>
            <w:pPr>
              <w:spacing w:after="0"/>
              <w:rPr>
                <w:sz w:val="16"/>
                <w:szCs w:val="16"/>
                <w:color w:val="auto"/>
              </w:rPr>
            </w:pPr>
          </w:p>
        </w:tc>
      </w:tr>
      <w:tr>
        <w:trPr>
          <w:trHeight w:val="211"/>
        </w:trPr>
        <w:tc>
          <w:tcPr>
            <w:tcW w:w="3100" w:type="dxa"/>
            <w:vAlign w:val="bottom"/>
          </w:tcPr>
          <w:p>
            <w:pPr>
              <w:spacing w:after="0"/>
              <w:rPr>
                <w:sz w:val="20"/>
                <w:szCs w:val="20"/>
                <w:color w:val="auto"/>
              </w:rPr>
            </w:pPr>
            <w:r>
              <w:rPr>
                <w:rFonts w:ascii="Arial" w:cs="Arial" w:eastAsia="Arial" w:hAnsi="Arial"/>
                <w:sz w:val="16"/>
                <w:szCs w:val="16"/>
                <w:color w:val="auto"/>
              </w:rPr>
              <w:t>FactSet Research Systems Inc.</w:t>
            </w:r>
          </w:p>
        </w:tc>
        <w:tc>
          <w:tcPr>
            <w:tcW w:w="3640" w:type="dxa"/>
            <w:vAlign w:val="bottom"/>
          </w:tcPr>
          <w:p>
            <w:pPr>
              <w:ind w:left="860"/>
              <w:spacing w:after="0"/>
              <w:rPr>
                <w:sz w:val="20"/>
                <w:szCs w:val="20"/>
                <w:color w:val="auto"/>
              </w:rPr>
            </w:pPr>
            <w:r>
              <w:rPr>
                <w:rFonts w:ascii="Arial" w:cs="Arial" w:eastAsia="Arial" w:hAnsi="Arial"/>
                <w:sz w:val="16"/>
                <w:szCs w:val="16"/>
                <w:color w:val="auto"/>
              </w:rPr>
              <w:t>RELX PLC</w:t>
            </w:r>
          </w:p>
        </w:tc>
        <w:tc>
          <w:tcPr>
            <w:tcW w:w="4180" w:type="dxa"/>
            <w:vAlign w:val="bottom"/>
          </w:tcPr>
          <w:p>
            <w:pPr>
              <w:spacing w:after="0"/>
              <w:rPr>
                <w:sz w:val="18"/>
                <w:szCs w:val="18"/>
                <w:color w:val="auto"/>
              </w:rPr>
            </w:pPr>
          </w:p>
        </w:tc>
      </w:tr>
      <w:tr>
        <w:trPr>
          <w:trHeight w:val="64"/>
        </w:trPr>
        <w:tc>
          <w:tcPr>
            <w:tcW w:w="3100" w:type="dxa"/>
            <w:vAlign w:val="bottom"/>
            <w:tcBorders>
              <w:bottom w:val="single" w:sz="8" w:color="D64000"/>
            </w:tcBorders>
          </w:tcPr>
          <w:p>
            <w:pPr>
              <w:spacing w:after="0"/>
              <w:rPr>
                <w:sz w:val="5"/>
                <w:szCs w:val="5"/>
                <w:color w:val="auto"/>
              </w:rPr>
            </w:pPr>
          </w:p>
        </w:tc>
        <w:tc>
          <w:tcPr>
            <w:tcW w:w="3640" w:type="dxa"/>
            <w:vAlign w:val="bottom"/>
            <w:tcBorders>
              <w:bottom w:val="single" w:sz="8" w:color="D64000"/>
            </w:tcBorders>
          </w:tcPr>
          <w:p>
            <w:pPr>
              <w:spacing w:after="0"/>
              <w:rPr>
                <w:sz w:val="5"/>
                <w:szCs w:val="5"/>
                <w:color w:val="auto"/>
              </w:rPr>
            </w:pPr>
          </w:p>
        </w:tc>
        <w:tc>
          <w:tcPr>
            <w:tcW w:w="4180" w:type="dxa"/>
            <w:vAlign w:val="bottom"/>
            <w:tcBorders>
              <w:bottom w:val="single" w:sz="8" w:color="D64000"/>
            </w:tcBorders>
          </w:tcPr>
          <w:p>
            <w:pPr>
              <w:spacing w:after="0"/>
              <w:rPr>
                <w:sz w:val="5"/>
                <w:szCs w:val="5"/>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2026 Director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No changes are currently contemplated to the amount or form of director compensation for 2026.</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Total Director Compensation</w:t>
      </w:r>
    </w:p>
    <w:p>
      <w:pPr>
        <w:spacing w:after="0" w:line="103"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table below reflects compensation earned by our directors in 2025. Approximately 94% of 2025 director compensation was paid in equity (DSUs or common shares).</w:t>
      </w:r>
    </w:p>
    <w:p>
      <w:pPr>
        <w:spacing w:after="0" w:line="26"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As President and CEO of Thomson Reuters, Steve Hasker does not receive compensation for his service as a director. We discuss aspects of Steve Hasker’s compensation in the “Compensation Discussion and Analysis” section of this circular.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0" w:type="dxa"/>
            <w:vAlign w:val="bottom"/>
            <w:tcBorders>
              <w:right w:val="single" w:sz="8" w:color="E3F3EE"/>
            </w:tcBorders>
          </w:tcPr>
          <w:p>
            <w:pPr>
              <w:spacing w:after="0"/>
              <w:rPr>
                <w:sz w:val="18"/>
                <w:szCs w:val="18"/>
                <w:color w:val="auto"/>
              </w:rPr>
            </w:pPr>
          </w:p>
        </w:tc>
        <w:tc>
          <w:tcPr>
            <w:tcW w:w="1260" w:type="dxa"/>
            <w:vAlign w:val="bottom"/>
            <w:tcBorders>
              <w:right w:val="single" w:sz="8" w:color="E3F3EE"/>
            </w:tcBorders>
            <w:shd w:val="clear" w:color="auto" w:fill="E3F3EE"/>
          </w:tcPr>
          <w:p>
            <w:pPr>
              <w:spacing w:after="0"/>
              <w:rPr>
                <w:sz w:val="18"/>
                <w:szCs w:val="18"/>
                <w:color w:val="auto"/>
              </w:rPr>
            </w:pPr>
          </w:p>
        </w:tc>
        <w:tc>
          <w:tcPr>
            <w:tcW w:w="1520" w:type="dxa"/>
            <w:vAlign w:val="bottom"/>
            <w:tcBorders>
              <w:right w:val="single" w:sz="8" w:color="E3F3EE"/>
            </w:tcBorders>
            <w:shd w:val="clear" w:color="auto" w:fill="E3F3EE"/>
          </w:tcPr>
          <w:p>
            <w:pPr>
              <w:spacing w:after="0"/>
              <w:rPr>
                <w:sz w:val="18"/>
                <w:szCs w:val="18"/>
                <w:color w:val="auto"/>
              </w:rPr>
            </w:pPr>
          </w:p>
        </w:tc>
        <w:tc>
          <w:tcPr>
            <w:tcW w:w="2040" w:type="dxa"/>
            <w:vAlign w:val="bottom"/>
            <w:tcBorders>
              <w:right w:val="single" w:sz="8" w:color="E3F3EE"/>
            </w:tcBorders>
            <w:shd w:val="clear" w:color="auto" w:fill="E3F3EE"/>
          </w:tcPr>
          <w:p>
            <w:pPr>
              <w:jc w:val="right"/>
              <w:ind w:right="160"/>
              <w:spacing w:after="0"/>
              <w:rPr>
                <w:sz w:val="20"/>
                <w:szCs w:val="20"/>
                <w:color w:val="auto"/>
              </w:rPr>
            </w:pPr>
            <w:r>
              <w:rPr>
                <w:rFonts w:ascii="Arial" w:cs="Arial" w:eastAsia="Arial" w:hAnsi="Arial"/>
                <w:sz w:val="16"/>
                <w:szCs w:val="16"/>
                <w:b w:val="1"/>
                <w:bCs w:val="1"/>
                <w:color w:val="auto"/>
              </w:rPr>
              <w:t>Fees Earned ($)</w:t>
            </w:r>
          </w:p>
        </w:tc>
        <w:tc>
          <w:tcPr>
            <w:tcW w:w="1780" w:type="dxa"/>
            <w:vAlign w:val="bottom"/>
            <w:tcBorders>
              <w:right w:val="single" w:sz="8" w:color="E3F3EE"/>
            </w:tcBorders>
            <w:shd w:val="clear" w:color="auto" w:fill="E3F3EE"/>
          </w:tcPr>
          <w:p>
            <w:pPr>
              <w:spacing w:after="0"/>
              <w:rPr>
                <w:sz w:val="18"/>
                <w:szCs w:val="18"/>
                <w:color w:val="auto"/>
              </w:rPr>
            </w:pPr>
          </w:p>
        </w:tc>
        <w:tc>
          <w:tcPr>
            <w:tcW w:w="1520" w:type="dxa"/>
            <w:vAlign w:val="bottom"/>
            <w:shd w:val="clear" w:color="auto" w:fill="E3F3EE"/>
          </w:tcPr>
          <w:p>
            <w:pPr>
              <w:spacing w:after="0"/>
              <w:rPr>
                <w:sz w:val="18"/>
                <w:szCs w:val="18"/>
                <w:color w:val="auto"/>
              </w:rPr>
            </w:pPr>
          </w:p>
        </w:tc>
      </w:tr>
      <w:tr>
        <w:trPr>
          <w:trHeight w:val="200"/>
        </w:trPr>
        <w:tc>
          <w:tcPr>
            <w:tcW w:w="2800" w:type="dxa"/>
            <w:vAlign w:val="bottom"/>
            <w:tcBorders>
              <w:right w:val="single" w:sz="8" w:color="1F473D"/>
            </w:tcBorders>
            <w:shd w:val="clear" w:color="auto" w:fill="1F473D"/>
          </w:tcPr>
          <w:p>
            <w:pPr>
              <w:spacing w:after="0"/>
              <w:rPr>
                <w:sz w:val="17"/>
                <w:szCs w:val="17"/>
                <w:color w:val="auto"/>
              </w:rPr>
            </w:pPr>
          </w:p>
        </w:tc>
        <w:tc>
          <w:tcPr>
            <w:tcW w:w="1260" w:type="dxa"/>
            <w:vAlign w:val="bottom"/>
            <w:tcBorders>
              <w:right w:val="single" w:sz="8" w:color="1F473D"/>
            </w:tcBorders>
            <w:shd w:val="clear" w:color="auto" w:fill="1F473D"/>
          </w:tcPr>
          <w:p>
            <w:pPr>
              <w:spacing w:after="0"/>
              <w:rPr>
                <w:sz w:val="17"/>
                <w:szCs w:val="17"/>
                <w:color w:val="auto"/>
              </w:rPr>
            </w:pPr>
          </w:p>
        </w:tc>
        <w:tc>
          <w:tcPr>
            <w:tcW w:w="1520" w:type="dxa"/>
            <w:vAlign w:val="bottom"/>
            <w:tcBorders>
              <w:right w:val="single" w:sz="8" w:color="1F473D"/>
            </w:tcBorders>
            <w:shd w:val="clear" w:color="auto" w:fill="1F473D"/>
          </w:tcPr>
          <w:p>
            <w:pPr>
              <w:spacing w:after="0"/>
              <w:rPr>
                <w:sz w:val="17"/>
                <w:szCs w:val="17"/>
                <w:color w:val="auto"/>
              </w:rPr>
            </w:pPr>
          </w:p>
        </w:tc>
        <w:tc>
          <w:tcPr>
            <w:tcW w:w="2040" w:type="dxa"/>
            <w:vAlign w:val="bottom"/>
            <w:tcBorders>
              <w:right w:val="single" w:sz="8" w:color="1F473D"/>
            </w:tcBorders>
            <w:shd w:val="clear" w:color="auto" w:fill="1F473D"/>
          </w:tcPr>
          <w:p>
            <w:pPr>
              <w:spacing w:after="0"/>
              <w:rPr>
                <w:sz w:val="17"/>
                <w:szCs w:val="17"/>
                <w:color w:val="auto"/>
              </w:rPr>
            </w:pPr>
          </w:p>
        </w:tc>
        <w:tc>
          <w:tcPr>
            <w:tcW w:w="1780" w:type="dxa"/>
            <w:vAlign w:val="bottom"/>
            <w:tcBorders>
              <w:right w:val="single" w:sz="8" w:color="1F473D"/>
            </w:tcBorders>
            <w:shd w:val="clear" w:color="auto" w:fill="1F473D"/>
          </w:tcPr>
          <w:p>
            <w:pPr>
              <w:ind w:left="680"/>
              <w:spacing w:after="0"/>
              <w:rPr>
                <w:sz w:val="20"/>
                <w:szCs w:val="20"/>
                <w:color w:val="auto"/>
              </w:rPr>
            </w:pPr>
            <w:r>
              <w:rPr>
                <w:rFonts w:ascii="Arial" w:cs="Arial" w:eastAsia="Arial" w:hAnsi="Arial"/>
                <w:sz w:val="16"/>
                <w:szCs w:val="16"/>
                <w:b w:val="1"/>
                <w:bCs w:val="1"/>
                <w:color w:val="FFFFFF"/>
              </w:rPr>
              <w:t> All Other</w:t>
            </w:r>
          </w:p>
        </w:tc>
        <w:tc>
          <w:tcPr>
            <w:tcW w:w="1520" w:type="dxa"/>
            <w:vAlign w:val="bottom"/>
            <w:shd w:val="clear" w:color="auto" w:fill="1F473D"/>
          </w:tcPr>
          <w:p>
            <w:pPr>
              <w:spacing w:after="0"/>
              <w:rPr>
                <w:sz w:val="17"/>
                <w:szCs w:val="17"/>
                <w:color w:val="auto"/>
              </w:rPr>
            </w:pPr>
          </w:p>
        </w:tc>
      </w:tr>
      <w:tr>
        <w:trPr>
          <w:trHeight w:val="221"/>
        </w:trPr>
        <w:tc>
          <w:tcPr>
            <w:tcW w:w="2800" w:type="dxa"/>
            <w:vAlign w:val="bottom"/>
            <w:tcBorders>
              <w:bottom w:val="single" w:sz="8" w:color="D64000"/>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Director</w:t>
            </w:r>
          </w:p>
        </w:tc>
        <w:tc>
          <w:tcPr>
            <w:tcW w:w="1260" w:type="dxa"/>
            <w:vAlign w:val="bottom"/>
            <w:tcBorders>
              <w:bottom w:val="single" w:sz="8" w:color="D64000"/>
              <w:right w:val="single" w:sz="8" w:color="1F473D"/>
            </w:tcBorders>
            <w:shd w:val="clear" w:color="auto" w:fill="1F473D"/>
          </w:tcPr>
          <w:p>
            <w:pPr>
              <w:jc w:val="right"/>
              <w:ind w:right="420"/>
              <w:spacing w:after="0"/>
              <w:rPr>
                <w:sz w:val="20"/>
                <w:szCs w:val="20"/>
                <w:color w:val="auto"/>
              </w:rPr>
            </w:pPr>
            <w:r>
              <w:rPr>
                <w:rFonts w:ascii="Arial" w:cs="Arial" w:eastAsia="Arial" w:hAnsi="Arial"/>
                <w:sz w:val="16"/>
                <w:szCs w:val="16"/>
                <w:b w:val="1"/>
                <w:bCs w:val="1"/>
                <w:color w:val="FFFFFF"/>
              </w:rPr>
              <w:t>Cash</w:t>
            </w:r>
          </w:p>
        </w:tc>
        <w:tc>
          <w:tcPr>
            <w:tcW w:w="1520" w:type="dxa"/>
            <w:vAlign w:val="bottom"/>
            <w:tcBorders>
              <w:bottom w:val="single" w:sz="8" w:color="D64000"/>
              <w:right w:val="single" w:sz="8" w:color="1F473D"/>
            </w:tcBorders>
            <w:shd w:val="clear" w:color="auto" w:fill="1F473D"/>
          </w:tcPr>
          <w:p>
            <w:pPr>
              <w:jc w:val="right"/>
              <w:ind w:right="540"/>
              <w:spacing w:after="0"/>
              <w:rPr>
                <w:sz w:val="20"/>
                <w:szCs w:val="20"/>
                <w:color w:val="auto"/>
              </w:rPr>
            </w:pPr>
            <w:r>
              <w:rPr>
                <w:rFonts w:ascii="Arial" w:cs="Arial" w:eastAsia="Arial" w:hAnsi="Arial"/>
                <w:sz w:val="16"/>
                <w:szCs w:val="16"/>
                <w:b w:val="1"/>
                <w:bCs w:val="1"/>
                <w:color w:val="FFFFFF"/>
              </w:rPr>
              <w:t>DSUs</w:t>
            </w:r>
          </w:p>
        </w:tc>
        <w:tc>
          <w:tcPr>
            <w:tcW w:w="2040" w:type="dxa"/>
            <w:vAlign w:val="bottom"/>
            <w:tcBorders>
              <w:bottom w:val="single" w:sz="8" w:color="D64000"/>
              <w:right w:val="single" w:sz="8" w:color="1F473D"/>
            </w:tcBorders>
            <w:shd w:val="clear" w:color="auto" w:fill="1F473D"/>
          </w:tcPr>
          <w:p>
            <w:pPr>
              <w:jc w:val="right"/>
              <w:ind w:right="360"/>
              <w:spacing w:after="0"/>
              <w:rPr>
                <w:sz w:val="20"/>
                <w:szCs w:val="20"/>
                <w:color w:val="auto"/>
              </w:rPr>
            </w:pPr>
            <w:r>
              <w:rPr>
                <w:rFonts w:ascii="Arial" w:cs="Arial" w:eastAsia="Arial" w:hAnsi="Arial"/>
                <w:sz w:val="16"/>
                <w:szCs w:val="16"/>
                <w:b w:val="1"/>
                <w:bCs w:val="1"/>
                <w:color w:val="FFFFFF"/>
              </w:rPr>
              <w:t>Common Shares</w:t>
            </w:r>
          </w:p>
        </w:tc>
        <w:tc>
          <w:tcPr>
            <w:tcW w:w="1780" w:type="dxa"/>
            <w:vAlign w:val="bottom"/>
            <w:tcBorders>
              <w:bottom w:val="single" w:sz="8" w:color="D64000"/>
              <w:right w:val="single" w:sz="8" w:color="1F473D"/>
            </w:tcBorders>
            <w:shd w:val="clear" w:color="auto" w:fill="1F473D"/>
          </w:tcPr>
          <w:p>
            <w:pPr>
              <w:ind w:left="340"/>
              <w:spacing w:after="0"/>
              <w:rPr>
                <w:sz w:val="20"/>
                <w:szCs w:val="20"/>
                <w:color w:val="auto"/>
              </w:rPr>
            </w:pPr>
            <w:r>
              <w:rPr>
                <w:rFonts w:ascii="Arial" w:cs="Arial" w:eastAsia="Arial" w:hAnsi="Arial"/>
                <w:sz w:val="16"/>
                <w:szCs w:val="16"/>
                <w:b w:val="1"/>
                <w:bCs w:val="1"/>
                <w:color w:val="FFFFFF"/>
              </w:rPr>
              <w:t xml:space="preserve"> Compensation ($) </w:t>
            </w:r>
          </w:p>
        </w:tc>
        <w:tc>
          <w:tcPr>
            <w:tcW w:w="1520" w:type="dxa"/>
            <w:vAlign w:val="bottom"/>
            <w:tcBorders>
              <w:bottom w:val="single" w:sz="8" w:color="D64000"/>
            </w:tcBorders>
            <w:shd w:val="clear" w:color="auto" w:fill="1F473D"/>
          </w:tcPr>
          <w:p>
            <w:pPr>
              <w:jc w:val="right"/>
              <w:ind w:right="420"/>
              <w:spacing w:after="0"/>
              <w:rPr>
                <w:sz w:val="20"/>
                <w:szCs w:val="20"/>
                <w:color w:val="auto"/>
              </w:rPr>
            </w:pPr>
            <w:r>
              <w:rPr>
                <w:rFonts w:ascii="Arial" w:cs="Arial" w:eastAsia="Arial" w:hAnsi="Arial"/>
                <w:sz w:val="16"/>
                <w:szCs w:val="16"/>
                <w:b w:val="1"/>
                <w:bCs w:val="1"/>
                <w:color w:val="FFFFFF"/>
              </w:rPr>
              <w:t>Total ($)</w:t>
            </w:r>
          </w:p>
        </w:tc>
      </w:tr>
      <w:tr>
        <w:trPr>
          <w:trHeight w:val="388"/>
        </w:trPr>
        <w:tc>
          <w:tcPr>
            <w:tcW w:w="28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David Thomson</w:t>
            </w:r>
            <w:r>
              <w:rPr>
                <w:rFonts w:ascii="Arial" w:cs="Arial" w:eastAsia="Arial" w:hAnsi="Arial"/>
                <w:sz w:val="24"/>
                <w:szCs w:val="24"/>
                <w:b w:val="1"/>
                <w:bCs w:val="1"/>
                <w:color w:val="auto"/>
                <w:vertAlign w:val="superscript"/>
              </w:rPr>
              <w:t>1</w:t>
            </w:r>
          </w:p>
        </w:tc>
        <w:tc>
          <w:tcPr>
            <w:tcW w:w="1260" w:type="dxa"/>
            <w:vAlign w:val="bottom"/>
            <w:tcBorders>
              <w:bottom w:val="single" w:sz="8" w:color="B2B2B2"/>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right w:val="single" w:sz="8" w:color="B2B2B2"/>
            </w:tcBorders>
          </w:tcPr>
          <w:p>
            <w:pPr>
              <w:jc w:val="right"/>
              <w:ind w:right="360"/>
              <w:spacing w:after="0"/>
              <w:rPr>
                <w:sz w:val="20"/>
                <w:szCs w:val="20"/>
                <w:color w:val="auto"/>
              </w:rPr>
            </w:pPr>
            <w:r>
              <w:rPr>
                <w:rFonts w:ascii="Arial" w:cs="Arial" w:eastAsia="Arial" w:hAnsi="Arial"/>
                <w:sz w:val="16"/>
                <w:szCs w:val="16"/>
                <w:color w:val="auto"/>
              </w:rPr>
              <w:t>600,000</w:t>
            </w:r>
          </w:p>
        </w:tc>
        <w:tc>
          <w:tcPr>
            <w:tcW w:w="2040" w:type="dxa"/>
            <w:vAlign w:val="bottom"/>
            <w:tcBorders>
              <w:bottom w:val="single" w:sz="8" w:color="B2B2B2"/>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B2B2B2"/>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600,000</w:t>
            </w:r>
          </w:p>
        </w:tc>
      </w:tr>
      <w:tr>
        <w:trPr>
          <w:trHeight w:val="381"/>
        </w:trPr>
        <w:tc>
          <w:tcPr>
            <w:tcW w:w="28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Kirk E. Arnold</w:t>
            </w:r>
            <w:r>
              <w:rPr>
                <w:rFonts w:ascii="Arial" w:cs="Arial" w:eastAsia="Arial" w:hAnsi="Arial"/>
                <w:sz w:val="24"/>
                <w:szCs w:val="24"/>
                <w:b w:val="1"/>
                <w:bCs w:val="1"/>
                <w:color w:val="auto"/>
                <w:vertAlign w:val="superscript"/>
              </w:rPr>
              <w:t>2</w:t>
            </w:r>
          </w:p>
        </w:tc>
        <w:tc>
          <w:tcPr>
            <w:tcW w:w="1260" w:type="dxa"/>
            <w:vAlign w:val="bottom"/>
            <w:tcBorders>
              <w:bottom w:val="single" w:sz="8" w:color="B2B2B2"/>
              <w:right w:val="single" w:sz="8" w:color="B2B2B2"/>
            </w:tcBorders>
          </w:tcPr>
          <w:p>
            <w:pPr>
              <w:jc w:val="right"/>
              <w:ind w:right="300"/>
              <w:spacing w:after="0"/>
              <w:rPr>
                <w:sz w:val="20"/>
                <w:szCs w:val="20"/>
                <w:color w:val="auto"/>
              </w:rPr>
            </w:pPr>
            <w:r>
              <w:rPr>
                <w:rFonts w:ascii="Arial" w:cs="Arial" w:eastAsia="Arial" w:hAnsi="Arial"/>
                <w:sz w:val="16"/>
                <w:szCs w:val="16"/>
                <w:color w:val="auto"/>
              </w:rPr>
              <w:t>112,500</w:t>
            </w:r>
          </w:p>
        </w:tc>
        <w:tc>
          <w:tcPr>
            <w:tcW w:w="1520" w:type="dxa"/>
            <w:vAlign w:val="bottom"/>
            <w:tcBorders>
              <w:bottom w:val="single" w:sz="8" w:color="B2B2B2"/>
              <w:right w:val="single" w:sz="8" w:color="B2B2B2"/>
            </w:tcBorders>
          </w:tcPr>
          <w:p>
            <w:pPr>
              <w:jc w:val="right"/>
              <w:ind w:right="360"/>
              <w:spacing w:after="0"/>
              <w:rPr>
                <w:sz w:val="20"/>
                <w:szCs w:val="20"/>
                <w:color w:val="auto"/>
              </w:rPr>
            </w:pPr>
            <w:r>
              <w:rPr>
                <w:rFonts w:ascii="Arial" w:cs="Arial" w:eastAsia="Arial" w:hAnsi="Arial"/>
                <w:sz w:val="16"/>
                <w:szCs w:val="16"/>
                <w:color w:val="auto"/>
              </w:rPr>
              <w:t>187,500</w:t>
            </w:r>
          </w:p>
        </w:tc>
        <w:tc>
          <w:tcPr>
            <w:tcW w:w="2040" w:type="dxa"/>
            <w:vAlign w:val="bottom"/>
            <w:tcBorders>
              <w:bottom w:val="single" w:sz="8" w:color="B2B2B2"/>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B2B2B2"/>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300,000</w:t>
            </w:r>
          </w:p>
        </w:tc>
      </w:tr>
      <w:tr>
        <w:trPr>
          <w:trHeight w:val="381"/>
        </w:trPr>
        <w:tc>
          <w:tcPr>
            <w:tcW w:w="28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Ed Clark</w:t>
            </w:r>
            <w:r>
              <w:rPr>
                <w:rFonts w:ascii="Arial" w:cs="Arial" w:eastAsia="Arial" w:hAnsi="Arial"/>
                <w:sz w:val="24"/>
                <w:szCs w:val="24"/>
                <w:b w:val="1"/>
                <w:bCs w:val="1"/>
                <w:color w:val="auto"/>
                <w:vertAlign w:val="superscript"/>
              </w:rPr>
              <w:t>3</w:t>
            </w:r>
          </w:p>
        </w:tc>
        <w:tc>
          <w:tcPr>
            <w:tcW w:w="1260" w:type="dxa"/>
            <w:vAlign w:val="bottom"/>
            <w:tcBorders>
              <w:bottom w:val="single" w:sz="8" w:color="B2B2B2"/>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right w:val="single" w:sz="8" w:color="B2B2B2"/>
            </w:tcBorders>
          </w:tcPr>
          <w:p>
            <w:pPr>
              <w:jc w:val="right"/>
              <w:ind w:right="360"/>
              <w:spacing w:after="0"/>
              <w:rPr>
                <w:sz w:val="20"/>
                <w:szCs w:val="20"/>
                <w:color w:val="auto"/>
              </w:rPr>
            </w:pPr>
            <w:r>
              <w:rPr>
                <w:rFonts w:ascii="Arial" w:cs="Arial" w:eastAsia="Arial" w:hAnsi="Arial"/>
                <w:sz w:val="16"/>
                <w:szCs w:val="16"/>
                <w:color w:val="auto"/>
              </w:rPr>
              <w:t>116,164</w:t>
            </w:r>
          </w:p>
        </w:tc>
        <w:tc>
          <w:tcPr>
            <w:tcW w:w="2040" w:type="dxa"/>
            <w:vAlign w:val="bottom"/>
            <w:tcBorders>
              <w:bottom w:val="single" w:sz="8" w:color="B2B2B2"/>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B2B2B2"/>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116,164</w:t>
            </w: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LaVerne Council</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250,000</w:t>
            </w:r>
          </w:p>
        </w:tc>
        <w:tc>
          <w:tcPr>
            <w:tcW w:w="2040" w:type="dxa"/>
            <w:vAlign w:val="bottom"/>
            <w:tcBorders>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250,000</w:t>
            </w:r>
          </w:p>
        </w:tc>
      </w:tr>
      <w:tr>
        <w:trPr>
          <w:trHeight w:val="87"/>
        </w:trPr>
        <w:tc>
          <w:tcPr>
            <w:tcW w:w="280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right w:val="single" w:sz="8" w:color="B2B2B2"/>
            </w:tcBorders>
          </w:tcPr>
          <w:p>
            <w:pPr>
              <w:spacing w:after="0"/>
              <w:rPr>
                <w:sz w:val="7"/>
                <w:szCs w:val="7"/>
                <w:color w:val="auto"/>
              </w:rPr>
            </w:pPr>
          </w:p>
        </w:tc>
        <w:tc>
          <w:tcPr>
            <w:tcW w:w="2040" w:type="dxa"/>
            <w:vAlign w:val="bottom"/>
            <w:tcBorders>
              <w:bottom w:val="single" w:sz="8" w:color="B2B2B2"/>
              <w:right w:val="single" w:sz="8" w:color="B2B2B2"/>
            </w:tcBorders>
          </w:tcPr>
          <w:p>
            <w:pPr>
              <w:spacing w:after="0"/>
              <w:rPr>
                <w:sz w:val="7"/>
                <w:szCs w:val="7"/>
                <w:color w:val="auto"/>
              </w:rPr>
            </w:pPr>
          </w:p>
        </w:tc>
        <w:tc>
          <w:tcPr>
            <w:tcW w:w="178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tcBorders>
          </w:tcPr>
          <w:p>
            <w:pPr>
              <w:spacing w:after="0"/>
              <w:rPr>
                <w:sz w:val="7"/>
                <w:szCs w:val="7"/>
                <w:color w:val="auto"/>
              </w:rPr>
            </w:pPr>
          </w:p>
        </w:tc>
      </w:tr>
      <w:tr>
        <w:trPr>
          <w:trHeight w:val="381"/>
        </w:trPr>
        <w:tc>
          <w:tcPr>
            <w:tcW w:w="28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Michael E. Daniels</w:t>
            </w:r>
            <w:r>
              <w:rPr>
                <w:rFonts w:ascii="Arial" w:cs="Arial" w:eastAsia="Arial" w:hAnsi="Arial"/>
                <w:sz w:val="24"/>
                <w:szCs w:val="24"/>
                <w:b w:val="1"/>
                <w:bCs w:val="1"/>
                <w:color w:val="auto"/>
                <w:vertAlign w:val="superscript"/>
              </w:rPr>
              <w:t>4</w:t>
            </w:r>
          </w:p>
        </w:tc>
        <w:tc>
          <w:tcPr>
            <w:tcW w:w="1260" w:type="dxa"/>
            <w:vAlign w:val="bottom"/>
            <w:tcBorders>
              <w:bottom w:val="single" w:sz="8" w:color="B2B2B2"/>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right w:val="single" w:sz="8" w:color="B2B2B2"/>
            </w:tcBorders>
          </w:tcPr>
          <w:p>
            <w:pPr>
              <w:jc w:val="right"/>
              <w:ind w:right="360"/>
              <w:spacing w:after="0"/>
              <w:rPr>
                <w:sz w:val="20"/>
                <w:szCs w:val="20"/>
                <w:color w:val="auto"/>
              </w:rPr>
            </w:pPr>
            <w:r>
              <w:rPr>
                <w:rFonts w:ascii="Arial" w:cs="Arial" w:eastAsia="Arial" w:hAnsi="Arial"/>
                <w:sz w:val="16"/>
                <w:szCs w:val="16"/>
                <w:color w:val="auto"/>
              </w:rPr>
              <w:t>450,000</w:t>
            </w:r>
          </w:p>
        </w:tc>
        <w:tc>
          <w:tcPr>
            <w:tcW w:w="2040" w:type="dxa"/>
            <w:vAlign w:val="bottom"/>
            <w:tcBorders>
              <w:bottom w:val="single" w:sz="8" w:color="B2B2B2"/>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B2B2B2"/>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450,000</w:t>
            </w: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Michael Friisdahl</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144,521</w:t>
            </w:r>
          </w:p>
        </w:tc>
        <w:tc>
          <w:tcPr>
            <w:tcW w:w="2040" w:type="dxa"/>
            <w:vAlign w:val="bottom"/>
            <w:tcBorders>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144,521</w:t>
            </w:r>
          </w:p>
        </w:tc>
      </w:tr>
      <w:tr>
        <w:trPr>
          <w:trHeight w:val="87"/>
        </w:trPr>
        <w:tc>
          <w:tcPr>
            <w:tcW w:w="280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right w:val="single" w:sz="8" w:color="B2B2B2"/>
            </w:tcBorders>
          </w:tcPr>
          <w:p>
            <w:pPr>
              <w:spacing w:after="0"/>
              <w:rPr>
                <w:sz w:val="7"/>
                <w:szCs w:val="7"/>
                <w:color w:val="auto"/>
              </w:rPr>
            </w:pPr>
          </w:p>
        </w:tc>
        <w:tc>
          <w:tcPr>
            <w:tcW w:w="2040" w:type="dxa"/>
            <w:vAlign w:val="bottom"/>
            <w:tcBorders>
              <w:bottom w:val="single" w:sz="8" w:color="B2B2B2"/>
              <w:right w:val="single" w:sz="8" w:color="B2B2B2"/>
            </w:tcBorders>
          </w:tcPr>
          <w:p>
            <w:pPr>
              <w:spacing w:after="0"/>
              <w:rPr>
                <w:sz w:val="7"/>
                <w:szCs w:val="7"/>
                <w:color w:val="auto"/>
              </w:rPr>
            </w:pPr>
          </w:p>
        </w:tc>
        <w:tc>
          <w:tcPr>
            <w:tcW w:w="178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tcBorders>
          </w:tcPr>
          <w:p>
            <w:pPr>
              <w:spacing w:after="0"/>
              <w:rPr>
                <w:sz w:val="7"/>
                <w:szCs w:val="7"/>
                <w:color w:val="auto"/>
              </w:rPr>
            </w:pP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Kirk Koenigsbauer</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250,000</w:t>
            </w:r>
          </w:p>
        </w:tc>
        <w:tc>
          <w:tcPr>
            <w:tcW w:w="2040" w:type="dxa"/>
            <w:vAlign w:val="bottom"/>
            <w:tcBorders>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250,000</w:t>
            </w:r>
          </w:p>
        </w:tc>
      </w:tr>
      <w:tr>
        <w:trPr>
          <w:trHeight w:val="87"/>
        </w:trPr>
        <w:tc>
          <w:tcPr>
            <w:tcW w:w="280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right w:val="single" w:sz="8" w:color="B2B2B2"/>
            </w:tcBorders>
          </w:tcPr>
          <w:p>
            <w:pPr>
              <w:spacing w:after="0"/>
              <w:rPr>
                <w:sz w:val="7"/>
                <w:szCs w:val="7"/>
                <w:color w:val="auto"/>
              </w:rPr>
            </w:pPr>
          </w:p>
        </w:tc>
        <w:tc>
          <w:tcPr>
            <w:tcW w:w="2040" w:type="dxa"/>
            <w:vAlign w:val="bottom"/>
            <w:tcBorders>
              <w:bottom w:val="single" w:sz="8" w:color="B2B2B2"/>
              <w:right w:val="single" w:sz="8" w:color="B2B2B2"/>
            </w:tcBorders>
          </w:tcPr>
          <w:p>
            <w:pPr>
              <w:spacing w:after="0"/>
              <w:rPr>
                <w:sz w:val="7"/>
                <w:szCs w:val="7"/>
                <w:color w:val="auto"/>
              </w:rPr>
            </w:pPr>
          </w:p>
        </w:tc>
        <w:tc>
          <w:tcPr>
            <w:tcW w:w="178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tcBorders>
          </w:tcPr>
          <w:p>
            <w:pPr>
              <w:spacing w:after="0"/>
              <w:rPr>
                <w:sz w:val="7"/>
                <w:szCs w:val="7"/>
                <w:color w:val="auto"/>
              </w:rPr>
            </w:pP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Deanna Oppenheimer</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250,000</w:t>
            </w:r>
          </w:p>
        </w:tc>
        <w:tc>
          <w:tcPr>
            <w:tcW w:w="2040" w:type="dxa"/>
            <w:vAlign w:val="bottom"/>
            <w:tcBorders>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250,000</w:t>
            </w:r>
          </w:p>
        </w:tc>
      </w:tr>
      <w:tr>
        <w:trPr>
          <w:trHeight w:val="87"/>
        </w:trPr>
        <w:tc>
          <w:tcPr>
            <w:tcW w:w="280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right w:val="single" w:sz="8" w:color="B2B2B2"/>
            </w:tcBorders>
          </w:tcPr>
          <w:p>
            <w:pPr>
              <w:spacing w:after="0"/>
              <w:rPr>
                <w:sz w:val="7"/>
                <w:szCs w:val="7"/>
                <w:color w:val="auto"/>
              </w:rPr>
            </w:pPr>
          </w:p>
        </w:tc>
        <w:tc>
          <w:tcPr>
            <w:tcW w:w="2040" w:type="dxa"/>
            <w:vAlign w:val="bottom"/>
            <w:tcBorders>
              <w:bottom w:val="single" w:sz="8" w:color="B2B2B2"/>
              <w:right w:val="single" w:sz="8" w:color="B2B2B2"/>
            </w:tcBorders>
          </w:tcPr>
          <w:p>
            <w:pPr>
              <w:spacing w:after="0"/>
              <w:rPr>
                <w:sz w:val="7"/>
                <w:szCs w:val="7"/>
                <w:color w:val="auto"/>
              </w:rPr>
            </w:pPr>
          </w:p>
        </w:tc>
        <w:tc>
          <w:tcPr>
            <w:tcW w:w="178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tcBorders>
          </w:tcPr>
          <w:p>
            <w:pPr>
              <w:spacing w:after="0"/>
              <w:rPr>
                <w:sz w:val="7"/>
                <w:szCs w:val="7"/>
                <w:color w:val="auto"/>
              </w:rPr>
            </w:pPr>
          </w:p>
        </w:tc>
      </w:tr>
      <w:tr>
        <w:trPr>
          <w:trHeight w:val="381"/>
        </w:trPr>
        <w:tc>
          <w:tcPr>
            <w:tcW w:w="28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Simon Paris</w:t>
            </w:r>
            <w:r>
              <w:rPr>
                <w:rFonts w:ascii="Arial" w:cs="Arial" w:eastAsia="Arial" w:hAnsi="Arial"/>
                <w:sz w:val="24"/>
                <w:szCs w:val="24"/>
                <w:b w:val="1"/>
                <w:bCs w:val="1"/>
                <w:color w:val="auto"/>
                <w:vertAlign w:val="superscript"/>
              </w:rPr>
              <w:t>5</w:t>
            </w:r>
          </w:p>
        </w:tc>
        <w:tc>
          <w:tcPr>
            <w:tcW w:w="1260" w:type="dxa"/>
            <w:vAlign w:val="bottom"/>
            <w:tcBorders>
              <w:bottom w:val="single" w:sz="8" w:color="B2B2B2"/>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right w:val="single" w:sz="8" w:color="B2B2B2"/>
            </w:tcBorders>
          </w:tcPr>
          <w:p>
            <w:pPr>
              <w:jc w:val="right"/>
              <w:ind w:right="360"/>
              <w:spacing w:after="0"/>
              <w:rPr>
                <w:sz w:val="20"/>
                <w:szCs w:val="20"/>
                <w:color w:val="auto"/>
              </w:rPr>
            </w:pPr>
            <w:r>
              <w:rPr>
                <w:rFonts w:ascii="Arial" w:cs="Arial" w:eastAsia="Arial" w:hAnsi="Arial"/>
                <w:sz w:val="16"/>
                <w:szCs w:val="16"/>
                <w:color w:val="auto"/>
              </w:rPr>
              <w:t>290,137</w:t>
            </w:r>
          </w:p>
        </w:tc>
        <w:tc>
          <w:tcPr>
            <w:tcW w:w="2040" w:type="dxa"/>
            <w:vAlign w:val="bottom"/>
            <w:tcBorders>
              <w:bottom w:val="single" w:sz="8" w:color="B2B2B2"/>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B2B2B2"/>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290,137</w:t>
            </w: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Kim M. Rivera</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250,000</w:t>
            </w:r>
          </w:p>
        </w:tc>
        <w:tc>
          <w:tcPr>
            <w:tcW w:w="2040" w:type="dxa"/>
            <w:vAlign w:val="bottom"/>
            <w:tcBorders>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250,000</w:t>
            </w:r>
          </w:p>
        </w:tc>
      </w:tr>
      <w:tr>
        <w:trPr>
          <w:trHeight w:val="87"/>
        </w:trPr>
        <w:tc>
          <w:tcPr>
            <w:tcW w:w="280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right w:val="single" w:sz="8" w:color="B2B2B2"/>
            </w:tcBorders>
          </w:tcPr>
          <w:p>
            <w:pPr>
              <w:spacing w:after="0"/>
              <w:rPr>
                <w:sz w:val="7"/>
                <w:szCs w:val="7"/>
                <w:color w:val="auto"/>
              </w:rPr>
            </w:pPr>
          </w:p>
        </w:tc>
        <w:tc>
          <w:tcPr>
            <w:tcW w:w="2040" w:type="dxa"/>
            <w:vAlign w:val="bottom"/>
            <w:tcBorders>
              <w:bottom w:val="single" w:sz="8" w:color="B2B2B2"/>
              <w:right w:val="single" w:sz="8" w:color="B2B2B2"/>
            </w:tcBorders>
          </w:tcPr>
          <w:p>
            <w:pPr>
              <w:spacing w:after="0"/>
              <w:rPr>
                <w:sz w:val="7"/>
                <w:szCs w:val="7"/>
                <w:color w:val="auto"/>
              </w:rPr>
            </w:pPr>
          </w:p>
        </w:tc>
        <w:tc>
          <w:tcPr>
            <w:tcW w:w="178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tcBorders>
          </w:tcPr>
          <w:p>
            <w:pPr>
              <w:spacing w:after="0"/>
              <w:rPr>
                <w:sz w:val="7"/>
                <w:szCs w:val="7"/>
                <w:color w:val="auto"/>
              </w:rPr>
            </w:pP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Paul Sagan</w:t>
            </w:r>
          </w:p>
        </w:tc>
        <w:tc>
          <w:tcPr>
            <w:tcW w:w="1260" w:type="dxa"/>
            <w:vAlign w:val="bottom"/>
            <w:tcBorders>
              <w:right w:val="single" w:sz="8" w:color="B2B2B2"/>
            </w:tcBorders>
          </w:tcPr>
          <w:p>
            <w:pPr>
              <w:spacing w:after="0"/>
              <w:rPr>
                <w:sz w:val="24"/>
                <w:szCs w:val="24"/>
                <w:color w:val="auto"/>
              </w:rPr>
            </w:pP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144,521</w:t>
            </w:r>
          </w:p>
        </w:tc>
        <w:tc>
          <w:tcPr>
            <w:tcW w:w="2040" w:type="dxa"/>
            <w:vAlign w:val="bottom"/>
            <w:tcBorders>
              <w:right w:val="single" w:sz="8" w:color="B2B2B2"/>
            </w:tcBorders>
          </w:tcPr>
          <w:p>
            <w:pPr>
              <w:spacing w:after="0"/>
              <w:rPr>
                <w:sz w:val="24"/>
                <w:szCs w:val="24"/>
                <w:color w:val="auto"/>
              </w:rPr>
            </w:pPr>
          </w:p>
        </w:tc>
        <w:tc>
          <w:tcPr>
            <w:tcW w:w="1780" w:type="dxa"/>
            <w:vAlign w:val="bottom"/>
            <w:tcBorders>
              <w:right w:val="single" w:sz="8" w:color="B2B2B2"/>
            </w:tcBorders>
          </w:tcPr>
          <w:p>
            <w:pPr>
              <w:spacing w:after="0"/>
              <w:rPr>
                <w:sz w:val="24"/>
                <w:szCs w:val="24"/>
                <w:color w:val="auto"/>
              </w:rPr>
            </w:pP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144,521</w:t>
            </w:r>
          </w:p>
        </w:tc>
      </w:tr>
      <w:tr>
        <w:trPr>
          <w:trHeight w:val="87"/>
        </w:trPr>
        <w:tc>
          <w:tcPr>
            <w:tcW w:w="280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right w:val="single" w:sz="8" w:color="B2B2B2"/>
            </w:tcBorders>
          </w:tcPr>
          <w:p>
            <w:pPr>
              <w:spacing w:after="0"/>
              <w:rPr>
                <w:sz w:val="7"/>
                <w:szCs w:val="7"/>
                <w:color w:val="auto"/>
              </w:rPr>
            </w:pPr>
          </w:p>
        </w:tc>
        <w:tc>
          <w:tcPr>
            <w:tcW w:w="2040" w:type="dxa"/>
            <w:vAlign w:val="bottom"/>
            <w:tcBorders>
              <w:bottom w:val="single" w:sz="8" w:color="B2B2B2"/>
              <w:right w:val="single" w:sz="8" w:color="B2B2B2"/>
            </w:tcBorders>
          </w:tcPr>
          <w:p>
            <w:pPr>
              <w:spacing w:after="0"/>
              <w:rPr>
                <w:sz w:val="7"/>
                <w:szCs w:val="7"/>
                <w:color w:val="auto"/>
              </w:rPr>
            </w:pPr>
          </w:p>
        </w:tc>
        <w:tc>
          <w:tcPr>
            <w:tcW w:w="178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tcBorders>
          </w:tcPr>
          <w:p>
            <w:pPr>
              <w:spacing w:after="0"/>
              <w:rPr>
                <w:sz w:val="7"/>
                <w:szCs w:val="7"/>
                <w:color w:val="auto"/>
              </w:rPr>
            </w:pPr>
          </w:p>
        </w:tc>
      </w:tr>
      <w:tr>
        <w:trPr>
          <w:trHeight w:val="381"/>
        </w:trPr>
        <w:tc>
          <w:tcPr>
            <w:tcW w:w="28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Barry Salzberg</w:t>
            </w:r>
            <w:r>
              <w:rPr>
                <w:rFonts w:ascii="Arial" w:cs="Arial" w:eastAsia="Arial" w:hAnsi="Arial"/>
                <w:sz w:val="24"/>
                <w:szCs w:val="24"/>
                <w:b w:val="1"/>
                <w:bCs w:val="1"/>
                <w:color w:val="auto"/>
                <w:vertAlign w:val="superscript"/>
              </w:rPr>
              <w:t>6</w:t>
            </w:r>
          </w:p>
        </w:tc>
        <w:tc>
          <w:tcPr>
            <w:tcW w:w="1260" w:type="dxa"/>
            <w:vAlign w:val="bottom"/>
            <w:tcBorders>
              <w:bottom w:val="single" w:sz="8" w:color="B2B2B2"/>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right w:val="single" w:sz="8" w:color="B2B2B2"/>
            </w:tcBorders>
          </w:tcPr>
          <w:p>
            <w:pPr>
              <w:jc w:val="right"/>
              <w:ind w:right="360"/>
              <w:spacing w:after="0"/>
              <w:rPr>
                <w:sz w:val="20"/>
                <w:szCs w:val="20"/>
                <w:color w:val="auto"/>
              </w:rPr>
            </w:pPr>
            <w:r>
              <w:rPr>
                <w:rFonts w:ascii="Arial" w:cs="Arial" w:eastAsia="Arial" w:hAnsi="Arial"/>
                <w:sz w:val="16"/>
                <w:szCs w:val="16"/>
                <w:color w:val="auto"/>
              </w:rPr>
              <w:t>300,000</w:t>
            </w:r>
          </w:p>
        </w:tc>
        <w:tc>
          <w:tcPr>
            <w:tcW w:w="2040" w:type="dxa"/>
            <w:vAlign w:val="bottom"/>
            <w:tcBorders>
              <w:bottom w:val="single" w:sz="8" w:color="B2B2B2"/>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B2B2B2"/>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300,000</w:t>
            </w: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Peter J. Thomson</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137,500</w:t>
            </w:r>
          </w:p>
        </w:tc>
        <w:tc>
          <w:tcPr>
            <w:tcW w:w="204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112,500</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250,000</w:t>
            </w:r>
          </w:p>
        </w:tc>
      </w:tr>
      <w:tr>
        <w:trPr>
          <w:trHeight w:val="87"/>
        </w:trPr>
        <w:tc>
          <w:tcPr>
            <w:tcW w:w="280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right w:val="single" w:sz="8" w:color="B2B2B2"/>
            </w:tcBorders>
          </w:tcPr>
          <w:p>
            <w:pPr>
              <w:spacing w:after="0"/>
              <w:rPr>
                <w:sz w:val="7"/>
                <w:szCs w:val="7"/>
                <w:color w:val="auto"/>
              </w:rPr>
            </w:pPr>
          </w:p>
        </w:tc>
        <w:tc>
          <w:tcPr>
            <w:tcW w:w="2040" w:type="dxa"/>
            <w:vAlign w:val="bottom"/>
            <w:tcBorders>
              <w:bottom w:val="single" w:sz="8" w:color="B2B2B2"/>
              <w:right w:val="single" w:sz="8" w:color="B2B2B2"/>
            </w:tcBorders>
          </w:tcPr>
          <w:p>
            <w:pPr>
              <w:spacing w:after="0"/>
              <w:rPr>
                <w:sz w:val="7"/>
                <w:szCs w:val="7"/>
                <w:color w:val="auto"/>
              </w:rPr>
            </w:pPr>
          </w:p>
        </w:tc>
        <w:tc>
          <w:tcPr>
            <w:tcW w:w="1780" w:type="dxa"/>
            <w:vAlign w:val="bottom"/>
            <w:tcBorders>
              <w:bottom w:val="single" w:sz="8" w:color="B2B2B2"/>
              <w:right w:val="single" w:sz="8" w:color="B2B2B2"/>
            </w:tcBorders>
          </w:tcPr>
          <w:p>
            <w:pPr>
              <w:spacing w:after="0"/>
              <w:rPr>
                <w:sz w:val="7"/>
                <w:szCs w:val="7"/>
                <w:color w:val="auto"/>
              </w:rPr>
            </w:pPr>
          </w:p>
        </w:tc>
        <w:tc>
          <w:tcPr>
            <w:tcW w:w="1520" w:type="dxa"/>
            <w:vAlign w:val="bottom"/>
            <w:tcBorders>
              <w:bottom w:val="single" w:sz="8" w:color="B2B2B2"/>
            </w:tcBorders>
          </w:tcPr>
          <w:p>
            <w:pPr>
              <w:spacing w:after="0"/>
              <w:rPr>
                <w:sz w:val="7"/>
                <w:szCs w:val="7"/>
                <w:color w:val="auto"/>
              </w:rPr>
            </w:pPr>
          </w:p>
        </w:tc>
      </w:tr>
      <w:tr>
        <w:trPr>
          <w:trHeight w:val="294"/>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Beth Wilson</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100,125</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149,875</w:t>
            </w:r>
          </w:p>
        </w:tc>
        <w:tc>
          <w:tcPr>
            <w:tcW w:w="2040" w:type="dxa"/>
            <w:vAlign w:val="bottom"/>
            <w:tcBorders>
              <w:right w:val="single" w:sz="8" w:color="B2B2B2"/>
            </w:tcBorders>
          </w:tcPr>
          <w:p>
            <w:pPr>
              <w:jc w:val="right"/>
              <w:ind w:right="920"/>
              <w:spacing w:after="0"/>
              <w:rPr>
                <w:sz w:val="20"/>
                <w:szCs w:val="20"/>
                <w:color w:val="auto"/>
              </w:rPr>
            </w:pPr>
            <w:r>
              <w:rPr>
                <w:rFonts w:ascii="Arial" w:cs="Arial" w:eastAsia="Arial" w:hAnsi="Arial"/>
                <w:sz w:val="16"/>
                <w:szCs w:val="16"/>
                <w:color w:val="auto"/>
              </w:rPr>
              <w:t>-</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250,000</w:t>
            </w:r>
          </w:p>
        </w:tc>
      </w:tr>
      <w:tr>
        <w:trPr>
          <w:trHeight w:val="94"/>
        </w:trPr>
        <w:tc>
          <w:tcPr>
            <w:tcW w:w="2800" w:type="dxa"/>
            <w:vAlign w:val="bottom"/>
            <w:tcBorders>
              <w:bottom w:val="single" w:sz="8" w:color="D64000"/>
              <w:right w:val="single" w:sz="8" w:color="B2B2B2"/>
            </w:tcBorders>
          </w:tcPr>
          <w:p>
            <w:pPr>
              <w:spacing w:after="0"/>
              <w:rPr>
                <w:sz w:val="8"/>
                <w:szCs w:val="8"/>
                <w:color w:val="auto"/>
              </w:rPr>
            </w:pPr>
          </w:p>
        </w:tc>
        <w:tc>
          <w:tcPr>
            <w:tcW w:w="1260" w:type="dxa"/>
            <w:vAlign w:val="bottom"/>
            <w:tcBorders>
              <w:bottom w:val="single" w:sz="8" w:color="D64000"/>
              <w:right w:val="single" w:sz="8" w:color="B2B2B2"/>
            </w:tcBorders>
          </w:tcPr>
          <w:p>
            <w:pPr>
              <w:spacing w:after="0"/>
              <w:rPr>
                <w:sz w:val="8"/>
                <w:szCs w:val="8"/>
                <w:color w:val="auto"/>
              </w:rPr>
            </w:pPr>
          </w:p>
        </w:tc>
        <w:tc>
          <w:tcPr>
            <w:tcW w:w="1520" w:type="dxa"/>
            <w:vAlign w:val="bottom"/>
            <w:tcBorders>
              <w:bottom w:val="single" w:sz="8" w:color="D64000"/>
              <w:right w:val="single" w:sz="8" w:color="B2B2B2"/>
            </w:tcBorders>
          </w:tcPr>
          <w:p>
            <w:pPr>
              <w:spacing w:after="0"/>
              <w:rPr>
                <w:sz w:val="8"/>
                <w:szCs w:val="8"/>
                <w:color w:val="auto"/>
              </w:rPr>
            </w:pPr>
          </w:p>
        </w:tc>
        <w:tc>
          <w:tcPr>
            <w:tcW w:w="2040" w:type="dxa"/>
            <w:vAlign w:val="bottom"/>
            <w:tcBorders>
              <w:bottom w:val="single" w:sz="8" w:color="D64000"/>
              <w:right w:val="single" w:sz="8" w:color="B2B2B2"/>
            </w:tcBorders>
          </w:tcPr>
          <w:p>
            <w:pPr>
              <w:spacing w:after="0"/>
              <w:rPr>
                <w:sz w:val="8"/>
                <w:szCs w:val="8"/>
                <w:color w:val="auto"/>
              </w:rPr>
            </w:pPr>
          </w:p>
        </w:tc>
        <w:tc>
          <w:tcPr>
            <w:tcW w:w="1780" w:type="dxa"/>
            <w:vAlign w:val="bottom"/>
            <w:tcBorders>
              <w:bottom w:val="single" w:sz="8" w:color="D64000"/>
              <w:right w:val="single" w:sz="8" w:color="B2B2B2"/>
            </w:tcBorders>
          </w:tcPr>
          <w:p>
            <w:pPr>
              <w:spacing w:after="0"/>
              <w:rPr>
                <w:sz w:val="8"/>
                <w:szCs w:val="8"/>
                <w:color w:val="auto"/>
              </w:rPr>
            </w:pPr>
          </w:p>
        </w:tc>
        <w:tc>
          <w:tcPr>
            <w:tcW w:w="1520" w:type="dxa"/>
            <w:vAlign w:val="bottom"/>
            <w:tcBorders>
              <w:bottom w:val="single" w:sz="8" w:color="D64000"/>
            </w:tcBorders>
          </w:tcPr>
          <w:p>
            <w:pPr>
              <w:spacing w:after="0"/>
              <w:rPr>
                <w:sz w:val="8"/>
                <w:szCs w:val="8"/>
                <w:color w:val="auto"/>
              </w:rPr>
            </w:pPr>
          </w:p>
        </w:tc>
      </w:tr>
      <w:tr>
        <w:trPr>
          <w:trHeight w:val="301"/>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Total</w:t>
            </w:r>
          </w:p>
        </w:tc>
        <w:tc>
          <w:tcPr>
            <w:tcW w:w="126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212,625</w:t>
            </w:r>
          </w:p>
        </w:tc>
        <w:tc>
          <w:tcPr>
            <w:tcW w:w="152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3,520,218</w:t>
            </w:r>
          </w:p>
        </w:tc>
        <w:tc>
          <w:tcPr>
            <w:tcW w:w="2040" w:type="dxa"/>
            <w:vAlign w:val="bottom"/>
            <w:tcBorders>
              <w:right w:val="single" w:sz="8" w:color="B2B2B2"/>
            </w:tcBorders>
          </w:tcPr>
          <w:p>
            <w:pPr>
              <w:jc w:val="right"/>
              <w:ind w:right="360"/>
              <w:spacing w:after="0"/>
              <w:rPr>
                <w:sz w:val="20"/>
                <w:szCs w:val="20"/>
                <w:color w:val="auto"/>
              </w:rPr>
            </w:pPr>
            <w:r>
              <w:rPr>
                <w:rFonts w:ascii="Arial" w:cs="Arial" w:eastAsia="Arial" w:hAnsi="Arial"/>
                <w:sz w:val="16"/>
                <w:szCs w:val="16"/>
                <w:color w:val="auto"/>
              </w:rPr>
              <w:t>112,500</w:t>
            </w:r>
          </w:p>
        </w:tc>
        <w:tc>
          <w:tcPr>
            <w:tcW w:w="1780" w:type="dxa"/>
            <w:vAlign w:val="bottom"/>
            <w:tcBorders>
              <w:right w:val="single" w:sz="8" w:color="B2B2B2"/>
            </w:tcBorders>
          </w:tcPr>
          <w:p>
            <w:pPr>
              <w:jc w:val="center"/>
              <w:ind w:left="240"/>
              <w:spacing w:after="0"/>
              <w:rPr>
                <w:sz w:val="20"/>
                <w:szCs w:val="20"/>
                <w:color w:val="auto"/>
              </w:rPr>
            </w:pPr>
            <w:r>
              <w:rPr>
                <w:rFonts w:ascii="Arial" w:cs="Arial" w:eastAsia="Arial" w:hAnsi="Arial"/>
                <w:sz w:val="16"/>
                <w:szCs w:val="16"/>
                <w:color w:val="auto"/>
              </w:rPr>
              <w:t>0</w:t>
            </w:r>
          </w:p>
        </w:tc>
        <w:tc>
          <w:tcPr>
            <w:tcW w:w="1520" w:type="dxa"/>
            <w:vAlign w:val="bottom"/>
          </w:tcPr>
          <w:p>
            <w:pPr>
              <w:jc w:val="right"/>
              <w:ind w:right="340"/>
              <w:spacing w:after="0"/>
              <w:rPr>
                <w:sz w:val="20"/>
                <w:szCs w:val="20"/>
                <w:color w:val="auto"/>
              </w:rPr>
            </w:pPr>
            <w:r>
              <w:rPr>
                <w:rFonts w:ascii="Arial" w:cs="Arial" w:eastAsia="Arial" w:hAnsi="Arial"/>
                <w:sz w:val="16"/>
                <w:szCs w:val="16"/>
                <w:color w:val="auto"/>
              </w:rPr>
              <w:t>3,845,343</w:t>
            </w:r>
          </w:p>
        </w:tc>
      </w:tr>
      <w:tr>
        <w:trPr>
          <w:trHeight w:val="94"/>
        </w:trPr>
        <w:tc>
          <w:tcPr>
            <w:tcW w:w="2800" w:type="dxa"/>
            <w:vAlign w:val="bottom"/>
            <w:tcBorders>
              <w:bottom w:val="single" w:sz="8" w:color="D64000"/>
              <w:right w:val="single" w:sz="8" w:color="B2B2B2"/>
            </w:tcBorders>
          </w:tcPr>
          <w:p>
            <w:pPr>
              <w:spacing w:after="0"/>
              <w:rPr>
                <w:sz w:val="8"/>
                <w:szCs w:val="8"/>
                <w:color w:val="auto"/>
              </w:rPr>
            </w:pPr>
          </w:p>
        </w:tc>
        <w:tc>
          <w:tcPr>
            <w:tcW w:w="1260" w:type="dxa"/>
            <w:vAlign w:val="bottom"/>
            <w:tcBorders>
              <w:bottom w:val="single" w:sz="8" w:color="D64000"/>
              <w:right w:val="single" w:sz="8" w:color="B2B2B2"/>
            </w:tcBorders>
          </w:tcPr>
          <w:p>
            <w:pPr>
              <w:spacing w:after="0"/>
              <w:rPr>
                <w:sz w:val="8"/>
                <w:szCs w:val="8"/>
                <w:color w:val="auto"/>
              </w:rPr>
            </w:pPr>
          </w:p>
        </w:tc>
        <w:tc>
          <w:tcPr>
            <w:tcW w:w="1520" w:type="dxa"/>
            <w:vAlign w:val="bottom"/>
            <w:tcBorders>
              <w:bottom w:val="single" w:sz="8" w:color="D64000"/>
              <w:right w:val="single" w:sz="8" w:color="B2B2B2"/>
            </w:tcBorders>
          </w:tcPr>
          <w:p>
            <w:pPr>
              <w:spacing w:after="0"/>
              <w:rPr>
                <w:sz w:val="8"/>
                <w:szCs w:val="8"/>
                <w:color w:val="auto"/>
              </w:rPr>
            </w:pPr>
          </w:p>
        </w:tc>
        <w:tc>
          <w:tcPr>
            <w:tcW w:w="2040" w:type="dxa"/>
            <w:vAlign w:val="bottom"/>
            <w:tcBorders>
              <w:bottom w:val="single" w:sz="8" w:color="D64000"/>
              <w:right w:val="single" w:sz="8" w:color="B2B2B2"/>
            </w:tcBorders>
          </w:tcPr>
          <w:p>
            <w:pPr>
              <w:spacing w:after="0"/>
              <w:rPr>
                <w:sz w:val="8"/>
                <w:szCs w:val="8"/>
                <w:color w:val="auto"/>
              </w:rPr>
            </w:pPr>
          </w:p>
        </w:tc>
        <w:tc>
          <w:tcPr>
            <w:tcW w:w="1780" w:type="dxa"/>
            <w:vAlign w:val="bottom"/>
            <w:tcBorders>
              <w:bottom w:val="single" w:sz="8" w:color="D64000"/>
              <w:right w:val="single" w:sz="8" w:color="B2B2B2"/>
            </w:tcBorders>
          </w:tcPr>
          <w:p>
            <w:pPr>
              <w:spacing w:after="0"/>
              <w:rPr>
                <w:sz w:val="8"/>
                <w:szCs w:val="8"/>
                <w:color w:val="auto"/>
              </w:rPr>
            </w:pPr>
          </w:p>
        </w:tc>
        <w:tc>
          <w:tcPr>
            <w:tcW w:w="1520" w:type="dxa"/>
            <w:vAlign w:val="bottom"/>
            <w:tcBorders>
              <w:bottom w:val="single" w:sz="8" w:color="D64000"/>
            </w:tcBorders>
          </w:tcPr>
          <w:p>
            <w:pPr>
              <w:spacing w:after="0"/>
              <w:rPr>
                <w:sz w:val="8"/>
                <w:szCs w:val="8"/>
                <w:color w:val="auto"/>
              </w:rPr>
            </w:pPr>
          </w:p>
        </w:tc>
      </w:tr>
    </w:tbl>
    <w:p>
      <w:pPr>
        <w:spacing w:after="0" w:line="81" w:lineRule="exact"/>
        <w:rPr>
          <w:sz w:val="20"/>
          <w:szCs w:val="20"/>
          <w:color w:val="auto"/>
        </w:rPr>
      </w:pPr>
    </w:p>
    <w:p>
      <w:pPr>
        <w:ind w:left="220" w:hanging="213"/>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David Thomson’s compensation reflects fees for serving as Chairman.</w:t>
      </w:r>
    </w:p>
    <w:p>
      <w:pPr>
        <w:spacing w:after="0" w:line="7" w:lineRule="exact"/>
        <w:rPr>
          <w:sz w:val="20"/>
          <w:szCs w:val="20"/>
          <w:color w:val="auto"/>
        </w:rPr>
      </w:pPr>
    </w:p>
    <w:p>
      <w:pPr>
        <w:ind w:left="220" w:hanging="213"/>
        <w:spacing w:after="0"/>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Kirk Arnold’s compensation includes fees for serving as Chair of the Risk Committee.</w:t>
      </w:r>
    </w:p>
    <w:p>
      <w:pPr>
        <w:ind w:left="220" w:hanging="213"/>
        <w:spacing w:after="0" w:line="236" w:lineRule="auto"/>
        <w:tabs>
          <w:tab w:leader="none" w:pos="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Ed Clark served as director through June 4, 2025. Ed’s compensation also reflects fees for serving as Chair of the HR Committee from January 1, 2025 though March 13, 2025.</w:t>
      </w:r>
    </w:p>
    <w:p>
      <w:pPr>
        <w:ind w:right="2660"/>
        <w:spacing w:after="0" w:line="247" w:lineRule="auto"/>
        <w:rPr>
          <w:rFonts w:ascii="Arial" w:cs="Arial" w:eastAsia="Arial" w:hAnsi="Arial"/>
          <w:sz w:val="13"/>
          <w:szCs w:val="13"/>
          <w:color w:val="auto"/>
        </w:rPr>
      </w:pPr>
      <w:r>
        <w:rPr>
          <w:rFonts w:ascii="Arial" w:cs="Arial" w:eastAsia="Arial" w:hAnsi="Arial"/>
          <w:sz w:val="13"/>
          <w:szCs w:val="13"/>
          <w:color w:val="auto"/>
        </w:rPr>
        <w:t>4 Mike Daniels’ compensation includes fees for serving as Chair of the Corporate Governance Committee and Lead Independent Director. 5 Simon Paris’ compensation includes fees for serving as Chair of the HR Committee from March 14, 2025 through December 31, 2025. 6 Barry Salzberg’s compensation includes fees for serving as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6929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62" w:right="499" w:bottom="1440" w:gutter="0" w:footer="0" w:header="0"/>
        </w:sectPr>
      </w:pPr>
    </w:p>
    <w:p>
      <w:pPr>
        <w:spacing w:after="0" w:line="172"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29</w:t>
      </w:r>
    </w:p>
    <w:p>
      <w:pPr>
        <w:sectPr>
          <w:pgSz w:w="11900" w:h="16838" w:orient="portrait"/>
          <w:cols w:equalWidth="0" w:num="1">
            <w:col w:w="10920"/>
          </w:cols>
          <w:pgMar w:left="480" w:top="262" w:right="4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Stock Option and RSU Grants</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Our non-management directors are not eligible to receive stock option grants and no non-management director currently holds any options. None of our non-management directors currently hold RSUs. Options and RSUs held by Steve Hasker are described later in the circular.</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Share Ownership Guidelines</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Directors are currently required to hold common shares and/or DSUs with a value equal to three times their annual retainer, which is currently $750,000. Directors are required to meet their ownership requirement within five years of the date of their initial appointment to the Thomson Reuters Board. Share prices of all public companies are subject to market volatility. As a result, director share ownership guidelines reflect a “once met, always met” standard. This means that if a director has met his or her applicable ownership guideline multiple and a subsequent decline in the Thomson Reuters share price causes the value of his or her ownership to fall below the applicable threshold, the director will be considered to be in compliance with the guidelines so long as he or she continues to hold the number of shares that were owned at the time when he or she achieved the guidelines.</w:t>
      </w:r>
    </w:p>
    <w:p>
      <w:pPr>
        <w:spacing w:after="0" w:line="5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Ownership of common shares and DSUs by our director nominees, as well as their current ownership multiple of annual retainer, can be found in each nominee’s biography in this circular. David Thomson and Peter Thomson are substantial shareholders of our company as members of the family that owns the equity of Woodbridge. As of April 13, 2026, Woodbridge beneficially owned approximately 71% of our common shares. For more information, see the “Principal Shareholder and Share Capital” section of this circular. The following table shows each non-management director’s progress towards his or her share ownership guidelines as of April 13, 2026.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500" w:type="dxa"/>
            <w:vAlign w:val="bottom"/>
            <w:tcBorders>
              <w:bottom w:val="single" w:sz="8" w:color="D64000"/>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Name</w:t>
            </w:r>
          </w:p>
        </w:tc>
        <w:tc>
          <w:tcPr>
            <w:tcW w:w="5420" w:type="dxa"/>
            <w:vAlign w:val="bottom"/>
            <w:tcBorders>
              <w:bottom w:val="single" w:sz="8" w:color="D64000"/>
            </w:tcBorders>
            <w:shd w:val="clear" w:color="auto" w:fill="1F473D"/>
          </w:tcPr>
          <w:p>
            <w:pPr>
              <w:ind w:left="80"/>
              <w:spacing w:after="0"/>
              <w:rPr>
                <w:sz w:val="20"/>
                <w:szCs w:val="20"/>
                <w:color w:val="auto"/>
              </w:rPr>
            </w:pPr>
            <w:r>
              <w:rPr>
                <w:rFonts w:ascii="Arial" w:cs="Arial" w:eastAsia="Arial" w:hAnsi="Arial"/>
                <w:sz w:val="16"/>
                <w:szCs w:val="16"/>
                <w:b w:val="1"/>
                <w:bCs w:val="1"/>
                <w:color w:val="FFFFFF"/>
              </w:rPr>
              <w:t>Progress towards guidelines</w:t>
            </w:r>
          </w:p>
        </w:tc>
      </w:tr>
      <w:tr>
        <w:trPr>
          <w:trHeight w:val="271"/>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David Thomson</w:t>
            </w:r>
          </w:p>
        </w:tc>
        <w:tc>
          <w:tcPr>
            <w:tcW w:w="542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through Woodbridge’s ownership</w:t>
            </w:r>
          </w:p>
        </w:tc>
      </w:tr>
      <w:tr>
        <w:trPr>
          <w:trHeight w:val="23"/>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64"/>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Kirk E. Arnold</w:t>
            </w:r>
          </w:p>
        </w:tc>
        <w:tc>
          <w:tcPr>
            <w:tcW w:w="54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3"/>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88"/>
        </w:trPr>
        <w:tc>
          <w:tcPr>
            <w:tcW w:w="55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LaVerne Council</w:t>
            </w:r>
            <w:r>
              <w:rPr>
                <w:rFonts w:ascii="Arial" w:cs="Arial" w:eastAsia="Arial" w:hAnsi="Arial"/>
                <w:sz w:val="24"/>
                <w:szCs w:val="24"/>
                <w:b w:val="1"/>
                <w:bCs w:val="1"/>
                <w:color w:val="auto"/>
                <w:vertAlign w:val="superscript"/>
              </w:rPr>
              <w:t>2</w:t>
            </w:r>
          </w:p>
        </w:tc>
        <w:tc>
          <w:tcPr>
            <w:tcW w:w="5420" w:type="dxa"/>
            <w:vAlign w:val="bottom"/>
            <w:tcBorders>
              <w:bottom w:val="single" w:sz="8" w:color="B2B2B2"/>
            </w:tcBorders>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41"/>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Michael Friisdahl</w:t>
            </w:r>
          </w:p>
        </w:tc>
        <w:tc>
          <w:tcPr>
            <w:tcW w:w="5420" w:type="dxa"/>
            <w:vAlign w:val="bottom"/>
          </w:tcPr>
          <w:p>
            <w:pPr>
              <w:ind w:left="80"/>
              <w:spacing w:after="0"/>
              <w:rPr>
                <w:sz w:val="20"/>
                <w:szCs w:val="20"/>
                <w:color w:val="auto"/>
              </w:rPr>
            </w:pPr>
            <w:r>
              <w:rPr>
                <w:rFonts w:ascii="Arial" w:cs="Arial" w:eastAsia="Arial" w:hAnsi="Arial"/>
                <w:sz w:val="16"/>
                <w:szCs w:val="16"/>
                <w:color w:val="auto"/>
              </w:rPr>
              <w:t>Required by June 4, 2030; 18.6% towards goal</w:t>
            </w:r>
          </w:p>
        </w:tc>
      </w:tr>
      <w:tr>
        <w:trPr>
          <w:trHeight w:val="34"/>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88"/>
        </w:trPr>
        <w:tc>
          <w:tcPr>
            <w:tcW w:w="550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xml:space="preserve">  Kirk Koenigsbauer </w:t>
            </w:r>
            <w:r>
              <w:rPr>
                <w:rFonts w:ascii="Arial" w:cs="Arial" w:eastAsia="Arial" w:hAnsi="Arial"/>
                <w:sz w:val="24"/>
                <w:szCs w:val="24"/>
                <w:b w:val="1"/>
                <w:bCs w:val="1"/>
                <w:color w:val="auto"/>
                <w:vertAlign w:val="superscript"/>
              </w:rPr>
              <w:t>1</w:t>
            </w:r>
          </w:p>
        </w:tc>
        <w:tc>
          <w:tcPr>
            <w:tcW w:w="5420" w:type="dxa"/>
            <w:vAlign w:val="bottom"/>
            <w:tcBorders>
              <w:bottom w:val="single" w:sz="8" w:color="B2B2B2"/>
            </w:tcBorders>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64"/>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Deanna Oppenheimer</w:t>
            </w:r>
          </w:p>
        </w:tc>
        <w:tc>
          <w:tcPr>
            <w:tcW w:w="54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3"/>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64"/>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Simon Paris</w:t>
            </w:r>
          </w:p>
        </w:tc>
        <w:tc>
          <w:tcPr>
            <w:tcW w:w="54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3"/>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64"/>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Kim M. Rivera</w:t>
            </w:r>
          </w:p>
        </w:tc>
        <w:tc>
          <w:tcPr>
            <w:tcW w:w="54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3"/>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41"/>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Paul Sagan</w:t>
            </w:r>
          </w:p>
        </w:tc>
        <w:tc>
          <w:tcPr>
            <w:tcW w:w="5420" w:type="dxa"/>
            <w:vAlign w:val="bottom"/>
          </w:tcPr>
          <w:p>
            <w:pPr>
              <w:ind w:left="80"/>
              <w:spacing w:after="0"/>
              <w:rPr>
                <w:sz w:val="20"/>
                <w:szCs w:val="20"/>
                <w:color w:val="auto"/>
              </w:rPr>
            </w:pPr>
            <w:r>
              <w:rPr>
                <w:rFonts w:ascii="Arial" w:cs="Arial" w:eastAsia="Arial" w:hAnsi="Arial"/>
                <w:sz w:val="16"/>
                <w:szCs w:val="16"/>
                <w:color w:val="auto"/>
              </w:rPr>
              <w:t>Required by June 4, 2030; 46.1% towards goal</w:t>
            </w:r>
          </w:p>
        </w:tc>
      </w:tr>
      <w:tr>
        <w:trPr>
          <w:trHeight w:val="34"/>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64"/>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Barry Salzberg</w:t>
            </w:r>
          </w:p>
        </w:tc>
        <w:tc>
          <w:tcPr>
            <w:tcW w:w="54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r>
        <w:trPr>
          <w:trHeight w:val="23"/>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64"/>
        </w:trPr>
        <w:tc>
          <w:tcPr>
            <w:tcW w:w="55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Peter J. Thomson</w:t>
            </w:r>
          </w:p>
        </w:tc>
        <w:tc>
          <w:tcPr>
            <w:tcW w:w="542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through Woodbridge’s ownership</w:t>
            </w:r>
          </w:p>
        </w:tc>
      </w:tr>
      <w:tr>
        <w:trPr>
          <w:trHeight w:val="23"/>
        </w:trPr>
        <w:tc>
          <w:tcPr>
            <w:tcW w:w="5500" w:type="dxa"/>
            <w:vAlign w:val="bottom"/>
            <w:tcBorders>
              <w:bottom w:val="single" w:sz="8" w:color="B2B2B2"/>
              <w:right w:val="single" w:sz="8" w:color="B2B2B2"/>
            </w:tcBorders>
          </w:tcPr>
          <w:p>
            <w:pPr>
              <w:spacing w:after="0"/>
              <w:rPr>
                <w:sz w:val="2"/>
                <w:szCs w:val="2"/>
                <w:color w:val="auto"/>
              </w:rPr>
            </w:pPr>
          </w:p>
        </w:tc>
        <w:tc>
          <w:tcPr>
            <w:tcW w:w="5420" w:type="dxa"/>
            <w:vAlign w:val="bottom"/>
            <w:tcBorders>
              <w:bottom w:val="single" w:sz="8" w:color="B2B2B2"/>
            </w:tcBorders>
          </w:tcPr>
          <w:p>
            <w:pPr>
              <w:spacing w:after="0"/>
              <w:rPr>
                <w:sz w:val="2"/>
                <w:szCs w:val="2"/>
                <w:color w:val="auto"/>
              </w:rPr>
            </w:pPr>
          </w:p>
        </w:tc>
      </w:tr>
      <w:tr>
        <w:trPr>
          <w:trHeight w:val="294"/>
        </w:trPr>
        <w:tc>
          <w:tcPr>
            <w:tcW w:w="5500" w:type="dxa"/>
            <w:vAlign w:val="bottom"/>
            <w:tcBorders>
              <w:bottom w:val="single" w:sz="8" w:color="D64000"/>
              <w:right w:val="single" w:sz="8" w:color="B2B2B2"/>
            </w:tcBorders>
          </w:tcPr>
          <w:p>
            <w:pPr>
              <w:spacing w:after="0"/>
              <w:rPr>
                <w:sz w:val="20"/>
                <w:szCs w:val="20"/>
                <w:color w:val="auto"/>
              </w:rPr>
            </w:pPr>
            <w:r>
              <w:rPr>
                <w:rFonts w:ascii="Arial" w:cs="Arial" w:eastAsia="Arial" w:hAnsi="Arial"/>
                <w:sz w:val="16"/>
                <w:szCs w:val="16"/>
                <w:b w:val="1"/>
                <w:bCs w:val="1"/>
                <w:color w:val="auto"/>
              </w:rPr>
              <w:t>  Beth Wilson</w:t>
            </w:r>
            <w:r>
              <w:rPr>
                <w:rFonts w:ascii="Arial" w:cs="Arial" w:eastAsia="Arial" w:hAnsi="Arial"/>
                <w:sz w:val="24"/>
                <w:szCs w:val="24"/>
                <w:b w:val="1"/>
                <w:bCs w:val="1"/>
                <w:color w:val="auto"/>
                <w:vertAlign w:val="superscript"/>
              </w:rPr>
              <w:t>2</w:t>
            </w:r>
          </w:p>
        </w:tc>
        <w:tc>
          <w:tcPr>
            <w:tcW w:w="5420" w:type="dxa"/>
            <w:vAlign w:val="bottom"/>
            <w:tcBorders>
              <w:bottom w:val="single" w:sz="8" w:color="D64000"/>
            </w:tcBorders>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108" w:lineRule="exact"/>
        <w:rPr>
          <w:sz w:val="20"/>
          <w:szCs w:val="20"/>
          <w:color w:val="auto"/>
        </w:rPr>
      </w:pPr>
    </w:p>
    <w:p>
      <w:pPr>
        <w:ind w:left="220" w:hanging="213"/>
        <w:spacing w:after="0"/>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Kirk Koenigsbauer will complete his service on the Board at this meeting.</w:t>
      </w:r>
    </w:p>
    <w:p>
      <w:pPr>
        <w:spacing w:after="0" w:line="10" w:lineRule="exact"/>
        <w:rPr>
          <w:sz w:val="20"/>
          <w:szCs w:val="20"/>
          <w:color w:val="auto"/>
        </w:rPr>
      </w:pPr>
    </w:p>
    <w:p>
      <w:pPr>
        <w:jc w:val="both"/>
        <w:ind w:left="220" w:right="440" w:hanging="213"/>
        <w:spacing w:after="0" w:line="247" w:lineRule="auto"/>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While the value of shares held by each of LaVerne Council and Beth Wilson is currently below the required threshold, in accordance with the “once met, always met” standard described above, each of LaVerne Council and Beth Wilson continue to hold shares in excess of the number held when they initially satisfied the ownership requirement, and accordingly are considered to be in compliance with the guidelines.</w:t>
      </w:r>
    </w:p>
    <w:p>
      <w:pPr>
        <w:spacing w:after="0" w:line="5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Steve Hasker is subject to separate ownership guidelines as CEO of our company. For more information, see the “Compensation Discussion and Analysis” section of this circular.</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Pensions</w:t>
      </w:r>
    </w:p>
    <w:p>
      <w:pPr>
        <w:spacing w:after="0" w:line="89"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Non-management directors do not receive any pension benefits from our company. Steve Hasker’s retirement benefits are described in the “Executive Compensation – Pension and Other Retirement Benefits” section of this circular.</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Service Contracts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service contracts with our non-management directors.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Liability Insurance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provide our directors with liability insurance in connection with their service on the Board.</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Director Expenses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We reimburse directors for reasonable travel and out-of-pocket expenses incurred in connection with their Thomson Reuters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30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40" w:name="page41"/>
    <w:bookmarkEnd w:id="40"/>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Corporate Governance Practices</w:t>
      </w:r>
    </w:p>
    <w:p>
      <w:pPr>
        <w:spacing w:after="0" w:line="200" w:lineRule="exact"/>
        <w:rPr>
          <w:sz w:val="20"/>
          <w:szCs w:val="20"/>
          <w:color w:val="auto"/>
        </w:rPr>
      </w:pPr>
    </w:p>
    <w:p>
      <w:pPr>
        <w:spacing w:after="0" w:line="21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Our Board is committed to high standards of corporate governance and believes that sound corporate governance practices are essential to the well-being of our company and for the promotion and protection of our shareholders’ interests. We believe that sustainable value creation for all shareholders is fostered through a Board that is informed and engaged and that functions independently of management.</w:t>
      </w:r>
    </w:p>
    <w:p>
      <w:pPr>
        <w:spacing w:after="0" w:line="41"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As a public company with shares listed in Canada on the TSX and in the United States on the Nasdaq, our corporate governance practices are generally consistent with the best practice guidelines of the Canadian securities regulatory authorities and take into account the guidelines provided by the SEC. In addition, our corporate governance practices comply with most of the corporate governance listing standards of the Nasdaq, notwithstanding that we are exempt from most of those standards as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69297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HIGHLIGHTS</w:t>
      </w:r>
    </w:p>
    <w:p>
      <w:pPr>
        <w:spacing w:after="0" w:line="103" w:lineRule="exact"/>
        <w:rPr>
          <w:sz w:val="20"/>
          <w:szCs w:val="20"/>
          <w:color w:val="auto"/>
        </w:rPr>
      </w:pPr>
    </w:p>
    <w:p>
      <w:pPr>
        <w:ind w:left="320" w:right="40" w:hanging="313"/>
        <w:spacing w:after="0" w:line="246" w:lineRule="auto"/>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Independence – </w:t>
      </w:r>
      <w:r>
        <w:rPr>
          <w:rFonts w:ascii="Arial" w:cs="Arial" w:eastAsia="Arial" w:hAnsi="Arial"/>
          <w:sz w:val="17"/>
          <w:szCs w:val="17"/>
          <w:color w:val="auto"/>
        </w:rPr>
        <w:t>A majority of our directors are independent and only one director (our CEO) is a member of management. All of the Board’s</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are comprised of a majority of independent directors. Our independent directors meet without management at each Board meeting;</w:t>
      </w:r>
    </w:p>
    <w:p>
      <w:pPr>
        <w:spacing w:after="0" w:line="54" w:lineRule="exact"/>
        <w:rPr>
          <w:rFonts w:ascii="Arial" w:cs="Arial" w:eastAsia="Arial" w:hAnsi="Arial"/>
          <w:sz w:val="17"/>
          <w:szCs w:val="17"/>
          <w:color w:val="D64000"/>
        </w:rPr>
      </w:pPr>
    </w:p>
    <w:p>
      <w:pPr>
        <w:ind w:left="320" w:hanging="313"/>
        <w:spacing w:after="0"/>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Separation of Chairman and CEO – </w:t>
      </w:r>
      <w:r>
        <w:rPr>
          <w:rFonts w:ascii="Arial" w:cs="Arial" w:eastAsia="Arial" w:hAnsi="Arial"/>
          <w:sz w:val="17"/>
          <w:szCs w:val="17"/>
          <w:color w:val="auto"/>
        </w:rPr>
        <w:t>The roles and responsibilities of the Chairman and the CEO are separate;</w:t>
      </w:r>
    </w:p>
    <w:p>
      <w:pPr>
        <w:spacing w:after="0" w:line="85" w:lineRule="exact"/>
        <w:rPr>
          <w:rFonts w:ascii="Arial" w:cs="Arial" w:eastAsia="Arial" w:hAnsi="Arial"/>
          <w:sz w:val="17"/>
          <w:szCs w:val="17"/>
          <w:color w:val="D64000"/>
        </w:rPr>
      </w:pPr>
    </w:p>
    <w:p>
      <w:pPr>
        <w:ind w:left="320" w:hanging="313"/>
        <w:spacing w:after="0"/>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Share ownership guidelines – </w:t>
      </w:r>
      <w:r>
        <w:rPr>
          <w:rFonts w:ascii="Arial" w:cs="Arial" w:eastAsia="Arial" w:hAnsi="Arial"/>
          <w:sz w:val="17"/>
          <w:szCs w:val="17"/>
          <w:color w:val="auto"/>
        </w:rPr>
        <w:t>Our directors and executive officers are required to maintain equity interests in our company;</w:t>
      </w:r>
    </w:p>
    <w:p>
      <w:pPr>
        <w:spacing w:after="0" w:line="85" w:lineRule="exact"/>
        <w:rPr>
          <w:rFonts w:ascii="Arial" w:cs="Arial" w:eastAsia="Arial" w:hAnsi="Arial"/>
          <w:sz w:val="17"/>
          <w:szCs w:val="17"/>
          <w:color w:val="D64000"/>
        </w:rPr>
      </w:pPr>
    </w:p>
    <w:p>
      <w:pPr>
        <w:ind w:left="320" w:right="240" w:hanging="313"/>
        <w:spacing w:after="0" w:line="263" w:lineRule="auto"/>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Risk oversight – </w:t>
      </w:r>
      <w:r>
        <w:rPr>
          <w:rFonts w:ascii="Arial" w:cs="Arial" w:eastAsia="Arial" w:hAnsi="Arial"/>
          <w:sz w:val="17"/>
          <w:szCs w:val="17"/>
          <w:color w:val="auto"/>
        </w:rPr>
        <w:t>We have a separate Risk Committee that helps oversee our enterprise risk management (ERM) program and other risks</w:t>
      </w:r>
      <w:r>
        <w:rPr>
          <w:rFonts w:ascii="Arial" w:cs="Arial" w:eastAsia="Arial" w:hAnsi="Arial"/>
          <w:sz w:val="17"/>
          <w:szCs w:val="17"/>
          <w:b w:val="1"/>
          <w:bCs w:val="1"/>
          <w:color w:val="auto"/>
        </w:rPr>
        <w:t xml:space="preserve"> </w:t>
      </w:r>
      <w:r>
        <w:rPr>
          <w:rFonts w:ascii="Arial" w:cs="Arial" w:eastAsia="Arial" w:hAnsi="Arial"/>
          <w:sz w:val="17"/>
          <w:szCs w:val="17"/>
          <w:color w:val="auto"/>
        </w:rPr>
        <w:t>not overseen by the Board and its other committees;</w:t>
      </w:r>
    </w:p>
    <w:p>
      <w:pPr>
        <w:spacing w:after="0" w:line="39" w:lineRule="exact"/>
        <w:rPr>
          <w:rFonts w:ascii="Arial" w:cs="Arial" w:eastAsia="Arial" w:hAnsi="Arial"/>
          <w:sz w:val="17"/>
          <w:szCs w:val="17"/>
          <w:color w:val="D64000"/>
        </w:rPr>
      </w:pPr>
    </w:p>
    <w:p>
      <w:pPr>
        <w:ind w:left="320" w:hanging="313"/>
        <w:spacing w:after="0"/>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ESG oversight – </w:t>
      </w:r>
      <w:r>
        <w:rPr>
          <w:rFonts w:ascii="Arial" w:cs="Arial" w:eastAsia="Arial" w:hAnsi="Arial"/>
          <w:sz w:val="17"/>
          <w:szCs w:val="17"/>
          <w:color w:val="auto"/>
        </w:rPr>
        <w:t>ESG is overseen by our Board and its committees;</w:t>
      </w:r>
    </w:p>
    <w:p>
      <w:pPr>
        <w:spacing w:after="0" w:line="85" w:lineRule="exact"/>
        <w:rPr>
          <w:rFonts w:ascii="Arial" w:cs="Arial" w:eastAsia="Arial" w:hAnsi="Arial"/>
          <w:sz w:val="17"/>
          <w:szCs w:val="17"/>
          <w:color w:val="D64000"/>
        </w:rPr>
      </w:pPr>
    </w:p>
    <w:p>
      <w:pPr>
        <w:ind w:left="320" w:hanging="313"/>
        <w:spacing w:after="0"/>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AI oversight – </w:t>
      </w:r>
      <w:r>
        <w:rPr>
          <w:rFonts w:ascii="Arial" w:cs="Arial" w:eastAsia="Arial" w:hAnsi="Arial"/>
          <w:sz w:val="17"/>
          <w:szCs w:val="17"/>
          <w:color w:val="auto"/>
        </w:rPr>
        <w:t>AI matters are overseen by our Board and its committees;</w:t>
      </w:r>
    </w:p>
    <w:p>
      <w:pPr>
        <w:spacing w:after="0" w:line="85" w:lineRule="exact"/>
        <w:rPr>
          <w:rFonts w:ascii="Arial" w:cs="Arial" w:eastAsia="Arial" w:hAnsi="Arial"/>
          <w:sz w:val="17"/>
          <w:szCs w:val="17"/>
          <w:color w:val="D64000"/>
        </w:rPr>
      </w:pPr>
    </w:p>
    <w:p>
      <w:pPr>
        <w:ind w:left="320" w:hanging="313"/>
        <w:spacing w:after="0"/>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Voting structure – </w:t>
      </w:r>
      <w:r>
        <w:rPr>
          <w:rFonts w:ascii="Arial" w:cs="Arial" w:eastAsia="Arial" w:hAnsi="Arial"/>
          <w:sz w:val="17"/>
          <w:szCs w:val="17"/>
          <w:color w:val="auto"/>
        </w:rPr>
        <w:t>We do not have dual class or subordinate voting structures;</w:t>
      </w:r>
    </w:p>
    <w:p>
      <w:pPr>
        <w:spacing w:after="0" w:line="85" w:lineRule="exact"/>
        <w:rPr>
          <w:rFonts w:ascii="Arial" w:cs="Arial" w:eastAsia="Arial" w:hAnsi="Arial"/>
          <w:sz w:val="17"/>
          <w:szCs w:val="17"/>
          <w:color w:val="D64000"/>
        </w:rPr>
      </w:pPr>
    </w:p>
    <w:p>
      <w:pPr>
        <w:ind w:left="320" w:right="140" w:hanging="313"/>
        <w:spacing w:after="0" w:line="263" w:lineRule="auto"/>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Code of Business Conduct and Ethics – </w:t>
      </w:r>
      <w:r>
        <w:rPr>
          <w:rFonts w:ascii="Arial" w:cs="Arial" w:eastAsia="Arial" w:hAnsi="Arial"/>
          <w:sz w:val="17"/>
          <w:szCs w:val="17"/>
          <w:color w:val="auto"/>
        </w:rPr>
        <w:t>Our directors and executive officers must comply with our Code and other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w:t>
      </w:r>
    </w:p>
    <w:p>
      <w:pPr>
        <w:spacing w:after="0" w:line="39" w:lineRule="exact"/>
        <w:rPr>
          <w:rFonts w:ascii="Arial" w:cs="Arial" w:eastAsia="Arial" w:hAnsi="Arial"/>
          <w:sz w:val="17"/>
          <w:szCs w:val="17"/>
          <w:color w:val="D64000"/>
        </w:rPr>
      </w:pPr>
    </w:p>
    <w:p>
      <w:pPr>
        <w:ind w:left="320" w:hanging="313"/>
        <w:spacing w:after="0"/>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Director orientation – </w:t>
      </w:r>
      <w:r>
        <w:rPr>
          <w:rFonts w:ascii="Arial" w:cs="Arial" w:eastAsia="Arial" w:hAnsi="Arial"/>
          <w:sz w:val="17"/>
          <w:szCs w:val="17"/>
          <w:color w:val="auto"/>
        </w:rPr>
        <w:t>We have an orientation program to onboard our new directors; and</w:t>
      </w:r>
    </w:p>
    <w:p>
      <w:pPr>
        <w:spacing w:after="0" w:line="85" w:lineRule="exact"/>
        <w:rPr>
          <w:rFonts w:ascii="Arial" w:cs="Arial" w:eastAsia="Arial" w:hAnsi="Arial"/>
          <w:sz w:val="17"/>
          <w:szCs w:val="17"/>
          <w:color w:val="D64000"/>
        </w:rPr>
      </w:pPr>
    </w:p>
    <w:p>
      <w:pPr>
        <w:ind w:left="320" w:hanging="313"/>
        <w:spacing w:after="0"/>
        <w:tabs>
          <w:tab w:leader="none" w:pos="320" w:val="left"/>
        </w:tabs>
        <w:numPr>
          <w:ilvl w:val="0"/>
          <w:numId w:val="31"/>
        </w:numPr>
        <w:rPr>
          <w:rFonts w:ascii="Arial" w:cs="Arial" w:eastAsia="Arial" w:hAnsi="Arial"/>
          <w:sz w:val="17"/>
          <w:szCs w:val="17"/>
          <w:color w:val="D64000"/>
        </w:rPr>
      </w:pPr>
      <w:r>
        <w:rPr>
          <w:rFonts w:ascii="Arial" w:cs="Arial" w:eastAsia="Arial" w:hAnsi="Arial"/>
          <w:sz w:val="17"/>
          <w:szCs w:val="17"/>
          <w:b w:val="1"/>
          <w:bCs w:val="1"/>
          <w:color w:val="auto"/>
        </w:rPr>
        <w:t xml:space="preserve">Independent advice – </w:t>
      </w:r>
      <w:r>
        <w:rPr>
          <w:rFonts w:ascii="Arial" w:cs="Arial" w:eastAsia="Arial" w:hAnsi="Arial"/>
          <w:sz w:val="17"/>
          <w:szCs w:val="17"/>
          <w:color w:val="auto"/>
        </w:rPr>
        <w:t>The Board and each of its committees have the ability to retain independent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Composition and Responsibilities</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Governance Structure</w:t>
      </w:r>
    </w:p>
    <w:p>
      <w:pPr>
        <w:spacing w:after="0" w:line="11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Board oversees our corporate governance structure, in part, through the work of the Corporate Governance Committee. Board practices are set out in Corporate Governance Guidelines, which the Corporate Governance Committee reviews annually. The Corporate Governance Guidelines deal with issues such as the Board’s duties and responsibilities, share ownership guidelines and conflicts of interest. In addition, each of the Board’s four standing committees (Audit, Corporate Governance, HR and Risk) has a charter. The charters are reviewed annually by the relevant committee and the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69297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21" w:lineRule="exact"/>
        <w:rPr>
          <w:sz w:val="20"/>
          <w:szCs w:val="20"/>
          <w:color w:val="auto"/>
        </w:rPr>
      </w:pPr>
    </w:p>
    <w:p>
      <w:pPr>
        <w:ind w:right="40"/>
        <w:spacing w:after="0" w:line="281" w:lineRule="auto"/>
        <w:rPr>
          <w:sz w:val="20"/>
          <w:szCs w:val="20"/>
          <w:color w:val="auto"/>
        </w:rPr>
      </w:pPr>
      <w:r>
        <w:rPr>
          <w:rFonts w:ascii="Arial" w:cs="Arial" w:eastAsia="Arial" w:hAnsi="Arial"/>
          <w:sz w:val="25"/>
          <w:szCs w:val="25"/>
          <w:color w:val="auto"/>
        </w:rPr>
        <w:t>The Board’s principal responsibilities include strategic planning, risk management, talent oversight, financial reporting, disclosure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69297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3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Code of Business Conduct and Ethics (Code) applies to our employees, directors and officers, including our CEO, CFO and Controller. Our employees, directors and officers are required to complete training on the Code and submit an acknowledgment that they have received and read a copy of the Code and understand their obligations to comply with the principles and policies outlined in it. The Corporate Governance Committee receives an annual report regarding the Code from a member of the General Counsel’s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9297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31</w:t>
      </w:r>
    </w:p>
    <w:p>
      <w:pPr>
        <w:sectPr>
          <w:pgSz w:w="11900" w:h="16838" w:orient="portrait"/>
          <w:cols w:equalWidth="0" w:num="1">
            <w:col w:w="10920"/>
          </w:cols>
          <w:pgMar w:left="480" w:top="234" w:right="49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Board Size</w:t>
      </w:r>
    </w:p>
    <w:p>
      <w:pPr>
        <w:spacing w:after="0" w:line="10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Board currently consists of 13 individuals and functions independently of management. The Board is currently comprised of 12 non-management directors and the CEO. Individual directors are proposed for election annually. We have proposed that 14 directors be nominated for election at the meeting, 12 of whom are currently directors. Each of the Board’s committees is discussed in more detail later in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268605</wp:posOffset>
            </wp:positionV>
            <wp:extent cx="5256530" cy="1231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56530" cy="123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Key Responsibilities of the Board</w:t>
      </w:r>
    </w:p>
    <w:p>
      <w:pPr>
        <w:spacing w:after="0" w:line="10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fundamental responsibility of the Board is to supervise the management of the business and affairs of Thomson Reuters. The table below highlights primary activities and topics from the Board’s 2025 work plan for its regularly scheduled meetings. Five of the Board’s meetings in 2025 were regularly scheduled and one special meeting was held during the year.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220" w:type="dxa"/>
            <w:vAlign w:val="bottom"/>
            <w:tcBorders>
              <w:bottom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Meeting</w:t>
            </w:r>
          </w:p>
        </w:tc>
        <w:tc>
          <w:tcPr>
            <w:tcW w:w="9700" w:type="dxa"/>
            <w:vAlign w:val="bottom"/>
            <w:tcBorders>
              <w:bottom w:val="single" w:sz="8" w:color="1F473D"/>
            </w:tcBorders>
            <w:gridSpan w:val="2"/>
            <w:shd w:val="clear" w:color="auto" w:fill="1F473D"/>
          </w:tcPr>
          <w:p>
            <w:pPr>
              <w:ind w:left="100"/>
              <w:spacing w:after="0"/>
              <w:rPr>
                <w:sz w:val="20"/>
                <w:szCs w:val="20"/>
                <w:color w:val="auto"/>
              </w:rPr>
            </w:pPr>
            <w:r>
              <w:rPr>
                <w:rFonts w:ascii="Arial" w:cs="Arial" w:eastAsia="Arial" w:hAnsi="Arial"/>
                <w:sz w:val="16"/>
                <w:szCs w:val="16"/>
                <w:b w:val="1"/>
                <w:bCs w:val="1"/>
                <w:color w:val="FFFFFF"/>
              </w:rPr>
              <w:t>2025 Primary Activities/Topics</w:t>
            </w:r>
          </w:p>
        </w:tc>
      </w:tr>
      <w:tr>
        <w:trPr>
          <w:trHeight w:val="227"/>
        </w:trPr>
        <w:tc>
          <w:tcPr>
            <w:tcW w:w="1220" w:type="dxa"/>
            <w:vAlign w:val="bottom"/>
            <w:tcBorders>
              <w:top w:val="single" w:sz="8" w:color="D64000"/>
            </w:tcBorders>
          </w:tcPr>
          <w:p>
            <w:pPr>
              <w:spacing w:after="0"/>
              <w:rPr>
                <w:sz w:val="20"/>
                <w:szCs w:val="20"/>
                <w:color w:val="auto"/>
              </w:rPr>
            </w:pPr>
            <w:r>
              <w:rPr>
                <w:rFonts w:ascii="Arial" w:cs="Arial" w:eastAsia="Arial" w:hAnsi="Arial"/>
                <w:sz w:val="16"/>
                <w:szCs w:val="16"/>
                <w:color w:val="auto"/>
              </w:rPr>
              <w:t>  January</w:t>
            </w:r>
          </w:p>
        </w:tc>
        <w:tc>
          <w:tcPr>
            <w:tcW w:w="240" w:type="dxa"/>
            <w:vAlign w:val="bottom"/>
            <w:tcBorders>
              <w:top w:val="single" w:sz="8" w:color="D64000"/>
            </w:tcBorders>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Borders>
              <w:top w:val="single" w:sz="8" w:color="D64000"/>
            </w:tcBorders>
          </w:tcPr>
          <w:p>
            <w:pPr>
              <w:ind w:left="80"/>
              <w:spacing w:after="0"/>
              <w:rPr>
                <w:sz w:val="20"/>
                <w:szCs w:val="20"/>
                <w:color w:val="auto"/>
              </w:rPr>
            </w:pPr>
            <w:r>
              <w:rPr>
                <w:rFonts w:ascii="Arial" w:cs="Arial" w:eastAsia="Arial" w:hAnsi="Arial"/>
                <w:sz w:val="16"/>
                <w:szCs w:val="16"/>
                <w:color w:val="auto"/>
              </w:rPr>
              <w:t>Annual operating plan</w:t>
            </w:r>
          </w:p>
        </w:tc>
      </w:tr>
      <w:tr>
        <w:trPr>
          <w:trHeight w:val="187"/>
        </w:trPr>
        <w:tc>
          <w:tcPr>
            <w:tcW w:w="1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Dividend policy</w:t>
            </w:r>
          </w:p>
        </w:tc>
      </w:tr>
      <w:tr>
        <w:trPr>
          <w:trHeight w:val="187"/>
        </w:trPr>
        <w:tc>
          <w:tcPr>
            <w:tcW w:w="1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Corporates segment update</w:t>
            </w:r>
          </w:p>
        </w:tc>
      </w:tr>
      <w:tr>
        <w:trPr>
          <w:trHeight w:val="211"/>
        </w:trPr>
        <w:tc>
          <w:tcPr>
            <w:tcW w:w="12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Product update, including AI update</w:t>
            </w:r>
          </w:p>
        </w:tc>
      </w:tr>
      <w:tr>
        <w:trPr>
          <w:trHeight w:val="44"/>
        </w:trPr>
        <w:tc>
          <w:tcPr>
            <w:tcW w:w="1220" w:type="dxa"/>
            <w:vAlign w:val="bottom"/>
            <w:tcBorders>
              <w:bottom w:val="single" w:sz="8" w:color="AFAFAF"/>
            </w:tcBorders>
          </w:tcPr>
          <w:p>
            <w:pPr>
              <w:spacing w:after="0"/>
              <w:rPr>
                <w:sz w:val="3"/>
                <w:szCs w:val="3"/>
                <w:color w:val="auto"/>
              </w:rPr>
            </w:pPr>
          </w:p>
        </w:tc>
        <w:tc>
          <w:tcPr>
            <w:tcW w:w="240" w:type="dxa"/>
            <w:vAlign w:val="bottom"/>
            <w:tcBorders>
              <w:bottom w:val="single" w:sz="8" w:color="AFAFAF"/>
            </w:tcBorders>
          </w:tcPr>
          <w:p>
            <w:pPr>
              <w:spacing w:after="0"/>
              <w:rPr>
                <w:sz w:val="3"/>
                <w:szCs w:val="3"/>
                <w:color w:val="auto"/>
              </w:rPr>
            </w:pPr>
          </w:p>
        </w:tc>
        <w:tc>
          <w:tcPr>
            <w:tcW w:w="9460" w:type="dxa"/>
            <w:vAlign w:val="bottom"/>
            <w:tcBorders>
              <w:bottom w:val="single" w:sz="8" w:color="AFAFAF"/>
            </w:tcBorders>
          </w:tcPr>
          <w:p>
            <w:pPr>
              <w:spacing w:after="0"/>
              <w:rPr>
                <w:sz w:val="3"/>
                <w:szCs w:val="3"/>
                <w:color w:val="auto"/>
              </w:rPr>
            </w:pPr>
          </w:p>
        </w:tc>
      </w:tr>
      <w:tr>
        <w:trPr>
          <w:trHeight w:val="220"/>
        </w:trPr>
        <w:tc>
          <w:tcPr>
            <w:tcW w:w="1220" w:type="dxa"/>
            <w:vAlign w:val="bottom"/>
          </w:tcPr>
          <w:p>
            <w:pPr>
              <w:spacing w:after="0"/>
              <w:rPr>
                <w:sz w:val="20"/>
                <w:szCs w:val="20"/>
                <w:color w:val="auto"/>
              </w:rPr>
            </w:pPr>
            <w:r>
              <w:rPr>
                <w:rFonts w:ascii="Arial" w:cs="Arial" w:eastAsia="Arial" w:hAnsi="Arial"/>
                <w:sz w:val="16"/>
                <w:szCs w:val="16"/>
                <w:color w:val="auto"/>
              </w:rPr>
              <w:t>  March</w:t>
            </w: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Annual disclosure and corporate governance documents (annual report/financial statements &amp; proxy circular)</w:t>
            </w:r>
          </w:p>
        </w:tc>
      </w:tr>
      <w:tr>
        <w:trPr>
          <w:trHeight w:val="187"/>
        </w:trPr>
        <w:tc>
          <w:tcPr>
            <w:tcW w:w="1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Financial update</w:t>
            </w:r>
          </w:p>
        </w:tc>
      </w:tr>
      <w:tr>
        <w:trPr>
          <w:trHeight w:val="187"/>
        </w:trPr>
        <w:tc>
          <w:tcPr>
            <w:tcW w:w="1220" w:type="dxa"/>
            <w:vAlign w:val="bottom"/>
          </w:tcPr>
          <w:p>
            <w:pPr>
              <w:spacing w:after="0"/>
              <w:rPr>
                <w:sz w:val="16"/>
                <w:szCs w:val="16"/>
                <w:color w:val="auto"/>
              </w:rPr>
            </w:pPr>
          </w:p>
        </w:tc>
        <w:tc>
          <w:tcPr>
            <w:tcW w:w="9700" w:type="dxa"/>
            <w:vAlign w:val="bottom"/>
            <w:gridSpan w:val="2"/>
          </w:tcPr>
          <w:p>
            <w:pPr>
              <w:ind w:left="10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Legal Professionals segment update, including AI update</w:t>
            </w:r>
          </w:p>
        </w:tc>
      </w:tr>
      <w:tr>
        <w:trPr>
          <w:trHeight w:val="187"/>
        </w:trPr>
        <w:tc>
          <w:tcPr>
            <w:tcW w:w="1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International segment update</w:t>
            </w:r>
          </w:p>
        </w:tc>
      </w:tr>
      <w:tr>
        <w:trPr>
          <w:trHeight w:val="211"/>
        </w:trPr>
        <w:tc>
          <w:tcPr>
            <w:tcW w:w="12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Executive compensation</w:t>
            </w:r>
          </w:p>
        </w:tc>
      </w:tr>
      <w:tr>
        <w:trPr>
          <w:trHeight w:val="44"/>
        </w:trPr>
        <w:tc>
          <w:tcPr>
            <w:tcW w:w="1220" w:type="dxa"/>
            <w:vAlign w:val="bottom"/>
            <w:tcBorders>
              <w:bottom w:val="single" w:sz="8" w:color="AFAFAF"/>
            </w:tcBorders>
          </w:tcPr>
          <w:p>
            <w:pPr>
              <w:spacing w:after="0"/>
              <w:rPr>
                <w:sz w:val="3"/>
                <w:szCs w:val="3"/>
                <w:color w:val="auto"/>
              </w:rPr>
            </w:pPr>
          </w:p>
        </w:tc>
        <w:tc>
          <w:tcPr>
            <w:tcW w:w="240" w:type="dxa"/>
            <w:vAlign w:val="bottom"/>
            <w:tcBorders>
              <w:bottom w:val="single" w:sz="8" w:color="AFAFAF"/>
            </w:tcBorders>
          </w:tcPr>
          <w:p>
            <w:pPr>
              <w:spacing w:after="0"/>
              <w:rPr>
                <w:sz w:val="3"/>
                <w:szCs w:val="3"/>
                <w:color w:val="auto"/>
              </w:rPr>
            </w:pPr>
          </w:p>
        </w:tc>
        <w:tc>
          <w:tcPr>
            <w:tcW w:w="9460" w:type="dxa"/>
            <w:vAlign w:val="bottom"/>
            <w:tcBorders>
              <w:bottom w:val="single" w:sz="8" w:color="AFAFAF"/>
            </w:tcBorders>
          </w:tcPr>
          <w:p>
            <w:pPr>
              <w:spacing w:after="0"/>
              <w:rPr>
                <w:sz w:val="3"/>
                <w:szCs w:val="3"/>
                <w:color w:val="auto"/>
              </w:rPr>
            </w:pPr>
          </w:p>
        </w:tc>
      </w:tr>
      <w:tr>
        <w:trPr>
          <w:trHeight w:val="244"/>
        </w:trPr>
        <w:tc>
          <w:tcPr>
            <w:tcW w:w="1220" w:type="dxa"/>
            <w:vAlign w:val="bottom"/>
          </w:tcPr>
          <w:p>
            <w:pPr>
              <w:spacing w:after="0"/>
              <w:rPr>
                <w:sz w:val="20"/>
                <w:szCs w:val="20"/>
                <w:color w:val="auto"/>
              </w:rPr>
            </w:pPr>
            <w:r>
              <w:rPr>
                <w:rFonts w:ascii="Arial" w:cs="Arial" w:eastAsia="Arial" w:hAnsi="Arial"/>
                <w:sz w:val="16"/>
                <w:szCs w:val="16"/>
                <w:color w:val="auto"/>
              </w:rPr>
              <w:t>  April</w:t>
            </w: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New director nominee selection</w:t>
            </w:r>
          </w:p>
        </w:tc>
      </w:tr>
      <w:tr>
        <w:trPr>
          <w:trHeight w:val="44"/>
        </w:trPr>
        <w:tc>
          <w:tcPr>
            <w:tcW w:w="1220" w:type="dxa"/>
            <w:vAlign w:val="bottom"/>
            <w:tcBorders>
              <w:bottom w:val="single" w:sz="8" w:color="AFAFAF"/>
            </w:tcBorders>
          </w:tcPr>
          <w:p>
            <w:pPr>
              <w:spacing w:after="0"/>
              <w:rPr>
                <w:sz w:val="3"/>
                <w:szCs w:val="3"/>
                <w:color w:val="auto"/>
              </w:rPr>
            </w:pPr>
          </w:p>
        </w:tc>
        <w:tc>
          <w:tcPr>
            <w:tcW w:w="240" w:type="dxa"/>
            <w:vAlign w:val="bottom"/>
            <w:tcBorders>
              <w:bottom w:val="single" w:sz="8" w:color="AFAFAF"/>
            </w:tcBorders>
          </w:tcPr>
          <w:p>
            <w:pPr>
              <w:spacing w:after="0"/>
              <w:rPr>
                <w:sz w:val="3"/>
                <w:szCs w:val="3"/>
                <w:color w:val="auto"/>
              </w:rPr>
            </w:pPr>
          </w:p>
        </w:tc>
        <w:tc>
          <w:tcPr>
            <w:tcW w:w="9460" w:type="dxa"/>
            <w:vAlign w:val="bottom"/>
            <w:tcBorders>
              <w:bottom w:val="single" w:sz="8" w:color="AFAFAF"/>
            </w:tcBorders>
          </w:tcPr>
          <w:p>
            <w:pPr>
              <w:spacing w:after="0"/>
              <w:rPr>
                <w:sz w:val="3"/>
                <w:szCs w:val="3"/>
                <w:color w:val="auto"/>
              </w:rPr>
            </w:pPr>
          </w:p>
        </w:tc>
      </w:tr>
      <w:tr>
        <w:trPr>
          <w:trHeight w:val="220"/>
        </w:trPr>
        <w:tc>
          <w:tcPr>
            <w:tcW w:w="1220" w:type="dxa"/>
            <w:vAlign w:val="bottom"/>
          </w:tcPr>
          <w:p>
            <w:pPr>
              <w:spacing w:after="0"/>
              <w:rPr>
                <w:sz w:val="20"/>
                <w:szCs w:val="20"/>
                <w:color w:val="auto"/>
              </w:rPr>
            </w:pPr>
            <w:r>
              <w:rPr>
                <w:rFonts w:ascii="Arial" w:cs="Arial" w:eastAsia="Arial" w:hAnsi="Arial"/>
                <w:sz w:val="16"/>
                <w:szCs w:val="16"/>
                <w:color w:val="auto"/>
              </w:rPr>
              <w:t>  June</w:t>
            </w: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Financial update</w:t>
            </w:r>
          </w:p>
        </w:tc>
      </w:tr>
      <w:tr>
        <w:trPr>
          <w:trHeight w:val="187"/>
        </w:trPr>
        <w:tc>
          <w:tcPr>
            <w:tcW w:w="1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Government market update</w:t>
            </w:r>
          </w:p>
        </w:tc>
      </w:tr>
      <w:tr>
        <w:trPr>
          <w:trHeight w:val="187"/>
        </w:trPr>
        <w:tc>
          <w:tcPr>
            <w:tcW w:w="1220" w:type="dxa"/>
            <w:vAlign w:val="bottom"/>
          </w:tcPr>
          <w:p>
            <w:pPr>
              <w:spacing w:after="0"/>
              <w:rPr>
                <w:sz w:val="16"/>
                <w:szCs w:val="16"/>
                <w:color w:val="auto"/>
              </w:rPr>
            </w:pPr>
          </w:p>
        </w:tc>
        <w:tc>
          <w:tcPr>
            <w:tcW w:w="9700" w:type="dxa"/>
            <w:vAlign w:val="bottom"/>
            <w:gridSpan w:val="2"/>
          </w:tcPr>
          <w:p>
            <w:pPr>
              <w:ind w:left="10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Tax, Audit &amp; Accounting Professionals segment update, including AI update</w:t>
            </w:r>
          </w:p>
        </w:tc>
      </w:tr>
      <w:tr>
        <w:trPr>
          <w:trHeight w:val="187"/>
        </w:trPr>
        <w:tc>
          <w:tcPr>
            <w:tcW w:w="1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M&amp;A update</w:t>
            </w:r>
          </w:p>
        </w:tc>
      </w:tr>
      <w:tr>
        <w:trPr>
          <w:trHeight w:val="211"/>
        </w:trPr>
        <w:tc>
          <w:tcPr>
            <w:tcW w:w="12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D64000"/>
              </w:rPr>
              <w:t>•</w:t>
            </w:r>
          </w:p>
        </w:tc>
        <w:tc>
          <w:tcPr>
            <w:tcW w:w="9460" w:type="dxa"/>
            <w:vAlign w:val="bottom"/>
          </w:tcPr>
          <w:p>
            <w:pPr>
              <w:ind w:left="80"/>
              <w:spacing w:after="0"/>
              <w:rPr>
                <w:sz w:val="20"/>
                <w:szCs w:val="20"/>
                <w:color w:val="auto"/>
              </w:rPr>
            </w:pPr>
            <w:r>
              <w:rPr>
                <w:rFonts w:ascii="Arial" w:cs="Arial" w:eastAsia="Arial" w:hAnsi="Arial"/>
                <w:sz w:val="16"/>
                <w:szCs w:val="16"/>
                <w:color w:val="auto"/>
              </w:rPr>
              <w:t>Corporates segment update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9297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6" w:lineRule="exact"/>
        <w:rPr>
          <w:sz w:val="20"/>
          <w:szCs w:val="20"/>
          <w:color w:val="auto"/>
        </w:rPr>
      </w:pPr>
    </w:p>
    <w:p>
      <w:pPr>
        <w:spacing w:after="0"/>
        <w:tabs>
          <w:tab w:leader="none" w:pos="1300" w:val="left"/>
          <w:tab w:leader="none" w:pos="1520" w:val="left"/>
        </w:tabs>
        <w:rPr>
          <w:sz w:val="20"/>
          <w:szCs w:val="20"/>
          <w:color w:val="auto"/>
        </w:rPr>
      </w:pPr>
      <w:r>
        <w:rPr>
          <w:rFonts w:ascii="Arial" w:cs="Arial" w:eastAsia="Arial" w:hAnsi="Arial"/>
          <w:sz w:val="16"/>
          <w:szCs w:val="16"/>
          <w:color w:val="auto"/>
        </w:rPr>
        <w:t>  September</w:t>
      </w:r>
      <w:r>
        <w:rPr>
          <w:sz w:val="20"/>
          <w:szCs w:val="20"/>
          <w:color w:val="auto"/>
        </w:rPr>
        <w:tab/>
      </w:r>
      <w:r>
        <w:rPr>
          <w:rFonts w:ascii="Arial" w:cs="Arial" w:eastAsia="Arial" w:hAnsi="Arial"/>
          <w:sz w:val="16"/>
          <w:szCs w:val="16"/>
          <w:color w:val="D64000"/>
        </w:rPr>
        <w:t>•</w:t>
      </w:r>
      <w:r>
        <w:rPr>
          <w:sz w:val="20"/>
          <w:szCs w:val="20"/>
          <w:color w:val="auto"/>
        </w:rPr>
        <w:tab/>
      </w:r>
      <w:r>
        <w:rPr>
          <w:rFonts w:ascii="Arial" w:cs="Arial" w:eastAsia="Arial" w:hAnsi="Arial"/>
          <w:sz w:val="15"/>
          <w:szCs w:val="15"/>
          <w:color w:val="auto"/>
        </w:rPr>
        <w:t>Financial and capital strategy update</w:t>
      </w:r>
    </w:p>
    <w:p>
      <w:pPr>
        <w:spacing w:after="0" w:line="19" w:lineRule="exact"/>
        <w:rPr>
          <w:sz w:val="20"/>
          <w:szCs w:val="20"/>
          <w:color w:val="auto"/>
        </w:rPr>
      </w:pPr>
    </w:p>
    <w:p>
      <w:pPr>
        <w:ind w:left="1540" w:hanging="222"/>
        <w:spacing w:after="0"/>
        <w:tabs>
          <w:tab w:leader="none" w:pos="1540" w:val="left"/>
        </w:tabs>
        <w:numPr>
          <w:ilvl w:val="0"/>
          <w:numId w:val="32"/>
        </w:numPr>
        <w:rPr>
          <w:rFonts w:ascii="Arial" w:cs="Arial" w:eastAsia="Arial" w:hAnsi="Arial"/>
          <w:sz w:val="16"/>
          <w:szCs w:val="16"/>
          <w:color w:val="D64000"/>
        </w:rPr>
      </w:pPr>
      <w:r>
        <w:rPr>
          <w:rFonts w:ascii="Arial" w:cs="Arial" w:eastAsia="Arial" w:hAnsi="Arial"/>
          <w:sz w:val="16"/>
          <w:szCs w:val="16"/>
          <w:color w:val="auto"/>
        </w:rPr>
        <w:t>Legal Professionals segment update, including AI update</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2"/>
        </w:numPr>
        <w:rPr>
          <w:rFonts w:ascii="Arial" w:cs="Arial" w:eastAsia="Arial" w:hAnsi="Arial"/>
          <w:sz w:val="16"/>
          <w:szCs w:val="16"/>
          <w:color w:val="D64000"/>
        </w:rPr>
      </w:pPr>
      <w:r>
        <w:rPr>
          <w:rFonts w:ascii="Arial" w:cs="Arial" w:eastAsia="Arial" w:hAnsi="Arial"/>
          <w:sz w:val="16"/>
          <w:szCs w:val="16"/>
          <w:color w:val="auto"/>
        </w:rPr>
        <w:t>Product updates, including content, editorial and AI update</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2"/>
        </w:numPr>
        <w:rPr>
          <w:rFonts w:ascii="Arial" w:cs="Arial" w:eastAsia="Arial" w:hAnsi="Arial"/>
          <w:sz w:val="16"/>
          <w:szCs w:val="16"/>
          <w:color w:val="D64000"/>
        </w:rPr>
      </w:pPr>
      <w:r>
        <w:rPr>
          <w:rFonts w:ascii="Arial" w:cs="Arial" w:eastAsia="Arial" w:hAnsi="Arial"/>
          <w:sz w:val="16"/>
          <w:szCs w:val="16"/>
          <w:color w:val="auto"/>
        </w:rPr>
        <w:t>M&amp;A update</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2"/>
        </w:numPr>
        <w:rPr>
          <w:rFonts w:ascii="Arial" w:cs="Arial" w:eastAsia="Arial" w:hAnsi="Arial"/>
          <w:sz w:val="16"/>
          <w:szCs w:val="16"/>
          <w:color w:val="D64000"/>
        </w:rPr>
      </w:pPr>
      <w:r>
        <w:rPr>
          <w:rFonts w:ascii="Arial" w:cs="Arial" w:eastAsia="Arial" w:hAnsi="Arial"/>
          <w:sz w:val="16"/>
          <w:szCs w:val="16"/>
          <w:color w:val="auto"/>
        </w:rPr>
        <w:t>TR Labs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8" w:lineRule="exact"/>
        <w:rPr>
          <w:sz w:val="20"/>
          <w:szCs w:val="20"/>
          <w:color w:val="auto"/>
        </w:rPr>
      </w:pPr>
    </w:p>
    <w:p>
      <w:pPr>
        <w:spacing w:after="0"/>
        <w:tabs>
          <w:tab w:leader="none" w:pos="1300" w:val="left"/>
          <w:tab w:leader="none" w:pos="1520" w:val="left"/>
        </w:tabs>
        <w:rPr>
          <w:sz w:val="20"/>
          <w:szCs w:val="20"/>
          <w:color w:val="auto"/>
        </w:rPr>
      </w:pPr>
      <w:r>
        <w:rPr>
          <w:rFonts w:ascii="Arial" w:cs="Arial" w:eastAsia="Arial" w:hAnsi="Arial"/>
          <w:sz w:val="16"/>
          <w:szCs w:val="16"/>
          <w:color w:val="auto"/>
        </w:rPr>
        <w:t>  November</w:t>
      </w:r>
      <w:r>
        <w:rPr>
          <w:sz w:val="20"/>
          <w:szCs w:val="20"/>
          <w:color w:val="auto"/>
        </w:rPr>
        <w:tab/>
      </w:r>
      <w:r>
        <w:rPr>
          <w:rFonts w:ascii="Arial" w:cs="Arial" w:eastAsia="Arial" w:hAnsi="Arial"/>
          <w:sz w:val="16"/>
          <w:szCs w:val="16"/>
          <w:color w:val="D64000"/>
        </w:rPr>
        <w:t>•</w:t>
      </w:r>
      <w:r>
        <w:rPr>
          <w:rFonts w:ascii="Arial" w:cs="Arial" w:eastAsia="Arial" w:hAnsi="Arial"/>
          <w:sz w:val="16"/>
          <w:szCs w:val="16"/>
          <w:color w:val="auto"/>
        </w:rPr>
        <w:tab/>
        <w:t>Financial update and annual operating plan</w:t>
      </w:r>
    </w:p>
    <w:p>
      <w:pPr>
        <w:spacing w:after="0" w:line="19" w:lineRule="exact"/>
        <w:rPr>
          <w:sz w:val="20"/>
          <w:szCs w:val="20"/>
          <w:color w:val="auto"/>
        </w:rPr>
      </w:pPr>
    </w:p>
    <w:p>
      <w:pPr>
        <w:ind w:left="1540" w:hanging="222"/>
        <w:spacing w:after="0"/>
        <w:tabs>
          <w:tab w:leader="none" w:pos="1540" w:val="left"/>
        </w:tabs>
        <w:numPr>
          <w:ilvl w:val="0"/>
          <w:numId w:val="33"/>
        </w:numPr>
        <w:rPr>
          <w:rFonts w:ascii="Arial" w:cs="Arial" w:eastAsia="Arial" w:hAnsi="Arial"/>
          <w:sz w:val="16"/>
          <w:szCs w:val="16"/>
          <w:color w:val="D64000"/>
        </w:rPr>
      </w:pPr>
      <w:r>
        <w:rPr>
          <w:rFonts w:ascii="Arial" w:cs="Arial" w:eastAsia="Arial" w:hAnsi="Arial"/>
          <w:sz w:val="16"/>
          <w:szCs w:val="16"/>
          <w:color w:val="auto"/>
        </w:rPr>
        <w:t>Procurement update</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3"/>
        </w:numPr>
        <w:rPr>
          <w:rFonts w:ascii="Arial" w:cs="Arial" w:eastAsia="Arial" w:hAnsi="Arial"/>
          <w:sz w:val="16"/>
          <w:szCs w:val="16"/>
          <w:color w:val="D64000"/>
        </w:rPr>
      </w:pPr>
      <w:r>
        <w:rPr>
          <w:rFonts w:ascii="Arial" w:cs="Arial" w:eastAsia="Arial" w:hAnsi="Arial"/>
          <w:sz w:val="16"/>
          <w:szCs w:val="16"/>
          <w:color w:val="auto"/>
        </w:rPr>
        <w:t>M&amp;A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8" w:lineRule="exact"/>
        <w:rPr>
          <w:sz w:val="20"/>
          <w:szCs w:val="20"/>
          <w:color w:val="auto"/>
        </w:rPr>
      </w:pPr>
    </w:p>
    <w:p>
      <w:pPr>
        <w:spacing w:after="0"/>
        <w:tabs>
          <w:tab w:leader="none" w:pos="1300" w:val="left"/>
          <w:tab w:leader="none" w:pos="1520" w:val="left"/>
        </w:tabs>
        <w:rPr>
          <w:sz w:val="20"/>
          <w:szCs w:val="20"/>
          <w:color w:val="auto"/>
        </w:rPr>
      </w:pPr>
      <w:r>
        <w:rPr>
          <w:rFonts w:ascii="Arial" w:cs="Arial" w:eastAsia="Arial" w:hAnsi="Arial"/>
          <w:sz w:val="16"/>
          <w:szCs w:val="16"/>
          <w:color w:val="auto"/>
        </w:rPr>
        <w:t>  Each meeting</w:t>
      </w:r>
      <w:r>
        <w:rPr>
          <w:rFonts w:ascii="Arial" w:cs="Arial" w:eastAsia="Arial" w:hAnsi="Arial"/>
          <w:sz w:val="16"/>
          <w:szCs w:val="16"/>
          <w:color w:val="D64000"/>
        </w:rPr>
        <w:tab/>
        <w:t>•</w:t>
      </w:r>
      <w:r>
        <w:rPr>
          <w:rFonts w:ascii="Arial" w:cs="Arial" w:eastAsia="Arial" w:hAnsi="Arial"/>
          <w:sz w:val="16"/>
          <w:szCs w:val="16"/>
          <w:color w:val="auto"/>
        </w:rPr>
        <w:tab/>
        <w:t>In-camera meetings with the CEO only (typically at the start and end of each meeting)</w:t>
      </w:r>
    </w:p>
    <w:p>
      <w:pPr>
        <w:spacing w:after="0" w:line="19" w:lineRule="exact"/>
        <w:rPr>
          <w:sz w:val="20"/>
          <w:szCs w:val="20"/>
          <w:color w:val="auto"/>
        </w:rPr>
      </w:pPr>
    </w:p>
    <w:p>
      <w:pPr>
        <w:ind w:left="1540" w:hanging="222"/>
        <w:spacing w:after="0"/>
        <w:tabs>
          <w:tab w:leader="none" w:pos="1540" w:val="left"/>
        </w:tabs>
        <w:numPr>
          <w:ilvl w:val="0"/>
          <w:numId w:val="34"/>
        </w:numPr>
        <w:rPr>
          <w:rFonts w:ascii="Arial" w:cs="Arial" w:eastAsia="Arial" w:hAnsi="Arial"/>
          <w:sz w:val="16"/>
          <w:szCs w:val="16"/>
          <w:color w:val="D64000"/>
        </w:rPr>
      </w:pPr>
      <w:r>
        <w:rPr>
          <w:rFonts w:ascii="Arial" w:cs="Arial" w:eastAsia="Arial" w:hAnsi="Arial"/>
          <w:sz w:val="16"/>
          <w:szCs w:val="16"/>
          <w:color w:val="auto"/>
        </w:rPr>
        <w:t>In-camera meetings of non-management directors only</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4"/>
        </w:numPr>
        <w:rPr>
          <w:rFonts w:ascii="Arial" w:cs="Arial" w:eastAsia="Arial" w:hAnsi="Arial"/>
          <w:sz w:val="16"/>
          <w:szCs w:val="16"/>
          <w:color w:val="D64000"/>
        </w:rPr>
      </w:pPr>
      <w:r>
        <w:rPr>
          <w:rFonts w:ascii="Arial" w:cs="Arial" w:eastAsia="Arial" w:hAnsi="Arial"/>
          <w:sz w:val="16"/>
          <w:szCs w:val="16"/>
          <w:color w:val="auto"/>
        </w:rPr>
        <w:t>In-camera meetings of independent directors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8" w:lineRule="exact"/>
        <w:rPr>
          <w:sz w:val="20"/>
          <w:szCs w:val="20"/>
          <w:color w:val="auto"/>
        </w:rPr>
      </w:pPr>
    </w:p>
    <w:p>
      <w:pPr>
        <w:spacing w:after="0"/>
        <w:tabs>
          <w:tab w:leader="none" w:pos="1300" w:val="left"/>
          <w:tab w:leader="none" w:pos="1520" w:val="left"/>
        </w:tabs>
        <w:rPr>
          <w:sz w:val="20"/>
          <w:szCs w:val="20"/>
          <w:color w:val="auto"/>
        </w:rPr>
      </w:pPr>
      <w:r>
        <w:rPr>
          <w:rFonts w:ascii="Arial" w:cs="Arial" w:eastAsia="Arial" w:hAnsi="Arial"/>
          <w:sz w:val="16"/>
          <w:szCs w:val="16"/>
          <w:color w:val="auto"/>
        </w:rPr>
        <w:t>  Periodically</w:t>
      </w:r>
      <w:r>
        <w:rPr>
          <w:sz w:val="20"/>
          <w:szCs w:val="20"/>
          <w:color w:val="auto"/>
        </w:rPr>
        <w:tab/>
      </w:r>
      <w:r>
        <w:rPr>
          <w:rFonts w:ascii="Arial" w:cs="Arial" w:eastAsia="Arial" w:hAnsi="Arial"/>
          <w:sz w:val="16"/>
          <w:szCs w:val="16"/>
          <w:color w:val="D64000"/>
        </w:rPr>
        <w:t>•</w:t>
      </w:r>
      <w:r>
        <w:rPr>
          <w:rFonts w:ascii="Arial" w:cs="Arial" w:eastAsia="Arial" w:hAnsi="Arial"/>
          <w:sz w:val="16"/>
          <w:szCs w:val="16"/>
          <w:color w:val="auto"/>
        </w:rPr>
        <w:tab/>
        <w:t>Strategic and management discussions related to individual businesses or sectors</w:t>
      </w:r>
    </w:p>
    <w:p>
      <w:pPr>
        <w:spacing w:after="0" w:line="19" w:lineRule="exact"/>
        <w:rPr>
          <w:sz w:val="20"/>
          <w:szCs w:val="20"/>
          <w:color w:val="auto"/>
        </w:rPr>
      </w:pPr>
    </w:p>
    <w:p>
      <w:pPr>
        <w:ind w:left="1540" w:hanging="222"/>
        <w:spacing w:after="0"/>
        <w:tabs>
          <w:tab w:leader="none" w:pos="1540" w:val="left"/>
        </w:tabs>
        <w:numPr>
          <w:ilvl w:val="0"/>
          <w:numId w:val="35"/>
        </w:numPr>
        <w:rPr>
          <w:rFonts w:ascii="Arial" w:cs="Arial" w:eastAsia="Arial" w:hAnsi="Arial"/>
          <w:sz w:val="16"/>
          <w:szCs w:val="16"/>
          <w:color w:val="D64000"/>
        </w:rPr>
      </w:pPr>
      <w:r>
        <w:rPr>
          <w:rFonts w:ascii="Arial" w:cs="Arial" w:eastAsia="Arial" w:hAnsi="Arial"/>
          <w:sz w:val="16"/>
          <w:szCs w:val="16"/>
          <w:color w:val="auto"/>
        </w:rPr>
        <w:t>Reports from the Chairs of the Audit, Corporate Governance, HR and Risk Committees</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5"/>
        </w:numPr>
        <w:rPr>
          <w:rFonts w:ascii="Arial" w:cs="Arial" w:eastAsia="Arial" w:hAnsi="Arial"/>
          <w:sz w:val="16"/>
          <w:szCs w:val="16"/>
          <w:color w:val="D64000"/>
        </w:rPr>
      </w:pPr>
      <w:r>
        <w:rPr>
          <w:rFonts w:ascii="Arial" w:cs="Arial" w:eastAsia="Arial" w:hAnsi="Arial"/>
          <w:sz w:val="16"/>
          <w:szCs w:val="16"/>
          <w:color w:val="auto"/>
        </w:rPr>
        <w:t>Enterprise Risk Management updates</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5"/>
        </w:numPr>
        <w:rPr>
          <w:rFonts w:ascii="Arial" w:cs="Arial" w:eastAsia="Arial" w:hAnsi="Arial"/>
          <w:sz w:val="16"/>
          <w:szCs w:val="16"/>
          <w:color w:val="D64000"/>
        </w:rPr>
      </w:pPr>
      <w:r>
        <w:rPr>
          <w:rFonts w:ascii="Arial" w:cs="Arial" w:eastAsia="Arial" w:hAnsi="Arial"/>
          <w:sz w:val="16"/>
          <w:szCs w:val="16"/>
          <w:color w:val="auto"/>
        </w:rPr>
        <w:t>Proposed significant acquisitions and dispositions</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5"/>
        </w:numPr>
        <w:rPr>
          <w:rFonts w:ascii="Arial" w:cs="Arial" w:eastAsia="Arial" w:hAnsi="Arial"/>
          <w:sz w:val="16"/>
          <w:szCs w:val="16"/>
          <w:color w:val="D64000"/>
        </w:rPr>
      </w:pPr>
      <w:r>
        <w:rPr>
          <w:rFonts w:ascii="Arial" w:cs="Arial" w:eastAsia="Arial" w:hAnsi="Arial"/>
          <w:sz w:val="16"/>
          <w:szCs w:val="16"/>
          <w:color w:val="auto"/>
        </w:rPr>
        <w:t>Product updates</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5"/>
        </w:numPr>
        <w:rPr>
          <w:rFonts w:ascii="Arial" w:cs="Arial" w:eastAsia="Arial" w:hAnsi="Arial"/>
          <w:sz w:val="16"/>
          <w:szCs w:val="16"/>
          <w:color w:val="D64000"/>
        </w:rPr>
      </w:pPr>
      <w:r>
        <w:rPr>
          <w:rFonts w:ascii="Arial" w:cs="Arial" w:eastAsia="Arial" w:hAnsi="Arial"/>
          <w:sz w:val="16"/>
          <w:szCs w:val="16"/>
          <w:color w:val="auto"/>
        </w:rPr>
        <w:t>Proposed capital markets transactions</w:t>
      </w:r>
    </w:p>
    <w:p>
      <w:pPr>
        <w:spacing w:after="0" w:line="3" w:lineRule="exact"/>
        <w:rPr>
          <w:rFonts w:ascii="Arial" w:cs="Arial" w:eastAsia="Arial" w:hAnsi="Arial"/>
          <w:sz w:val="16"/>
          <w:szCs w:val="16"/>
          <w:color w:val="D64000"/>
        </w:rPr>
      </w:pPr>
    </w:p>
    <w:p>
      <w:pPr>
        <w:ind w:left="1540" w:hanging="222"/>
        <w:spacing w:after="0"/>
        <w:tabs>
          <w:tab w:leader="none" w:pos="1540" w:val="left"/>
        </w:tabs>
        <w:numPr>
          <w:ilvl w:val="0"/>
          <w:numId w:val="35"/>
        </w:numPr>
        <w:rPr>
          <w:rFonts w:ascii="Arial" w:cs="Arial" w:eastAsia="Arial" w:hAnsi="Arial"/>
          <w:sz w:val="16"/>
          <w:szCs w:val="16"/>
          <w:color w:val="D64000"/>
        </w:rPr>
      </w:pPr>
      <w:r>
        <w:rPr>
          <w:rFonts w:ascii="Arial" w:cs="Arial" w:eastAsia="Arial" w:hAnsi="Arial"/>
          <w:sz w:val="16"/>
          <w:szCs w:val="16"/>
          <w:color w:val="auto"/>
        </w:rPr>
        <w:t>Competitive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69297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32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42" w:name="page43"/>
    <w:bookmarkEnd w:id="42"/>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Strategic Planning</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Board plays an important role in strategic planning and direction throughout the year.</w:t>
      </w:r>
    </w:p>
    <w:p>
      <w:pPr>
        <w:spacing w:after="0" w:line="7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January, the Board meets with management to review, discuss and approve the final version of our annual operating plan, which is prepared by our CEO, CFO and other senior executives. The plan typically addresses:</w:t>
      </w:r>
    </w:p>
    <w:p>
      <w:pPr>
        <w:spacing w:after="0" w:line="40" w:lineRule="exact"/>
        <w:rPr>
          <w:sz w:val="20"/>
          <w:szCs w:val="20"/>
          <w:color w:val="auto"/>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Opportunities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Competitive position</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Business outlook</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Preliminary full-year financial results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Financial projections for a three-year period</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Other key performance indicators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Annual dividend and share repurchase program recommendations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Risks</w:t>
      </w:r>
    </w:p>
    <w:p>
      <w:pPr>
        <w:spacing w:after="0" w:line="85"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Throughout the year, the Board and management discuss our progress against the plan. Strategy discussions typically cover topics such as technology, competition, the current condition of our business segments, future growth potential of our businesses and the key market segments that we serve, and how we are seeking to increase shareholder value.</w:t>
      </w:r>
    </w:p>
    <w:p>
      <w:pPr>
        <w:spacing w:after="0" w:line="54"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Board also discusses various strategic issues with management at other meetings during the year. For example, the Board discussed our content strategy with the head of our editorial function in September. In addition, various presidents of our business segments provide updates to the Board at meetings during the year and those discussions typically address the segment’s current operations and strategic objectives.</w:t>
      </w:r>
    </w:p>
    <w:p>
      <w:pPr>
        <w:spacing w:after="0" w:line="4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Between meetings, senior management provides directors with timely updates on significant developments as circumstances require. In addition, the CEO hosts regular informal update calls between scheduled meetings to ensure directors remain informed of key business and strategic matters.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Risk Oversight</w:t>
      </w:r>
    </w:p>
    <w:p>
      <w:pPr>
        <w:spacing w:after="0" w:line="10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Board of Directors is ultimately accountable for the oversight of risk management at Thomson Reuters and is responsible for confirming that a system is in place to identify the principal risks facing Thomson Reuters and that appropriate procedures and systems are in place to monitor, mitigate and manage those risks. The Board’s Risk Committee has responsibility for assisting the Board of Directors in fulfilling its oversight responsibilities in relation to identification, assessment and management of enterprise risks (other than financial risks or risks pertaining to talent/employee matters which are overseen by the Audit Committee and the Human Resources Committee, respectively) and any additional matters delegated to the Risk Committee by the Board. While the Risk Committee is responsible for overseeing and monitoring Thomson Reuters’ framework, policies and procedures with respect to risk identification, assessment and management, it is the responsibility of the Chief Executive Officer and senior management to identify, assess and manage the Thomson Reuters’ risks through the design, implementation and maintenance of an enterprise risk management (“ERM”) program. The primary responsibility of the management Enterprise Risk Committee (“ERC”), which is an executive-level committee, is to support the Risk Committee in execution of this mandate. Members include senior leaders from Thomson Reuters’ corporate functions and each business segment. It is jointly chaired by the Chief Legal Officer &amp; Company Secretary and the Chief Operations &amp; Technology Officer.</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The Enterprise Risk Management process at our company is intended to:</w:t>
      </w:r>
    </w:p>
    <w:p>
      <w:pPr>
        <w:spacing w:after="0" w:line="112" w:lineRule="exact"/>
        <w:rPr>
          <w:sz w:val="20"/>
          <w:szCs w:val="20"/>
          <w:color w:val="auto"/>
        </w:rPr>
      </w:pPr>
    </w:p>
    <w:p>
      <w:pPr>
        <w:ind w:left="440" w:right="100" w:hanging="433"/>
        <w:spacing w:after="0" w:line="263" w:lineRule="auto"/>
        <w:tabs>
          <w:tab w:leader="none" w:pos="440" w:val="left"/>
        </w:tabs>
        <w:numPr>
          <w:ilvl w:val="0"/>
          <w:numId w:val="37"/>
        </w:numPr>
        <w:rPr>
          <w:rFonts w:ascii="Arial" w:cs="Arial" w:eastAsia="Arial" w:hAnsi="Arial"/>
          <w:sz w:val="17"/>
          <w:szCs w:val="17"/>
          <w:color w:val="D64000"/>
        </w:rPr>
      </w:pPr>
      <w:r>
        <w:rPr>
          <w:rFonts w:ascii="Arial" w:cs="Arial" w:eastAsia="Arial" w:hAnsi="Arial"/>
          <w:sz w:val="17"/>
          <w:szCs w:val="17"/>
          <w:color w:val="auto"/>
        </w:rPr>
        <w:t>Identify the most significant operational, strategic, trust, financial and other risks in each of our business segments and corporate functions, considering both the external environment and internal factors such as strategy, people and processes;</w:t>
      </w:r>
    </w:p>
    <w:p>
      <w:pPr>
        <w:spacing w:after="0" w:line="66" w:lineRule="exact"/>
        <w:rPr>
          <w:rFonts w:ascii="Arial" w:cs="Arial" w:eastAsia="Arial" w:hAnsi="Arial"/>
          <w:sz w:val="17"/>
          <w:szCs w:val="17"/>
          <w:color w:val="D64000"/>
        </w:rPr>
      </w:pPr>
    </w:p>
    <w:p>
      <w:pPr>
        <w:ind w:left="440" w:right="340" w:hanging="433"/>
        <w:spacing w:after="0" w:line="263" w:lineRule="auto"/>
        <w:tabs>
          <w:tab w:leader="none" w:pos="440" w:val="left"/>
        </w:tabs>
        <w:numPr>
          <w:ilvl w:val="0"/>
          <w:numId w:val="37"/>
        </w:numPr>
        <w:rPr>
          <w:rFonts w:ascii="Arial" w:cs="Arial" w:eastAsia="Arial" w:hAnsi="Arial"/>
          <w:sz w:val="17"/>
          <w:szCs w:val="17"/>
          <w:color w:val="D64000"/>
        </w:rPr>
      </w:pPr>
      <w:r>
        <w:rPr>
          <w:rFonts w:ascii="Arial" w:cs="Arial" w:eastAsia="Arial" w:hAnsi="Arial"/>
          <w:sz w:val="17"/>
          <w:szCs w:val="17"/>
          <w:color w:val="auto"/>
        </w:rPr>
        <w:t>Assess which of these risks individually or together with other identified risks could have a significant impact on Thomson Reuters as an enterprise if they were to materialize; and</w:t>
      </w:r>
    </w:p>
    <w:p>
      <w:pPr>
        <w:spacing w:after="0" w:line="66" w:lineRule="exact"/>
        <w:rPr>
          <w:rFonts w:ascii="Arial" w:cs="Arial" w:eastAsia="Arial" w:hAnsi="Arial"/>
          <w:sz w:val="17"/>
          <w:szCs w:val="17"/>
          <w:color w:val="D64000"/>
        </w:rPr>
      </w:pPr>
    </w:p>
    <w:p>
      <w:pPr>
        <w:ind w:left="440" w:hanging="433"/>
        <w:spacing w:after="0"/>
        <w:tabs>
          <w:tab w:leader="none" w:pos="440" w:val="left"/>
        </w:tabs>
        <w:numPr>
          <w:ilvl w:val="0"/>
          <w:numId w:val="37"/>
        </w:numPr>
        <w:rPr>
          <w:rFonts w:ascii="Arial" w:cs="Arial" w:eastAsia="Arial" w:hAnsi="Arial"/>
          <w:sz w:val="17"/>
          <w:szCs w:val="17"/>
          <w:color w:val="D64000"/>
        </w:rPr>
      </w:pPr>
      <w:r>
        <w:rPr>
          <w:rFonts w:ascii="Arial" w:cs="Arial" w:eastAsia="Arial" w:hAnsi="Arial"/>
          <w:sz w:val="17"/>
          <w:szCs w:val="17"/>
          <w:color w:val="auto"/>
        </w:rPr>
        <w:t>Develop and implement action plans for the enterprise’s most significant risks and review them periodically at a corporate and Board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9297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32" w:lineRule="exact"/>
        <w:rPr>
          <w:sz w:val="20"/>
          <w:szCs w:val="20"/>
          <w:color w:val="auto"/>
        </w:rPr>
      </w:pPr>
    </w:p>
    <w:p>
      <w:pPr>
        <w:jc w:val="both"/>
        <w:ind w:right="460"/>
        <w:spacing w:after="0" w:line="263" w:lineRule="auto"/>
        <w:rPr>
          <w:sz w:val="20"/>
          <w:szCs w:val="20"/>
          <w:color w:val="auto"/>
        </w:rPr>
      </w:pPr>
      <w:r>
        <w:rPr>
          <w:rFonts w:ascii="Arial" w:cs="Arial" w:eastAsia="Arial" w:hAnsi="Arial"/>
          <w:sz w:val="25"/>
          <w:szCs w:val="25"/>
          <w:color w:val="auto"/>
        </w:rPr>
        <w:t>Our enterprise risk management process is designed to identify and respond to risk throughout Thomson Reuters and assist the Board and its committees with oversight responsibility for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69297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7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Each year, the enterprise risk team conducts an enterprise top risk assessment exercise that commences with a risk identification process facilitated through a survey with senior representatives from business segments and corporate functions. The risk identification process also includes focused interviews with each Board member to gather their perspectives on the company’s top and emerging risks. Risk owners are identified for each of the top risks, the risks are assessed and prioritized, and results presented to the ERC for endorsement and validation. Once endorsed, the enterprise top risks are submitted to the CEO’s operating network. The ERC-endorsed top enterprise risks are further presented to the Board’s Risk Committee for review, input and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69297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33</w:t>
      </w:r>
    </w:p>
    <w:p>
      <w:pPr>
        <w:sectPr>
          <w:pgSz w:w="11900" w:h="16838" w:orient="portrait"/>
          <w:cols w:equalWidth="0" w:num="1">
            <w:col w:w="10920"/>
          </w:cols>
          <w:pgMar w:left="480" w:top="262" w:right="499" w:bottom="1440" w:gutter="0" w:footer="0" w:header="0"/>
        </w:sectPr>
      </w:pPr>
    </w:p>
    <w:bookmarkStart w:id="43" w:name="page44"/>
    <w:bookmarkEnd w:id="43"/>
    <w:p>
      <w:pPr>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Throughout the year, the Risk &amp; Compliance team holds regular touchpoints with the risk owners and their delegates to monitor the management of identified top risks along with the execution of risk responses and associated action plans. The management ERC also provides ongoing direction, prioritization, executive support and communication to others at the company involved in the ERM process. Executives responsible for specific risk response periodically report to the management ERC, the Board’s Risk Committee, the full Board of Directors or other Board committees, as appropriate, during the year. We involve our Internal Audit department in the review of certain identified risks, as appropriate or upon request. Identified top risks are monitored and formally assessed throughout the year and the results of the assessments are reported in line with the ERM process.</w:t>
      </w:r>
    </w:p>
    <w:p>
      <w:pPr>
        <w:spacing w:after="0" w:line="5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While the Board discusses various enterprise risks throughout the year with management, the Risk Committee oversees overall risk assessment and risk management, including overseeing management’s ERM process and progress with responding to top enterprise risks.</w:t>
      </w:r>
    </w:p>
    <w:p>
      <w:pPr>
        <w:spacing w:after="0" w:line="26"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color w:val="auto"/>
        </w:rPr>
        <w:t>Separately, the Audit Committee oversees financial risks and discusses the company’s major financial risk exposures and the steps that management has taken to monitor and control such exposures. As part of its financial risk management oversight responsibilities, the Audit Committee met with management in 2025 to discuss treasury risk management and the external tax environment.</w:t>
      </w:r>
    </w:p>
    <w:p>
      <w:pPr>
        <w:spacing w:after="0" w:line="54"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HR Committee’s responsibilities include establishing, implementing and overseeing our compensation and talent policies and programs. We have designed our compensation programs to provide an appropriate balance of risk and reward in relation to the company’s overall business strategy and culture.</w:t>
      </w:r>
    </w:p>
    <w:p>
      <w:pPr>
        <w:spacing w:after="0" w:line="54"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Please see the “Compensation Discussion and Analysis” section of this circular for additional information regarding why we believe that our compensation programs do not incentivize our executives to take unnecessary or excessive risks.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chairs of the Risk Committee, Audit Committee and HR Committee each report to the Board after their respective committee meetings.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reflects oversight responsibilities for each of the 2025 enterprise risks listed.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shd w:val="clear" w:color="auto" w:fill="1F473D"/>
          </w:tcPr>
          <w:p>
            <w:pPr>
              <w:spacing w:after="0"/>
              <w:rPr>
                <w:sz w:val="19"/>
                <w:szCs w:val="19"/>
                <w:color w:val="auto"/>
              </w:rPr>
            </w:pPr>
          </w:p>
        </w:tc>
        <w:tc>
          <w:tcPr>
            <w:tcW w:w="2240" w:type="dxa"/>
            <w:vAlign w:val="bottom"/>
            <w:shd w:val="clear" w:color="auto" w:fill="1F473D"/>
          </w:tcPr>
          <w:p>
            <w:pPr>
              <w:spacing w:after="0"/>
              <w:rPr>
                <w:sz w:val="19"/>
                <w:szCs w:val="19"/>
                <w:color w:val="auto"/>
              </w:rPr>
            </w:pPr>
          </w:p>
        </w:tc>
        <w:tc>
          <w:tcPr>
            <w:tcW w:w="1820" w:type="dxa"/>
            <w:vAlign w:val="bottom"/>
            <w:shd w:val="clear" w:color="auto" w:fill="1F473D"/>
          </w:tcPr>
          <w:p>
            <w:pPr>
              <w:spacing w:after="0"/>
              <w:rPr>
                <w:sz w:val="19"/>
                <w:szCs w:val="19"/>
                <w:color w:val="auto"/>
              </w:rPr>
            </w:pPr>
          </w:p>
        </w:tc>
        <w:tc>
          <w:tcPr>
            <w:tcW w:w="1720" w:type="dxa"/>
            <w:vAlign w:val="bottom"/>
            <w:shd w:val="clear" w:color="auto" w:fill="1F473D"/>
          </w:tcPr>
          <w:p>
            <w:pPr>
              <w:spacing w:after="0"/>
              <w:rPr>
                <w:sz w:val="19"/>
                <w:szCs w:val="19"/>
                <w:color w:val="auto"/>
              </w:rPr>
            </w:pPr>
          </w:p>
        </w:tc>
        <w:tc>
          <w:tcPr>
            <w:tcW w:w="1140" w:type="dxa"/>
            <w:vAlign w:val="bottom"/>
            <w:shd w:val="clear" w:color="auto" w:fill="1F473D"/>
          </w:tcPr>
          <w:p>
            <w:pPr>
              <w:jc w:val="center"/>
              <w:ind w:left="220"/>
              <w:spacing w:after="0"/>
              <w:rPr>
                <w:sz w:val="20"/>
                <w:szCs w:val="20"/>
                <w:color w:val="auto"/>
              </w:rPr>
            </w:pPr>
            <w:r>
              <w:rPr>
                <w:rFonts w:ascii="Arial" w:cs="Arial" w:eastAsia="Arial" w:hAnsi="Arial"/>
                <w:sz w:val="16"/>
                <w:szCs w:val="16"/>
                <w:b w:val="1"/>
                <w:bCs w:val="1"/>
                <w:color w:val="FFFFFF"/>
                <w:w w:val="97"/>
              </w:rPr>
              <w:t>Audit</w:t>
            </w:r>
          </w:p>
        </w:tc>
        <w:tc>
          <w:tcPr>
            <w:tcW w:w="20" w:type="dxa"/>
            <w:vAlign w:val="bottom"/>
          </w:tcPr>
          <w:p>
            <w:pPr>
              <w:spacing w:after="0"/>
              <w:rPr>
                <w:sz w:val="19"/>
                <w:szCs w:val="19"/>
                <w:color w:val="auto"/>
              </w:rPr>
            </w:pPr>
          </w:p>
        </w:tc>
      </w:tr>
      <w:tr>
        <w:trPr>
          <w:trHeight w:val="267"/>
        </w:trPr>
        <w:tc>
          <w:tcPr>
            <w:tcW w:w="4000" w:type="dxa"/>
            <w:vAlign w:val="bottom"/>
            <w:tcBorders>
              <w:bottom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Enterprise Risk</w:t>
            </w:r>
          </w:p>
        </w:tc>
        <w:tc>
          <w:tcPr>
            <w:tcW w:w="2240" w:type="dxa"/>
            <w:vAlign w:val="bottom"/>
            <w:tcBorders>
              <w:bottom w:val="single" w:sz="8" w:color="1F473D"/>
            </w:tcBorders>
            <w:shd w:val="clear" w:color="auto" w:fill="1F473D"/>
          </w:tcPr>
          <w:p>
            <w:pPr>
              <w:jc w:val="center"/>
              <w:ind w:left="159"/>
              <w:spacing w:after="0"/>
              <w:rPr>
                <w:sz w:val="20"/>
                <w:szCs w:val="20"/>
                <w:color w:val="auto"/>
              </w:rPr>
            </w:pPr>
            <w:r>
              <w:rPr>
                <w:rFonts w:ascii="Arial" w:cs="Arial" w:eastAsia="Arial" w:hAnsi="Arial"/>
                <w:sz w:val="16"/>
                <w:szCs w:val="16"/>
                <w:b w:val="1"/>
                <w:bCs w:val="1"/>
                <w:color w:val="FFFFFF"/>
                <w:w w:val="99"/>
              </w:rPr>
              <w:t>Board of Directors</w:t>
            </w:r>
          </w:p>
        </w:tc>
        <w:tc>
          <w:tcPr>
            <w:tcW w:w="182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Risk Committee</w:t>
            </w:r>
          </w:p>
        </w:tc>
        <w:tc>
          <w:tcPr>
            <w:tcW w:w="172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HR Committee</w:t>
            </w:r>
          </w:p>
        </w:tc>
        <w:tc>
          <w:tcPr>
            <w:tcW w:w="1140" w:type="dxa"/>
            <w:vAlign w:val="bottom"/>
            <w:tcBorders>
              <w:bottom w:val="single" w:sz="8" w:color="1F473D"/>
            </w:tcBorders>
            <w:shd w:val="clear" w:color="auto" w:fill="1F473D"/>
          </w:tcPr>
          <w:p>
            <w:pPr>
              <w:jc w:val="center"/>
              <w:ind w:left="220"/>
              <w:spacing w:after="0"/>
              <w:rPr>
                <w:sz w:val="20"/>
                <w:szCs w:val="20"/>
                <w:color w:val="auto"/>
              </w:rPr>
            </w:pPr>
            <w:r>
              <w:rPr>
                <w:rFonts w:ascii="Arial" w:cs="Arial" w:eastAsia="Arial" w:hAnsi="Arial"/>
                <w:sz w:val="16"/>
                <w:szCs w:val="16"/>
                <w:b w:val="1"/>
                <w:bCs w:val="1"/>
                <w:color w:val="FFFFFF"/>
              </w:rPr>
              <w:t>Committee</w:t>
            </w:r>
          </w:p>
        </w:tc>
        <w:tc>
          <w:tcPr>
            <w:tcW w:w="20" w:type="dxa"/>
            <w:vAlign w:val="bottom"/>
          </w:tcPr>
          <w:p>
            <w:pPr>
              <w:spacing w:after="0"/>
              <w:rPr>
                <w:sz w:val="22"/>
                <w:szCs w:val="22"/>
                <w:color w:val="auto"/>
              </w:rPr>
            </w:pPr>
          </w:p>
        </w:tc>
      </w:tr>
      <w:tr>
        <w:trPr>
          <w:trHeight w:val="278"/>
        </w:trPr>
        <w:tc>
          <w:tcPr>
            <w:tcW w:w="4000" w:type="dxa"/>
            <w:vAlign w:val="bottom"/>
            <w:tcBorders>
              <w:top w:val="single" w:sz="8" w:color="D64000"/>
              <w:bottom w:val="single" w:sz="8" w:color="AFAFAF"/>
            </w:tcBorders>
          </w:tcPr>
          <w:p>
            <w:pPr>
              <w:spacing w:after="0"/>
              <w:rPr>
                <w:sz w:val="20"/>
                <w:szCs w:val="20"/>
                <w:color w:val="auto"/>
              </w:rPr>
            </w:pPr>
            <w:r>
              <w:rPr>
                <w:rFonts w:ascii="Arial" w:cs="Arial" w:eastAsia="Arial" w:hAnsi="Arial"/>
                <w:sz w:val="16"/>
                <w:szCs w:val="16"/>
                <w:color w:val="auto"/>
              </w:rPr>
              <w:t>  Competitive displacement</w:t>
            </w:r>
          </w:p>
        </w:tc>
        <w:tc>
          <w:tcPr>
            <w:tcW w:w="2240" w:type="dxa"/>
            <w:vAlign w:val="bottom"/>
            <w:tcBorders>
              <w:top w:val="single" w:sz="8" w:color="D64000"/>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top w:val="single" w:sz="8" w:color="D64000"/>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top w:val="single" w:sz="8" w:color="D64000"/>
              <w:bottom w:val="single" w:sz="8" w:color="AFAFAF"/>
            </w:tcBorders>
          </w:tcPr>
          <w:p>
            <w:pPr>
              <w:spacing w:after="0"/>
              <w:rPr>
                <w:sz w:val="24"/>
                <w:szCs w:val="24"/>
                <w:color w:val="auto"/>
              </w:rPr>
            </w:pPr>
          </w:p>
        </w:tc>
        <w:tc>
          <w:tcPr>
            <w:tcW w:w="1140" w:type="dxa"/>
            <w:vAlign w:val="bottom"/>
            <w:tcBorders>
              <w:top w:val="single" w:sz="8" w:color="D64000"/>
              <w:bottom w:val="single" w:sz="8" w:color="AFAFAF"/>
            </w:tcBorders>
          </w:tcPr>
          <w:p>
            <w:pPr>
              <w:spacing w:after="0"/>
              <w:rPr>
                <w:sz w:val="24"/>
                <w:szCs w:val="24"/>
                <w:color w:val="auto"/>
              </w:rPr>
            </w:pPr>
          </w:p>
        </w:tc>
        <w:tc>
          <w:tcPr>
            <w:tcW w:w="20" w:type="dxa"/>
            <w:vAlign w:val="bottom"/>
          </w:tcPr>
          <w:p>
            <w:pPr>
              <w:spacing w:after="0"/>
              <w:rPr>
                <w:sz w:val="24"/>
                <w:szCs w:val="24"/>
                <w:color w:val="auto"/>
              </w:rPr>
            </w:pPr>
          </w:p>
        </w:tc>
      </w:tr>
      <w:tr>
        <w:trPr>
          <w:trHeight w:val="271"/>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Government segment</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spacing w:after="0"/>
              <w:rPr>
                <w:sz w:val="23"/>
                <w:szCs w:val="23"/>
                <w:color w:val="auto"/>
              </w:rPr>
            </w:pP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40"/>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Legal, regulatory and contractual compliance</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40" w:type="dxa"/>
            <w:vAlign w:val="bottom"/>
            <w:tcBorders>
              <w:bottom w:val="single" w:sz="8" w:color="AFAFAF"/>
            </w:tcBorders>
          </w:tcPr>
          <w:p>
            <w:pPr>
              <w:jc w:val="center"/>
              <w:ind w:left="220"/>
              <w:spacing w:after="0" w:line="161" w:lineRule="exact"/>
              <w:rPr>
                <w:sz w:val="20"/>
                <w:szCs w:val="20"/>
                <w:color w:val="auto"/>
              </w:rPr>
            </w:pPr>
            <w:r>
              <w:rPr>
                <w:rFonts w:ascii="MS PGothic" w:cs="MS PGothic" w:eastAsia="MS PGothic" w:hAnsi="MS PGothic"/>
                <w:sz w:val="16"/>
                <w:szCs w:val="16"/>
                <w:color w:val="auto"/>
                <w:w w:val="74"/>
              </w:rPr>
              <w:t>✓</w:t>
            </w:r>
          </w:p>
        </w:tc>
        <w:tc>
          <w:tcPr>
            <w:tcW w:w="20" w:type="dxa"/>
            <w:vAlign w:val="bottom"/>
          </w:tcPr>
          <w:p>
            <w:pPr>
              <w:spacing w:after="0"/>
              <w:rPr>
                <w:sz w:val="20"/>
                <w:szCs w:val="20"/>
                <w:color w:val="auto"/>
              </w:rPr>
            </w:pPr>
          </w:p>
        </w:tc>
      </w:tr>
      <w:tr>
        <w:trPr>
          <w:trHeight w:val="271"/>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Misuse of proprietary content</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spacing w:after="0"/>
              <w:rPr>
                <w:sz w:val="23"/>
                <w:szCs w:val="23"/>
                <w:color w:val="auto"/>
              </w:rPr>
            </w:pP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Product stability &amp; performance</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spacing w:after="0"/>
              <w:rPr>
                <w:sz w:val="23"/>
                <w:szCs w:val="23"/>
                <w:color w:val="auto"/>
              </w:rPr>
            </w:pP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Cyber security</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spacing w:after="0"/>
              <w:rPr>
                <w:sz w:val="23"/>
                <w:szCs w:val="23"/>
                <w:color w:val="auto"/>
              </w:rPr>
            </w:pP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Supply chain and partnerships</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spacing w:after="0"/>
              <w:rPr>
                <w:sz w:val="23"/>
                <w:szCs w:val="23"/>
                <w:color w:val="auto"/>
              </w:rPr>
            </w:pP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Integration and separation</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spacing w:after="0"/>
              <w:rPr>
                <w:sz w:val="23"/>
                <w:szCs w:val="23"/>
                <w:color w:val="auto"/>
              </w:rPr>
            </w:pP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Go-to-market execution</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spacing w:after="0"/>
              <w:rPr>
                <w:sz w:val="23"/>
                <w:szCs w:val="23"/>
                <w:color w:val="auto"/>
              </w:rPr>
            </w:pP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74"/>
        </w:trPr>
        <w:tc>
          <w:tcPr>
            <w:tcW w:w="400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Safety, security and wellbeing</w:t>
            </w:r>
          </w:p>
        </w:tc>
        <w:tc>
          <w:tcPr>
            <w:tcW w:w="2240" w:type="dxa"/>
            <w:vAlign w:val="bottom"/>
            <w:tcBorders>
              <w:bottom w:val="single" w:sz="8" w:color="AFAFAF"/>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AFAFAF"/>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140" w:type="dxa"/>
            <w:vAlign w:val="bottom"/>
            <w:tcBorders>
              <w:bottom w:val="single" w:sz="8" w:color="AFAFAF"/>
            </w:tcBorders>
          </w:tcPr>
          <w:p>
            <w:pPr>
              <w:spacing w:after="0"/>
              <w:rPr>
                <w:sz w:val="23"/>
                <w:szCs w:val="23"/>
                <w:color w:val="auto"/>
              </w:rPr>
            </w:pPr>
          </w:p>
        </w:tc>
        <w:tc>
          <w:tcPr>
            <w:tcW w:w="20" w:type="dxa"/>
            <w:vAlign w:val="bottom"/>
          </w:tcPr>
          <w:p>
            <w:pPr>
              <w:spacing w:after="0"/>
              <w:rPr>
                <w:sz w:val="23"/>
                <w:szCs w:val="23"/>
                <w:color w:val="auto"/>
              </w:rPr>
            </w:pPr>
          </w:p>
        </w:tc>
      </w:tr>
      <w:tr>
        <w:trPr>
          <w:trHeight w:val="271"/>
        </w:trPr>
        <w:tc>
          <w:tcPr>
            <w:tcW w:w="400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Customer trust in AI</w:t>
            </w:r>
          </w:p>
        </w:tc>
        <w:tc>
          <w:tcPr>
            <w:tcW w:w="2240" w:type="dxa"/>
            <w:vAlign w:val="bottom"/>
            <w:tcBorders>
              <w:bottom w:val="single" w:sz="8" w:color="D64000"/>
            </w:tcBorders>
          </w:tcPr>
          <w:p>
            <w:pPr>
              <w:jc w:val="center"/>
              <w:ind w:left="139"/>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Borders>
              <w:bottom w:val="single" w:sz="8" w:color="D64000"/>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Borders>
              <w:bottom w:val="single" w:sz="8" w:color="D64000"/>
            </w:tcBorders>
          </w:tcPr>
          <w:p>
            <w:pPr>
              <w:spacing w:after="0"/>
              <w:rPr>
                <w:sz w:val="23"/>
                <w:szCs w:val="23"/>
                <w:color w:val="auto"/>
              </w:rPr>
            </w:pPr>
          </w:p>
        </w:tc>
        <w:tc>
          <w:tcPr>
            <w:tcW w:w="1140" w:type="dxa"/>
            <w:vAlign w:val="bottom"/>
            <w:tcBorders>
              <w:bottom w:val="single" w:sz="8" w:color="D64000"/>
            </w:tcBorders>
          </w:tcPr>
          <w:p>
            <w:pPr>
              <w:spacing w:after="0"/>
              <w:rPr>
                <w:sz w:val="23"/>
                <w:szCs w:val="23"/>
                <w:color w:val="auto"/>
              </w:rPr>
            </w:pPr>
          </w:p>
        </w:tc>
        <w:tc>
          <w:tcPr>
            <w:tcW w:w="20" w:type="dxa"/>
            <w:vAlign w:val="bottom"/>
          </w:tcPr>
          <w:p>
            <w:pPr>
              <w:spacing w:after="0"/>
              <w:rPr>
                <w:sz w:val="23"/>
                <w:szCs w:val="23"/>
                <w:color w:val="auto"/>
              </w:rPr>
            </w:pPr>
          </w:p>
        </w:tc>
      </w:tr>
      <w:tr>
        <w:trPr>
          <w:trHeight w:val="160"/>
        </w:trPr>
        <w:tc>
          <w:tcPr>
            <w:tcW w:w="4000" w:type="dxa"/>
            <w:vAlign w:val="bottom"/>
            <w:tcBorders>
              <w:bottom w:val="single" w:sz="8" w:color="7F7F7F"/>
            </w:tcBorders>
          </w:tcPr>
          <w:p>
            <w:pPr>
              <w:spacing w:after="0"/>
              <w:rPr>
                <w:sz w:val="13"/>
                <w:szCs w:val="13"/>
                <w:color w:val="auto"/>
              </w:rPr>
            </w:pPr>
          </w:p>
        </w:tc>
        <w:tc>
          <w:tcPr>
            <w:tcW w:w="6920" w:type="dxa"/>
            <w:vAlign w:val="bottom"/>
            <w:tcBorders>
              <w:bottom w:val="single" w:sz="8" w:color="7F7F7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7"/>
                <w:szCs w:val="17"/>
                <w:color w:val="auto"/>
              </w:rPr>
              <w:t>Page 34</w:t>
            </w:r>
          </w:p>
        </w:tc>
        <w:tc>
          <w:tcPr>
            <w:tcW w:w="6940" w:type="dxa"/>
            <w:vAlign w:val="bottom"/>
            <w:gridSpan w:val="5"/>
          </w:tcPr>
          <w:p>
            <w:pPr>
              <w:ind w:left="920"/>
              <w:spacing w:after="0"/>
              <w:rPr>
                <w:sz w:val="20"/>
                <w:szCs w:val="20"/>
                <w:color w:val="auto"/>
              </w:rPr>
            </w:pPr>
            <w:r>
              <w:rPr>
                <w:rFonts w:ascii="Arial" w:cs="Arial" w:eastAsia="Arial" w:hAnsi="Arial"/>
                <w:sz w:val="17"/>
                <w:szCs w:val="17"/>
                <w:b w:val="1"/>
                <w:bCs w:val="1"/>
                <w:color w:val="auto"/>
                <w:w w:val="99"/>
              </w:rPr>
              <w:t>Management Proxy Circular and Notice of Annual Meeting of Shareholders</w:t>
            </w:r>
          </w:p>
        </w:tc>
      </w:tr>
    </w:tbl>
    <w:p>
      <w:pPr>
        <w:sectPr>
          <w:pgSz w:w="11900" w:h="16838" w:orient="portrait"/>
          <w:cols w:equalWidth="0" w:num="1">
            <w:col w:w="10920"/>
          </w:cols>
          <w:pgMar w:left="480" w:top="265" w:right="499" w:bottom="1440" w:gutter="0" w:footer="0" w:header="0"/>
        </w:sectPr>
      </w:pPr>
    </w:p>
    <w:bookmarkStart w:id="44" w:name="page45"/>
    <w:bookmarkEnd w:id="44"/>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Environmental, Social and Governance (ESG) Oversight</w:t>
      </w:r>
    </w:p>
    <w:p>
      <w:pPr>
        <w:spacing w:after="0" w:line="10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ESG is overseen by the Board and its committees. Management is responsible for updating the Board and its committees on ESG topics and assessing ESG-related risks, including sustainability and climate-related risks, human rights and human capital management and social impact. For more information about our ESG initiatives, please see the “ESG” section of this circular.</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division of primary ESG oversight responsibilities between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929755" cy="203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203835"/>
                    </a:xfrm>
                    <a:prstGeom prst="rect">
                      <a:avLst/>
                    </a:prstGeom>
                    <a:noFill/>
                  </pic:spPr>
                </pic:pic>
              </a:graphicData>
            </a:graphic>
          </wp:anchor>
        </w:drawing>
      </w:r>
    </w:p>
    <w:p>
      <w:pPr>
        <w:spacing w:after="0" w:line="27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FFFFFF"/>
        </w:rPr>
        <w:t>  Primary ESG Oversight Responsibilities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20"/>
                <w:szCs w:val="20"/>
                <w:color w:val="auto"/>
              </w:rPr>
            </w:pPr>
            <w:r>
              <w:rPr>
                <w:rFonts w:ascii="Arial" w:cs="Arial" w:eastAsia="Arial" w:hAnsi="Arial"/>
                <w:sz w:val="16"/>
                <w:szCs w:val="16"/>
                <w:b w:val="1"/>
                <w:bCs w:val="1"/>
                <w:color w:val="auto"/>
              </w:rPr>
              <w:t>Corporate Governance Committee</w:t>
            </w:r>
          </w:p>
        </w:tc>
        <w:tc>
          <w:tcPr>
            <w:tcW w:w="420" w:type="dxa"/>
            <w:vAlign w:val="bottom"/>
          </w:tcPr>
          <w:p>
            <w:pPr>
              <w:ind w:left="280"/>
              <w:spacing w:after="0"/>
              <w:rPr>
                <w:sz w:val="20"/>
                <w:szCs w:val="20"/>
                <w:color w:val="auto"/>
              </w:rPr>
            </w:pPr>
            <w:r>
              <w:rPr>
                <w:rFonts w:ascii="Arial" w:cs="Arial" w:eastAsia="Arial" w:hAnsi="Arial"/>
                <w:sz w:val="16"/>
                <w:szCs w:val="16"/>
                <w:color w:val="D64000"/>
              </w:rPr>
              <w:t>•</w:t>
            </w:r>
          </w:p>
        </w:tc>
        <w:tc>
          <w:tcPr>
            <w:tcW w:w="7620" w:type="dxa"/>
            <w:vAlign w:val="bottom"/>
          </w:tcPr>
          <w:p>
            <w:pPr>
              <w:ind w:left="100"/>
              <w:spacing w:after="0"/>
              <w:rPr>
                <w:sz w:val="20"/>
                <w:szCs w:val="20"/>
                <w:color w:val="auto"/>
              </w:rPr>
            </w:pPr>
            <w:r>
              <w:rPr>
                <w:rFonts w:ascii="Arial" w:cs="Arial" w:eastAsia="Arial" w:hAnsi="Arial"/>
                <w:sz w:val="16"/>
                <w:szCs w:val="16"/>
                <w:color w:val="auto"/>
              </w:rPr>
              <w:t>Overall ESG oversight and coordination amongst the Board’s four standing committees</w:t>
            </w:r>
          </w:p>
        </w:tc>
      </w:tr>
      <w:tr>
        <w:trPr>
          <w:trHeight w:val="187"/>
        </w:trPr>
        <w:tc>
          <w:tcPr>
            <w:tcW w:w="2880" w:type="dxa"/>
            <w:vAlign w:val="bottom"/>
          </w:tcPr>
          <w:p>
            <w:pPr>
              <w:spacing w:after="0"/>
              <w:rPr>
                <w:sz w:val="16"/>
                <w:szCs w:val="16"/>
                <w:color w:val="auto"/>
              </w:rPr>
            </w:pPr>
          </w:p>
        </w:tc>
        <w:tc>
          <w:tcPr>
            <w:tcW w:w="8040" w:type="dxa"/>
            <w:vAlign w:val="bottom"/>
            <w:gridSpan w:val="2"/>
          </w:tcPr>
          <w:p>
            <w:pPr>
              <w:ind w:left="2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Environmental matters, including sustainability and climate-related matters</w:t>
            </w:r>
          </w:p>
        </w:tc>
      </w:tr>
      <w:tr>
        <w:trPr>
          <w:trHeight w:val="187"/>
        </w:trPr>
        <w:tc>
          <w:tcPr>
            <w:tcW w:w="2880" w:type="dxa"/>
            <w:vAlign w:val="bottom"/>
          </w:tcPr>
          <w:p>
            <w:pPr>
              <w:spacing w:after="0"/>
              <w:rPr>
                <w:sz w:val="16"/>
                <w:szCs w:val="16"/>
                <w:color w:val="auto"/>
              </w:rPr>
            </w:pPr>
          </w:p>
        </w:tc>
        <w:tc>
          <w:tcPr>
            <w:tcW w:w="420" w:type="dxa"/>
            <w:vAlign w:val="bottom"/>
          </w:tcPr>
          <w:p>
            <w:pPr>
              <w:ind w:left="280"/>
              <w:spacing w:after="0"/>
              <w:rPr>
                <w:sz w:val="20"/>
                <w:szCs w:val="20"/>
                <w:color w:val="auto"/>
              </w:rPr>
            </w:pPr>
            <w:r>
              <w:rPr>
                <w:rFonts w:ascii="Arial" w:cs="Arial" w:eastAsia="Arial" w:hAnsi="Arial"/>
                <w:sz w:val="16"/>
                <w:szCs w:val="16"/>
                <w:color w:val="D64000"/>
              </w:rPr>
              <w:t>•</w:t>
            </w:r>
          </w:p>
        </w:tc>
        <w:tc>
          <w:tcPr>
            <w:tcW w:w="7620" w:type="dxa"/>
            <w:vAlign w:val="bottom"/>
          </w:tcPr>
          <w:p>
            <w:pPr>
              <w:ind w:left="100"/>
              <w:spacing w:after="0"/>
              <w:rPr>
                <w:sz w:val="20"/>
                <w:szCs w:val="20"/>
                <w:color w:val="auto"/>
              </w:rPr>
            </w:pPr>
            <w:r>
              <w:rPr>
                <w:rFonts w:ascii="Arial" w:cs="Arial" w:eastAsia="Arial" w:hAnsi="Arial"/>
                <w:sz w:val="16"/>
                <w:szCs w:val="16"/>
                <w:color w:val="auto"/>
              </w:rPr>
              <w:t>Governance matters</w:t>
            </w:r>
          </w:p>
        </w:tc>
      </w:tr>
      <w:tr>
        <w:trPr>
          <w:trHeight w:val="187"/>
        </w:trPr>
        <w:tc>
          <w:tcPr>
            <w:tcW w:w="2880" w:type="dxa"/>
            <w:vAlign w:val="bottom"/>
          </w:tcPr>
          <w:p>
            <w:pPr>
              <w:spacing w:after="0"/>
              <w:rPr>
                <w:sz w:val="16"/>
                <w:szCs w:val="16"/>
                <w:color w:val="auto"/>
              </w:rPr>
            </w:pPr>
          </w:p>
        </w:tc>
        <w:tc>
          <w:tcPr>
            <w:tcW w:w="8040" w:type="dxa"/>
            <w:vAlign w:val="bottom"/>
            <w:gridSpan w:val="2"/>
          </w:tcPr>
          <w:p>
            <w:pPr>
              <w:ind w:left="2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Stakeholder engagement related to ESG</w:t>
            </w:r>
          </w:p>
        </w:tc>
      </w:tr>
      <w:tr>
        <w:trPr>
          <w:trHeight w:val="187"/>
        </w:trPr>
        <w:tc>
          <w:tcPr>
            <w:tcW w:w="2880" w:type="dxa"/>
            <w:vAlign w:val="bottom"/>
          </w:tcPr>
          <w:p>
            <w:pPr>
              <w:spacing w:after="0"/>
              <w:rPr>
                <w:sz w:val="16"/>
                <w:szCs w:val="16"/>
                <w:color w:val="auto"/>
              </w:rPr>
            </w:pPr>
          </w:p>
        </w:tc>
        <w:tc>
          <w:tcPr>
            <w:tcW w:w="8040" w:type="dxa"/>
            <w:vAlign w:val="bottom"/>
            <w:gridSpan w:val="2"/>
          </w:tcPr>
          <w:p>
            <w:pPr>
              <w:ind w:left="2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Human rights risks/supply chain</w:t>
            </w:r>
          </w:p>
        </w:tc>
      </w:tr>
      <w:tr>
        <w:trPr>
          <w:trHeight w:val="211"/>
        </w:trPr>
        <w:tc>
          <w:tcPr>
            <w:tcW w:w="288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6"/>
                <w:szCs w:val="16"/>
                <w:color w:val="D64000"/>
              </w:rPr>
              <w:t>•</w:t>
            </w:r>
          </w:p>
        </w:tc>
        <w:tc>
          <w:tcPr>
            <w:tcW w:w="7620" w:type="dxa"/>
            <w:vAlign w:val="bottom"/>
          </w:tcPr>
          <w:p>
            <w:pPr>
              <w:ind w:left="100"/>
              <w:spacing w:after="0"/>
              <w:rPr>
                <w:sz w:val="20"/>
                <w:szCs w:val="20"/>
                <w:color w:val="auto"/>
              </w:rPr>
            </w:pPr>
            <w:r>
              <w:rPr>
                <w:rFonts w:ascii="Arial" w:cs="Arial" w:eastAsia="Arial" w:hAnsi="Arial"/>
                <w:sz w:val="16"/>
                <w:szCs w:val="16"/>
                <w:color w:val="auto"/>
              </w:rPr>
              <w:t>Thomson Reuters Foundation</w:t>
            </w:r>
          </w:p>
        </w:tc>
      </w:tr>
      <w:tr>
        <w:trPr>
          <w:trHeight w:val="44"/>
        </w:trPr>
        <w:tc>
          <w:tcPr>
            <w:tcW w:w="2880" w:type="dxa"/>
            <w:vAlign w:val="bottom"/>
            <w:tcBorders>
              <w:bottom w:val="single" w:sz="8" w:color="B2B2B2"/>
            </w:tcBorders>
          </w:tcPr>
          <w:p>
            <w:pPr>
              <w:spacing w:after="0"/>
              <w:rPr>
                <w:sz w:val="3"/>
                <w:szCs w:val="3"/>
                <w:color w:val="auto"/>
              </w:rPr>
            </w:pPr>
          </w:p>
        </w:tc>
        <w:tc>
          <w:tcPr>
            <w:tcW w:w="420" w:type="dxa"/>
            <w:vAlign w:val="bottom"/>
            <w:tcBorders>
              <w:bottom w:val="single" w:sz="8" w:color="B2B2B2"/>
            </w:tcBorders>
          </w:tcPr>
          <w:p>
            <w:pPr>
              <w:spacing w:after="0"/>
              <w:rPr>
                <w:sz w:val="3"/>
                <w:szCs w:val="3"/>
                <w:color w:val="auto"/>
              </w:rPr>
            </w:pPr>
          </w:p>
        </w:tc>
        <w:tc>
          <w:tcPr>
            <w:tcW w:w="7620" w:type="dxa"/>
            <w:vAlign w:val="bottom"/>
            <w:tcBorders>
              <w:bottom w:val="single" w:sz="8" w:color="B2B2B2"/>
            </w:tcBorders>
          </w:tcPr>
          <w:p>
            <w:pPr>
              <w:spacing w:after="0"/>
              <w:rPr>
                <w:sz w:val="3"/>
                <w:szCs w:val="3"/>
                <w:color w:val="auto"/>
              </w:rPr>
            </w:pPr>
          </w:p>
        </w:tc>
      </w:tr>
      <w:tr>
        <w:trPr>
          <w:trHeight w:val="207"/>
        </w:trPr>
        <w:tc>
          <w:tcPr>
            <w:tcW w:w="2880" w:type="dxa"/>
            <w:vAlign w:val="bottom"/>
          </w:tcPr>
          <w:p>
            <w:pPr>
              <w:spacing w:after="0"/>
              <w:rPr>
                <w:sz w:val="20"/>
                <w:szCs w:val="20"/>
                <w:color w:val="auto"/>
              </w:rPr>
            </w:pPr>
            <w:r>
              <w:rPr>
                <w:rFonts w:ascii="Arial" w:cs="Arial" w:eastAsia="Arial" w:hAnsi="Arial"/>
                <w:sz w:val="16"/>
                <w:szCs w:val="16"/>
                <w:b w:val="1"/>
                <w:bCs w:val="1"/>
                <w:color w:val="auto"/>
              </w:rPr>
              <w:t>Board of Directors</w:t>
            </w:r>
          </w:p>
        </w:tc>
        <w:tc>
          <w:tcPr>
            <w:tcW w:w="420" w:type="dxa"/>
            <w:vAlign w:val="bottom"/>
          </w:tcPr>
          <w:p>
            <w:pPr>
              <w:ind w:left="280"/>
              <w:spacing w:after="0"/>
              <w:rPr>
                <w:sz w:val="20"/>
                <w:szCs w:val="20"/>
                <w:color w:val="auto"/>
              </w:rPr>
            </w:pPr>
            <w:r>
              <w:rPr>
                <w:rFonts w:ascii="Arial" w:cs="Arial" w:eastAsia="Arial" w:hAnsi="Arial"/>
                <w:sz w:val="16"/>
                <w:szCs w:val="16"/>
                <w:color w:val="D64000"/>
              </w:rPr>
              <w:t>•</w:t>
            </w:r>
          </w:p>
        </w:tc>
        <w:tc>
          <w:tcPr>
            <w:tcW w:w="7620" w:type="dxa"/>
            <w:vAlign w:val="bottom"/>
          </w:tcPr>
          <w:p>
            <w:pPr>
              <w:ind w:left="100"/>
              <w:spacing w:after="0"/>
              <w:rPr>
                <w:sz w:val="20"/>
                <w:szCs w:val="20"/>
                <w:color w:val="auto"/>
              </w:rPr>
            </w:pPr>
            <w:r>
              <w:rPr>
                <w:rFonts w:ascii="Arial" w:cs="Arial" w:eastAsia="Arial" w:hAnsi="Arial"/>
                <w:sz w:val="16"/>
                <w:szCs w:val="16"/>
                <w:color w:val="auto"/>
              </w:rPr>
              <w:t>Periodic updates regarding ESG strategy and alignment with Thomson Reuters’ long-term business</w:t>
            </w:r>
          </w:p>
        </w:tc>
      </w:tr>
      <w:tr>
        <w:trPr>
          <w:trHeight w:val="187"/>
        </w:trPr>
        <w:tc>
          <w:tcPr>
            <w:tcW w:w="2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20" w:type="dxa"/>
            <w:vAlign w:val="bottom"/>
          </w:tcPr>
          <w:p>
            <w:pPr>
              <w:ind w:left="100"/>
              <w:spacing w:after="0"/>
              <w:rPr>
                <w:sz w:val="20"/>
                <w:szCs w:val="20"/>
                <w:color w:val="auto"/>
              </w:rPr>
            </w:pPr>
            <w:r>
              <w:rPr>
                <w:rFonts w:ascii="Arial" w:cs="Arial" w:eastAsia="Arial" w:hAnsi="Arial"/>
                <w:sz w:val="16"/>
                <w:szCs w:val="16"/>
                <w:color w:val="auto"/>
              </w:rPr>
              <w:t>strategy</w:t>
            </w:r>
          </w:p>
        </w:tc>
      </w:tr>
      <w:tr>
        <w:trPr>
          <w:trHeight w:val="211"/>
        </w:trPr>
        <w:tc>
          <w:tcPr>
            <w:tcW w:w="288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6"/>
                <w:szCs w:val="16"/>
                <w:color w:val="D64000"/>
              </w:rPr>
              <w:t>•</w:t>
            </w:r>
          </w:p>
        </w:tc>
        <w:tc>
          <w:tcPr>
            <w:tcW w:w="7620" w:type="dxa"/>
            <w:vAlign w:val="bottom"/>
          </w:tcPr>
          <w:p>
            <w:pPr>
              <w:ind w:left="100"/>
              <w:spacing w:after="0"/>
              <w:rPr>
                <w:sz w:val="20"/>
                <w:szCs w:val="20"/>
                <w:color w:val="auto"/>
              </w:rPr>
            </w:pPr>
            <w:r>
              <w:rPr>
                <w:rFonts w:ascii="Arial" w:cs="Arial" w:eastAsia="Arial" w:hAnsi="Arial"/>
                <w:sz w:val="16"/>
                <w:szCs w:val="16"/>
                <w:color w:val="auto"/>
              </w:rPr>
              <w:t>Material ESG risks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9297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3" w:lineRule="exact"/>
        <w:rPr>
          <w:sz w:val="20"/>
          <w:szCs w:val="20"/>
          <w:color w:val="auto"/>
        </w:rPr>
      </w:pPr>
    </w:p>
    <w:p>
      <w:pPr>
        <w:spacing w:after="0"/>
        <w:tabs>
          <w:tab w:leader="none" w:pos="3140" w:val="left"/>
          <w:tab w:leader="none" w:pos="3380" w:val="left"/>
        </w:tabs>
        <w:rPr>
          <w:sz w:val="20"/>
          <w:szCs w:val="20"/>
          <w:color w:val="auto"/>
        </w:rPr>
      </w:pPr>
      <w:r>
        <w:rPr>
          <w:rFonts w:ascii="Arial" w:cs="Arial" w:eastAsia="Arial" w:hAnsi="Arial"/>
          <w:sz w:val="16"/>
          <w:szCs w:val="16"/>
          <w:b w:val="1"/>
          <w:bCs w:val="1"/>
          <w:color w:val="auto"/>
        </w:rPr>
        <w:t>Audit Committee</w:t>
      </w:r>
      <w:r>
        <w:rPr>
          <w:sz w:val="20"/>
          <w:szCs w:val="20"/>
          <w:color w:val="auto"/>
        </w:rPr>
        <w:tab/>
      </w:r>
      <w:r>
        <w:rPr>
          <w:rFonts w:ascii="Arial" w:cs="Arial" w:eastAsia="Arial" w:hAnsi="Arial"/>
          <w:sz w:val="16"/>
          <w:szCs w:val="16"/>
          <w:color w:val="D64000"/>
        </w:rPr>
        <w:t>•</w:t>
      </w:r>
      <w:r>
        <w:rPr>
          <w:rFonts w:ascii="Arial" w:cs="Arial" w:eastAsia="Arial" w:hAnsi="Arial"/>
          <w:sz w:val="16"/>
          <w:szCs w:val="16"/>
          <w:color w:val="auto"/>
        </w:rPr>
        <w:tab/>
        <w:t>Overall reporting/disclosure processes related to ESG</w:t>
      </w:r>
    </w:p>
    <w:p>
      <w:pPr>
        <w:spacing w:after="0" w:line="19" w:lineRule="exact"/>
        <w:rPr>
          <w:sz w:val="20"/>
          <w:szCs w:val="20"/>
          <w:color w:val="auto"/>
        </w:rPr>
      </w:pPr>
    </w:p>
    <w:p>
      <w:pPr>
        <w:ind w:left="3400" w:hanging="250"/>
        <w:spacing w:after="0"/>
        <w:tabs>
          <w:tab w:leader="none" w:pos="3400" w:val="left"/>
        </w:tabs>
        <w:numPr>
          <w:ilvl w:val="0"/>
          <w:numId w:val="38"/>
        </w:numPr>
        <w:rPr>
          <w:rFonts w:ascii="Arial" w:cs="Arial" w:eastAsia="Arial" w:hAnsi="Arial"/>
          <w:sz w:val="16"/>
          <w:szCs w:val="16"/>
          <w:color w:val="D64000"/>
        </w:rPr>
      </w:pPr>
      <w:r>
        <w:rPr>
          <w:rFonts w:ascii="Arial" w:cs="Arial" w:eastAsia="Arial" w:hAnsi="Arial"/>
          <w:sz w:val="16"/>
          <w:szCs w:val="16"/>
          <w:color w:val="auto"/>
        </w:rPr>
        <w:t>Internal controls/procedures related to ESG</w:t>
      </w:r>
    </w:p>
    <w:p>
      <w:pPr>
        <w:spacing w:after="0" w:line="3" w:lineRule="exact"/>
        <w:rPr>
          <w:rFonts w:ascii="Arial" w:cs="Arial" w:eastAsia="Arial" w:hAnsi="Arial"/>
          <w:sz w:val="16"/>
          <w:szCs w:val="16"/>
          <w:color w:val="D64000"/>
        </w:rPr>
      </w:pPr>
    </w:p>
    <w:p>
      <w:pPr>
        <w:ind w:left="3400" w:hanging="250"/>
        <w:spacing w:after="0"/>
        <w:tabs>
          <w:tab w:leader="none" w:pos="3400" w:val="left"/>
        </w:tabs>
        <w:numPr>
          <w:ilvl w:val="0"/>
          <w:numId w:val="38"/>
        </w:numPr>
        <w:rPr>
          <w:rFonts w:ascii="Arial" w:cs="Arial" w:eastAsia="Arial" w:hAnsi="Arial"/>
          <w:sz w:val="16"/>
          <w:szCs w:val="16"/>
          <w:color w:val="D64000"/>
        </w:rPr>
      </w:pPr>
      <w:r>
        <w:rPr>
          <w:rFonts w:ascii="Arial" w:cs="Arial" w:eastAsia="Arial" w:hAnsi="Arial"/>
          <w:sz w:val="16"/>
          <w:szCs w:val="16"/>
          <w:color w:val="auto"/>
        </w:rPr>
        <w:t>Finance initiatives related to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4" w:lineRule="exact"/>
        <w:rPr>
          <w:sz w:val="20"/>
          <w:szCs w:val="20"/>
          <w:color w:val="auto"/>
        </w:rPr>
      </w:pPr>
    </w:p>
    <w:p>
      <w:pPr>
        <w:spacing w:after="0"/>
        <w:tabs>
          <w:tab w:leader="none" w:pos="3140" w:val="left"/>
          <w:tab w:leader="none" w:pos="3380" w:val="left"/>
        </w:tabs>
        <w:rPr>
          <w:sz w:val="20"/>
          <w:szCs w:val="20"/>
          <w:color w:val="auto"/>
        </w:rPr>
      </w:pPr>
      <w:r>
        <w:rPr>
          <w:rFonts w:ascii="Arial" w:cs="Arial" w:eastAsia="Arial" w:hAnsi="Arial"/>
          <w:sz w:val="16"/>
          <w:szCs w:val="16"/>
          <w:b w:val="1"/>
          <w:bCs w:val="1"/>
          <w:color w:val="auto"/>
        </w:rPr>
        <w:t>HR Committee</w:t>
      </w:r>
      <w:r>
        <w:rPr>
          <w:sz w:val="20"/>
          <w:szCs w:val="20"/>
          <w:color w:val="auto"/>
        </w:rPr>
        <w:tab/>
      </w:r>
      <w:r>
        <w:rPr>
          <w:rFonts w:ascii="Arial" w:cs="Arial" w:eastAsia="Arial" w:hAnsi="Arial"/>
          <w:sz w:val="16"/>
          <w:szCs w:val="16"/>
          <w:color w:val="D64000"/>
        </w:rPr>
        <w:t>•</w:t>
      </w:r>
      <w:r>
        <w:rPr>
          <w:rFonts w:ascii="Arial" w:cs="Arial" w:eastAsia="Arial" w:hAnsi="Arial"/>
          <w:sz w:val="16"/>
          <w:szCs w:val="16"/>
          <w:color w:val="auto"/>
        </w:rPr>
        <w:tab/>
        <w:t>Human capital initiatives related to ESG</w:t>
      </w:r>
    </w:p>
    <w:p>
      <w:pPr>
        <w:spacing w:after="0" w:line="19" w:lineRule="exact"/>
        <w:rPr>
          <w:sz w:val="20"/>
          <w:szCs w:val="20"/>
          <w:color w:val="auto"/>
        </w:rPr>
      </w:pPr>
    </w:p>
    <w:p>
      <w:pPr>
        <w:ind w:left="3400" w:hanging="250"/>
        <w:spacing w:after="0"/>
        <w:tabs>
          <w:tab w:leader="none" w:pos="3400" w:val="left"/>
        </w:tabs>
        <w:numPr>
          <w:ilvl w:val="0"/>
          <w:numId w:val="39"/>
        </w:numPr>
        <w:rPr>
          <w:rFonts w:ascii="Arial" w:cs="Arial" w:eastAsia="Arial" w:hAnsi="Arial"/>
          <w:sz w:val="16"/>
          <w:szCs w:val="16"/>
          <w:color w:val="D64000"/>
        </w:rPr>
      </w:pPr>
      <w:r>
        <w:rPr>
          <w:rFonts w:ascii="Arial" w:cs="Arial" w:eastAsia="Arial" w:hAnsi="Arial"/>
          <w:sz w:val="16"/>
          <w:szCs w:val="16"/>
          <w:color w:val="auto"/>
        </w:rPr>
        <w:t>Compensation considerations related to ESG</w:t>
      </w:r>
    </w:p>
    <w:p>
      <w:pPr>
        <w:spacing w:after="0" w:line="3" w:lineRule="exact"/>
        <w:rPr>
          <w:rFonts w:ascii="Arial" w:cs="Arial" w:eastAsia="Arial" w:hAnsi="Arial"/>
          <w:sz w:val="16"/>
          <w:szCs w:val="16"/>
          <w:color w:val="D64000"/>
        </w:rPr>
      </w:pPr>
    </w:p>
    <w:p>
      <w:pPr>
        <w:ind w:left="3400" w:hanging="250"/>
        <w:spacing w:after="0"/>
        <w:tabs>
          <w:tab w:leader="none" w:pos="3400" w:val="left"/>
        </w:tabs>
        <w:numPr>
          <w:ilvl w:val="0"/>
          <w:numId w:val="39"/>
        </w:numPr>
        <w:rPr>
          <w:rFonts w:ascii="Arial" w:cs="Arial" w:eastAsia="Arial" w:hAnsi="Arial"/>
          <w:sz w:val="16"/>
          <w:szCs w:val="16"/>
          <w:color w:val="D64000"/>
        </w:rPr>
      </w:pPr>
      <w:r>
        <w:rPr>
          <w:rFonts w:ascii="Arial" w:cs="Arial" w:eastAsia="Arial" w:hAnsi="Arial"/>
          <w:sz w:val="16"/>
          <w:szCs w:val="16"/>
          <w:color w:val="auto"/>
        </w:rPr>
        <w:t>Defined benefit/defined contribution plan considerations related to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4" w:lineRule="exact"/>
        <w:rPr>
          <w:sz w:val="20"/>
          <w:szCs w:val="20"/>
          <w:color w:val="auto"/>
        </w:rPr>
      </w:pPr>
    </w:p>
    <w:p>
      <w:pPr>
        <w:spacing w:after="0"/>
        <w:tabs>
          <w:tab w:leader="none" w:pos="3140" w:val="left"/>
          <w:tab w:leader="none" w:pos="3380" w:val="left"/>
        </w:tabs>
        <w:rPr>
          <w:sz w:val="20"/>
          <w:szCs w:val="20"/>
          <w:color w:val="auto"/>
        </w:rPr>
      </w:pPr>
      <w:r>
        <w:rPr>
          <w:rFonts w:ascii="Arial" w:cs="Arial" w:eastAsia="Arial" w:hAnsi="Arial"/>
          <w:sz w:val="16"/>
          <w:szCs w:val="16"/>
          <w:b w:val="1"/>
          <w:bCs w:val="1"/>
          <w:color w:val="auto"/>
        </w:rPr>
        <w:t>Risk Committee</w:t>
      </w:r>
      <w:r>
        <w:rPr>
          <w:sz w:val="20"/>
          <w:szCs w:val="20"/>
          <w:color w:val="auto"/>
        </w:rPr>
        <w:tab/>
      </w:r>
      <w:r>
        <w:rPr>
          <w:rFonts w:ascii="Arial" w:cs="Arial" w:eastAsia="Arial" w:hAnsi="Arial"/>
          <w:sz w:val="16"/>
          <w:szCs w:val="16"/>
          <w:color w:val="D64000"/>
        </w:rPr>
        <w:t>•</w:t>
      </w:r>
      <w:r>
        <w:rPr>
          <w:sz w:val="20"/>
          <w:szCs w:val="20"/>
          <w:color w:val="auto"/>
        </w:rPr>
        <w:tab/>
      </w:r>
      <w:r>
        <w:rPr>
          <w:rFonts w:ascii="Arial" w:cs="Arial" w:eastAsia="Arial" w:hAnsi="Arial"/>
          <w:sz w:val="15"/>
          <w:szCs w:val="15"/>
          <w:color w:val="auto"/>
        </w:rPr>
        <w:t>ERM considerations related to ESG</w:t>
      </w:r>
    </w:p>
    <w:p>
      <w:pPr>
        <w:spacing w:after="0" w:line="19" w:lineRule="exact"/>
        <w:rPr>
          <w:sz w:val="20"/>
          <w:szCs w:val="20"/>
          <w:color w:val="auto"/>
        </w:rPr>
      </w:pPr>
    </w:p>
    <w:p>
      <w:pPr>
        <w:ind w:left="3400" w:hanging="250"/>
        <w:spacing w:after="0"/>
        <w:tabs>
          <w:tab w:leader="none" w:pos="3400" w:val="left"/>
        </w:tabs>
        <w:numPr>
          <w:ilvl w:val="0"/>
          <w:numId w:val="40"/>
        </w:numPr>
        <w:rPr>
          <w:rFonts w:ascii="Arial" w:cs="Arial" w:eastAsia="Arial" w:hAnsi="Arial"/>
          <w:sz w:val="16"/>
          <w:szCs w:val="16"/>
          <w:color w:val="D64000"/>
        </w:rPr>
      </w:pPr>
      <w:r>
        <w:rPr>
          <w:rFonts w:ascii="Arial" w:cs="Arial" w:eastAsia="Arial" w:hAnsi="Arial"/>
          <w:sz w:val="16"/>
          <w:szCs w:val="16"/>
          <w:color w:val="auto"/>
        </w:rPr>
        <w:t>AI and emerging technologies</w:t>
      </w:r>
    </w:p>
    <w:p>
      <w:pPr>
        <w:spacing w:after="0" w:line="3" w:lineRule="exact"/>
        <w:rPr>
          <w:rFonts w:ascii="Arial" w:cs="Arial" w:eastAsia="Arial" w:hAnsi="Arial"/>
          <w:sz w:val="16"/>
          <w:szCs w:val="16"/>
          <w:color w:val="D64000"/>
        </w:rPr>
      </w:pPr>
    </w:p>
    <w:p>
      <w:pPr>
        <w:ind w:left="3400" w:hanging="250"/>
        <w:spacing w:after="0"/>
        <w:tabs>
          <w:tab w:leader="none" w:pos="3400" w:val="left"/>
        </w:tabs>
        <w:numPr>
          <w:ilvl w:val="0"/>
          <w:numId w:val="40"/>
        </w:numPr>
        <w:rPr>
          <w:rFonts w:ascii="Arial" w:cs="Arial" w:eastAsia="Arial" w:hAnsi="Arial"/>
          <w:sz w:val="16"/>
          <w:szCs w:val="16"/>
          <w:color w:val="D64000"/>
        </w:rPr>
      </w:pPr>
      <w:r>
        <w:rPr>
          <w:rFonts w:ascii="Arial" w:cs="Arial" w:eastAsia="Arial" w:hAnsi="Arial"/>
          <w:sz w:val="16"/>
          <w:szCs w:val="16"/>
          <w:color w:val="auto"/>
        </w:rPr>
        <w:t>Certain product/services risks and considerations related to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Artificial Intelligence (AI) Oversight</w:t>
      </w:r>
    </w:p>
    <w:p>
      <w:pPr>
        <w:spacing w:after="0" w:line="10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risks and opportunities that arise with the development and use of AI are overseen by the Board and its committees. Management is responsible for updating the Board and its committees on AI topics and assessing AI-related risks, including for both the development and use of AI.</w:t>
      </w:r>
    </w:p>
    <w:p>
      <w:pPr>
        <w:spacing w:after="0" w:line="54"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conducting this oversight, the Board considers, among other topics, the use of AI in our products, impacts of AI on customer business models, internal use of AI and other impacts. The Board also receives education on AI-related topics, most recently in November 2025. This training covers a range of topics, including ethics and emerging regulatory frameworks around the world.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division of primary AI oversight responsibilities between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929755" cy="2038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203835"/>
                    </a:xfrm>
                    <a:prstGeom prst="rect">
                      <a:avLst/>
                    </a:prstGeom>
                    <a:noFill/>
                  </pic:spPr>
                </pic:pic>
              </a:graphicData>
            </a:graphic>
          </wp:anchor>
        </w:drawing>
      </w:r>
    </w:p>
    <w:p>
      <w:pPr>
        <w:spacing w:after="0" w:line="27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FFFFFF"/>
        </w:rPr>
        <w:t>  Primary AI Oversight Responsibilities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Arial" w:cs="Arial" w:eastAsia="Arial" w:hAnsi="Arial"/>
                <w:sz w:val="16"/>
                <w:szCs w:val="16"/>
                <w:b w:val="1"/>
                <w:bCs w:val="1"/>
                <w:color w:val="auto"/>
              </w:rPr>
              <w:t>Board of Directors</w:t>
            </w:r>
          </w:p>
        </w:tc>
        <w:tc>
          <w:tcPr>
            <w:tcW w:w="8640" w:type="dxa"/>
            <w:vAlign w:val="bottom"/>
            <w:gridSpan w:val="2"/>
          </w:tcPr>
          <w:p>
            <w:pPr>
              <w:ind w:left="8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Overall AI strategy and alignment with Thomson Reuters’ long-term business strategy</w:t>
            </w:r>
          </w:p>
        </w:tc>
      </w:tr>
      <w:tr>
        <w:trPr>
          <w:trHeight w:val="34"/>
        </w:trPr>
        <w:tc>
          <w:tcPr>
            <w:tcW w:w="2280" w:type="dxa"/>
            <w:vAlign w:val="bottom"/>
            <w:tcBorders>
              <w:bottom w:val="single" w:sz="8" w:color="B2B2B2"/>
            </w:tcBorders>
          </w:tcPr>
          <w:p>
            <w:pPr>
              <w:spacing w:after="0"/>
              <w:rPr>
                <w:sz w:val="2"/>
                <w:szCs w:val="2"/>
                <w:color w:val="auto"/>
              </w:rPr>
            </w:pPr>
          </w:p>
        </w:tc>
        <w:tc>
          <w:tcPr>
            <w:tcW w:w="8640" w:type="dxa"/>
            <w:vAlign w:val="bottom"/>
            <w:tcBorders>
              <w:bottom w:val="single" w:sz="8" w:color="B2B2B2"/>
            </w:tcBorders>
            <w:gridSpan w:val="2"/>
          </w:tcPr>
          <w:p>
            <w:pPr>
              <w:spacing w:after="0"/>
              <w:rPr>
                <w:sz w:val="2"/>
                <w:szCs w:val="2"/>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6"/>
                <w:szCs w:val="16"/>
                <w:b w:val="1"/>
                <w:bCs w:val="1"/>
                <w:color w:val="auto"/>
              </w:rPr>
              <w:t>Risk Committee</w:t>
            </w:r>
          </w:p>
        </w:tc>
        <w:tc>
          <w:tcPr>
            <w:tcW w:w="8640" w:type="dxa"/>
            <w:vAlign w:val="bottom"/>
            <w:gridSpan w:val="2"/>
          </w:tcPr>
          <w:p>
            <w:pPr>
              <w:ind w:left="8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Overall oversight of AI risks and opportunities</w:t>
            </w:r>
          </w:p>
        </w:tc>
      </w:tr>
      <w:tr>
        <w:trPr>
          <w:trHeight w:val="187"/>
        </w:trPr>
        <w:tc>
          <w:tcPr>
            <w:tcW w:w="2280" w:type="dxa"/>
            <w:vAlign w:val="bottom"/>
          </w:tcPr>
          <w:p>
            <w:pPr>
              <w:spacing w:after="0"/>
              <w:rPr>
                <w:sz w:val="16"/>
                <w:szCs w:val="16"/>
                <w:color w:val="auto"/>
              </w:rPr>
            </w:pPr>
          </w:p>
        </w:tc>
        <w:tc>
          <w:tcPr>
            <w:tcW w:w="1020" w:type="dxa"/>
            <w:vAlign w:val="bottom"/>
          </w:tcPr>
          <w:p>
            <w:pPr>
              <w:ind w:left="880"/>
              <w:spacing w:after="0"/>
              <w:rPr>
                <w:sz w:val="20"/>
                <w:szCs w:val="20"/>
                <w:color w:val="auto"/>
              </w:rPr>
            </w:pPr>
            <w:r>
              <w:rPr>
                <w:rFonts w:ascii="Arial" w:cs="Arial" w:eastAsia="Arial" w:hAnsi="Arial"/>
                <w:sz w:val="16"/>
                <w:szCs w:val="16"/>
                <w:color w:val="D64000"/>
              </w:rPr>
              <w:t>•</w:t>
            </w:r>
          </w:p>
        </w:tc>
        <w:tc>
          <w:tcPr>
            <w:tcW w:w="7620" w:type="dxa"/>
            <w:vAlign w:val="bottom"/>
          </w:tcPr>
          <w:p>
            <w:pPr>
              <w:ind w:left="100"/>
              <w:spacing w:after="0"/>
              <w:rPr>
                <w:sz w:val="20"/>
                <w:szCs w:val="20"/>
                <w:color w:val="auto"/>
              </w:rPr>
            </w:pPr>
            <w:r>
              <w:rPr>
                <w:rFonts w:ascii="Arial" w:cs="Arial" w:eastAsia="Arial" w:hAnsi="Arial"/>
                <w:sz w:val="16"/>
                <w:szCs w:val="16"/>
                <w:color w:val="auto"/>
              </w:rPr>
              <w:t>AI governance and regulatory compliance</w:t>
            </w:r>
          </w:p>
        </w:tc>
      </w:tr>
      <w:tr>
        <w:trPr>
          <w:trHeight w:val="211"/>
        </w:trPr>
        <w:tc>
          <w:tcPr>
            <w:tcW w:w="2280" w:type="dxa"/>
            <w:vAlign w:val="bottom"/>
          </w:tcPr>
          <w:p>
            <w:pPr>
              <w:spacing w:after="0"/>
              <w:rPr>
                <w:sz w:val="18"/>
                <w:szCs w:val="18"/>
                <w:color w:val="auto"/>
              </w:rPr>
            </w:pPr>
          </w:p>
        </w:tc>
        <w:tc>
          <w:tcPr>
            <w:tcW w:w="1020" w:type="dxa"/>
            <w:vAlign w:val="bottom"/>
          </w:tcPr>
          <w:p>
            <w:pPr>
              <w:ind w:left="880"/>
              <w:spacing w:after="0"/>
              <w:rPr>
                <w:sz w:val="20"/>
                <w:szCs w:val="20"/>
                <w:color w:val="auto"/>
              </w:rPr>
            </w:pPr>
            <w:r>
              <w:rPr>
                <w:rFonts w:ascii="Arial" w:cs="Arial" w:eastAsia="Arial" w:hAnsi="Arial"/>
                <w:sz w:val="16"/>
                <w:szCs w:val="16"/>
                <w:color w:val="D64000"/>
              </w:rPr>
              <w:t>•</w:t>
            </w:r>
          </w:p>
        </w:tc>
        <w:tc>
          <w:tcPr>
            <w:tcW w:w="7620" w:type="dxa"/>
            <w:vAlign w:val="bottom"/>
          </w:tcPr>
          <w:p>
            <w:pPr>
              <w:ind w:left="100"/>
              <w:spacing w:after="0"/>
              <w:rPr>
                <w:sz w:val="20"/>
                <w:szCs w:val="20"/>
                <w:color w:val="auto"/>
              </w:rPr>
            </w:pPr>
            <w:r>
              <w:rPr>
                <w:rFonts w:ascii="Arial" w:cs="Arial" w:eastAsia="Arial" w:hAnsi="Arial"/>
                <w:sz w:val="16"/>
                <w:szCs w:val="16"/>
                <w:color w:val="auto"/>
              </w:rPr>
              <w:t>Data and ethics concerns related to AI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3" w:lineRule="exact"/>
        <w:rPr>
          <w:sz w:val="20"/>
          <w:szCs w:val="20"/>
          <w:color w:val="auto"/>
        </w:rPr>
      </w:pPr>
    </w:p>
    <w:p>
      <w:pPr>
        <w:spacing w:after="0"/>
        <w:tabs>
          <w:tab w:leader="none" w:pos="3140" w:val="left"/>
          <w:tab w:leader="none" w:pos="3380" w:val="left"/>
        </w:tabs>
        <w:rPr>
          <w:sz w:val="20"/>
          <w:szCs w:val="20"/>
          <w:color w:val="auto"/>
        </w:rPr>
      </w:pPr>
      <w:r>
        <w:rPr>
          <w:rFonts w:ascii="Arial" w:cs="Arial" w:eastAsia="Arial" w:hAnsi="Arial"/>
          <w:sz w:val="16"/>
          <w:szCs w:val="16"/>
          <w:b w:val="1"/>
          <w:bCs w:val="1"/>
          <w:color w:val="auto"/>
        </w:rPr>
        <w:t>Audit Committee</w:t>
      </w:r>
      <w:r>
        <w:rPr>
          <w:sz w:val="20"/>
          <w:szCs w:val="20"/>
          <w:color w:val="auto"/>
        </w:rPr>
        <w:tab/>
      </w:r>
      <w:r>
        <w:rPr>
          <w:rFonts w:ascii="Arial" w:cs="Arial" w:eastAsia="Arial" w:hAnsi="Arial"/>
          <w:sz w:val="16"/>
          <w:szCs w:val="16"/>
          <w:color w:val="D64000"/>
        </w:rPr>
        <w:t>•</w:t>
      </w:r>
      <w:r>
        <w:rPr>
          <w:sz w:val="20"/>
          <w:szCs w:val="20"/>
          <w:color w:val="auto"/>
        </w:rPr>
        <w:tab/>
      </w:r>
      <w:r>
        <w:rPr>
          <w:rFonts w:ascii="Arial" w:cs="Arial" w:eastAsia="Arial" w:hAnsi="Arial"/>
          <w:sz w:val="15"/>
          <w:szCs w:val="15"/>
          <w:color w:val="auto"/>
        </w:rPr>
        <w:t>Overall reporting/disclosure processes related to AI</w:t>
      </w:r>
    </w:p>
    <w:p>
      <w:pPr>
        <w:spacing w:after="0" w:line="19" w:lineRule="exact"/>
        <w:rPr>
          <w:sz w:val="20"/>
          <w:szCs w:val="20"/>
          <w:color w:val="auto"/>
        </w:rPr>
      </w:pPr>
    </w:p>
    <w:p>
      <w:pPr>
        <w:ind w:left="3400" w:hanging="250"/>
        <w:spacing w:after="0"/>
        <w:tabs>
          <w:tab w:leader="none" w:pos="3400" w:val="left"/>
        </w:tabs>
        <w:numPr>
          <w:ilvl w:val="0"/>
          <w:numId w:val="41"/>
        </w:numPr>
        <w:rPr>
          <w:rFonts w:ascii="Arial" w:cs="Arial" w:eastAsia="Arial" w:hAnsi="Arial"/>
          <w:sz w:val="16"/>
          <w:szCs w:val="16"/>
          <w:color w:val="D64000"/>
        </w:rPr>
      </w:pPr>
      <w:r>
        <w:rPr>
          <w:rFonts w:ascii="Arial" w:cs="Arial" w:eastAsia="Arial" w:hAnsi="Arial"/>
          <w:sz w:val="16"/>
          <w:szCs w:val="16"/>
          <w:color w:val="auto"/>
        </w:rPr>
        <w:t>Internal controls/procedures related to AI</w:t>
      </w:r>
    </w:p>
    <w:p>
      <w:pPr>
        <w:spacing w:after="0" w:line="3" w:lineRule="exact"/>
        <w:rPr>
          <w:rFonts w:ascii="Arial" w:cs="Arial" w:eastAsia="Arial" w:hAnsi="Arial"/>
          <w:sz w:val="16"/>
          <w:szCs w:val="16"/>
          <w:color w:val="D64000"/>
        </w:rPr>
      </w:pPr>
    </w:p>
    <w:p>
      <w:pPr>
        <w:ind w:left="3400" w:hanging="250"/>
        <w:spacing w:after="0"/>
        <w:tabs>
          <w:tab w:leader="none" w:pos="3400" w:val="left"/>
        </w:tabs>
        <w:numPr>
          <w:ilvl w:val="0"/>
          <w:numId w:val="41"/>
        </w:numPr>
        <w:rPr>
          <w:rFonts w:ascii="Arial" w:cs="Arial" w:eastAsia="Arial" w:hAnsi="Arial"/>
          <w:sz w:val="16"/>
          <w:szCs w:val="16"/>
          <w:color w:val="D64000"/>
        </w:rPr>
      </w:pPr>
      <w:r>
        <w:rPr>
          <w:rFonts w:ascii="Arial" w:cs="Arial" w:eastAsia="Arial" w:hAnsi="Arial"/>
          <w:sz w:val="16"/>
          <w:szCs w:val="16"/>
          <w:color w:val="auto"/>
        </w:rPr>
        <w:t>Finance initiatives related to AI</w:t>
      </w:r>
    </w:p>
    <w:p>
      <w:pPr>
        <w:spacing w:after="0" w:line="3" w:lineRule="exact"/>
        <w:rPr>
          <w:rFonts w:ascii="Arial" w:cs="Arial" w:eastAsia="Arial" w:hAnsi="Arial"/>
          <w:sz w:val="16"/>
          <w:szCs w:val="16"/>
          <w:color w:val="D64000"/>
        </w:rPr>
      </w:pPr>
    </w:p>
    <w:p>
      <w:pPr>
        <w:ind w:left="3400" w:hanging="250"/>
        <w:spacing w:after="0"/>
        <w:tabs>
          <w:tab w:leader="none" w:pos="3400" w:val="left"/>
        </w:tabs>
        <w:numPr>
          <w:ilvl w:val="0"/>
          <w:numId w:val="41"/>
        </w:numPr>
        <w:rPr>
          <w:rFonts w:ascii="Arial" w:cs="Arial" w:eastAsia="Arial" w:hAnsi="Arial"/>
          <w:sz w:val="16"/>
          <w:szCs w:val="16"/>
          <w:color w:val="D64000"/>
        </w:rPr>
      </w:pPr>
      <w:r>
        <w:rPr>
          <w:rFonts w:ascii="Arial" w:cs="Arial" w:eastAsia="Arial" w:hAnsi="Arial"/>
          <w:sz w:val="16"/>
          <w:szCs w:val="16"/>
          <w:color w:val="auto"/>
        </w:rPr>
        <w:t>Use of AI in internal audit, corporate compliance and financial reporting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4" w:lineRule="exact"/>
        <w:rPr>
          <w:sz w:val="20"/>
          <w:szCs w:val="20"/>
          <w:color w:val="auto"/>
        </w:rPr>
      </w:pPr>
    </w:p>
    <w:p>
      <w:pPr>
        <w:spacing w:after="0"/>
        <w:tabs>
          <w:tab w:leader="none" w:pos="3140" w:val="left"/>
          <w:tab w:leader="none" w:pos="3380" w:val="left"/>
        </w:tabs>
        <w:rPr>
          <w:sz w:val="20"/>
          <w:szCs w:val="20"/>
          <w:color w:val="auto"/>
        </w:rPr>
      </w:pPr>
      <w:r>
        <w:rPr>
          <w:rFonts w:ascii="Arial" w:cs="Arial" w:eastAsia="Arial" w:hAnsi="Arial"/>
          <w:sz w:val="16"/>
          <w:szCs w:val="16"/>
          <w:b w:val="1"/>
          <w:bCs w:val="1"/>
          <w:color w:val="auto"/>
        </w:rPr>
        <w:t>HR Committee</w:t>
      </w:r>
      <w:r>
        <w:rPr>
          <w:sz w:val="20"/>
          <w:szCs w:val="20"/>
          <w:color w:val="auto"/>
        </w:rPr>
        <w:tab/>
      </w:r>
      <w:r>
        <w:rPr>
          <w:rFonts w:ascii="Arial" w:cs="Arial" w:eastAsia="Arial" w:hAnsi="Arial"/>
          <w:sz w:val="16"/>
          <w:szCs w:val="16"/>
          <w:color w:val="D64000"/>
        </w:rPr>
        <w:t>•</w:t>
      </w:r>
      <w:r>
        <w:rPr>
          <w:sz w:val="20"/>
          <w:szCs w:val="20"/>
          <w:color w:val="auto"/>
        </w:rPr>
        <w:tab/>
      </w:r>
      <w:r>
        <w:rPr>
          <w:rFonts w:ascii="Arial" w:cs="Arial" w:eastAsia="Arial" w:hAnsi="Arial"/>
          <w:sz w:val="15"/>
          <w:szCs w:val="15"/>
          <w:color w:val="auto"/>
        </w:rPr>
        <w:t>Talent-related aspects of AI</w:t>
      </w:r>
    </w:p>
    <w:p>
      <w:pPr>
        <w:spacing w:after="0" w:line="19" w:lineRule="exact"/>
        <w:rPr>
          <w:sz w:val="20"/>
          <w:szCs w:val="20"/>
          <w:color w:val="auto"/>
        </w:rPr>
      </w:pPr>
    </w:p>
    <w:p>
      <w:pPr>
        <w:ind w:left="3400" w:hanging="250"/>
        <w:spacing w:after="0"/>
        <w:tabs>
          <w:tab w:leader="none" w:pos="3400" w:val="left"/>
        </w:tabs>
        <w:numPr>
          <w:ilvl w:val="0"/>
          <w:numId w:val="42"/>
        </w:numPr>
        <w:rPr>
          <w:rFonts w:ascii="Arial" w:cs="Arial" w:eastAsia="Arial" w:hAnsi="Arial"/>
          <w:sz w:val="16"/>
          <w:szCs w:val="16"/>
          <w:color w:val="D64000"/>
        </w:rPr>
      </w:pPr>
      <w:r>
        <w:rPr>
          <w:rFonts w:ascii="Arial" w:cs="Arial" w:eastAsia="Arial" w:hAnsi="Arial"/>
          <w:sz w:val="16"/>
          <w:szCs w:val="16"/>
          <w:color w:val="auto"/>
        </w:rPr>
        <w:t>Internal use of AI</w:t>
      </w:r>
    </w:p>
    <w:p>
      <w:pPr>
        <w:spacing w:after="0" w:line="3" w:lineRule="exact"/>
        <w:rPr>
          <w:rFonts w:ascii="Arial" w:cs="Arial" w:eastAsia="Arial" w:hAnsi="Arial"/>
          <w:sz w:val="16"/>
          <w:szCs w:val="16"/>
          <w:color w:val="D64000"/>
        </w:rPr>
      </w:pPr>
    </w:p>
    <w:p>
      <w:pPr>
        <w:ind w:left="3400" w:hanging="250"/>
        <w:spacing w:after="0"/>
        <w:tabs>
          <w:tab w:leader="none" w:pos="3400" w:val="left"/>
        </w:tabs>
        <w:numPr>
          <w:ilvl w:val="0"/>
          <w:numId w:val="42"/>
        </w:numPr>
        <w:rPr>
          <w:rFonts w:ascii="Arial" w:cs="Arial" w:eastAsia="Arial" w:hAnsi="Arial"/>
          <w:sz w:val="16"/>
          <w:szCs w:val="16"/>
          <w:color w:val="D64000"/>
        </w:rPr>
      </w:pPr>
      <w:r>
        <w:rPr>
          <w:rFonts w:ascii="Arial" w:cs="Arial" w:eastAsia="Arial" w:hAnsi="Arial"/>
          <w:sz w:val="16"/>
          <w:szCs w:val="16"/>
          <w:color w:val="auto"/>
        </w:rPr>
        <w:t>AI-related employee training</w:t>
      </w:r>
    </w:p>
    <w:p>
      <w:pPr>
        <w:spacing w:after="0" w:line="3" w:lineRule="exact"/>
        <w:rPr>
          <w:rFonts w:ascii="Arial" w:cs="Arial" w:eastAsia="Arial" w:hAnsi="Arial"/>
          <w:sz w:val="16"/>
          <w:szCs w:val="16"/>
          <w:color w:val="D64000"/>
        </w:rPr>
      </w:pPr>
    </w:p>
    <w:p>
      <w:pPr>
        <w:ind w:left="3400" w:hanging="250"/>
        <w:spacing w:after="0"/>
        <w:tabs>
          <w:tab w:leader="none" w:pos="3400" w:val="left"/>
        </w:tabs>
        <w:numPr>
          <w:ilvl w:val="0"/>
          <w:numId w:val="42"/>
        </w:numPr>
        <w:rPr>
          <w:rFonts w:ascii="Arial" w:cs="Arial" w:eastAsia="Arial" w:hAnsi="Arial"/>
          <w:sz w:val="16"/>
          <w:szCs w:val="16"/>
          <w:color w:val="D64000"/>
        </w:rPr>
      </w:pPr>
      <w:r>
        <w:rPr>
          <w:rFonts w:ascii="Arial" w:cs="Arial" w:eastAsia="Arial" w:hAnsi="Arial"/>
          <w:sz w:val="16"/>
          <w:szCs w:val="16"/>
          <w:color w:val="auto"/>
        </w:rPr>
        <w:t>Impact of AI on the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4" w:lineRule="exact"/>
        <w:rPr>
          <w:sz w:val="20"/>
          <w:szCs w:val="20"/>
          <w:color w:val="auto"/>
        </w:rPr>
      </w:pPr>
    </w:p>
    <w:p>
      <w:pPr>
        <w:spacing w:after="0"/>
        <w:tabs>
          <w:tab w:leader="none" w:pos="3140" w:val="left"/>
          <w:tab w:leader="none" w:pos="3380" w:val="left"/>
        </w:tabs>
        <w:rPr>
          <w:sz w:val="20"/>
          <w:szCs w:val="20"/>
          <w:color w:val="auto"/>
        </w:rPr>
      </w:pPr>
      <w:r>
        <w:rPr>
          <w:rFonts w:ascii="Arial" w:cs="Arial" w:eastAsia="Arial" w:hAnsi="Arial"/>
          <w:sz w:val="16"/>
          <w:szCs w:val="16"/>
          <w:b w:val="1"/>
          <w:bCs w:val="1"/>
          <w:color w:val="auto"/>
        </w:rPr>
        <w:t>Corporate Governance Committee</w:t>
      </w:r>
      <w:r>
        <w:rPr>
          <w:sz w:val="20"/>
          <w:szCs w:val="20"/>
          <w:color w:val="auto"/>
        </w:rPr>
        <w:tab/>
      </w:r>
      <w:r>
        <w:rPr>
          <w:rFonts w:ascii="Arial" w:cs="Arial" w:eastAsia="Arial" w:hAnsi="Arial"/>
          <w:sz w:val="16"/>
          <w:szCs w:val="16"/>
          <w:color w:val="D64000"/>
        </w:rPr>
        <w:t>•</w:t>
      </w:r>
      <w:r>
        <w:rPr>
          <w:rFonts w:ascii="Arial" w:cs="Arial" w:eastAsia="Arial" w:hAnsi="Arial"/>
          <w:sz w:val="16"/>
          <w:szCs w:val="16"/>
          <w:color w:val="auto"/>
        </w:rPr>
        <w:tab/>
        <w:t>Coordination amongst the Board and its four standing committees</w:t>
      </w:r>
    </w:p>
    <w:p>
      <w:pPr>
        <w:spacing w:after="0" w:line="19" w:lineRule="exact"/>
        <w:rPr>
          <w:sz w:val="20"/>
          <w:szCs w:val="20"/>
          <w:color w:val="auto"/>
        </w:rPr>
      </w:pPr>
    </w:p>
    <w:p>
      <w:pPr>
        <w:ind w:left="3400" w:hanging="250"/>
        <w:spacing w:after="0"/>
        <w:tabs>
          <w:tab w:leader="none" w:pos="3400" w:val="left"/>
        </w:tabs>
        <w:numPr>
          <w:ilvl w:val="0"/>
          <w:numId w:val="43"/>
        </w:numPr>
        <w:rPr>
          <w:rFonts w:ascii="Arial" w:cs="Arial" w:eastAsia="Arial" w:hAnsi="Arial"/>
          <w:sz w:val="16"/>
          <w:szCs w:val="16"/>
          <w:color w:val="D64000"/>
        </w:rPr>
      </w:pPr>
      <w:r>
        <w:rPr>
          <w:rFonts w:ascii="Arial" w:cs="Arial" w:eastAsia="Arial" w:hAnsi="Arial"/>
          <w:sz w:val="16"/>
          <w:szCs w:val="16"/>
          <w:color w:val="auto"/>
        </w:rPr>
        <w:t>Stakeholder engagement related to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161925</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35</w:t>
      </w:r>
    </w:p>
    <w:p>
      <w:pPr>
        <w:sectPr>
          <w:pgSz w:w="11900" w:h="16838" w:orient="portrait"/>
          <w:cols w:equalWidth="0" w:num="1">
            <w:col w:w="10920"/>
          </w:cols>
          <w:pgMar w:left="480" w:top="262" w:right="499" w:bottom="1440" w:gutter="0" w:footer="0" w:header="0"/>
        </w:sectPr>
      </w:pPr>
    </w:p>
    <w:bookmarkStart w:id="45" w:name="page46"/>
    <w:bookmarkEnd w:id="45"/>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Separate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297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160"/>
        <w:spacing w:after="0" w:line="281" w:lineRule="auto"/>
        <w:rPr>
          <w:sz w:val="20"/>
          <w:szCs w:val="20"/>
          <w:color w:val="auto"/>
        </w:rPr>
      </w:pPr>
      <w:r>
        <w:rPr>
          <w:rFonts w:ascii="Arial" w:cs="Arial" w:eastAsia="Arial" w:hAnsi="Arial"/>
          <w:sz w:val="25"/>
          <w:szCs w:val="25"/>
          <w:color w:val="auto"/>
        </w:rPr>
        <w:t>The roles and responsibilities of the Chairman and the CEO of our company are separate to allow for more effective oversight and to hold management more accountable.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692975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63" w:lineRule="exact"/>
        <w:rPr>
          <w:sz w:val="20"/>
          <w:szCs w:val="20"/>
          <w:color w:val="auto"/>
        </w:rPr>
      </w:pPr>
    </w:p>
    <w:p>
      <w:pPr>
        <w:ind w:left="440" w:right="80" w:hanging="326"/>
        <w:spacing w:after="0" w:line="269" w:lineRule="auto"/>
        <w:tabs>
          <w:tab w:leader="none" w:pos="440" w:val="left"/>
        </w:tabs>
        <w:numPr>
          <w:ilvl w:val="0"/>
          <w:numId w:val="44"/>
        </w:numPr>
        <w:rPr>
          <w:rFonts w:ascii="Arial" w:cs="Arial" w:eastAsia="Arial" w:hAnsi="Arial"/>
          <w:sz w:val="16"/>
          <w:szCs w:val="16"/>
          <w:color w:val="D64000"/>
        </w:rPr>
      </w:pPr>
      <w:r>
        <w:rPr>
          <w:rFonts w:ascii="Arial" w:cs="Arial" w:eastAsia="Arial" w:hAnsi="Arial"/>
          <w:sz w:val="16"/>
          <w:szCs w:val="16"/>
          <w:color w:val="auto"/>
        </w:rPr>
        <w:t>As Chairman, David Thomson seeks to ensure that the Board operates independently of senior management. The Chairman is responsible for chairing Board meetings, ensuring that the Board and its committees have the necessary resources to support their work (in particular, accurate, timely and relevant information), and maintaining an effective relationship between the Board and senior management.</w:t>
      </w:r>
    </w:p>
    <w:p>
      <w:pPr>
        <w:spacing w:after="0" w:line="36" w:lineRule="exact"/>
        <w:rPr>
          <w:rFonts w:ascii="Arial" w:cs="Arial" w:eastAsia="Arial" w:hAnsi="Arial"/>
          <w:sz w:val="16"/>
          <w:szCs w:val="16"/>
          <w:color w:val="D64000"/>
        </w:rPr>
      </w:pPr>
    </w:p>
    <w:p>
      <w:pPr>
        <w:ind w:left="440" w:right="280" w:hanging="326"/>
        <w:spacing w:after="0" w:line="263" w:lineRule="auto"/>
        <w:tabs>
          <w:tab w:leader="none" w:pos="440" w:val="left"/>
        </w:tabs>
        <w:numPr>
          <w:ilvl w:val="0"/>
          <w:numId w:val="44"/>
        </w:numPr>
        <w:rPr>
          <w:rFonts w:ascii="Arial" w:cs="Arial" w:eastAsia="Arial" w:hAnsi="Arial"/>
          <w:sz w:val="17"/>
          <w:szCs w:val="17"/>
          <w:color w:val="D64000"/>
        </w:rPr>
      </w:pPr>
      <w:r>
        <w:rPr>
          <w:rFonts w:ascii="Arial" w:cs="Arial" w:eastAsia="Arial" w:hAnsi="Arial"/>
          <w:sz w:val="17"/>
          <w:szCs w:val="17"/>
          <w:color w:val="auto"/>
        </w:rPr>
        <w:t>As CEO, Steve Hasker is principally responsible for the management of the business and affairs of Thomson Reuters in accordance with the strategic plan and objectives approved by the Board.</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Deputy Chairman</w:t>
      </w:r>
    </w:p>
    <w:p>
      <w:pPr>
        <w:spacing w:after="0" w:line="11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corporate governance guidelines permit the Board to elect a Deputy Chairman. The Deputy Chairman would work collaboratively with the Chairman and assist the Chairman in fulfilling his responsibilities. The Deputy Chairman would also engage in regular dialogue with the Chairman, the CEO and the Lead Independent Director to reinforce our culture of good governance; would serve as an ambassador for Thomson Reuters; and perform additional duties as may be delegated to him by the Chairman or the Board from time to time. As of the date of this circular, the Board has not elected a Deputy Chairman.</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Lead Independent Director</w:t>
      </w:r>
    </w:p>
    <w:p>
      <w:pPr>
        <w:spacing w:after="0" w:line="103"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Michael E. Daniels was the Board’s Lead Independent Director until he passed away on March 14, 2026. Barry Salzberg was elected Interim Lead Independent Director effective March 25, 2026. Among other things, responsibilities of our Lead Independent Director include chairing meetings of the independent directors; in consultation with the Chairman and CEO, approving meeting agendas for the Board; as requested, advising the CEO on the quality, quantity, appropriateness and timeliness of information sent by management to the Board; and being available for consultation with the other independent directors as required. The Lead Independent Director is also responsible for leading the annual evaluation process of the Board, its committees, and individual directors, including holding individual meetings with each director.</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Position Descriptions</w:t>
      </w:r>
    </w:p>
    <w:p>
      <w:pPr>
        <w:spacing w:after="0" w:line="103"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Position descriptions for the Chairman, the chair of each committee and the Lead Independent Director have been approved by the Board and help ensure the independent operations of the Board and its committees.</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Meetings with and without the CEO/Management</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At or near the beginning of each meeting, the Board has an “in-camera” session with the CEO, but no other members of management. This is intended to give the CEO an opportunity to discuss his objectives for the day’s meeting, and for directors to express preliminary observations based on their prior review of meeting materials. This permits a more effective use of time in the Board meeting. A similar session is held with the CEO at the end of the meeting, followed by a meeting of the Board without the CEO or other members of management present. Board committees also utilize “in-camera” meetings for discussions without the CEO or members of management present.</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Meetings of Independent Directors</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 part of each Board meeting, our independent directors meet as a group without the CEO and without the directors affiliated with Woodbridge. These meetings are chaired by the Lead Independent Director. The Lead Independent Director develops the agenda for these meetings, although discussion has not been limited to it. The agenda generally addresses any issues that might be specific to a public corporation with a controlling shareholder. The Lead Independent Director reports to the Chairman and the CEO on the substance of these meetings to the extent that action is appropriate or required. Six meetings of the independent directors took place in 2025.</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Access to Management and Professional Advisors</w:t>
      </w:r>
    </w:p>
    <w:p>
      <w:pPr>
        <w:spacing w:after="0" w:line="10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Board has access to members of management and professional advisors. The Board and its committees may invite any member of senior management, employee, outside advisor or other person to attend or report at any of their meetings. The Board and any of its committees may retain an outside independent professional advisor at any time at the expense of our company and have the authority to determine the advisor’s fees and other retention terms. Individual directors may retain an outside independent professional advisor at the expense of our company subject to notifying the Corporate Governance Committee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9297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36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46" w:name="page47"/>
    <w:bookmarkEnd w:id="46"/>
    <w:p>
      <w:pPr>
        <w:ind w:right="60"/>
        <w:spacing w:after="0" w:line="24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HR Committee retains an independent consulting firm to advise it on compensation matters relating to senior management. The independent consulting firm also reviews executive compensation programs and provides guidance and analysis on plan design and market trends and practices.</w:t>
      </w:r>
    </w:p>
    <w:p>
      <w:pPr>
        <w:spacing w:after="0" w:line="54"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HR Committee also utilizes and relies on market survey data provided by a consulting firm regarding executive compensation for organizations of comparable size and scope with which Thomson Reuters is most likely to compete for executive talent. Additional information is provided in the “Compensation Discussion and Analysis” section of this circular.</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Delegation of Authority</w:t>
      </w:r>
    </w:p>
    <w:p>
      <w:pPr>
        <w:spacing w:after="0" w:line="8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To clarify the division of responsibility between the Board and management, the Board has adopted a delegation of authority policy. This policy delegates certain decision-making and operating authority to senior management and has been adopted by the Board to enhance our internal controls and allow management appropriate flexibility to deal with certain matters without obtaining specific Board approval. The Board also delegates certain responsibilities to the Audit Committee, Corporate Governance Committee, HR Committee and Risk Committee, and oversees the committees’ fulfillment of their responsibilities. The responsibilities of each committee are described in more detail below.</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Attendance</w:t>
      </w:r>
    </w:p>
    <w:p>
      <w:pPr>
        <w:spacing w:after="0" w:line="10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Board meets regularly in order to discharge its duties effectively. Directors are expected to attend all meetings of the Board including committee meetings, if applicable, and annual meetings of shareholders. The following table provides information about the number of Board and committee meetings in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440" w:type="dxa"/>
            <w:vAlign w:val="bottom"/>
            <w:tcBorders>
              <w:right w:val="single" w:sz="8" w:color="1F473D"/>
            </w:tcBorders>
          </w:tcPr>
          <w:p>
            <w:pPr>
              <w:spacing w:after="0"/>
              <w:rPr>
                <w:sz w:val="24"/>
                <w:szCs w:val="24"/>
                <w:color w:val="auto"/>
              </w:rPr>
            </w:pPr>
          </w:p>
        </w:tc>
        <w:tc>
          <w:tcPr>
            <w:tcW w:w="7480" w:type="dxa"/>
            <w:vAlign w:val="bottom"/>
            <w:tcBorders>
              <w:bottom w:val="single" w:sz="8" w:color="1F473D"/>
            </w:tcBorders>
            <w:shd w:val="clear" w:color="auto" w:fill="1F473D"/>
          </w:tcPr>
          <w:p>
            <w:pPr>
              <w:jc w:val="center"/>
              <w:ind w:left="20"/>
              <w:spacing w:after="0"/>
              <w:rPr>
                <w:sz w:val="20"/>
                <w:szCs w:val="20"/>
                <w:color w:val="auto"/>
              </w:rPr>
            </w:pPr>
            <w:r>
              <w:rPr>
                <w:rFonts w:ascii="Arial" w:cs="Arial" w:eastAsia="Arial" w:hAnsi="Arial"/>
                <w:sz w:val="16"/>
                <w:szCs w:val="16"/>
                <w:b w:val="1"/>
                <w:bCs w:val="1"/>
                <w:color w:val="FFFFFF"/>
              </w:rPr>
              <w:t>Number of Meetings</w:t>
            </w:r>
          </w:p>
        </w:tc>
      </w:tr>
      <w:tr>
        <w:trPr>
          <w:trHeight w:val="247"/>
        </w:trPr>
        <w:tc>
          <w:tcPr>
            <w:tcW w:w="344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b w:val="1"/>
                <w:bCs w:val="1"/>
                <w:color w:val="auto"/>
              </w:rPr>
              <w:t>  Board</w:t>
            </w:r>
          </w:p>
        </w:tc>
        <w:tc>
          <w:tcPr>
            <w:tcW w:w="748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89"/>
              </w:rPr>
              <w:t>6</w:t>
            </w:r>
          </w:p>
        </w:tc>
      </w:tr>
      <w:tr>
        <w:trPr>
          <w:trHeight w:val="34"/>
        </w:trPr>
        <w:tc>
          <w:tcPr>
            <w:tcW w:w="3440" w:type="dxa"/>
            <w:vAlign w:val="bottom"/>
            <w:tcBorders>
              <w:bottom w:val="single" w:sz="8" w:color="B2B2B2"/>
              <w:right w:val="single" w:sz="8" w:color="B2B2B2"/>
            </w:tcBorders>
          </w:tcPr>
          <w:p>
            <w:pPr>
              <w:spacing w:after="0"/>
              <w:rPr>
                <w:sz w:val="2"/>
                <w:szCs w:val="2"/>
                <w:color w:val="auto"/>
              </w:rPr>
            </w:pPr>
          </w:p>
        </w:tc>
        <w:tc>
          <w:tcPr>
            <w:tcW w:w="7480" w:type="dxa"/>
            <w:vAlign w:val="bottom"/>
            <w:tcBorders>
              <w:bottom w:val="single" w:sz="8" w:color="B2B2B2"/>
            </w:tcBorders>
          </w:tcPr>
          <w:p>
            <w:pPr>
              <w:spacing w:after="0"/>
              <w:rPr>
                <w:sz w:val="2"/>
                <w:szCs w:val="2"/>
                <w:color w:val="auto"/>
              </w:rPr>
            </w:pPr>
          </w:p>
        </w:tc>
      </w:tr>
      <w:tr>
        <w:trPr>
          <w:trHeight w:val="241"/>
        </w:trPr>
        <w:tc>
          <w:tcPr>
            <w:tcW w:w="344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Audit Committee</w:t>
            </w:r>
          </w:p>
        </w:tc>
        <w:tc>
          <w:tcPr>
            <w:tcW w:w="748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34"/>
        </w:trPr>
        <w:tc>
          <w:tcPr>
            <w:tcW w:w="3440" w:type="dxa"/>
            <w:vAlign w:val="bottom"/>
            <w:tcBorders>
              <w:bottom w:val="single" w:sz="8" w:color="B2B2B2"/>
              <w:right w:val="single" w:sz="8" w:color="B2B2B2"/>
            </w:tcBorders>
          </w:tcPr>
          <w:p>
            <w:pPr>
              <w:spacing w:after="0"/>
              <w:rPr>
                <w:sz w:val="2"/>
                <w:szCs w:val="2"/>
                <w:color w:val="auto"/>
              </w:rPr>
            </w:pPr>
          </w:p>
        </w:tc>
        <w:tc>
          <w:tcPr>
            <w:tcW w:w="7480" w:type="dxa"/>
            <w:vAlign w:val="bottom"/>
            <w:tcBorders>
              <w:bottom w:val="single" w:sz="8" w:color="B2B2B2"/>
            </w:tcBorders>
          </w:tcPr>
          <w:p>
            <w:pPr>
              <w:spacing w:after="0"/>
              <w:rPr>
                <w:sz w:val="2"/>
                <w:szCs w:val="2"/>
                <w:color w:val="auto"/>
              </w:rPr>
            </w:pPr>
          </w:p>
        </w:tc>
      </w:tr>
      <w:tr>
        <w:trPr>
          <w:trHeight w:val="241"/>
        </w:trPr>
        <w:tc>
          <w:tcPr>
            <w:tcW w:w="344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Corporate Governance Committee</w:t>
            </w:r>
          </w:p>
        </w:tc>
        <w:tc>
          <w:tcPr>
            <w:tcW w:w="7480" w:type="dxa"/>
            <w:vAlign w:val="bottom"/>
          </w:tcPr>
          <w:p>
            <w:pPr>
              <w:jc w:val="center"/>
              <w:spacing w:after="0"/>
              <w:rPr>
                <w:sz w:val="20"/>
                <w:szCs w:val="20"/>
                <w:color w:val="auto"/>
              </w:rPr>
            </w:pPr>
            <w:r>
              <w:rPr>
                <w:rFonts w:ascii="Arial" w:cs="Arial" w:eastAsia="Arial" w:hAnsi="Arial"/>
                <w:sz w:val="16"/>
                <w:szCs w:val="16"/>
                <w:color w:val="auto"/>
                <w:w w:val="89"/>
              </w:rPr>
              <w:t>6</w:t>
            </w:r>
          </w:p>
        </w:tc>
      </w:tr>
      <w:tr>
        <w:trPr>
          <w:trHeight w:val="34"/>
        </w:trPr>
        <w:tc>
          <w:tcPr>
            <w:tcW w:w="3440" w:type="dxa"/>
            <w:vAlign w:val="bottom"/>
            <w:tcBorders>
              <w:bottom w:val="single" w:sz="8" w:color="B2B2B2"/>
              <w:right w:val="single" w:sz="8" w:color="B2B2B2"/>
            </w:tcBorders>
          </w:tcPr>
          <w:p>
            <w:pPr>
              <w:spacing w:after="0"/>
              <w:rPr>
                <w:sz w:val="2"/>
                <w:szCs w:val="2"/>
                <w:color w:val="auto"/>
              </w:rPr>
            </w:pPr>
          </w:p>
        </w:tc>
        <w:tc>
          <w:tcPr>
            <w:tcW w:w="7480" w:type="dxa"/>
            <w:vAlign w:val="bottom"/>
            <w:tcBorders>
              <w:bottom w:val="single" w:sz="8" w:color="B2B2B2"/>
            </w:tcBorders>
          </w:tcPr>
          <w:p>
            <w:pPr>
              <w:spacing w:after="0"/>
              <w:rPr>
                <w:sz w:val="2"/>
                <w:szCs w:val="2"/>
                <w:color w:val="auto"/>
              </w:rPr>
            </w:pPr>
          </w:p>
        </w:tc>
      </w:tr>
      <w:tr>
        <w:trPr>
          <w:trHeight w:val="241"/>
        </w:trPr>
        <w:tc>
          <w:tcPr>
            <w:tcW w:w="344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HR Committee</w:t>
            </w:r>
          </w:p>
        </w:tc>
        <w:tc>
          <w:tcPr>
            <w:tcW w:w="7480" w:type="dxa"/>
            <w:vAlign w:val="bottom"/>
          </w:tcPr>
          <w:p>
            <w:pPr>
              <w:jc w:val="center"/>
              <w:spacing w:after="0"/>
              <w:rPr>
                <w:sz w:val="20"/>
                <w:szCs w:val="20"/>
                <w:color w:val="auto"/>
              </w:rPr>
            </w:pPr>
            <w:r>
              <w:rPr>
                <w:rFonts w:ascii="Arial" w:cs="Arial" w:eastAsia="Arial" w:hAnsi="Arial"/>
                <w:sz w:val="16"/>
                <w:szCs w:val="16"/>
                <w:color w:val="auto"/>
                <w:w w:val="89"/>
              </w:rPr>
              <w:t>6</w:t>
            </w:r>
          </w:p>
        </w:tc>
      </w:tr>
      <w:tr>
        <w:trPr>
          <w:trHeight w:val="34"/>
        </w:trPr>
        <w:tc>
          <w:tcPr>
            <w:tcW w:w="3440" w:type="dxa"/>
            <w:vAlign w:val="bottom"/>
            <w:tcBorders>
              <w:bottom w:val="single" w:sz="8" w:color="B2B2B2"/>
              <w:right w:val="single" w:sz="8" w:color="B2B2B2"/>
            </w:tcBorders>
          </w:tcPr>
          <w:p>
            <w:pPr>
              <w:spacing w:after="0"/>
              <w:rPr>
                <w:sz w:val="2"/>
                <w:szCs w:val="2"/>
                <w:color w:val="auto"/>
              </w:rPr>
            </w:pPr>
          </w:p>
        </w:tc>
        <w:tc>
          <w:tcPr>
            <w:tcW w:w="7480" w:type="dxa"/>
            <w:vAlign w:val="bottom"/>
            <w:tcBorders>
              <w:bottom w:val="single" w:sz="8" w:color="B2B2B2"/>
            </w:tcBorders>
          </w:tcPr>
          <w:p>
            <w:pPr>
              <w:spacing w:after="0"/>
              <w:rPr>
                <w:sz w:val="2"/>
                <w:szCs w:val="2"/>
                <w:color w:val="auto"/>
              </w:rPr>
            </w:pPr>
          </w:p>
        </w:tc>
      </w:tr>
      <w:tr>
        <w:trPr>
          <w:trHeight w:val="274"/>
        </w:trPr>
        <w:tc>
          <w:tcPr>
            <w:tcW w:w="344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Risk Committee</w:t>
            </w:r>
          </w:p>
        </w:tc>
        <w:tc>
          <w:tcPr>
            <w:tcW w:w="748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7"/>
        </w:trPr>
        <w:tc>
          <w:tcPr>
            <w:tcW w:w="3440" w:type="dxa"/>
            <w:vAlign w:val="bottom"/>
            <w:tcBorders>
              <w:right w:val="single" w:sz="8" w:color="D64000"/>
            </w:tcBorders>
            <w:shd w:val="clear" w:color="auto" w:fill="D64000"/>
          </w:tcPr>
          <w:p>
            <w:pPr>
              <w:spacing w:after="0"/>
              <w:rPr>
                <w:sz w:val="2"/>
                <w:szCs w:val="2"/>
                <w:color w:val="auto"/>
              </w:rPr>
            </w:pPr>
          </w:p>
        </w:tc>
        <w:tc>
          <w:tcPr>
            <w:tcW w:w="7480" w:type="dxa"/>
            <w:vAlign w:val="bottom"/>
            <w:shd w:val="clear" w:color="auto" w:fill="D64000"/>
          </w:tcPr>
          <w:p>
            <w:pPr>
              <w:spacing w:after="0"/>
              <w:rPr>
                <w:sz w:val="2"/>
                <w:szCs w:val="2"/>
                <w:color w:val="auto"/>
              </w:rPr>
            </w:pPr>
          </w:p>
        </w:tc>
      </w:tr>
    </w:tbl>
    <w:p>
      <w:pPr>
        <w:spacing w:after="0" w:line="72" w:lineRule="exact"/>
        <w:rPr>
          <w:sz w:val="20"/>
          <w:szCs w:val="20"/>
          <w:color w:val="auto"/>
        </w:rPr>
      </w:pPr>
    </w:p>
    <w:p>
      <w:pPr>
        <w:ind w:right="700"/>
        <w:spacing w:after="0" w:line="263" w:lineRule="auto"/>
        <w:rPr>
          <w:sz w:val="20"/>
          <w:szCs w:val="20"/>
          <w:color w:val="auto"/>
        </w:rPr>
      </w:pPr>
      <w:r>
        <w:rPr>
          <w:rFonts w:ascii="Arial" w:cs="Arial" w:eastAsia="Arial" w:hAnsi="Arial"/>
          <w:sz w:val="17"/>
          <w:szCs w:val="17"/>
          <w:color w:val="auto"/>
        </w:rPr>
        <w:t>Five of the Board’s six meetings in 2025 were regularly scheduled. The Board also held one special meeting in 2025. Four of the Board’s regularly scheduled meetings were held in person and one was held virtually. The Board’s special meeting was held virtually.</w:t>
      </w:r>
    </w:p>
    <w:p>
      <w:pPr>
        <w:spacing w:after="0" w:line="26"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following table sets forth the attendance of our directors at Board and committee meetings in 2025. In 2025, attendance for these individuals at all Board and committee meetings was 100% and approximately 97%, respectively. All directors attended 100% of all Board meetings.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00" w:type="dxa"/>
            <w:vAlign w:val="bottom"/>
          </w:tcPr>
          <w:p>
            <w:pPr>
              <w:spacing w:after="0"/>
              <w:rPr>
                <w:sz w:val="19"/>
                <w:szCs w:val="19"/>
                <w:color w:val="auto"/>
              </w:rPr>
            </w:pPr>
          </w:p>
        </w:tc>
        <w:tc>
          <w:tcPr>
            <w:tcW w:w="960" w:type="dxa"/>
            <w:vAlign w:val="bottom"/>
            <w:shd w:val="clear" w:color="auto" w:fill="E3F3EE"/>
          </w:tcPr>
          <w:p>
            <w:pPr>
              <w:spacing w:after="0"/>
              <w:rPr>
                <w:sz w:val="19"/>
                <w:szCs w:val="19"/>
                <w:color w:val="auto"/>
              </w:rPr>
            </w:pPr>
          </w:p>
        </w:tc>
        <w:tc>
          <w:tcPr>
            <w:tcW w:w="680" w:type="dxa"/>
            <w:vAlign w:val="bottom"/>
            <w:shd w:val="clear" w:color="auto" w:fill="E3F3EE"/>
          </w:tcPr>
          <w:p>
            <w:pPr>
              <w:spacing w:after="0"/>
              <w:rPr>
                <w:sz w:val="19"/>
                <w:szCs w:val="19"/>
                <w:color w:val="auto"/>
              </w:rPr>
            </w:pPr>
          </w:p>
        </w:tc>
        <w:tc>
          <w:tcPr>
            <w:tcW w:w="960" w:type="dxa"/>
            <w:vAlign w:val="bottom"/>
            <w:shd w:val="clear" w:color="auto" w:fill="E3F3EE"/>
          </w:tcPr>
          <w:p>
            <w:pPr>
              <w:spacing w:after="0"/>
              <w:rPr>
                <w:sz w:val="19"/>
                <w:szCs w:val="19"/>
                <w:color w:val="auto"/>
              </w:rPr>
            </w:pPr>
          </w:p>
        </w:tc>
        <w:tc>
          <w:tcPr>
            <w:tcW w:w="940" w:type="dxa"/>
            <w:vAlign w:val="bottom"/>
            <w:shd w:val="clear" w:color="auto" w:fill="E3F3EE"/>
          </w:tcPr>
          <w:p>
            <w:pPr>
              <w:spacing w:after="0"/>
              <w:rPr>
                <w:sz w:val="19"/>
                <w:szCs w:val="19"/>
                <w:color w:val="auto"/>
              </w:rPr>
            </w:pPr>
          </w:p>
        </w:tc>
        <w:tc>
          <w:tcPr>
            <w:tcW w:w="1980" w:type="dxa"/>
            <w:vAlign w:val="bottom"/>
            <w:gridSpan w:val="2"/>
            <w:shd w:val="clear" w:color="auto" w:fill="E3F3EE"/>
          </w:tcPr>
          <w:p>
            <w:pPr>
              <w:jc w:val="center"/>
              <w:spacing w:after="0"/>
              <w:rPr>
                <w:sz w:val="20"/>
                <w:szCs w:val="20"/>
                <w:color w:val="auto"/>
              </w:rPr>
            </w:pPr>
            <w:r>
              <w:rPr>
                <w:rFonts w:ascii="Arial" w:cs="Arial" w:eastAsia="Arial" w:hAnsi="Arial"/>
                <w:sz w:val="16"/>
                <w:szCs w:val="16"/>
                <w:b w:val="1"/>
                <w:bCs w:val="1"/>
                <w:color w:val="auto"/>
                <w:w w:val="99"/>
              </w:rPr>
              <w:t>Meetings Attended</w:t>
            </w:r>
          </w:p>
        </w:tc>
        <w:tc>
          <w:tcPr>
            <w:tcW w:w="920" w:type="dxa"/>
            <w:vAlign w:val="bottom"/>
            <w:shd w:val="clear" w:color="auto" w:fill="E3F3EE"/>
          </w:tcPr>
          <w:p>
            <w:pPr>
              <w:spacing w:after="0"/>
              <w:rPr>
                <w:sz w:val="19"/>
                <w:szCs w:val="19"/>
                <w:color w:val="auto"/>
              </w:rPr>
            </w:pPr>
          </w:p>
        </w:tc>
        <w:tc>
          <w:tcPr>
            <w:tcW w:w="940" w:type="dxa"/>
            <w:vAlign w:val="bottom"/>
            <w:shd w:val="clear" w:color="auto" w:fill="E3F3EE"/>
          </w:tcPr>
          <w:p>
            <w:pPr>
              <w:spacing w:after="0"/>
              <w:rPr>
                <w:sz w:val="19"/>
                <w:szCs w:val="19"/>
                <w:color w:val="auto"/>
              </w:rPr>
            </w:pPr>
          </w:p>
        </w:tc>
        <w:tc>
          <w:tcPr>
            <w:tcW w:w="780" w:type="dxa"/>
            <w:vAlign w:val="bottom"/>
            <w:shd w:val="clear" w:color="auto" w:fill="E3F3EE"/>
          </w:tcPr>
          <w:p>
            <w:pPr>
              <w:spacing w:after="0"/>
              <w:rPr>
                <w:sz w:val="19"/>
                <w:szCs w:val="19"/>
                <w:color w:val="auto"/>
              </w:rPr>
            </w:pPr>
          </w:p>
        </w:tc>
        <w:tc>
          <w:tcPr>
            <w:tcW w:w="660" w:type="dxa"/>
            <w:vAlign w:val="bottom"/>
            <w:shd w:val="clear" w:color="auto" w:fill="E3F3EE"/>
          </w:tcPr>
          <w:p>
            <w:pPr>
              <w:spacing w:after="0"/>
              <w:rPr>
                <w:sz w:val="19"/>
                <w:szCs w:val="19"/>
                <w:color w:val="auto"/>
              </w:rPr>
            </w:pPr>
          </w:p>
        </w:tc>
      </w:tr>
      <w:tr>
        <w:trPr>
          <w:trHeight w:val="248"/>
        </w:trPr>
        <w:tc>
          <w:tcPr>
            <w:tcW w:w="2100" w:type="dxa"/>
            <w:vAlign w:val="bottom"/>
          </w:tcPr>
          <w:p>
            <w:pPr>
              <w:spacing w:after="0"/>
              <w:rPr>
                <w:sz w:val="21"/>
                <w:szCs w:val="21"/>
                <w:color w:val="auto"/>
              </w:rPr>
            </w:pPr>
          </w:p>
        </w:tc>
        <w:tc>
          <w:tcPr>
            <w:tcW w:w="1640" w:type="dxa"/>
            <w:vAlign w:val="bottom"/>
            <w:tcBorders>
              <w:bottom w:val="single" w:sz="8" w:color="E3F3EE"/>
            </w:tcBorders>
            <w:gridSpan w:val="2"/>
            <w:shd w:val="clear" w:color="auto" w:fill="E3F3EE"/>
          </w:tcPr>
          <w:p>
            <w:pPr>
              <w:ind w:left="620"/>
              <w:spacing w:after="0"/>
              <w:rPr>
                <w:sz w:val="20"/>
                <w:szCs w:val="20"/>
                <w:color w:val="auto"/>
              </w:rPr>
            </w:pPr>
            <w:r>
              <w:rPr>
                <w:rFonts w:ascii="Arial" w:cs="Arial" w:eastAsia="Arial" w:hAnsi="Arial"/>
                <w:sz w:val="16"/>
                <w:szCs w:val="16"/>
                <w:b w:val="1"/>
                <w:bCs w:val="1"/>
                <w:color w:val="auto"/>
              </w:rPr>
              <w:t>Board</w:t>
            </w:r>
          </w:p>
        </w:tc>
        <w:tc>
          <w:tcPr>
            <w:tcW w:w="960" w:type="dxa"/>
            <w:vAlign w:val="bottom"/>
            <w:tcBorders>
              <w:bottom w:val="single" w:sz="8" w:color="E3F3EE"/>
            </w:tcBorders>
            <w:shd w:val="clear" w:color="auto" w:fill="E3F3EE"/>
          </w:tcPr>
          <w:p>
            <w:pPr>
              <w:spacing w:after="0"/>
              <w:rPr>
                <w:sz w:val="21"/>
                <w:szCs w:val="21"/>
                <w:color w:val="auto"/>
              </w:rPr>
            </w:pPr>
          </w:p>
        </w:tc>
        <w:tc>
          <w:tcPr>
            <w:tcW w:w="940" w:type="dxa"/>
            <w:vAlign w:val="bottom"/>
            <w:tcBorders>
              <w:bottom w:val="single" w:sz="8" w:color="E3F3EE"/>
            </w:tcBorders>
            <w:shd w:val="clear" w:color="auto" w:fill="E3F3EE"/>
          </w:tcPr>
          <w:p>
            <w:pPr>
              <w:spacing w:after="0"/>
              <w:rPr>
                <w:sz w:val="21"/>
                <w:szCs w:val="21"/>
                <w:color w:val="auto"/>
              </w:rPr>
            </w:pPr>
          </w:p>
        </w:tc>
        <w:tc>
          <w:tcPr>
            <w:tcW w:w="1980" w:type="dxa"/>
            <w:vAlign w:val="bottom"/>
            <w:tcBorders>
              <w:bottom w:val="single" w:sz="8" w:color="E3F3EE"/>
            </w:tcBorders>
            <w:gridSpan w:val="2"/>
            <w:shd w:val="clear" w:color="auto" w:fill="E3F3EE"/>
          </w:tcPr>
          <w:p>
            <w:pPr>
              <w:jc w:val="center"/>
              <w:spacing w:after="0"/>
              <w:rPr>
                <w:sz w:val="20"/>
                <w:szCs w:val="20"/>
                <w:color w:val="auto"/>
              </w:rPr>
            </w:pPr>
            <w:r>
              <w:rPr>
                <w:rFonts w:ascii="Arial" w:cs="Arial" w:eastAsia="Arial" w:hAnsi="Arial"/>
                <w:sz w:val="16"/>
                <w:szCs w:val="16"/>
                <w:b w:val="1"/>
                <w:bCs w:val="1"/>
                <w:color w:val="auto"/>
                <w:w w:val="99"/>
              </w:rPr>
              <w:t>Committee</w:t>
            </w:r>
          </w:p>
        </w:tc>
        <w:tc>
          <w:tcPr>
            <w:tcW w:w="920" w:type="dxa"/>
            <w:vAlign w:val="bottom"/>
            <w:tcBorders>
              <w:bottom w:val="single" w:sz="8" w:color="E3F3EE"/>
            </w:tcBorders>
            <w:shd w:val="clear" w:color="auto" w:fill="E3F3EE"/>
          </w:tcPr>
          <w:p>
            <w:pPr>
              <w:spacing w:after="0"/>
              <w:rPr>
                <w:sz w:val="21"/>
                <w:szCs w:val="21"/>
                <w:color w:val="auto"/>
              </w:rPr>
            </w:pPr>
          </w:p>
        </w:tc>
        <w:tc>
          <w:tcPr>
            <w:tcW w:w="940" w:type="dxa"/>
            <w:vAlign w:val="bottom"/>
            <w:tcBorders>
              <w:bottom w:val="single" w:sz="8" w:color="E3F3EE"/>
            </w:tcBorders>
            <w:shd w:val="clear" w:color="auto" w:fill="E3F3EE"/>
          </w:tcPr>
          <w:p>
            <w:pPr>
              <w:spacing w:after="0"/>
              <w:rPr>
                <w:sz w:val="21"/>
                <w:szCs w:val="21"/>
                <w:color w:val="auto"/>
              </w:rPr>
            </w:pPr>
          </w:p>
        </w:tc>
        <w:tc>
          <w:tcPr>
            <w:tcW w:w="1440" w:type="dxa"/>
            <w:vAlign w:val="bottom"/>
            <w:tcBorders>
              <w:bottom w:val="single" w:sz="8" w:color="E3F3EE"/>
            </w:tcBorders>
            <w:gridSpan w:val="2"/>
            <w:shd w:val="clear" w:color="auto" w:fill="E3F3EE"/>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27"/>
        </w:trPr>
        <w:tc>
          <w:tcPr>
            <w:tcW w:w="2100" w:type="dxa"/>
            <w:vAlign w:val="bottom"/>
            <w:shd w:val="clear" w:color="auto" w:fill="1F473D"/>
          </w:tcPr>
          <w:p>
            <w:pPr>
              <w:spacing w:after="0"/>
              <w:rPr>
                <w:sz w:val="19"/>
                <w:szCs w:val="19"/>
                <w:color w:val="auto"/>
              </w:rPr>
            </w:pPr>
          </w:p>
        </w:tc>
        <w:tc>
          <w:tcPr>
            <w:tcW w:w="960" w:type="dxa"/>
            <w:vAlign w:val="bottom"/>
            <w:shd w:val="clear" w:color="auto" w:fill="1F473D"/>
          </w:tcPr>
          <w:p>
            <w:pPr>
              <w:spacing w:after="0"/>
              <w:rPr>
                <w:sz w:val="19"/>
                <w:szCs w:val="19"/>
                <w:color w:val="auto"/>
              </w:rPr>
            </w:pPr>
          </w:p>
        </w:tc>
        <w:tc>
          <w:tcPr>
            <w:tcW w:w="680" w:type="dxa"/>
            <w:vAlign w:val="bottom"/>
            <w:shd w:val="clear" w:color="auto" w:fill="1F473D"/>
          </w:tcPr>
          <w:p>
            <w:pPr>
              <w:spacing w:after="0"/>
              <w:rPr>
                <w:sz w:val="19"/>
                <w:szCs w:val="19"/>
                <w:color w:val="auto"/>
              </w:rPr>
            </w:pPr>
          </w:p>
        </w:tc>
        <w:tc>
          <w:tcPr>
            <w:tcW w:w="960" w:type="dxa"/>
            <w:vAlign w:val="bottom"/>
            <w:shd w:val="clear" w:color="auto" w:fill="1F473D"/>
          </w:tcPr>
          <w:p>
            <w:pPr>
              <w:spacing w:after="0"/>
              <w:rPr>
                <w:sz w:val="19"/>
                <w:szCs w:val="19"/>
                <w:color w:val="auto"/>
              </w:rPr>
            </w:pPr>
          </w:p>
        </w:tc>
        <w:tc>
          <w:tcPr>
            <w:tcW w:w="940" w:type="dxa"/>
            <w:vAlign w:val="bottom"/>
            <w:shd w:val="clear" w:color="auto" w:fill="1F473D"/>
          </w:tcPr>
          <w:p>
            <w:pPr>
              <w:spacing w:after="0"/>
              <w:rPr>
                <w:sz w:val="19"/>
                <w:szCs w:val="19"/>
                <w:color w:val="auto"/>
              </w:rPr>
            </w:pPr>
          </w:p>
        </w:tc>
        <w:tc>
          <w:tcPr>
            <w:tcW w:w="10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Corp.</w:t>
            </w:r>
          </w:p>
        </w:tc>
        <w:tc>
          <w:tcPr>
            <w:tcW w:w="940" w:type="dxa"/>
            <w:vAlign w:val="bottom"/>
            <w:shd w:val="clear" w:color="auto" w:fill="1F473D"/>
          </w:tcPr>
          <w:p>
            <w:pPr>
              <w:spacing w:after="0"/>
              <w:rPr>
                <w:sz w:val="19"/>
                <w:szCs w:val="19"/>
                <w:color w:val="auto"/>
              </w:rPr>
            </w:pPr>
          </w:p>
        </w:tc>
        <w:tc>
          <w:tcPr>
            <w:tcW w:w="920" w:type="dxa"/>
            <w:vAlign w:val="bottom"/>
            <w:shd w:val="clear" w:color="auto" w:fill="1F473D"/>
          </w:tcPr>
          <w:p>
            <w:pPr>
              <w:spacing w:after="0"/>
              <w:rPr>
                <w:sz w:val="19"/>
                <w:szCs w:val="19"/>
                <w:color w:val="auto"/>
              </w:rPr>
            </w:pPr>
          </w:p>
        </w:tc>
        <w:tc>
          <w:tcPr>
            <w:tcW w:w="940" w:type="dxa"/>
            <w:vAlign w:val="bottom"/>
            <w:shd w:val="clear" w:color="auto" w:fill="1F473D"/>
          </w:tcPr>
          <w:p>
            <w:pPr>
              <w:spacing w:after="0"/>
              <w:rPr>
                <w:sz w:val="19"/>
                <w:szCs w:val="19"/>
                <w:color w:val="auto"/>
              </w:rPr>
            </w:pPr>
          </w:p>
        </w:tc>
        <w:tc>
          <w:tcPr>
            <w:tcW w:w="780" w:type="dxa"/>
            <w:vAlign w:val="bottom"/>
            <w:shd w:val="clear" w:color="auto" w:fill="1F473D"/>
          </w:tcPr>
          <w:p>
            <w:pPr>
              <w:spacing w:after="0"/>
              <w:rPr>
                <w:sz w:val="19"/>
                <w:szCs w:val="19"/>
                <w:color w:val="auto"/>
              </w:rPr>
            </w:pPr>
          </w:p>
        </w:tc>
        <w:tc>
          <w:tcPr>
            <w:tcW w:w="660" w:type="dxa"/>
            <w:vAlign w:val="bottom"/>
            <w:shd w:val="clear" w:color="auto" w:fill="1F473D"/>
          </w:tcPr>
          <w:p>
            <w:pPr>
              <w:spacing w:after="0"/>
              <w:rPr>
                <w:sz w:val="19"/>
                <w:szCs w:val="19"/>
                <w:color w:val="auto"/>
              </w:rPr>
            </w:pPr>
          </w:p>
        </w:tc>
      </w:tr>
      <w:tr>
        <w:trPr>
          <w:trHeight w:val="187"/>
        </w:trPr>
        <w:tc>
          <w:tcPr>
            <w:tcW w:w="2100" w:type="dxa"/>
            <w:vAlign w:val="bottom"/>
            <w:shd w:val="clear" w:color="auto" w:fill="1F473D"/>
          </w:tcPr>
          <w:p>
            <w:pPr>
              <w:spacing w:after="0"/>
              <w:rPr>
                <w:sz w:val="16"/>
                <w:szCs w:val="16"/>
                <w:color w:val="auto"/>
              </w:rPr>
            </w:pPr>
          </w:p>
        </w:tc>
        <w:tc>
          <w:tcPr>
            <w:tcW w:w="9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Regularly</w:t>
            </w:r>
          </w:p>
        </w:tc>
        <w:tc>
          <w:tcPr>
            <w:tcW w:w="680" w:type="dxa"/>
            <w:vAlign w:val="bottom"/>
            <w:shd w:val="clear" w:color="auto" w:fill="1F473D"/>
          </w:tcPr>
          <w:p>
            <w:pPr>
              <w:spacing w:after="0"/>
              <w:rPr>
                <w:sz w:val="16"/>
                <w:szCs w:val="16"/>
                <w:color w:val="auto"/>
              </w:rPr>
            </w:pPr>
          </w:p>
        </w:tc>
        <w:tc>
          <w:tcPr>
            <w:tcW w:w="9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 Board</w:t>
            </w:r>
          </w:p>
        </w:tc>
        <w:tc>
          <w:tcPr>
            <w:tcW w:w="9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7"/>
              </w:rPr>
              <w:t>Audit</w:t>
            </w:r>
          </w:p>
        </w:tc>
        <w:tc>
          <w:tcPr>
            <w:tcW w:w="10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9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HR</w:t>
            </w:r>
          </w:p>
        </w:tc>
        <w:tc>
          <w:tcPr>
            <w:tcW w:w="9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Risk</w:t>
            </w:r>
          </w:p>
        </w:tc>
        <w:tc>
          <w:tcPr>
            <w:tcW w:w="9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78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660" w:type="dxa"/>
            <w:vAlign w:val="bottom"/>
            <w:shd w:val="clear" w:color="auto" w:fill="1F473D"/>
          </w:tcPr>
          <w:p>
            <w:pPr>
              <w:spacing w:after="0"/>
              <w:rPr>
                <w:sz w:val="16"/>
                <w:szCs w:val="16"/>
                <w:color w:val="auto"/>
              </w:rPr>
            </w:pPr>
          </w:p>
        </w:tc>
      </w:tr>
      <w:tr>
        <w:trPr>
          <w:trHeight w:val="280"/>
        </w:trPr>
        <w:tc>
          <w:tcPr>
            <w:tcW w:w="2100" w:type="dxa"/>
            <w:vAlign w:val="bottom"/>
            <w:tcBorders>
              <w:bottom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Director</w:t>
            </w:r>
          </w:p>
        </w:tc>
        <w:tc>
          <w:tcPr>
            <w:tcW w:w="96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Scheduled</w:t>
            </w:r>
          </w:p>
        </w:tc>
        <w:tc>
          <w:tcPr>
            <w:tcW w:w="68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Special</w:t>
            </w:r>
          </w:p>
        </w:tc>
        <w:tc>
          <w:tcPr>
            <w:tcW w:w="96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Attendance</w:t>
            </w:r>
          </w:p>
        </w:tc>
        <w:tc>
          <w:tcPr>
            <w:tcW w:w="94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Committee</w:t>
            </w:r>
          </w:p>
        </w:tc>
        <w:tc>
          <w:tcPr>
            <w:tcW w:w="104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Committee</w:t>
            </w:r>
          </w:p>
        </w:tc>
        <w:tc>
          <w:tcPr>
            <w:tcW w:w="94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Committee</w:t>
            </w:r>
          </w:p>
        </w:tc>
        <w:tc>
          <w:tcPr>
            <w:tcW w:w="92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Committee</w:t>
            </w:r>
          </w:p>
        </w:tc>
        <w:tc>
          <w:tcPr>
            <w:tcW w:w="94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78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Meetings</w:t>
            </w:r>
          </w:p>
        </w:tc>
        <w:tc>
          <w:tcPr>
            <w:tcW w:w="660" w:type="dxa"/>
            <w:vAlign w:val="bottom"/>
            <w:tcBorders>
              <w:bottom w:val="single" w:sz="8" w:color="1F473D"/>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Total %</w:t>
            </w:r>
          </w:p>
        </w:tc>
      </w:tr>
      <w:tr>
        <w:trPr>
          <w:trHeight w:val="237"/>
        </w:trPr>
        <w:tc>
          <w:tcPr>
            <w:tcW w:w="2100" w:type="dxa"/>
            <w:vAlign w:val="bottom"/>
            <w:tcBorders>
              <w:top w:val="single" w:sz="8" w:color="D64000"/>
            </w:tcBorders>
          </w:tcPr>
          <w:p>
            <w:pPr>
              <w:spacing w:after="0"/>
              <w:rPr>
                <w:sz w:val="20"/>
                <w:szCs w:val="20"/>
                <w:color w:val="auto"/>
              </w:rPr>
            </w:pPr>
            <w:r>
              <w:rPr>
                <w:rFonts w:ascii="Arial" w:cs="Arial" w:eastAsia="Arial" w:hAnsi="Arial"/>
                <w:sz w:val="16"/>
                <w:szCs w:val="16"/>
                <w:color w:val="auto"/>
              </w:rPr>
              <w:t>  David Thomson</w:t>
            </w:r>
          </w:p>
        </w:tc>
        <w:tc>
          <w:tcPr>
            <w:tcW w:w="96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D64000"/>
            </w:tcBorders>
          </w:tcPr>
          <w:p>
            <w:pPr>
              <w:jc w:val="center"/>
              <w:spacing w:after="0"/>
              <w:rPr>
                <w:sz w:val="20"/>
                <w:szCs w:val="20"/>
                <w:color w:val="auto"/>
              </w:rPr>
            </w:pPr>
            <w:r>
              <w:rPr>
                <w:rFonts w:ascii="Arial" w:cs="Arial" w:eastAsia="Arial" w:hAnsi="Arial"/>
                <w:sz w:val="16"/>
                <w:szCs w:val="16"/>
                <w:color w:val="auto"/>
                <w:w w:val="99"/>
              </w:rPr>
              <w:t>6 of 6</w:t>
            </w:r>
          </w:p>
        </w:tc>
        <w:tc>
          <w:tcPr>
            <w:tcW w:w="660" w:type="dxa"/>
            <w:vAlign w:val="bottom"/>
            <w:tcBorders>
              <w:top w:val="single" w:sz="8" w:color="D64000"/>
            </w:tcBorders>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Steve Hasker</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Kirk Arnold</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4 of 4</w:t>
            </w:r>
          </w:p>
        </w:tc>
        <w:tc>
          <w:tcPr>
            <w:tcW w:w="940" w:type="dxa"/>
            <w:vAlign w:val="bottom"/>
          </w:tcPr>
          <w:p>
            <w:pPr>
              <w:jc w:val="center"/>
              <w:spacing w:after="0"/>
              <w:rPr>
                <w:sz w:val="20"/>
                <w:szCs w:val="20"/>
                <w:color w:val="auto"/>
              </w:rPr>
            </w:pPr>
            <w:r>
              <w:rPr>
                <w:rFonts w:ascii="Arial" w:cs="Arial" w:eastAsia="Arial" w:hAnsi="Arial"/>
                <w:sz w:val="16"/>
                <w:szCs w:val="16"/>
                <w:color w:val="auto"/>
              </w:rPr>
              <w:t>16 of 16</w:t>
            </w:r>
          </w:p>
        </w:tc>
        <w:tc>
          <w:tcPr>
            <w:tcW w:w="780" w:type="dxa"/>
            <w:vAlign w:val="bottom"/>
          </w:tcPr>
          <w:p>
            <w:pPr>
              <w:jc w:val="center"/>
              <w:spacing w:after="0"/>
              <w:rPr>
                <w:sz w:val="20"/>
                <w:szCs w:val="20"/>
                <w:color w:val="auto"/>
              </w:rPr>
            </w:pPr>
            <w:r>
              <w:rPr>
                <w:rFonts w:ascii="Arial" w:cs="Arial" w:eastAsia="Arial" w:hAnsi="Arial"/>
                <w:sz w:val="16"/>
                <w:szCs w:val="16"/>
                <w:color w:val="auto"/>
              </w:rPr>
              <w:t>22 of 22</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Laverne Council</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7 of 7</w:t>
            </w:r>
          </w:p>
        </w:tc>
        <w:tc>
          <w:tcPr>
            <w:tcW w:w="10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4 of 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11 of 11</w:t>
            </w:r>
          </w:p>
        </w:tc>
        <w:tc>
          <w:tcPr>
            <w:tcW w:w="780" w:type="dxa"/>
            <w:vAlign w:val="bottom"/>
          </w:tcPr>
          <w:p>
            <w:pPr>
              <w:jc w:val="center"/>
              <w:spacing w:after="0"/>
              <w:rPr>
                <w:sz w:val="20"/>
                <w:szCs w:val="20"/>
                <w:color w:val="auto"/>
              </w:rPr>
            </w:pPr>
            <w:r>
              <w:rPr>
                <w:rFonts w:ascii="Arial" w:cs="Arial" w:eastAsia="Arial" w:hAnsi="Arial"/>
                <w:sz w:val="16"/>
                <w:szCs w:val="16"/>
                <w:color w:val="auto"/>
              </w:rPr>
              <w:t>17 of 17</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Michael E. Daniels</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6 of 7</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4 of 4</w:t>
            </w:r>
          </w:p>
        </w:tc>
        <w:tc>
          <w:tcPr>
            <w:tcW w:w="940" w:type="dxa"/>
            <w:vAlign w:val="bottom"/>
          </w:tcPr>
          <w:p>
            <w:pPr>
              <w:jc w:val="center"/>
              <w:spacing w:after="0"/>
              <w:rPr>
                <w:sz w:val="20"/>
                <w:szCs w:val="20"/>
                <w:color w:val="auto"/>
              </w:rPr>
            </w:pPr>
            <w:r>
              <w:rPr>
                <w:rFonts w:ascii="Arial" w:cs="Arial" w:eastAsia="Arial" w:hAnsi="Arial"/>
                <w:sz w:val="16"/>
                <w:szCs w:val="16"/>
                <w:color w:val="auto"/>
              </w:rPr>
              <w:t>22 of 23</w:t>
            </w:r>
          </w:p>
        </w:tc>
        <w:tc>
          <w:tcPr>
            <w:tcW w:w="780" w:type="dxa"/>
            <w:vAlign w:val="bottom"/>
          </w:tcPr>
          <w:p>
            <w:pPr>
              <w:jc w:val="center"/>
              <w:spacing w:after="0"/>
              <w:rPr>
                <w:sz w:val="20"/>
                <w:szCs w:val="20"/>
                <w:color w:val="auto"/>
              </w:rPr>
            </w:pPr>
            <w:r>
              <w:rPr>
                <w:rFonts w:ascii="Arial" w:cs="Arial" w:eastAsia="Arial" w:hAnsi="Arial"/>
                <w:sz w:val="16"/>
                <w:szCs w:val="16"/>
                <w:color w:val="auto"/>
              </w:rPr>
              <w:t>28 of 29</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9"/>
              </w:rPr>
              <w:t>97%</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88"/>
        </w:trPr>
        <w:tc>
          <w:tcPr>
            <w:tcW w:w="21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Michael Friisdahl</w:t>
            </w:r>
            <w:r>
              <w:rPr>
                <w:rFonts w:ascii="Arial" w:cs="Arial" w:eastAsia="Arial" w:hAnsi="Arial"/>
                <w:sz w:val="24"/>
                <w:szCs w:val="24"/>
                <w:color w:val="auto"/>
                <w:vertAlign w:val="superscript"/>
              </w:rPr>
              <w:t>1</w:t>
            </w:r>
          </w:p>
        </w:tc>
        <w:tc>
          <w:tcPr>
            <w:tcW w:w="9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2 of 2</w:t>
            </w:r>
          </w:p>
        </w:tc>
        <w:tc>
          <w:tcPr>
            <w:tcW w:w="68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74"/>
              </w:rPr>
              <w:t>-</w:t>
            </w:r>
          </w:p>
        </w:tc>
        <w:tc>
          <w:tcPr>
            <w:tcW w:w="9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Borders>
              <w:bottom w:val="single" w:sz="8" w:color="B2B2B2"/>
            </w:tcBorders>
          </w:tcPr>
          <w:p>
            <w:pPr>
              <w:spacing w:after="0"/>
              <w:rPr>
                <w:sz w:val="24"/>
                <w:szCs w:val="24"/>
                <w:color w:val="auto"/>
              </w:rPr>
            </w:pPr>
          </w:p>
        </w:tc>
        <w:tc>
          <w:tcPr>
            <w:tcW w:w="104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2 of 2</w:t>
            </w:r>
          </w:p>
        </w:tc>
        <w:tc>
          <w:tcPr>
            <w:tcW w:w="94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2 of 2</w:t>
            </w:r>
          </w:p>
        </w:tc>
        <w:tc>
          <w:tcPr>
            <w:tcW w:w="92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4 of 4</w:t>
            </w:r>
          </w:p>
        </w:tc>
        <w:tc>
          <w:tcPr>
            <w:tcW w:w="78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6 of 6</w:t>
            </w:r>
          </w:p>
        </w:tc>
        <w:tc>
          <w:tcPr>
            <w:tcW w:w="660" w:type="dxa"/>
            <w:vAlign w:val="bottom"/>
            <w:tcBorders>
              <w:bottom w:val="single" w:sz="8" w:color="B2B2B2"/>
            </w:tcBorders>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Kirk Koenigsbauer</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5 of 6</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4 of 4</w:t>
            </w:r>
          </w:p>
        </w:tc>
        <w:tc>
          <w:tcPr>
            <w:tcW w:w="940" w:type="dxa"/>
            <w:vAlign w:val="bottom"/>
          </w:tcPr>
          <w:p>
            <w:pPr>
              <w:jc w:val="center"/>
              <w:spacing w:after="0"/>
              <w:rPr>
                <w:sz w:val="20"/>
                <w:szCs w:val="20"/>
                <w:color w:val="auto"/>
              </w:rPr>
            </w:pPr>
            <w:r>
              <w:rPr>
                <w:rFonts w:ascii="Arial" w:cs="Arial" w:eastAsia="Arial" w:hAnsi="Arial"/>
                <w:sz w:val="16"/>
                <w:szCs w:val="16"/>
                <w:color w:val="auto"/>
              </w:rPr>
              <w:t>9 of 10</w:t>
            </w:r>
          </w:p>
        </w:tc>
        <w:tc>
          <w:tcPr>
            <w:tcW w:w="780" w:type="dxa"/>
            <w:vAlign w:val="bottom"/>
          </w:tcPr>
          <w:p>
            <w:pPr>
              <w:jc w:val="center"/>
              <w:spacing w:after="0"/>
              <w:rPr>
                <w:sz w:val="20"/>
                <w:szCs w:val="20"/>
                <w:color w:val="auto"/>
              </w:rPr>
            </w:pPr>
            <w:r>
              <w:rPr>
                <w:rFonts w:ascii="Arial" w:cs="Arial" w:eastAsia="Arial" w:hAnsi="Arial"/>
                <w:sz w:val="16"/>
                <w:szCs w:val="16"/>
                <w:color w:val="auto"/>
              </w:rPr>
              <w:t>15 of 16</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9"/>
              </w:rPr>
              <w:t>94%</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Deanna Oppenheimer</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6 of 7</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12 of 13</w:t>
            </w:r>
          </w:p>
        </w:tc>
        <w:tc>
          <w:tcPr>
            <w:tcW w:w="780" w:type="dxa"/>
            <w:vAlign w:val="bottom"/>
          </w:tcPr>
          <w:p>
            <w:pPr>
              <w:jc w:val="center"/>
              <w:spacing w:after="0"/>
              <w:rPr>
                <w:sz w:val="20"/>
                <w:szCs w:val="20"/>
                <w:color w:val="auto"/>
              </w:rPr>
            </w:pPr>
            <w:r>
              <w:rPr>
                <w:rFonts w:ascii="Arial" w:cs="Arial" w:eastAsia="Arial" w:hAnsi="Arial"/>
                <w:sz w:val="16"/>
                <w:szCs w:val="16"/>
                <w:color w:val="auto"/>
              </w:rPr>
              <w:t>18 of 19</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9"/>
              </w:rPr>
              <w:t>95%</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Simon Paris</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4 of 4</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2 of 2</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2 of 2</w:t>
            </w:r>
          </w:p>
        </w:tc>
        <w:tc>
          <w:tcPr>
            <w:tcW w:w="940" w:type="dxa"/>
            <w:vAlign w:val="bottom"/>
          </w:tcPr>
          <w:p>
            <w:pPr>
              <w:jc w:val="center"/>
              <w:spacing w:after="0"/>
              <w:rPr>
                <w:sz w:val="20"/>
                <w:szCs w:val="20"/>
                <w:color w:val="auto"/>
              </w:rPr>
            </w:pPr>
            <w:r>
              <w:rPr>
                <w:rFonts w:ascii="Arial" w:cs="Arial" w:eastAsia="Arial" w:hAnsi="Arial"/>
                <w:sz w:val="16"/>
                <w:szCs w:val="16"/>
                <w:color w:val="auto"/>
              </w:rPr>
              <w:t>14 of 14</w:t>
            </w:r>
          </w:p>
        </w:tc>
        <w:tc>
          <w:tcPr>
            <w:tcW w:w="780" w:type="dxa"/>
            <w:vAlign w:val="bottom"/>
          </w:tcPr>
          <w:p>
            <w:pPr>
              <w:jc w:val="center"/>
              <w:spacing w:after="0"/>
              <w:rPr>
                <w:sz w:val="20"/>
                <w:szCs w:val="20"/>
                <w:color w:val="auto"/>
              </w:rPr>
            </w:pPr>
            <w:r>
              <w:rPr>
                <w:rFonts w:ascii="Arial" w:cs="Arial" w:eastAsia="Arial" w:hAnsi="Arial"/>
                <w:sz w:val="16"/>
                <w:szCs w:val="16"/>
                <w:color w:val="auto"/>
              </w:rPr>
              <w:t>20 of 20</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Kim M. Rivera</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7 of 7</w:t>
            </w:r>
          </w:p>
        </w:tc>
        <w:tc>
          <w:tcPr>
            <w:tcW w:w="10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4 of 4</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11 of 11</w:t>
            </w:r>
          </w:p>
        </w:tc>
        <w:tc>
          <w:tcPr>
            <w:tcW w:w="780" w:type="dxa"/>
            <w:vAlign w:val="bottom"/>
          </w:tcPr>
          <w:p>
            <w:pPr>
              <w:jc w:val="center"/>
              <w:spacing w:after="0"/>
              <w:rPr>
                <w:sz w:val="20"/>
                <w:szCs w:val="20"/>
                <w:color w:val="auto"/>
              </w:rPr>
            </w:pPr>
            <w:r>
              <w:rPr>
                <w:rFonts w:ascii="Arial" w:cs="Arial" w:eastAsia="Arial" w:hAnsi="Arial"/>
                <w:sz w:val="16"/>
                <w:szCs w:val="16"/>
                <w:color w:val="auto"/>
              </w:rPr>
              <w:t>17 of 17</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74"/>
        </w:trPr>
        <w:tc>
          <w:tcPr>
            <w:tcW w:w="2100" w:type="dxa"/>
            <w:vAlign w:val="bottom"/>
            <w:tcBorders>
              <w:bottom w:val="single" w:sz="8" w:color="B2B2B2"/>
            </w:tcBorders>
          </w:tcPr>
          <w:p>
            <w:pPr>
              <w:spacing w:after="0" w:line="274" w:lineRule="exact"/>
              <w:rPr>
                <w:sz w:val="20"/>
                <w:szCs w:val="20"/>
                <w:color w:val="auto"/>
              </w:rPr>
            </w:pPr>
            <w:r>
              <w:rPr>
                <w:rFonts w:ascii="Arial" w:cs="Arial" w:eastAsia="Arial" w:hAnsi="Arial"/>
                <w:sz w:val="16"/>
                <w:szCs w:val="16"/>
                <w:color w:val="auto"/>
              </w:rPr>
              <w:t>  Paul Sagan</w:t>
            </w:r>
            <w:r>
              <w:rPr>
                <w:rFonts w:ascii="Arial" w:cs="Arial" w:eastAsia="Arial" w:hAnsi="Arial"/>
                <w:sz w:val="24"/>
                <w:szCs w:val="24"/>
                <w:color w:val="auto"/>
                <w:vertAlign w:val="superscript"/>
              </w:rPr>
              <w:t>1</w:t>
            </w:r>
          </w:p>
        </w:tc>
        <w:tc>
          <w:tcPr>
            <w:tcW w:w="9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2 of 2</w:t>
            </w:r>
          </w:p>
        </w:tc>
        <w:tc>
          <w:tcPr>
            <w:tcW w:w="68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74"/>
              </w:rPr>
              <w:t>-</w:t>
            </w:r>
          </w:p>
        </w:tc>
        <w:tc>
          <w:tcPr>
            <w:tcW w:w="9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2 of 2</w:t>
            </w:r>
          </w:p>
        </w:tc>
        <w:tc>
          <w:tcPr>
            <w:tcW w:w="94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2 of 2</w:t>
            </w:r>
          </w:p>
        </w:tc>
        <w:tc>
          <w:tcPr>
            <w:tcW w:w="78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4 of 4</w:t>
            </w:r>
          </w:p>
        </w:tc>
        <w:tc>
          <w:tcPr>
            <w:tcW w:w="660" w:type="dxa"/>
            <w:vAlign w:val="bottom"/>
            <w:tcBorders>
              <w:bottom w:val="single" w:sz="8" w:color="B2B2B2"/>
            </w:tcBorders>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Barry Salzberg</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7 of 7</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4 of 4</w:t>
            </w:r>
          </w:p>
        </w:tc>
        <w:tc>
          <w:tcPr>
            <w:tcW w:w="940" w:type="dxa"/>
            <w:vAlign w:val="bottom"/>
          </w:tcPr>
          <w:p>
            <w:pPr>
              <w:jc w:val="center"/>
              <w:spacing w:after="0"/>
              <w:rPr>
                <w:sz w:val="20"/>
                <w:szCs w:val="20"/>
                <w:color w:val="auto"/>
              </w:rPr>
            </w:pPr>
            <w:r>
              <w:rPr>
                <w:rFonts w:ascii="Arial" w:cs="Arial" w:eastAsia="Arial" w:hAnsi="Arial"/>
                <w:sz w:val="16"/>
                <w:szCs w:val="16"/>
                <w:color w:val="auto"/>
              </w:rPr>
              <w:t>17 of 17</w:t>
            </w:r>
          </w:p>
        </w:tc>
        <w:tc>
          <w:tcPr>
            <w:tcW w:w="780" w:type="dxa"/>
            <w:vAlign w:val="bottom"/>
          </w:tcPr>
          <w:p>
            <w:pPr>
              <w:jc w:val="center"/>
              <w:spacing w:after="0"/>
              <w:rPr>
                <w:sz w:val="20"/>
                <w:szCs w:val="20"/>
                <w:color w:val="auto"/>
              </w:rPr>
            </w:pPr>
            <w:r>
              <w:rPr>
                <w:rFonts w:ascii="Arial" w:cs="Arial" w:eastAsia="Arial" w:hAnsi="Arial"/>
                <w:sz w:val="16"/>
                <w:szCs w:val="16"/>
                <w:color w:val="auto"/>
              </w:rPr>
              <w:t>23 of 23</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Peter J. Thomson</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5 of 6</w:t>
            </w:r>
          </w:p>
        </w:tc>
        <w:tc>
          <w:tcPr>
            <w:tcW w:w="92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5 of 6</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11 of 12</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9"/>
              </w:rPr>
              <w:t>92%</w:t>
            </w:r>
          </w:p>
        </w:tc>
      </w:tr>
      <w:tr>
        <w:trPr>
          <w:trHeight w:val="44"/>
        </w:trPr>
        <w:tc>
          <w:tcPr>
            <w:tcW w:w="210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680" w:type="dxa"/>
            <w:vAlign w:val="bottom"/>
            <w:tcBorders>
              <w:bottom w:val="single" w:sz="8" w:color="B2B2B2"/>
            </w:tcBorders>
          </w:tcPr>
          <w:p>
            <w:pPr>
              <w:spacing w:after="0"/>
              <w:rPr>
                <w:sz w:val="3"/>
                <w:szCs w:val="3"/>
                <w:color w:val="auto"/>
              </w:rPr>
            </w:pPr>
          </w:p>
        </w:tc>
        <w:tc>
          <w:tcPr>
            <w:tcW w:w="96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104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920" w:type="dxa"/>
            <w:vAlign w:val="bottom"/>
            <w:tcBorders>
              <w:bottom w:val="single" w:sz="8" w:color="B2B2B2"/>
            </w:tcBorders>
          </w:tcPr>
          <w:p>
            <w:pPr>
              <w:spacing w:after="0"/>
              <w:rPr>
                <w:sz w:val="3"/>
                <w:szCs w:val="3"/>
                <w:color w:val="auto"/>
              </w:rPr>
            </w:pPr>
          </w:p>
        </w:tc>
        <w:tc>
          <w:tcPr>
            <w:tcW w:w="940" w:type="dxa"/>
            <w:vAlign w:val="bottom"/>
            <w:tcBorders>
              <w:bottom w:val="single" w:sz="8" w:color="B2B2B2"/>
            </w:tcBorders>
          </w:tcPr>
          <w:p>
            <w:pPr>
              <w:spacing w:after="0"/>
              <w:rPr>
                <w:sz w:val="3"/>
                <w:szCs w:val="3"/>
                <w:color w:val="auto"/>
              </w:rPr>
            </w:pPr>
          </w:p>
        </w:tc>
        <w:tc>
          <w:tcPr>
            <w:tcW w:w="780" w:type="dxa"/>
            <w:vAlign w:val="bottom"/>
            <w:tcBorders>
              <w:bottom w:val="single" w:sz="8" w:color="B2B2B2"/>
            </w:tcBorders>
          </w:tcPr>
          <w:p>
            <w:pPr>
              <w:spacing w:after="0"/>
              <w:rPr>
                <w:sz w:val="3"/>
                <w:szCs w:val="3"/>
                <w:color w:val="auto"/>
              </w:rPr>
            </w:pPr>
          </w:p>
        </w:tc>
        <w:tc>
          <w:tcPr>
            <w:tcW w:w="660" w:type="dxa"/>
            <w:vAlign w:val="bottom"/>
            <w:tcBorders>
              <w:bottom w:val="single" w:sz="8" w:color="B2B2B2"/>
            </w:tcBorders>
          </w:tcPr>
          <w:p>
            <w:pPr>
              <w:spacing w:after="0"/>
              <w:rPr>
                <w:sz w:val="3"/>
                <w:szCs w:val="3"/>
                <w:color w:val="auto"/>
              </w:rPr>
            </w:pPr>
          </w:p>
        </w:tc>
      </w:tr>
      <w:tr>
        <w:trPr>
          <w:trHeight w:val="231"/>
        </w:trPr>
        <w:tc>
          <w:tcPr>
            <w:tcW w:w="2100" w:type="dxa"/>
            <w:vAlign w:val="bottom"/>
          </w:tcPr>
          <w:p>
            <w:pPr>
              <w:spacing w:after="0"/>
              <w:rPr>
                <w:sz w:val="20"/>
                <w:szCs w:val="20"/>
                <w:color w:val="auto"/>
              </w:rPr>
            </w:pPr>
            <w:r>
              <w:rPr>
                <w:rFonts w:ascii="Arial" w:cs="Arial" w:eastAsia="Arial" w:hAnsi="Arial"/>
                <w:sz w:val="16"/>
                <w:szCs w:val="16"/>
                <w:color w:val="auto"/>
              </w:rPr>
              <w:t>  Beth Wilson</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5 of 5</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1 of 1</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7 of 7</w:t>
            </w:r>
          </w:p>
        </w:tc>
        <w:tc>
          <w:tcPr>
            <w:tcW w:w="104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6 of 6</w:t>
            </w:r>
          </w:p>
        </w:tc>
        <w:tc>
          <w:tcPr>
            <w:tcW w:w="92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40" w:type="dxa"/>
            <w:vAlign w:val="bottom"/>
          </w:tcPr>
          <w:p>
            <w:pPr>
              <w:jc w:val="center"/>
              <w:spacing w:after="0"/>
              <w:rPr>
                <w:sz w:val="20"/>
                <w:szCs w:val="20"/>
                <w:color w:val="auto"/>
              </w:rPr>
            </w:pPr>
            <w:r>
              <w:rPr>
                <w:rFonts w:ascii="Arial" w:cs="Arial" w:eastAsia="Arial" w:hAnsi="Arial"/>
                <w:sz w:val="16"/>
                <w:szCs w:val="16"/>
                <w:color w:val="auto"/>
              </w:rPr>
              <w:t>13 of 13</w:t>
            </w:r>
          </w:p>
        </w:tc>
        <w:tc>
          <w:tcPr>
            <w:tcW w:w="780" w:type="dxa"/>
            <w:vAlign w:val="bottom"/>
          </w:tcPr>
          <w:p>
            <w:pPr>
              <w:jc w:val="center"/>
              <w:spacing w:after="0"/>
              <w:rPr>
                <w:sz w:val="20"/>
                <w:szCs w:val="20"/>
                <w:color w:val="auto"/>
              </w:rPr>
            </w:pPr>
            <w:r>
              <w:rPr>
                <w:rFonts w:ascii="Arial" w:cs="Arial" w:eastAsia="Arial" w:hAnsi="Arial"/>
                <w:sz w:val="16"/>
                <w:szCs w:val="16"/>
                <w:color w:val="auto"/>
              </w:rPr>
              <w:t>19 of 19</w:t>
            </w:r>
          </w:p>
        </w:tc>
        <w:tc>
          <w:tcPr>
            <w:tcW w:w="660" w:type="dxa"/>
            <w:vAlign w:val="bottom"/>
          </w:tcPr>
          <w:p>
            <w:pPr>
              <w:jc w:val="center"/>
              <w:ind w:left="19"/>
              <w:spacing w:after="0"/>
              <w:rPr>
                <w:sz w:val="20"/>
                <w:szCs w:val="20"/>
                <w:color w:val="auto"/>
              </w:rPr>
            </w:pPr>
            <w:r>
              <w:rPr>
                <w:rFonts w:ascii="Arial" w:cs="Arial" w:eastAsia="Arial" w:hAnsi="Arial"/>
                <w:sz w:val="16"/>
                <w:szCs w:val="16"/>
                <w:color w:val="auto"/>
                <w:w w:val="97"/>
              </w:rPr>
              <w:t>100%</w:t>
            </w:r>
          </w:p>
        </w:tc>
      </w:tr>
      <w:tr>
        <w:trPr>
          <w:trHeight w:val="50"/>
        </w:trPr>
        <w:tc>
          <w:tcPr>
            <w:tcW w:w="6680" w:type="dxa"/>
            <w:vAlign w:val="bottom"/>
            <w:tcBorders>
              <w:bottom w:val="single" w:sz="8" w:color="D64000"/>
            </w:tcBorders>
            <w:gridSpan w:val="6"/>
          </w:tcPr>
          <w:p>
            <w:pPr>
              <w:spacing w:after="0"/>
              <w:rPr>
                <w:sz w:val="4"/>
                <w:szCs w:val="4"/>
                <w:color w:val="auto"/>
              </w:rPr>
            </w:pPr>
          </w:p>
        </w:tc>
        <w:tc>
          <w:tcPr>
            <w:tcW w:w="940" w:type="dxa"/>
            <w:vAlign w:val="bottom"/>
            <w:tcBorders>
              <w:bottom w:val="single" w:sz="8" w:color="D64000"/>
            </w:tcBorders>
          </w:tcPr>
          <w:p>
            <w:pPr>
              <w:spacing w:after="0"/>
              <w:rPr>
                <w:sz w:val="4"/>
                <w:szCs w:val="4"/>
                <w:color w:val="auto"/>
              </w:rPr>
            </w:pPr>
          </w:p>
        </w:tc>
        <w:tc>
          <w:tcPr>
            <w:tcW w:w="920" w:type="dxa"/>
            <w:vAlign w:val="bottom"/>
            <w:tcBorders>
              <w:bottom w:val="single" w:sz="8" w:color="D64000"/>
            </w:tcBorders>
          </w:tcPr>
          <w:p>
            <w:pPr>
              <w:spacing w:after="0"/>
              <w:rPr>
                <w:sz w:val="4"/>
                <w:szCs w:val="4"/>
                <w:color w:val="auto"/>
              </w:rPr>
            </w:pPr>
          </w:p>
        </w:tc>
        <w:tc>
          <w:tcPr>
            <w:tcW w:w="940" w:type="dxa"/>
            <w:vAlign w:val="bottom"/>
            <w:tcBorders>
              <w:bottom w:val="single" w:sz="8" w:color="D64000"/>
            </w:tcBorders>
          </w:tcPr>
          <w:p>
            <w:pPr>
              <w:spacing w:after="0"/>
              <w:rPr>
                <w:sz w:val="4"/>
                <w:szCs w:val="4"/>
                <w:color w:val="auto"/>
              </w:rPr>
            </w:pPr>
          </w:p>
        </w:tc>
        <w:tc>
          <w:tcPr>
            <w:tcW w:w="780" w:type="dxa"/>
            <w:vAlign w:val="bottom"/>
            <w:tcBorders>
              <w:bottom w:val="single" w:sz="8" w:color="D64000"/>
            </w:tcBorders>
          </w:tcPr>
          <w:p>
            <w:pPr>
              <w:spacing w:after="0"/>
              <w:rPr>
                <w:sz w:val="4"/>
                <w:szCs w:val="4"/>
                <w:color w:val="auto"/>
              </w:rPr>
            </w:pPr>
          </w:p>
        </w:tc>
        <w:tc>
          <w:tcPr>
            <w:tcW w:w="660" w:type="dxa"/>
            <w:vAlign w:val="bottom"/>
            <w:tcBorders>
              <w:bottom w:val="single" w:sz="8" w:color="D64000"/>
            </w:tcBorders>
          </w:tcPr>
          <w:p>
            <w:pPr>
              <w:spacing w:after="0"/>
              <w:rPr>
                <w:sz w:val="4"/>
                <w:szCs w:val="4"/>
                <w:color w:val="auto"/>
              </w:rPr>
            </w:pPr>
          </w:p>
        </w:tc>
      </w:tr>
      <w:tr>
        <w:trPr>
          <w:trHeight w:val="229"/>
        </w:trPr>
        <w:tc>
          <w:tcPr>
            <w:tcW w:w="6680" w:type="dxa"/>
            <w:vAlign w:val="bottom"/>
            <w:gridSpan w:val="6"/>
          </w:tcPr>
          <w:p>
            <w:pPr>
              <w:spacing w:after="0"/>
              <w:rPr>
                <w:sz w:val="20"/>
                <w:szCs w:val="20"/>
                <w:color w:val="auto"/>
              </w:rPr>
            </w:pPr>
            <w:r>
              <w:rPr>
                <w:rFonts w:ascii="Arial" w:cs="Arial" w:eastAsia="Arial" w:hAnsi="Arial"/>
                <w:sz w:val="13"/>
                <w:szCs w:val="13"/>
                <w:color w:val="auto"/>
              </w:rPr>
              <w:t>1  Michael Friisdahl and Paul Sagan were appointed to the board on June 4, 2025 at the 2025 meeting.</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59"/>
        </w:trPr>
        <w:tc>
          <w:tcPr>
            <w:tcW w:w="6680" w:type="dxa"/>
            <w:vAlign w:val="bottom"/>
            <w:tcBorders>
              <w:bottom w:val="single" w:sz="8" w:color="7F7F7F"/>
            </w:tcBorders>
            <w:gridSpan w:val="6"/>
          </w:tcPr>
          <w:p>
            <w:pPr>
              <w:spacing w:after="0"/>
              <w:rPr>
                <w:sz w:val="13"/>
                <w:szCs w:val="13"/>
                <w:color w:val="auto"/>
              </w:rPr>
            </w:pPr>
          </w:p>
        </w:tc>
        <w:tc>
          <w:tcPr>
            <w:tcW w:w="940" w:type="dxa"/>
            <w:vAlign w:val="bottom"/>
            <w:tcBorders>
              <w:bottom w:val="single" w:sz="8" w:color="7F7F7F"/>
            </w:tcBorders>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940" w:type="dxa"/>
            <w:vAlign w:val="bottom"/>
            <w:tcBorders>
              <w:bottom w:val="single" w:sz="8" w:color="7F7F7F"/>
            </w:tcBorders>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660" w:type="dxa"/>
            <w:vAlign w:val="bottom"/>
            <w:tcBorders>
              <w:bottom w:val="single" w:sz="8" w:color="7F7F7F"/>
            </w:tcBorders>
          </w:tcPr>
          <w:p>
            <w:pPr>
              <w:spacing w:after="0"/>
              <w:rPr>
                <w:sz w:val="13"/>
                <w:szCs w:val="13"/>
                <w:color w:val="auto"/>
              </w:rPr>
            </w:pPr>
          </w:p>
        </w:tc>
      </w:tr>
      <w:tr>
        <w:trPr>
          <w:trHeight w:val="229"/>
        </w:trPr>
        <w:tc>
          <w:tcPr>
            <w:tcW w:w="6680" w:type="dxa"/>
            <w:vAlign w:val="bottom"/>
            <w:gridSpan w:val="6"/>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Page 37</w:t>
            </w:r>
          </w:p>
        </w:tc>
      </w:tr>
    </w:tbl>
    <w:p>
      <w:pPr>
        <w:sectPr>
          <w:pgSz w:w="11900" w:h="16838" w:orient="portrait"/>
          <w:cols w:equalWidth="0" w:num="1">
            <w:col w:w="10920"/>
          </w:cols>
          <w:pgMar w:left="480" w:top="265" w:right="499" w:bottom="1440" w:gutter="0" w:footer="0" w:header="0"/>
        </w:sectPr>
      </w:pPr>
    </w:p>
    <w:bookmarkStart w:id="47" w:name="page48"/>
    <w:bookmarkEnd w:id="47"/>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Controlled Company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Our company is a “controlled company” as a result of Woodbridge’s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38010" cy="25984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38010" cy="2598420"/>
                    </a:xfrm>
                    <a:prstGeom prst="rect">
                      <a:avLst/>
                    </a:prstGeom>
                    <a:noFill/>
                  </pic:spPr>
                </pic:pic>
              </a:graphicData>
            </a:graphic>
          </wp:anchor>
        </w:drawing>
      </w:r>
    </w:p>
    <w:p>
      <w:pPr>
        <w:spacing w:after="0" w:line="119" w:lineRule="exact"/>
        <w:rPr>
          <w:sz w:val="20"/>
          <w:szCs w:val="20"/>
          <w:color w:val="auto"/>
        </w:rPr>
      </w:pPr>
    </w:p>
    <w:p>
      <w:pPr>
        <w:ind w:left="260" w:right="160"/>
        <w:spacing w:after="0" w:line="263" w:lineRule="auto"/>
        <w:rPr>
          <w:sz w:val="20"/>
          <w:szCs w:val="20"/>
          <w:color w:val="auto"/>
        </w:rPr>
      </w:pPr>
      <w:r>
        <w:rPr>
          <w:rFonts w:ascii="Arial" w:cs="Arial" w:eastAsia="Arial" w:hAnsi="Arial"/>
          <w:sz w:val="17"/>
          <w:szCs w:val="17"/>
          <w:color w:val="auto"/>
        </w:rPr>
        <w:t>Thomson Reuters’ corporate governance practices include the following, which we believe are best practices for a Canadian public company with a controlling shareholder:</w:t>
      </w:r>
    </w:p>
    <w:p>
      <w:pPr>
        <w:spacing w:after="0" w:line="40" w:lineRule="exact"/>
        <w:rPr>
          <w:sz w:val="20"/>
          <w:szCs w:val="20"/>
          <w:color w:val="auto"/>
        </w:rPr>
      </w:pPr>
    </w:p>
    <w:p>
      <w:pPr>
        <w:ind w:left="500" w:hanging="252"/>
        <w:spacing w:after="0"/>
        <w:tabs>
          <w:tab w:leader="none" w:pos="500" w:val="left"/>
        </w:tabs>
        <w:numPr>
          <w:ilvl w:val="0"/>
          <w:numId w:val="45"/>
        </w:numPr>
        <w:rPr>
          <w:rFonts w:ascii="Arial" w:cs="Arial" w:eastAsia="Arial" w:hAnsi="Arial"/>
          <w:sz w:val="17"/>
          <w:szCs w:val="17"/>
          <w:color w:val="D64000"/>
        </w:rPr>
      </w:pPr>
      <w:r>
        <w:rPr>
          <w:rFonts w:ascii="Arial" w:cs="Arial" w:eastAsia="Arial" w:hAnsi="Arial"/>
          <w:sz w:val="17"/>
          <w:szCs w:val="17"/>
          <w:color w:val="auto"/>
        </w:rPr>
        <w:t>No members of the day-to-day Thomson Reuters executive leadership team are related to, or otherwise affiliated with, Woodbridge.</w:t>
      </w:r>
    </w:p>
    <w:p>
      <w:pPr>
        <w:spacing w:after="0" w:line="85" w:lineRule="exact"/>
        <w:rPr>
          <w:rFonts w:ascii="Arial" w:cs="Arial" w:eastAsia="Arial" w:hAnsi="Arial"/>
          <w:sz w:val="17"/>
          <w:szCs w:val="17"/>
          <w:color w:val="D64000"/>
        </w:rPr>
      </w:pPr>
    </w:p>
    <w:p>
      <w:pPr>
        <w:ind w:left="500" w:right="180" w:hanging="252"/>
        <w:spacing w:after="0" w:line="263" w:lineRule="auto"/>
        <w:tabs>
          <w:tab w:leader="none" w:pos="500" w:val="left"/>
        </w:tabs>
        <w:numPr>
          <w:ilvl w:val="0"/>
          <w:numId w:val="45"/>
        </w:numPr>
        <w:rPr>
          <w:rFonts w:ascii="Arial" w:cs="Arial" w:eastAsia="Arial" w:hAnsi="Arial"/>
          <w:sz w:val="17"/>
          <w:szCs w:val="17"/>
          <w:color w:val="D64000"/>
        </w:rPr>
      </w:pPr>
      <w:r>
        <w:rPr>
          <w:rFonts w:ascii="Arial" w:cs="Arial" w:eastAsia="Arial" w:hAnsi="Arial"/>
          <w:sz w:val="17"/>
          <w:szCs w:val="17"/>
          <w:color w:val="auto"/>
        </w:rPr>
        <w:t>Woodbridge and its affiliates beneficially own common shares that have one vote per share. Thomson Reuters has not issued a separate class of shares to Woodbridge or its affiliates with super-voting rights.</w:t>
      </w:r>
    </w:p>
    <w:p>
      <w:pPr>
        <w:spacing w:after="0" w:line="39" w:lineRule="exact"/>
        <w:rPr>
          <w:rFonts w:ascii="Arial" w:cs="Arial" w:eastAsia="Arial" w:hAnsi="Arial"/>
          <w:sz w:val="17"/>
          <w:szCs w:val="17"/>
          <w:color w:val="D64000"/>
        </w:rPr>
      </w:pPr>
    </w:p>
    <w:p>
      <w:pPr>
        <w:ind w:left="500" w:right="140" w:hanging="252"/>
        <w:spacing w:after="0" w:line="241" w:lineRule="auto"/>
        <w:tabs>
          <w:tab w:leader="none" w:pos="500" w:val="left"/>
        </w:tabs>
        <w:numPr>
          <w:ilvl w:val="0"/>
          <w:numId w:val="45"/>
        </w:numPr>
        <w:rPr>
          <w:rFonts w:ascii="Arial" w:cs="Arial" w:eastAsia="Arial" w:hAnsi="Arial"/>
          <w:sz w:val="17"/>
          <w:szCs w:val="17"/>
          <w:color w:val="D64000"/>
        </w:rPr>
      </w:pPr>
      <w:r>
        <w:rPr>
          <w:rFonts w:ascii="Arial" w:cs="Arial" w:eastAsia="Arial" w:hAnsi="Arial"/>
          <w:sz w:val="17"/>
          <w:szCs w:val="17"/>
          <w:color w:val="auto"/>
        </w:rPr>
        <w:t>The Thomson Reuters Board of Directors is comprised of a majority of independent directors and the number of directors affiliated with Woodbridge is lower than the proportion of common shares controlled by it. Woodbridge’s beneficial ownership (together with its affiliates) as of April 13, 2026 was approximately 71% of our common shares and its representatives on the Thomson Reuters Board will comprise approximately 36% of our directors if all 14 director nominees are elected at the meeting.</w:t>
      </w:r>
    </w:p>
    <w:p>
      <w:pPr>
        <w:spacing w:after="0" w:line="57" w:lineRule="exact"/>
        <w:rPr>
          <w:rFonts w:ascii="Arial" w:cs="Arial" w:eastAsia="Arial" w:hAnsi="Arial"/>
          <w:sz w:val="17"/>
          <w:szCs w:val="17"/>
          <w:color w:val="D64000"/>
        </w:rPr>
      </w:pPr>
    </w:p>
    <w:p>
      <w:pPr>
        <w:ind w:left="500" w:hanging="252"/>
        <w:spacing w:after="0"/>
        <w:tabs>
          <w:tab w:leader="none" w:pos="500" w:val="left"/>
        </w:tabs>
        <w:numPr>
          <w:ilvl w:val="0"/>
          <w:numId w:val="45"/>
        </w:numPr>
        <w:rPr>
          <w:rFonts w:ascii="Arial" w:cs="Arial" w:eastAsia="Arial" w:hAnsi="Arial"/>
          <w:sz w:val="17"/>
          <w:szCs w:val="17"/>
          <w:color w:val="D64000"/>
        </w:rPr>
      </w:pPr>
      <w:r>
        <w:rPr>
          <w:rFonts w:ascii="Arial" w:cs="Arial" w:eastAsia="Arial" w:hAnsi="Arial"/>
          <w:sz w:val="17"/>
          <w:szCs w:val="17"/>
          <w:color w:val="auto"/>
        </w:rPr>
        <w:t>As David Thomson is the Chairman of the Board, we have a separate Lead Independent Director.</w:t>
      </w:r>
    </w:p>
    <w:p>
      <w:pPr>
        <w:spacing w:after="0" w:line="85" w:lineRule="exact"/>
        <w:rPr>
          <w:rFonts w:ascii="Arial" w:cs="Arial" w:eastAsia="Arial" w:hAnsi="Arial"/>
          <w:sz w:val="17"/>
          <w:szCs w:val="17"/>
          <w:color w:val="D64000"/>
        </w:rPr>
      </w:pPr>
    </w:p>
    <w:p>
      <w:pPr>
        <w:ind w:left="500" w:hanging="252"/>
        <w:spacing w:after="0"/>
        <w:tabs>
          <w:tab w:leader="none" w:pos="500" w:val="left"/>
        </w:tabs>
        <w:numPr>
          <w:ilvl w:val="0"/>
          <w:numId w:val="45"/>
        </w:numPr>
        <w:rPr>
          <w:rFonts w:ascii="Arial" w:cs="Arial" w:eastAsia="Arial" w:hAnsi="Arial"/>
          <w:sz w:val="17"/>
          <w:szCs w:val="17"/>
          <w:color w:val="D64000"/>
        </w:rPr>
      </w:pPr>
      <w:r>
        <w:rPr>
          <w:rFonts w:ascii="Arial" w:cs="Arial" w:eastAsia="Arial" w:hAnsi="Arial"/>
          <w:sz w:val="17"/>
          <w:szCs w:val="17"/>
          <w:color w:val="auto"/>
        </w:rPr>
        <w:t>As part of each Board meeting, the independent directors meet separately without management or Woodbridge-affiliated directors present.</w:t>
      </w:r>
    </w:p>
    <w:p>
      <w:pPr>
        <w:spacing w:after="0" w:line="85" w:lineRule="exact"/>
        <w:rPr>
          <w:rFonts w:ascii="Arial" w:cs="Arial" w:eastAsia="Arial" w:hAnsi="Arial"/>
          <w:sz w:val="17"/>
          <w:szCs w:val="17"/>
          <w:color w:val="D64000"/>
        </w:rPr>
      </w:pPr>
    </w:p>
    <w:p>
      <w:pPr>
        <w:ind w:left="500" w:right="780" w:hanging="252"/>
        <w:spacing w:after="0" w:line="263" w:lineRule="auto"/>
        <w:tabs>
          <w:tab w:leader="none" w:pos="500" w:val="left"/>
        </w:tabs>
        <w:numPr>
          <w:ilvl w:val="0"/>
          <w:numId w:val="45"/>
        </w:numPr>
        <w:rPr>
          <w:rFonts w:ascii="Arial" w:cs="Arial" w:eastAsia="Arial" w:hAnsi="Arial"/>
          <w:sz w:val="17"/>
          <w:szCs w:val="17"/>
          <w:color w:val="D64000"/>
        </w:rPr>
      </w:pPr>
      <w:r>
        <w:rPr>
          <w:rFonts w:ascii="Arial" w:cs="Arial" w:eastAsia="Arial" w:hAnsi="Arial"/>
          <w:sz w:val="17"/>
          <w:szCs w:val="17"/>
          <w:color w:val="auto"/>
        </w:rPr>
        <w:t>All committees are comprised of a majority of independent directors (other than the Audit Committee, which is 100% independent directors).</w:t>
      </w:r>
    </w:p>
    <w:p>
      <w:pPr>
        <w:spacing w:after="0" w:line="39" w:lineRule="exact"/>
        <w:rPr>
          <w:rFonts w:ascii="Arial" w:cs="Arial" w:eastAsia="Arial" w:hAnsi="Arial"/>
          <w:sz w:val="17"/>
          <w:szCs w:val="17"/>
          <w:color w:val="D64000"/>
        </w:rPr>
      </w:pPr>
    </w:p>
    <w:p>
      <w:pPr>
        <w:ind w:left="500" w:right="180" w:hanging="252"/>
        <w:spacing w:after="0" w:line="238" w:lineRule="auto"/>
        <w:tabs>
          <w:tab w:leader="none" w:pos="500" w:val="left"/>
        </w:tabs>
        <w:numPr>
          <w:ilvl w:val="0"/>
          <w:numId w:val="45"/>
        </w:numPr>
        <w:rPr>
          <w:rFonts w:ascii="Arial" w:cs="Arial" w:eastAsia="Arial" w:hAnsi="Arial"/>
          <w:sz w:val="17"/>
          <w:szCs w:val="17"/>
          <w:color w:val="D64000"/>
        </w:rPr>
      </w:pPr>
      <w:r>
        <w:rPr>
          <w:rFonts w:ascii="Arial" w:cs="Arial" w:eastAsia="Arial" w:hAnsi="Arial"/>
          <w:sz w:val="17"/>
          <w:szCs w:val="17"/>
          <w:color w:val="auto"/>
        </w:rPr>
        <w:t>The Board has an effective and transparent process to deal with related party transactions or conflicts of interest between Thomson Reuters and Woodbridge, its affiliates or directors affiliated with Woodbridge. The Corporate Governance Committee of our Board utilizes a policy for considering related party transactions that may take place between our company and Woodbridge, with any committee members related to Woodbridge abstaining from voting. In addition, any transactions between Woodbridge, its affiliates and our company are subject to public disclosure and other requirements under applicable Canadian securities laws.</w:t>
      </w:r>
    </w:p>
    <w:p>
      <w:pPr>
        <w:spacing w:after="0" w:line="74"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Nasdaq corporate governance listing standards require a listed company to have, among other things, solely independent directors on its compensation committee and nominating/corporate governance committee. A “controlled company” (as defined by the Nasdaq) is a company of which more than 50% of the voting power is held by an individual, group or another company and is exempt from these requirements.</w:t>
      </w:r>
    </w:p>
    <w:p>
      <w:pPr>
        <w:spacing w:after="0" w:line="4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Supplemental guidelines issued by the Canadian Coalition for Good Governance (CCGG) address controlled companies. A “controlled company” (as defined by CCGG) includes corporations with a controlling shareholder who controls a sufficient number of shares to be able to elect the board of directors or to direct the management or policies of the corporation.</w:t>
      </w:r>
    </w:p>
    <w:p>
      <w:pPr>
        <w:spacing w:after="0" w:line="5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While a majority of members of each of the Corporate Governance Committee and the HR Committee of our company are independent, the Board believes it is appropriate for directors who are affiliated with Woodbridge, who are not considered to be independent under applicable rules because of their affiliation with Woodbridge, to serve on these committees and has approved our reliance on the Nasdaq’s controlled company exemption to do so. CCGG has stated that it believes it is appropriate for directors who are related to the controlling shareholder to sit on these committees to bring the knowledge and perspective of the controlling shareholder to executive compensation, appointments and Board nominations.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No directors affiliated with Woodbridge serve on our Audit Committee, which is required to have solely independent directors.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A majority of members of the Risk Committee are also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38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48" w:name="page49"/>
    <w:bookmarkEnd w:id="48"/>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Board Committees</w:t>
      </w:r>
    </w:p>
    <w:p>
      <w:pPr>
        <w:spacing w:after="0" w:line="200" w:lineRule="exact"/>
        <w:rPr>
          <w:sz w:val="20"/>
          <w:szCs w:val="20"/>
          <w:color w:val="auto"/>
        </w:rPr>
      </w:pPr>
    </w:p>
    <w:p>
      <w:pPr>
        <w:spacing w:after="0" w:line="21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This section provides information about the Board’s four committees (Audit, Corporate Governance, HR and Risk), including each committee’s responsibilities, members and activities in 2025. Additional information about each committee is provided below. David Thomson (Chairman of the Board) and Steve Hasker (President and CEO) are not members of any of the Board’s committees. David Thomson regularly attends HR Committee meetings as a guest and Steve Hasker is regularly invited to attend all committee meetings in his capacity as President and CEO.</w:t>
      </w:r>
    </w:p>
    <w:p>
      <w:pPr>
        <w:spacing w:after="0" w:line="44"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following table sets forth the current membership of our four Board committees as of April 13, 2026. The Board plans to review and approve certain changes to the composition of its committees later this year in connection with the election of directors at the annual meeting of shareholders. Committee compositions will be available on our website as soon as practicable after any update.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20" w:type="dxa"/>
            <w:vAlign w:val="bottom"/>
            <w:tcBorders>
              <w:right w:val="single" w:sz="8" w:color="E3F3EE"/>
            </w:tcBorders>
          </w:tcPr>
          <w:p>
            <w:pPr>
              <w:spacing w:after="0"/>
              <w:rPr>
                <w:sz w:val="23"/>
                <w:szCs w:val="23"/>
                <w:color w:val="auto"/>
              </w:rPr>
            </w:pPr>
          </w:p>
        </w:tc>
        <w:tc>
          <w:tcPr>
            <w:tcW w:w="2820" w:type="dxa"/>
            <w:vAlign w:val="bottom"/>
            <w:tcBorders>
              <w:bottom w:val="single" w:sz="8" w:color="E3F3EE"/>
              <w:right w:val="single" w:sz="8" w:color="E3F3EE"/>
            </w:tcBorders>
            <w:shd w:val="clear" w:color="auto" w:fill="E3F3EE"/>
          </w:tcPr>
          <w:p>
            <w:pPr>
              <w:spacing w:after="0"/>
              <w:rPr>
                <w:sz w:val="23"/>
                <w:szCs w:val="23"/>
                <w:color w:val="auto"/>
              </w:rPr>
            </w:pPr>
          </w:p>
        </w:tc>
        <w:tc>
          <w:tcPr>
            <w:tcW w:w="3000" w:type="dxa"/>
            <w:vAlign w:val="bottom"/>
            <w:tcBorders>
              <w:bottom w:val="single" w:sz="8" w:color="E3F3EE"/>
              <w:right w:val="single" w:sz="8" w:color="E3F3EE"/>
            </w:tcBorders>
            <w:shd w:val="clear" w:color="auto" w:fill="E3F3EE"/>
          </w:tcPr>
          <w:p>
            <w:pPr>
              <w:ind w:left="840"/>
              <w:spacing w:after="0"/>
              <w:rPr>
                <w:sz w:val="20"/>
                <w:szCs w:val="20"/>
                <w:color w:val="auto"/>
              </w:rPr>
            </w:pPr>
            <w:r>
              <w:rPr>
                <w:rFonts w:ascii="Arial" w:cs="Arial" w:eastAsia="Arial" w:hAnsi="Arial"/>
                <w:sz w:val="16"/>
                <w:szCs w:val="16"/>
                <w:b w:val="1"/>
                <w:bCs w:val="1"/>
                <w:color w:val="auto"/>
              </w:rPr>
              <w:t>Committee Membership</w:t>
            </w:r>
          </w:p>
        </w:tc>
        <w:tc>
          <w:tcPr>
            <w:tcW w:w="1340" w:type="dxa"/>
            <w:vAlign w:val="bottom"/>
            <w:tcBorders>
              <w:bottom w:val="single" w:sz="8" w:color="E3F3EE"/>
              <w:right w:val="single" w:sz="8" w:color="E3F3EE"/>
            </w:tcBorders>
            <w:shd w:val="clear" w:color="auto" w:fill="E3F3EE"/>
          </w:tcPr>
          <w:p>
            <w:pPr>
              <w:spacing w:after="0"/>
              <w:rPr>
                <w:sz w:val="23"/>
                <w:szCs w:val="23"/>
                <w:color w:val="auto"/>
              </w:rPr>
            </w:pPr>
          </w:p>
        </w:tc>
        <w:tc>
          <w:tcPr>
            <w:tcW w:w="1340" w:type="dxa"/>
            <w:vAlign w:val="bottom"/>
            <w:tcBorders>
              <w:bottom w:val="single" w:sz="8" w:color="E3F3EE"/>
            </w:tcBorders>
            <w:shd w:val="clear" w:color="auto" w:fill="E3F3EE"/>
          </w:tcPr>
          <w:p>
            <w:pPr>
              <w:spacing w:after="0"/>
              <w:rPr>
                <w:sz w:val="23"/>
                <w:szCs w:val="23"/>
                <w:color w:val="auto"/>
              </w:rPr>
            </w:pPr>
          </w:p>
        </w:tc>
      </w:tr>
      <w:tr>
        <w:trPr>
          <w:trHeight w:val="306"/>
        </w:trPr>
        <w:tc>
          <w:tcPr>
            <w:tcW w:w="2420" w:type="dxa"/>
            <w:vAlign w:val="bottom"/>
            <w:tcBorders>
              <w:bottom w:val="single" w:sz="8" w:color="1F473D"/>
              <w:right w:val="single" w:sz="8" w:color="1F473D"/>
            </w:tcBorders>
            <w:shd w:val="clear" w:color="auto" w:fill="1F473D"/>
          </w:tcPr>
          <w:p>
            <w:pPr>
              <w:ind w:left="160"/>
              <w:spacing w:after="0"/>
              <w:rPr>
                <w:sz w:val="20"/>
                <w:szCs w:val="20"/>
                <w:color w:val="auto"/>
              </w:rPr>
            </w:pPr>
            <w:r>
              <w:rPr>
                <w:rFonts w:ascii="Arial" w:cs="Arial" w:eastAsia="Arial" w:hAnsi="Arial"/>
                <w:sz w:val="16"/>
                <w:szCs w:val="16"/>
                <w:b w:val="1"/>
                <w:bCs w:val="1"/>
                <w:color w:val="FFFFFF"/>
              </w:rPr>
              <w:t>Name of Director</w:t>
            </w:r>
          </w:p>
        </w:tc>
        <w:tc>
          <w:tcPr>
            <w:tcW w:w="2820" w:type="dxa"/>
            <w:vAlign w:val="bottom"/>
            <w:tcBorders>
              <w:bottom w:val="single" w:sz="8" w:color="1F473D"/>
              <w:right w:val="single" w:sz="8" w:color="1F473D"/>
            </w:tcBorders>
            <w:shd w:val="clear" w:color="auto" w:fill="1F473D"/>
          </w:tcPr>
          <w:p>
            <w:pPr>
              <w:jc w:val="center"/>
              <w:ind w:left="528"/>
              <w:spacing w:after="0"/>
              <w:rPr>
                <w:sz w:val="20"/>
                <w:szCs w:val="20"/>
                <w:color w:val="auto"/>
              </w:rPr>
            </w:pPr>
            <w:r>
              <w:rPr>
                <w:rFonts w:ascii="Arial" w:cs="Arial" w:eastAsia="Arial" w:hAnsi="Arial"/>
                <w:sz w:val="16"/>
                <w:szCs w:val="16"/>
                <w:b w:val="1"/>
                <w:bCs w:val="1"/>
                <w:color w:val="FFFFFF"/>
              </w:rPr>
              <w:t>Audit</w:t>
            </w:r>
          </w:p>
        </w:tc>
        <w:tc>
          <w:tcPr>
            <w:tcW w:w="3000" w:type="dxa"/>
            <w:vAlign w:val="bottom"/>
            <w:tcBorders>
              <w:bottom w:val="single" w:sz="8" w:color="1F473D"/>
              <w:right w:val="single" w:sz="8" w:color="1F473D"/>
            </w:tcBorders>
            <w:shd w:val="clear" w:color="auto" w:fill="1F473D"/>
          </w:tcPr>
          <w:p>
            <w:pPr>
              <w:jc w:val="center"/>
              <w:ind w:left="226"/>
              <w:spacing w:after="0"/>
              <w:rPr>
                <w:sz w:val="20"/>
                <w:szCs w:val="20"/>
                <w:color w:val="auto"/>
              </w:rPr>
            </w:pPr>
            <w:r>
              <w:rPr>
                <w:rFonts w:ascii="Arial" w:cs="Arial" w:eastAsia="Arial" w:hAnsi="Arial"/>
                <w:sz w:val="16"/>
                <w:szCs w:val="16"/>
                <w:b w:val="1"/>
                <w:bCs w:val="1"/>
                <w:color w:val="FFFFFF"/>
              </w:rPr>
              <w:t>Corporate Governance</w:t>
            </w:r>
          </w:p>
        </w:tc>
        <w:tc>
          <w:tcPr>
            <w:tcW w:w="1340" w:type="dxa"/>
            <w:vAlign w:val="bottom"/>
            <w:tcBorders>
              <w:bottom w:val="single" w:sz="8" w:color="1F473D"/>
              <w:right w:val="single" w:sz="8" w:color="1F473D"/>
            </w:tcBorders>
            <w:shd w:val="clear" w:color="auto" w:fill="1F473D"/>
          </w:tcPr>
          <w:p>
            <w:pPr>
              <w:jc w:val="center"/>
              <w:ind w:left="328"/>
              <w:spacing w:after="0"/>
              <w:rPr>
                <w:sz w:val="20"/>
                <w:szCs w:val="20"/>
                <w:color w:val="auto"/>
              </w:rPr>
            </w:pPr>
            <w:r>
              <w:rPr>
                <w:rFonts w:ascii="Arial" w:cs="Arial" w:eastAsia="Arial" w:hAnsi="Arial"/>
                <w:sz w:val="16"/>
                <w:szCs w:val="16"/>
                <w:b w:val="1"/>
                <w:bCs w:val="1"/>
                <w:color w:val="FFFFFF"/>
                <w:w w:val="95"/>
              </w:rPr>
              <w:t>HR</w:t>
            </w:r>
          </w:p>
        </w:tc>
        <w:tc>
          <w:tcPr>
            <w:tcW w:w="1340" w:type="dxa"/>
            <w:vAlign w:val="bottom"/>
            <w:tcBorders>
              <w:bottom w:val="single" w:sz="8" w:color="1F473D"/>
            </w:tcBorders>
            <w:shd w:val="clear" w:color="auto" w:fill="1F473D"/>
          </w:tcPr>
          <w:p>
            <w:pPr>
              <w:jc w:val="center"/>
              <w:ind w:left="328"/>
              <w:spacing w:after="0"/>
              <w:rPr>
                <w:sz w:val="20"/>
                <w:szCs w:val="20"/>
                <w:color w:val="auto"/>
              </w:rPr>
            </w:pPr>
            <w:r>
              <w:rPr>
                <w:rFonts w:ascii="Arial" w:cs="Arial" w:eastAsia="Arial" w:hAnsi="Arial"/>
                <w:sz w:val="16"/>
                <w:szCs w:val="16"/>
                <w:b w:val="1"/>
                <w:bCs w:val="1"/>
                <w:color w:val="FFFFFF"/>
              </w:rPr>
              <w:t>Risk</w:t>
            </w:r>
          </w:p>
        </w:tc>
      </w:tr>
      <w:tr>
        <w:trPr>
          <w:trHeight w:val="238"/>
        </w:trPr>
        <w:tc>
          <w:tcPr>
            <w:tcW w:w="2420" w:type="dxa"/>
            <w:vAlign w:val="bottom"/>
            <w:tcBorders>
              <w:top w:val="single" w:sz="8" w:color="D64000"/>
              <w:right w:val="single" w:sz="8" w:color="B9C5C2"/>
            </w:tcBorders>
          </w:tcPr>
          <w:p>
            <w:pPr>
              <w:spacing w:after="0"/>
              <w:rPr>
                <w:sz w:val="20"/>
                <w:szCs w:val="20"/>
                <w:color w:val="auto"/>
              </w:rPr>
            </w:pPr>
            <w:r>
              <w:rPr>
                <w:rFonts w:ascii="Arial" w:cs="Arial" w:eastAsia="Arial" w:hAnsi="Arial"/>
                <w:sz w:val="14"/>
                <w:szCs w:val="14"/>
                <w:b w:val="1"/>
                <w:bCs w:val="1"/>
                <w:color w:val="auto"/>
              </w:rPr>
              <w:t>Kirk E. Arnold</w:t>
            </w:r>
          </w:p>
        </w:tc>
        <w:tc>
          <w:tcPr>
            <w:tcW w:w="2820" w:type="dxa"/>
            <w:vAlign w:val="bottom"/>
            <w:tcBorders>
              <w:top w:val="single" w:sz="8" w:color="D64000"/>
              <w:right w:val="single" w:sz="8" w:color="B9C5C2"/>
            </w:tcBorders>
          </w:tcPr>
          <w:p>
            <w:pPr>
              <w:spacing w:after="0"/>
              <w:rPr>
                <w:sz w:val="20"/>
                <w:szCs w:val="20"/>
                <w:color w:val="auto"/>
              </w:rPr>
            </w:pPr>
          </w:p>
        </w:tc>
        <w:tc>
          <w:tcPr>
            <w:tcW w:w="3000" w:type="dxa"/>
            <w:vAlign w:val="bottom"/>
            <w:tcBorders>
              <w:top w:val="single" w:sz="8" w:color="D64000"/>
              <w:right w:val="single" w:sz="8" w:color="B9C5C2"/>
            </w:tcBorders>
          </w:tcPr>
          <w:p>
            <w:pPr>
              <w:jc w:val="center"/>
              <w:ind w:left="206"/>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Borders>
              <w:top w:val="single" w:sz="8" w:color="D64000"/>
              <w:right w:val="single" w:sz="8" w:color="B9C5C2"/>
            </w:tcBorders>
          </w:tcPr>
          <w:p>
            <w:pPr>
              <w:jc w:val="center"/>
              <w:ind w:left="308"/>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Borders>
              <w:top w:val="single" w:sz="8" w:color="D64000"/>
            </w:tcBorders>
          </w:tcPr>
          <w:p>
            <w:pPr>
              <w:jc w:val="center"/>
              <w:ind w:left="34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LaVerne Council</w:t>
            </w:r>
          </w:p>
        </w:tc>
        <w:tc>
          <w:tcPr>
            <w:tcW w:w="2820" w:type="dxa"/>
            <w:vAlign w:val="bottom"/>
            <w:tcBorders>
              <w:right w:val="single" w:sz="8" w:color="B9C5C2"/>
            </w:tcBorders>
          </w:tcPr>
          <w:p>
            <w:pPr>
              <w:jc w:val="center"/>
              <w:ind w:left="548"/>
              <w:spacing w:after="0" w:line="141" w:lineRule="exact"/>
              <w:rPr>
                <w:sz w:val="20"/>
                <w:szCs w:val="20"/>
                <w:color w:val="auto"/>
              </w:rPr>
            </w:pPr>
            <w:r>
              <w:rPr>
                <w:rFonts w:ascii="MS PGothic" w:cs="MS PGothic" w:eastAsia="MS PGothic" w:hAnsi="MS PGothic"/>
                <w:sz w:val="14"/>
                <w:szCs w:val="14"/>
                <w:color w:val="auto"/>
                <w:w w:val="85"/>
              </w:rPr>
              <w:t>✓</w:t>
            </w:r>
          </w:p>
        </w:tc>
        <w:tc>
          <w:tcPr>
            <w:tcW w:w="3000" w:type="dxa"/>
            <w:vAlign w:val="bottom"/>
            <w:tcBorders>
              <w:right w:val="single" w:sz="8" w:color="B9C5C2"/>
            </w:tcBorders>
          </w:tcPr>
          <w:p>
            <w:pPr>
              <w:spacing w:after="0"/>
              <w:rPr>
                <w:sz w:val="20"/>
                <w:szCs w:val="20"/>
                <w:color w:val="auto"/>
              </w:rPr>
            </w:pPr>
          </w:p>
        </w:tc>
        <w:tc>
          <w:tcPr>
            <w:tcW w:w="1340" w:type="dxa"/>
            <w:vAlign w:val="bottom"/>
            <w:tcBorders>
              <w:right w:val="single" w:sz="8" w:color="B9C5C2"/>
            </w:tcBorders>
          </w:tcPr>
          <w:p>
            <w:pPr>
              <w:spacing w:after="0"/>
              <w:rPr>
                <w:sz w:val="20"/>
                <w:szCs w:val="20"/>
                <w:color w:val="auto"/>
              </w:rPr>
            </w:pPr>
          </w:p>
        </w:tc>
        <w:tc>
          <w:tcPr>
            <w:tcW w:w="134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Michael Friisdahl</w:t>
            </w:r>
          </w:p>
        </w:tc>
        <w:tc>
          <w:tcPr>
            <w:tcW w:w="2820" w:type="dxa"/>
            <w:vAlign w:val="bottom"/>
            <w:tcBorders>
              <w:right w:val="single" w:sz="8" w:color="B9C5C2"/>
            </w:tcBorders>
          </w:tcPr>
          <w:p>
            <w:pPr>
              <w:spacing w:after="0"/>
              <w:rPr>
                <w:sz w:val="20"/>
                <w:szCs w:val="20"/>
                <w:color w:val="auto"/>
              </w:rPr>
            </w:pPr>
          </w:p>
        </w:tc>
        <w:tc>
          <w:tcPr>
            <w:tcW w:w="3000" w:type="dxa"/>
            <w:vAlign w:val="bottom"/>
            <w:tcBorders>
              <w:right w:val="single" w:sz="8" w:color="B9C5C2"/>
            </w:tcBorders>
          </w:tcPr>
          <w:p>
            <w:pPr>
              <w:jc w:val="center"/>
              <w:ind w:left="206"/>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Borders>
              <w:right w:val="single" w:sz="8" w:color="B9C5C2"/>
            </w:tcBorders>
          </w:tcPr>
          <w:p>
            <w:pPr>
              <w:jc w:val="center"/>
              <w:ind w:left="308"/>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Pr>
          <w:p>
            <w:pPr>
              <w:spacing w:after="0"/>
              <w:rPr>
                <w:sz w:val="20"/>
                <w:szCs w:val="20"/>
                <w:color w:val="auto"/>
              </w:rPr>
            </w:pP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Kirk Koenigsbauer</w:t>
            </w:r>
          </w:p>
        </w:tc>
        <w:tc>
          <w:tcPr>
            <w:tcW w:w="2820" w:type="dxa"/>
            <w:vAlign w:val="bottom"/>
            <w:tcBorders>
              <w:right w:val="single" w:sz="8" w:color="B9C5C2"/>
            </w:tcBorders>
          </w:tcPr>
          <w:p>
            <w:pPr>
              <w:spacing w:after="0"/>
              <w:rPr>
                <w:sz w:val="20"/>
                <w:szCs w:val="20"/>
                <w:color w:val="auto"/>
              </w:rPr>
            </w:pPr>
          </w:p>
        </w:tc>
        <w:tc>
          <w:tcPr>
            <w:tcW w:w="3000" w:type="dxa"/>
            <w:vAlign w:val="bottom"/>
            <w:tcBorders>
              <w:right w:val="single" w:sz="8" w:color="B9C5C2"/>
            </w:tcBorders>
          </w:tcPr>
          <w:p>
            <w:pPr>
              <w:spacing w:after="0"/>
              <w:rPr>
                <w:sz w:val="20"/>
                <w:szCs w:val="20"/>
                <w:color w:val="auto"/>
              </w:rPr>
            </w:pPr>
          </w:p>
        </w:tc>
        <w:tc>
          <w:tcPr>
            <w:tcW w:w="1340" w:type="dxa"/>
            <w:vAlign w:val="bottom"/>
            <w:tcBorders>
              <w:right w:val="single" w:sz="8" w:color="B9C5C2"/>
            </w:tcBorders>
          </w:tcPr>
          <w:p>
            <w:pPr>
              <w:jc w:val="center"/>
              <w:ind w:left="308"/>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61"/>
        </w:trPr>
        <w:tc>
          <w:tcPr>
            <w:tcW w:w="2420" w:type="dxa"/>
            <w:vAlign w:val="bottom"/>
            <w:tcBorders>
              <w:bottom w:val="single" w:sz="8" w:color="B9C5C2"/>
              <w:right w:val="single" w:sz="8" w:color="B9C5C2"/>
            </w:tcBorders>
          </w:tcPr>
          <w:p>
            <w:pPr>
              <w:spacing w:after="0"/>
              <w:rPr>
                <w:sz w:val="20"/>
                <w:szCs w:val="20"/>
                <w:color w:val="auto"/>
              </w:rPr>
            </w:pPr>
            <w:r>
              <w:rPr>
                <w:rFonts w:ascii="Arial" w:cs="Arial" w:eastAsia="Arial" w:hAnsi="Arial"/>
                <w:sz w:val="14"/>
                <w:szCs w:val="14"/>
                <w:b w:val="1"/>
                <w:bCs w:val="1"/>
                <w:color w:val="auto"/>
              </w:rPr>
              <w:t xml:space="preserve">Deanna Oppenheimer </w:t>
            </w:r>
            <w:r>
              <w:rPr>
                <w:rFonts w:ascii="Arial" w:cs="Arial" w:eastAsia="Arial" w:hAnsi="Arial"/>
                <w:sz w:val="21"/>
                <w:szCs w:val="21"/>
                <w:b w:val="1"/>
                <w:bCs w:val="1"/>
                <w:color w:val="auto"/>
                <w:vertAlign w:val="superscript"/>
              </w:rPr>
              <w:t>1</w:t>
            </w:r>
          </w:p>
        </w:tc>
        <w:tc>
          <w:tcPr>
            <w:tcW w:w="2820" w:type="dxa"/>
            <w:vAlign w:val="bottom"/>
            <w:tcBorders>
              <w:bottom w:val="single" w:sz="8" w:color="B9C5C2"/>
              <w:right w:val="single" w:sz="8" w:color="B9C5C2"/>
            </w:tcBorders>
          </w:tcPr>
          <w:p>
            <w:pPr>
              <w:jc w:val="center"/>
              <w:ind w:left="548"/>
              <w:spacing w:after="0" w:line="141" w:lineRule="exact"/>
              <w:rPr>
                <w:sz w:val="20"/>
                <w:szCs w:val="20"/>
                <w:color w:val="auto"/>
              </w:rPr>
            </w:pPr>
            <w:r>
              <w:rPr>
                <w:rFonts w:ascii="MS PGothic" w:cs="MS PGothic" w:eastAsia="MS PGothic" w:hAnsi="MS PGothic"/>
                <w:sz w:val="14"/>
                <w:szCs w:val="14"/>
                <w:color w:val="auto"/>
                <w:w w:val="85"/>
              </w:rPr>
              <w:t>✓</w:t>
            </w:r>
          </w:p>
        </w:tc>
        <w:tc>
          <w:tcPr>
            <w:tcW w:w="3000" w:type="dxa"/>
            <w:vAlign w:val="bottom"/>
            <w:tcBorders>
              <w:bottom w:val="single" w:sz="8" w:color="B9C5C2"/>
              <w:right w:val="single" w:sz="8" w:color="B9C5C2"/>
            </w:tcBorders>
          </w:tcPr>
          <w:p>
            <w:pPr>
              <w:jc w:val="center"/>
              <w:ind w:left="206"/>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(Interim Chair)</w:t>
            </w:r>
          </w:p>
        </w:tc>
        <w:tc>
          <w:tcPr>
            <w:tcW w:w="1340" w:type="dxa"/>
            <w:vAlign w:val="bottom"/>
            <w:tcBorders>
              <w:bottom w:val="single" w:sz="8" w:color="B9C5C2"/>
              <w:right w:val="single" w:sz="8" w:color="B9C5C2"/>
            </w:tcBorders>
          </w:tcPr>
          <w:p>
            <w:pPr>
              <w:spacing w:after="0"/>
              <w:rPr>
                <w:sz w:val="22"/>
                <w:szCs w:val="22"/>
                <w:color w:val="auto"/>
              </w:rPr>
            </w:pPr>
          </w:p>
        </w:tc>
        <w:tc>
          <w:tcPr>
            <w:tcW w:w="1340" w:type="dxa"/>
            <w:vAlign w:val="bottom"/>
            <w:tcBorders>
              <w:bottom w:val="single" w:sz="8" w:color="B9C5C2"/>
            </w:tcBorders>
          </w:tcPr>
          <w:p>
            <w:pPr>
              <w:spacing w:after="0"/>
              <w:rPr>
                <w:sz w:val="22"/>
                <w:szCs w:val="2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Simon Paris</w:t>
            </w:r>
          </w:p>
        </w:tc>
        <w:tc>
          <w:tcPr>
            <w:tcW w:w="2820" w:type="dxa"/>
            <w:vAlign w:val="bottom"/>
            <w:tcBorders>
              <w:right w:val="single" w:sz="8" w:color="B9C5C2"/>
            </w:tcBorders>
          </w:tcPr>
          <w:p>
            <w:pPr>
              <w:jc w:val="center"/>
              <w:ind w:left="548"/>
              <w:spacing w:after="0" w:line="141" w:lineRule="exact"/>
              <w:rPr>
                <w:sz w:val="20"/>
                <w:szCs w:val="20"/>
                <w:color w:val="auto"/>
              </w:rPr>
            </w:pPr>
            <w:r>
              <w:rPr>
                <w:rFonts w:ascii="MS PGothic" w:cs="MS PGothic" w:eastAsia="MS PGothic" w:hAnsi="MS PGothic"/>
                <w:sz w:val="14"/>
                <w:szCs w:val="14"/>
                <w:color w:val="auto"/>
                <w:w w:val="85"/>
              </w:rPr>
              <w:t>✓</w:t>
            </w:r>
          </w:p>
        </w:tc>
        <w:tc>
          <w:tcPr>
            <w:tcW w:w="3000" w:type="dxa"/>
            <w:vAlign w:val="bottom"/>
            <w:tcBorders>
              <w:right w:val="single" w:sz="8" w:color="B9C5C2"/>
            </w:tcBorders>
          </w:tcPr>
          <w:p>
            <w:pPr>
              <w:jc w:val="center"/>
              <w:ind w:left="206"/>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Borders>
              <w:right w:val="single" w:sz="8" w:color="B9C5C2"/>
            </w:tcBorders>
          </w:tcPr>
          <w:p>
            <w:pPr>
              <w:jc w:val="center"/>
              <w:ind w:left="328"/>
              <w:spacing w:after="0" w:line="161" w:lineRule="exact"/>
              <w:rPr>
                <w:sz w:val="20"/>
                <w:szCs w:val="20"/>
                <w:color w:val="auto"/>
              </w:rPr>
            </w:pP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(Chair)</w:t>
            </w:r>
          </w:p>
        </w:tc>
        <w:tc>
          <w:tcPr>
            <w:tcW w:w="134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Kim M. Rivera</w:t>
            </w:r>
          </w:p>
        </w:tc>
        <w:tc>
          <w:tcPr>
            <w:tcW w:w="2820" w:type="dxa"/>
            <w:vAlign w:val="bottom"/>
            <w:tcBorders>
              <w:right w:val="single" w:sz="8" w:color="B9C5C2"/>
            </w:tcBorders>
          </w:tcPr>
          <w:p>
            <w:pPr>
              <w:jc w:val="center"/>
              <w:ind w:left="548"/>
              <w:spacing w:after="0" w:line="141" w:lineRule="exact"/>
              <w:rPr>
                <w:sz w:val="20"/>
                <w:szCs w:val="20"/>
                <w:color w:val="auto"/>
              </w:rPr>
            </w:pPr>
            <w:r>
              <w:rPr>
                <w:rFonts w:ascii="MS PGothic" w:cs="MS PGothic" w:eastAsia="MS PGothic" w:hAnsi="MS PGothic"/>
                <w:sz w:val="14"/>
                <w:szCs w:val="14"/>
                <w:color w:val="auto"/>
                <w:w w:val="85"/>
              </w:rPr>
              <w:t>✓</w:t>
            </w:r>
          </w:p>
        </w:tc>
        <w:tc>
          <w:tcPr>
            <w:tcW w:w="3000" w:type="dxa"/>
            <w:vAlign w:val="bottom"/>
            <w:tcBorders>
              <w:right w:val="single" w:sz="8" w:color="B9C5C2"/>
            </w:tcBorders>
          </w:tcPr>
          <w:p>
            <w:pPr>
              <w:spacing w:after="0"/>
              <w:rPr>
                <w:sz w:val="20"/>
                <w:szCs w:val="20"/>
                <w:color w:val="auto"/>
              </w:rPr>
            </w:pPr>
          </w:p>
        </w:tc>
        <w:tc>
          <w:tcPr>
            <w:tcW w:w="1340" w:type="dxa"/>
            <w:vAlign w:val="bottom"/>
            <w:tcBorders>
              <w:right w:val="single" w:sz="8" w:color="B9C5C2"/>
            </w:tcBorders>
          </w:tcPr>
          <w:p>
            <w:pPr>
              <w:spacing w:after="0"/>
              <w:rPr>
                <w:sz w:val="20"/>
                <w:szCs w:val="20"/>
                <w:color w:val="auto"/>
              </w:rPr>
            </w:pPr>
          </w:p>
        </w:tc>
        <w:tc>
          <w:tcPr>
            <w:tcW w:w="134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Paul Sagan</w:t>
            </w:r>
          </w:p>
        </w:tc>
        <w:tc>
          <w:tcPr>
            <w:tcW w:w="2820" w:type="dxa"/>
            <w:vAlign w:val="bottom"/>
            <w:tcBorders>
              <w:right w:val="single" w:sz="8" w:color="B9C5C2"/>
            </w:tcBorders>
          </w:tcPr>
          <w:p>
            <w:pPr>
              <w:spacing w:after="0"/>
              <w:rPr>
                <w:sz w:val="20"/>
                <w:szCs w:val="20"/>
                <w:color w:val="auto"/>
              </w:rPr>
            </w:pPr>
          </w:p>
        </w:tc>
        <w:tc>
          <w:tcPr>
            <w:tcW w:w="3000" w:type="dxa"/>
            <w:vAlign w:val="bottom"/>
            <w:tcBorders>
              <w:right w:val="single" w:sz="8" w:color="B9C5C2"/>
            </w:tcBorders>
          </w:tcPr>
          <w:p>
            <w:pPr>
              <w:spacing w:after="0"/>
              <w:rPr>
                <w:sz w:val="20"/>
                <w:szCs w:val="20"/>
                <w:color w:val="auto"/>
              </w:rPr>
            </w:pPr>
          </w:p>
        </w:tc>
        <w:tc>
          <w:tcPr>
            <w:tcW w:w="1340" w:type="dxa"/>
            <w:vAlign w:val="bottom"/>
            <w:tcBorders>
              <w:right w:val="single" w:sz="8" w:color="B9C5C2"/>
            </w:tcBorders>
          </w:tcPr>
          <w:p>
            <w:pPr>
              <w:spacing w:after="0"/>
              <w:rPr>
                <w:sz w:val="20"/>
                <w:szCs w:val="20"/>
                <w:color w:val="auto"/>
              </w:rPr>
            </w:pPr>
          </w:p>
        </w:tc>
        <w:tc>
          <w:tcPr>
            <w:tcW w:w="134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Barry Salzberg</w:t>
            </w:r>
          </w:p>
        </w:tc>
        <w:tc>
          <w:tcPr>
            <w:tcW w:w="2820" w:type="dxa"/>
            <w:vAlign w:val="bottom"/>
            <w:tcBorders>
              <w:right w:val="single" w:sz="8" w:color="B9C5C2"/>
            </w:tcBorders>
          </w:tcPr>
          <w:p>
            <w:pPr>
              <w:jc w:val="center"/>
              <w:ind w:left="548"/>
              <w:spacing w:after="0" w:line="161" w:lineRule="exact"/>
              <w:rPr>
                <w:sz w:val="20"/>
                <w:szCs w:val="20"/>
                <w:color w:val="auto"/>
              </w:rPr>
            </w:pP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(Chair)</w:t>
            </w:r>
          </w:p>
        </w:tc>
        <w:tc>
          <w:tcPr>
            <w:tcW w:w="3000" w:type="dxa"/>
            <w:vAlign w:val="bottom"/>
            <w:tcBorders>
              <w:right w:val="single" w:sz="8" w:color="B9C5C2"/>
            </w:tcBorders>
          </w:tcPr>
          <w:p>
            <w:pPr>
              <w:jc w:val="center"/>
              <w:ind w:left="206"/>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Borders>
              <w:right w:val="single" w:sz="8" w:color="B9C5C2"/>
            </w:tcBorders>
          </w:tcPr>
          <w:p>
            <w:pPr>
              <w:jc w:val="center"/>
              <w:ind w:left="308"/>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Pr>
          <w:p>
            <w:pPr>
              <w:jc w:val="center"/>
              <w:ind w:left="3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Peter Thomson</w:t>
            </w:r>
          </w:p>
        </w:tc>
        <w:tc>
          <w:tcPr>
            <w:tcW w:w="2820" w:type="dxa"/>
            <w:vAlign w:val="bottom"/>
            <w:tcBorders>
              <w:right w:val="single" w:sz="8" w:color="B9C5C2"/>
            </w:tcBorders>
          </w:tcPr>
          <w:p>
            <w:pPr>
              <w:spacing w:after="0"/>
              <w:rPr>
                <w:sz w:val="20"/>
                <w:szCs w:val="20"/>
                <w:color w:val="auto"/>
              </w:rPr>
            </w:pPr>
          </w:p>
        </w:tc>
        <w:tc>
          <w:tcPr>
            <w:tcW w:w="3000" w:type="dxa"/>
            <w:vAlign w:val="bottom"/>
            <w:tcBorders>
              <w:right w:val="single" w:sz="8" w:color="B9C5C2"/>
            </w:tcBorders>
          </w:tcPr>
          <w:p>
            <w:pPr>
              <w:spacing w:after="0"/>
              <w:rPr>
                <w:sz w:val="20"/>
                <w:szCs w:val="20"/>
                <w:color w:val="auto"/>
              </w:rPr>
            </w:pPr>
          </w:p>
        </w:tc>
        <w:tc>
          <w:tcPr>
            <w:tcW w:w="1340" w:type="dxa"/>
            <w:vAlign w:val="bottom"/>
            <w:tcBorders>
              <w:right w:val="single" w:sz="8" w:color="B9C5C2"/>
            </w:tcBorders>
          </w:tcPr>
          <w:p>
            <w:pPr>
              <w:jc w:val="center"/>
              <w:ind w:left="308"/>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Pr>
          <w:p>
            <w:pPr>
              <w:spacing w:after="0"/>
              <w:rPr>
                <w:sz w:val="20"/>
                <w:szCs w:val="20"/>
                <w:color w:val="auto"/>
              </w:rPr>
            </w:pP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32"/>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Beth Wilson</w:t>
            </w:r>
          </w:p>
        </w:tc>
        <w:tc>
          <w:tcPr>
            <w:tcW w:w="2820" w:type="dxa"/>
            <w:vAlign w:val="bottom"/>
            <w:tcBorders>
              <w:right w:val="single" w:sz="8" w:color="B9C5C2"/>
            </w:tcBorders>
          </w:tcPr>
          <w:p>
            <w:pPr>
              <w:jc w:val="center"/>
              <w:ind w:left="548"/>
              <w:spacing w:after="0" w:line="141" w:lineRule="exact"/>
              <w:rPr>
                <w:sz w:val="20"/>
                <w:szCs w:val="20"/>
                <w:color w:val="auto"/>
              </w:rPr>
            </w:pPr>
            <w:r>
              <w:rPr>
                <w:rFonts w:ascii="MS PGothic" w:cs="MS PGothic" w:eastAsia="MS PGothic" w:hAnsi="MS PGothic"/>
                <w:sz w:val="14"/>
                <w:szCs w:val="14"/>
                <w:color w:val="auto"/>
                <w:w w:val="85"/>
              </w:rPr>
              <w:t>✓</w:t>
            </w:r>
          </w:p>
        </w:tc>
        <w:tc>
          <w:tcPr>
            <w:tcW w:w="3000" w:type="dxa"/>
            <w:vAlign w:val="bottom"/>
            <w:tcBorders>
              <w:right w:val="single" w:sz="8" w:color="B9C5C2"/>
            </w:tcBorders>
          </w:tcPr>
          <w:p>
            <w:pPr>
              <w:spacing w:after="0"/>
              <w:rPr>
                <w:sz w:val="20"/>
                <w:szCs w:val="20"/>
                <w:color w:val="auto"/>
              </w:rPr>
            </w:pPr>
          </w:p>
        </w:tc>
        <w:tc>
          <w:tcPr>
            <w:tcW w:w="1340" w:type="dxa"/>
            <w:vAlign w:val="bottom"/>
            <w:tcBorders>
              <w:right w:val="single" w:sz="8" w:color="B9C5C2"/>
            </w:tcBorders>
          </w:tcPr>
          <w:p>
            <w:pPr>
              <w:jc w:val="center"/>
              <w:ind w:left="308"/>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Pr>
          <w:p>
            <w:pPr>
              <w:spacing w:after="0"/>
              <w:rPr>
                <w:sz w:val="20"/>
                <w:szCs w:val="20"/>
                <w:color w:val="auto"/>
              </w:rPr>
            </w:pPr>
          </w:p>
        </w:tc>
      </w:tr>
      <w:tr>
        <w:trPr>
          <w:trHeight w:val="29"/>
        </w:trPr>
        <w:tc>
          <w:tcPr>
            <w:tcW w:w="2420" w:type="dxa"/>
            <w:vAlign w:val="bottom"/>
            <w:tcBorders>
              <w:bottom w:val="single" w:sz="8" w:color="B9C5C2"/>
              <w:right w:val="single" w:sz="8" w:color="B9C5C2"/>
            </w:tcBorders>
          </w:tcPr>
          <w:p>
            <w:pPr>
              <w:spacing w:after="0"/>
              <w:rPr>
                <w:sz w:val="2"/>
                <w:szCs w:val="2"/>
                <w:color w:val="auto"/>
              </w:rPr>
            </w:pPr>
          </w:p>
        </w:tc>
        <w:tc>
          <w:tcPr>
            <w:tcW w:w="2820" w:type="dxa"/>
            <w:vAlign w:val="bottom"/>
            <w:tcBorders>
              <w:bottom w:val="single" w:sz="8" w:color="B9C5C2"/>
              <w:right w:val="single" w:sz="8" w:color="B9C5C2"/>
            </w:tcBorders>
          </w:tcPr>
          <w:p>
            <w:pPr>
              <w:spacing w:after="0"/>
              <w:rPr>
                <w:sz w:val="2"/>
                <w:szCs w:val="2"/>
                <w:color w:val="auto"/>
              </w:rPr>
            </w:pPr>
          </w:p>
        </w:tc>
        <w:tc>
          <w:tcPr>
            <w:tcW w:w="300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right w:val="single" w:sz="8" w:color="B9C5C2"/>
            </w:tcBorders>
          </w:tcPr>
          <w:p>
            <w:pPr>
              <w:spacing w:after="0"/>
              <w:rPr>
                <w:sz w:val="2"/>
                <w:szCs w:val="2"/>
                <w:color w:val="auto"/>
              </w:rPr>
            </w:pPr>
          </w:p>
        </w:tc>
        <w:tc>
          <w:tcPr>
            <w:tcW w:w="1340" w:type="dxa"/>
            <w:vAlign w:val="bottom"/>
            <w:tcBorders>
              <w:bottom w:val="single" w:sz="8" w:color="B9C5C2"/>
            </w:tcBorders>
          </w:tcPr>
          <w:p>
            <w:pPr>
              <w:spacing w:after="0"/>
              <w:rPr>
                <w:sz w:val="2"/>
                <w:szCs w:val="2"/>
                <w:color w:val="auto"/>
              </w:rPr>
            </w:pPr>
          </w:p>
        </w:tc>
      </w:tr>
      <w:tr>
        <w:trPr>
          <w:trHeight w:val="247"/>
        </w:trPr>
        <w:tc>
          <w:tcPr>
            <w:tcW w:w="2420" w:type="dxa"/>
            <w:vAlign w:val="bottom"/>
            <w:tcBorders>
              <w:right w:val="single" w:sz="8" w:color="B9C5C2"/>
            </w:tcBorders>
          </w:tcPr>
          <w:p>
            <w:pPr>
              <w:spacing w:after="0"/>
              <w:rPr>
                <w:sz w:val="20"/>
                <w:szCs w:val="20"/>
                <w:color w:val="auto"/>
              </w:rPr>
            </w:pPr>
            <w:r>
              <w:rPr>
                <w:rFonts w:ascii="Arial" w:cs="Arial" w:eastAsia="Arial" w:hAnsi="Arial"/>
                <w:sz w:val="14"/>
                <w:szCs w:val="14"/>
                <w:b w:val="1"/>
                <w:bCs w:val="1"/>
                <w:color w:val="auto"/>
              </w:rPr>
              <w:t>Total</w:t>
            </w:r>
          </w:p>
        </w:tc>
        <w:tc>
          <w:tcPr>
            <w:tcW w:w="2820" w:type="dxa"/>
            <w:vAlign w:val="bottom"/>
            <w:tcBorders>
              <w:right w:val="single" w:sz="8" w:color="B9C5C2"/>
            </w:tcBorders>
          </w:tcPr>
          <w:p>
            <w:pPr>
              <w:jc w:val="center"/>
              <w:ind w:left="548"/>
              <w:spacing w:after="0"/>
              <w:rPr>
                <w:sz w:val="20"/>
                <w:szCs w:val="20"/>
                <w:color w:val="auto"/>
              </w:rPr>
            </w:pPr>
            <w:r>
              <w:rPr>
                <w:rFonts w:ascii="Arial" w:cs="Arial" w:eastAsia="Arial" w:hAnsi="Arial"/>
                <w:sz w:val="14"/>
                <w:szCs w:val="14"/>
                <w:color w:val="auto"/>
              </w:rPr>
              <w:t>6</w:t>
            </w:r>
          </w:p>
        </w:tc>
        <w:tc>
          <w:tcPr>
            <w:tcW w:w="3000" w:type="dxa"/>
            <w:vAlign w:val="bottom"/>
            <w:tcBorders>
              <w:right w:val="single" w:sz="8" w:color="B9C5C2"/>
            </w:tcBorders>
          </w:tcPr>
          <w:p>
            <w:pPr>
              <w:jc w:val="center"/>
              <w:ind w:left="206"/>
              <w:spacing w:after="0"/>
              <w:rPr>
                <w:sz w:val="20"/>
                <w:szCs w:val="20"/>
                <w:color w:val="auto"/>
              </w:rPr>
            </w:pPr>
            <w:r>
              <w:rPr>
                <w:rFonts w:ascii="Arial" w:cs="Arial" w:eastAsia="Arial" w:hAnsi="Arial"/>
                <w:sz w:val="14"/>
                <w:szCs w:val="14"/>
                <w:color w:val="auto"/>
              </w:rPr>
              <w:t>5</w:t>
            </w:r>
          </w:p>
        </w:tc>
        <w:tc>
          <w:tcPr>
            <w:tcW w:w="1340" w:type="dxa"/>
            <w:vAlign w:val="bottom"/>
            <w:tcBorders>
              <w:right w:val="single" w:sz="8" w:color="B9C5C2"/>
            </w:tcBorders>
          </w:tcPr>
          <w:p>
            <w:pPr>
              <w:jc w:val="center"/>
              <w:ind w:left="308"/>
              <w:spacing w:after="0"/>
              <w:rPr>
                <w:sz w:val="20"/>
                <w:szCs w:val="20"/>
                <w:color w:val="auto"/>
              </w:rPr>
            </w:pPr>
            <w:r>
              <w:rPr>
                <w:rFonts w:ascii="Arial" w:cs="Arial" w:eastAsia="Arial" w:hAnsi="Arial"/>
                <w:sz w:val="14"/>
                <w:szCs w:val="14"/>
                <w:color w:val="auto"/>
              </w:rPr>
              <w:t>6</w:t>
            </w:r>
          </w:p>
        </w:tc>
        <w:tc>
          <w:tcPr>
            <w:tcW w:w="1340" w:type="dxa"/>
            <w:vAlign w:val="bottom"/>
          </w:tcPr>
          <w:p>
            <w:pPr>
              <w:jc w:val="center"/>
              <w:ind w:left="348"/>
              <w:spacing w:after="0"/>
              <w:rPr>
                <w:sz w:val="20"/>
                <w:szCs w:val="20"/>
                <w:color w:val="auto"/>
              </w:rPr>
            </w:pPr>
            <w:r>
              <w:rPr>
                <w:rFonts w:ascii="Arial" w:cs="Arial" w:eastAsia="Arial" w:hAnsi="Arial"/>
                <w:sz w:val="14"/>
                <w:szCs w:val="14"/>
                <w:color w:val="auto"/>
              </w:rPr>
              <w:t>7</w:t>
            </w:r>
          </w:p>
        </w:tc>
      </w:tr>
      <w:tr>
        <w:trPr>
          <w:trHeight w:val="27"/>
        </w:trPr>
        <w:tc>
          <w:tcPr>
            <w:tcW w:w="2420" w:type="dxa"/>
            <w:vAlign w:val="bottom"/>
            <w:tcBorders>
              <w:right w:val="single" w:sz="8" w:color="D64000"/>
            </w:tcBorders>
            <w:shd w:val="clear" w:color="auto" w:fill="D64000"/>
          </w:tcPr>
          <w:p>
            <w:pPr>
              <w:spacing w:after="0"/>
              <w:rPr>
                <w:sz w:val="2"/>
                <w:szCs w:val="2"/>
                <w:color w:val="auto"/>
              </w:rPr>
            </w:pPr>
          </w:p>
        </w:tc>
        <w:tc>
          <w:tcPr>
            <w:tcW w:w="2820" w:type="dxa"/>
            <w:vAlign w:val="bottom"/>
            <w:tcBorders>
              <w:right w:val="single" w:sz="8" w:color="D64000"/>
            </w:tcBorders>
            <w:shd w:val="clear" w:color="auto" w:fill="D64000"/>
          </w:tcPr>
          <w:p>
            <w:pPr>
              <w:spacing w:after="0"/>
              <w:rPr>
                <w:sz w:val="2"/>
                <w:szCs w:val="2"/>
                <w:color w:val="auto"/>
              </w:rPr>
            </w:pPr>
          </w:p>
        </w:tc>
        <w:tc>
          <w:tcPr>
            <w:tcW w:w="3000" w:type="dxa"/>
            <w:vAlign w:val="bottom"/>
            <w:tcBorders>
              <w:right w:val="single" w:sz="8" w:color="D64000"/>
            </w:tcBorders>
            <w:shd w:val="clear" w:color="auto" w:fill="D64000"/>
          </w:tcPr>
          <w:p>
            <w:pPr>
              <w:spacing w:after="0"/>
              <w:rPr>
                <w:sz w:val="2"/>
                <w:szCs w:val="2"/>
                <w:color w:val="auto"/>
              </w:rPr>
            </w:pPr>
          </w:p>
        </w:tc>
        <w:tc>
          <w:tcPr>
            <w:tcW w:w="1340" w:type="dxa"/>
            <w:vAlign w:val="bottom"/>
            <w:tcBorders>
              <w:right w:val="single" w:sz="8" w:color="D64000"/>
            </w:tcBorders>
            <w:shd w:val="clear" w:color="auto" w:fill="D64000"/>
          </w:tcPr>
          <w:p>
            <w:pPr>
              <w:spacing w:after="0"/>
              <w:rPr>
                <w:sz w:val="2"/>
                <w:szCs w:val="2"/>
                <w:color w:val="auto"/>
              </w:rPr>
            </w:pPr>
          </w:p>
        </w:tc>
        <w:tc>
          <w:tcPr>
            <w:tcW w:w="1340" w:type="dxa"/>
            <w:vAlign w:val="bottom"/>
            <w:shd w:val="clear" w:color="auto" w:fill="D64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-2343150</wp:posOffset>
            </wp:positionV>
            <wp:extent cx="8255" cy="186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-2343150</wp:posOffset>
            </wp:positionV>
            <wp:extent cx="8255" cy="186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-2343150</wp:posOffset>
            </wp:positionV>
            <wp:extent cx="8255" cy="186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-2343150</wp:posOffset>
            </wp:positionV>
            <wp:extent cx="8255" cy="186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186690"/>
                    </a:xfrm>
                    <a:prstGeom prst="rect">
                      <a:avLst/>
                    </a:prstGeom>
                    <a:noFill/>
                  </pic:spPr>
                </pic:pic>
              </a:graphicData>
            </a:graphic>
          </wp:anchor>
        </w:drawing>
        <w:drawing>
          <wp:anchor simplePos="0" relativeHeight="251657728" behindDoc="1" locked="0" layoutInCell="0" allowOverlap="1">
            <wp:simplePos x="0" y="0"/>
            <wp:positionH relativeFrom="column">
              <wp:posOffset>1524635</wp:posOffset>
            </wp:positionH>
            <wp:positionV relativeFrom="paragraph">
              <wp:posOffset>-2343150</wp:posOffset>
            </wp:positionV>
            <wp:extent cx="8255" cy="186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86690"/>
                    </a:xfrm>
                    <a:prstGeom prst="rect">
                      <a:avLst/>
                    </a:prstGeom>
                    <a:noFill/>
                  </pic:spPr>
                </pic:pic>
              </a:graphicData>
            </a:graphic>
          </wp:anchor>
        </w:drawing>
      </w:r>
    </w:p>
    <w:p>
      <w:pPr>
        <w:spacing w:after="0" w:line="61" w:lineRule="exact"/>
        <w:rPr>
          <w:sz w:val="20"/>
          <w:szCs w:val="20"/>
          <w:color w:val="auto"/>
        </w:rPr>
      </w:pPr>
    </w:p>
    <w:p>
      <w:pPr>
        <w:ind w:left="220" w:right="280" w:hanging="213"/>
        <w:spacing w:after="0" w:line="277" w:lineRule="auto"/>
        <w:tabs>
          <w:tab w:leader="none" w:pos="2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Deanna Oppenheimer was appointed Interim Chair of the Corporate Governance Committee effective March 25, 2026. Mike Daniels previously served as Chair of the Corporate Governance Committee until he passed away on March 14, 2026.</w:t>
      </w:r>
    </w:p>
    <w:p>
      <w:pPr>
        <w:spacing w:after="0" w:line="33"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 xml:space="preserve">Each of the Board’s committees has a charter. The charters are reviewed annually by the relevant committee and the Corporate Governance Committee. These charters and a committee chair position description are publicly available at </w:t>
      </w:r>
      <w:r>
        <w:rPr>
          <w:rFonts w:ascii="Arial" w:cs="Arial" w:eastAsia="Arial" w:hAnsi="Arial"/>
          <w:sz w:val="17"/>
          <w:szCs w:val="17"/>
          <w:b w:val="1"/>
          <w:bCs w:val="1"/>
          <w:color w:val="auto"/>
        </w:rPr>
        <w:t>www.thomsonreuters.com.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69297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4"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39</w:t>
      </w:r>
    </w:p>
    <w:p>
      <w:pPr>
        <w:sectPr>
          <w:pgSz w:w="11900" w:h="16838" w:orient="portrait"/>
          <w:cols w:equalWidth="0" w:num="1">
            <w:col w:w="10920"/>
          </w:cols>
          <w:pgMar w:left="480" w:top="234" w:right="499" w:bottom="1440" w:gutter="0" w:footer="0" w:header="0"/>
        </w:sectPr>
      </w:pPr>
    </w:p>
    <w:bookmarkStart w:id="49" w:name="page50"/>
    <w:bookmarkEnd w:id="49"/>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Audit Committee</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Responsibilities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is responsible for assisting the Board in fulfilling its oversight responsibilities in relation to:</w:t>
      </w:r>
    </w:p>
    <w:p>
      <w:pPr>
        <w:spacing w:after="0" w:line="85" w:lineRule="exact"/>
        <w:rPr>
          <w:sz w:val="20"/>
          <w:szCs w:val="20"/>
          <w:color w:val="auto"/>
        </w:rPr>
      </w:pPr>
    </w:p>
    <w:p>
      <w:pPr>
        <w:ind w:left="440" w:hanging="433"/>
        <w:spacing w:after="0"/>
        <w:tabs>
          <w:tab w:leader="none" w:pos="440" w:val="left"/>
        </w:tabs>
        <w:numPr>
          <w:ilvl w:val="0"/>
          <w:numId w:val="47"/>
        </w:numPr>
        <w:rPr>
          <w:rFonts w:ascii="Arial" w:cs="Arial" w:eastAsia="Arial" w:hAnsi="Arial"/>
          <w:sz w:val="17"/>
          <w:szCs w:val="17"/>
          <w:color w:val="D64000"/>
        </w:rPr>
      </w:pPr>
      <w:r>
        <w:rPr>
          <w:rFonts w:ascii="Arial" w:cs="Arial" w:eastAsia="Arial" w:hAnsi="Arial"/>
          <w:sz w:val="17"/>
          <w:szCs w:val="17"/>
          <w:color w:val="auto"/>
        </w:rPr>
        <w:t>the integrity of financial statements and other financial information relating to our company;</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47"/>
        </w:numPr>
        <w:rPr>
          <w:rFonts w:ascii="Arial" w:cs="Arial" w:eastAsia="Arial" w:hAnsi="Arial"/>
          <w:sz w:val="17"/>
          <w:szCs w:val="17"/>
          <w:color w:val="D64000"/>
        </w:rPr>
      </w:pPr>
      <w:r>
        <w:rPr>
          <w:rFonts w:ascii="Arial" w:cs="Arial" w:eastAsia="Arial" w:hAnsi="Arial"/>
          <w:sz w:val="17"/>
          <w:szCs w:val="17"/>
          <w:color w:val="auto"/>
        </w:rPr>
        <w:t>the qualifications, independence and performance of the independent auditor (PricewaterhouseCoopers LLP);</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47"/>
        </w:numPr>
        <w:rPr>
          <w:rFonts w:ascii="Arial" w:cs="Arial" w:eastAsia="Arial" w:hAnsi="Arial"/>
          <w:sz w:val="17"/>
          <w:szCs w:val="17"/>
          <w:color w:val="D64000"/>
        </w:rPr>
      </w:pPr>
      <w:r>
        <w:rPr>
          <w:rFonts w:ascii="Arial" w:cs="Arial" w:eastAsia="Arial" w:hAnsi="Arial"/>
          <w:sz w:val="17"/>
          <w:szCs w:val="17"/>
          <w:color w:val="auto"/>
        </w:rPr>
        <w:t>the adequacy and effectiveness of our internal control over financial reporting and disclosure controls and procedures;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47"/>
        </w:numPr>
        <w:rPr>
          <w:rFonts w:ascii="Arial" w:cs="Arial" w:eastAsia="Arial" w:hAnsi="Arial"/>
          <w:sz w:val="17"/>
          <w:szCs w:val="17"/>
          <w:color w:val="D64000"/>
        </w:rPr>
      </w:pPr>
      <w:r>
        <w:rPr>
          <w:rFonts w:ascii="Arial" w:cs="Arial" w:eastAsia="Arial" w:hAnsi="Arial"/>
          <w:sz w:val="17"/>
          <w:szCs w:val="17"/>
          <w:color w:val="auto"/>
        </w:rPr>
        <w:t>the effectiveness of the internal audit function;</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47"/>
        </w:numPr>
        <w:rPr>
          <w:rFonts w:ascii="Arial" w:cs="Arial" w:eastAsia="Arial" w:hAnsi="Arial"/>
          <w:sz w:val="17"/>
          <w:szCs w:val="17"/>
          <w:color w:val="D64000"/>
        </w:rPr>
      </w:pPr>
      <w:r>
        <w:rPr>
          <w:rFonts w:ascii="Arial" w:cs="Arial" w:eastAsia="Arial" w:hAnsi="Arial"/>
          <w:sz w:val="17"/>
          <w:szCs w:val="17"/>
          <w:color w:val="auto"/>
        </w:rPr>
        <w:t>the overall assessment and management of risk; and</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47"/>
        </w:numPr>
        <w:rPr>
          <w:rFonts w:ascii="Arial" w:cs="Arial" w:eastAsia="Arial" w:hAnsi="Arial"/>
          <w:sz w:val="17"/>
          <w:szCs w:val="17"/>
          <w:color w:val="D64000"/>
        </w:rPr>
      </w:pPr>
      <w:r>
        <w:rPr>
          <w:rFonts w:ascii="Arial" w:cs="Arial" w:eastAsia="Arial" w:hAnsi="Arial"/>
          <w:sz w:val="17"/>
          <w:szCs w:val="17"/>
          <w:color w:val="auto"/>
        </w:rPr>
        <w:t>any additional matters delegated to the Audit Committee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the course of fulfilling its mandate, the Audit Committee focused on several topics in 2025, which are reflected in the work plan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929755" cy="2038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20383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2025 Primary Audit Committee Activities</w:t>
      </w:r>
    </w:p>
    <w:p>
      <w:pPr>
        <w:sectPr>
          <w:pgSz w:w="11900" w:h="16838" w:orient="portrait"/>
          <w:cols w:equalWidth="0" w:num="1">
            <w:col w:w="10920"/>
          </w:cols>
          <w:pgMar w:left="480" w:top="262" w:right="499" w:bottom="1440" w:gutter="0" w:footer="0" w:header="0"/>
        </w:sectPr>
      </w:pPr>
    </w:p>
    <w:p>
      <w:pPr>
        <w:spacing w:after="0" w:line="97" w:lineRule="exact"/>
        <w:rPr>
          <w:sz w:val="20"/>
          <w:szCs w:val="20"/>
          <w:color w:val="auto"/>
        </w:rPr>
      </w:pPr>
    </w:p>
    <w:p>
      <w:pPr>
        <w:ind w:left="320" w:right="300" w:hanging="232"/>
        <w:spacing w:after="0" w:line="254" w:lineRule="auto"/>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Review and discuss the company’s annual and quarterly consolidated financial statements and related MD&amp;A;</w:t>
      </w:r>
    </w:p>
    <w:p>
      <w:pPr>
        <w:spacing w:after="0" w:line="1" w:lineRule="exact"/>
        <w:rPr>
          <w:rFonts w:ascii="Arial" w:cs="Arial" w:eastAsia="Arial" w:hAnsi="Arial"/>
          <w:sz w:val="16"/>
          <w:szCs w:val="16"/>
          <w:color w:val="D64000"/>
        </w:rPr>
      </w:pPr>
    </w:p>
    <w:p>
      <w:pPr>
        <w:ind w:left="320" w:right="120" w:hanging="232"/>
        <w:spacing w:after="0" w:line="244" w:lineRule="auto"/>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Review and approve our earnings press releases which include financial results and financial outlooks;</w:t>
      </w:r>
    </w:p>
    <w:p>
      <w:pPr>
        <w:ind w:left="320" w:hanging="232"/>
        <w:spacing w:after="0"/>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Discuss the company’s use of non-IFRS measures;</w:t>
      </w:r>
    </w:p>
    <w:p>
      <w:pPr>
        <w:spacing w:after="0" w:line="3" w:lineRule="exact"/>
        <w:rPr>
          <w:rFonts w:ascii="Arial" w:cs="Arial" w:eastAsia="Arial" w:hAnsi="Arial"/>
          <w:sz w:val="16"/>
          <w:szCs w:val="16"/>
          <w:color w:val="D64000"/>
        </w:rPr>
      </w:pPr>
    </w:p>
    <w:p>
      <w:pPr>
        <w:ind w:left="320" w:right="440" w:hanging="232"/>
        <w:spacing w:after="0" w:line="244" w:lineRule="auto"/>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Discuss the company’s controls and disclosures related to ESG and regulatory updates related to ESG;</w:t>
      </w:r>
    </w:p>
    <w:p>
      <w:pPr>
        <w:ind w:left="320" w:hanging="232"/>
        <w:spacing w:after="0"/>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Receive periodic updates regarding the company’s finance operations;</w:t>
      </w:r>
    </w:p>
    <w:p>
      <w:pPr>
        <w:spacing w:after="0" w:line="3" w:lineRule="exact"/>
        <w:rPr>
          <w:rFonts w:ascii="Arial" w:cs="Arial" w:eastAsia="Arial" w:hAnsi="Arial"/>
          <w:sz w:val="16"/>
          <w:szCs w:val="16"/>
          <w:color w:val="D64000"/>
        </w:rPr>
      </w:pPr>
    </w:p>
    <w:p>
      <w:pPr>
        <w:ind w:left="320" w:right="200" w:hanging="232"/>
        <w:spacing w:after="0" w:line="244" w:lineRule="auto"/>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Receive periodic updates from our Corporate Compliance and Audit Department on the internal audit plan and process, internal control over financial reporting and fraud-related matters;</w:t>
      </w:r>
    </w:p>
    <w:p>
      <w:pPr>
        <w:ind w:left="320" w:hanging="232"/>
        <w:spacing w:after="0" w:line="244" w:lineRule="auto"/>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Receive periodic updates from senior management on financial risk topics such as tax, treasury, accounting and legal matters;</w:t>
      </w:r>
    </w:p>
    <w:p>
      <w:pPr>
        <w:ind w:left="320" w:right="460" w:hanging="232"/>
        <w:spacing w:after="0" w:line="258" w:lineRule="auto"/>
        <w:tabs>
          <w:tab w:leader="none" w:pos="320" w:val="left"/>
        </w:tabs>
        <w:numPr>
          <w:ilvl w:val="0"/>
          <w:numId w:val="48"/>
        </w:numPr>
        <w:rPr>
          <w:rFonts w:ascii="Arial" w:cs="Arial" w:eastAsia="Arial" w:hAnsi="Arial"/>
          <w:sz w:val="16"/>
          <w:szCs w:val="16"/>
          <w:color w:val="D64000"/>
        </w:rPr>
      </w:pPr>
      <w:r>
        <w:rPr>
          <w:rFonts w:ascii="Arial" w:cs="Arial" w:eastAsia="Arial" w:hAnsi="Arial"/>
          <w:sz w:val="16"/>
          <w:szCs w:val="16"/>
          <w:color w:val="auto"/>
        </w:rPr>
        <w:t>Review the scope and plans for the audit of our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69297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508" w:right="80" w:hanging="508"/>
        <w:spacing w:after="0" w:line="251" w:lineRule="auto"/>
        <w:tabs>
          <w:tab w:leader="none" w:pos="508" w:val="left"/>
        </w:tabs>
        <w:numPr>
          <w:ilvl w:val="0"/>
          <w:numId w:val="49"/>
        </w:numPr>
        <w:rPr>
          <w:rFonts w:ascii="Arial" w:cs="Arial" w:eastAsia="Arial" w:hAnsi="Arial"/>
          <w:sz w:val="16"/>
          <w:szCs w:val="16"/>
          <w:color w:val="D64000"/>
        </w:rPr>
      </w:pPr>
      <w:r>
        <w:rPr>
          <w:rFonts w:ascii="Arial" w:cs="Arial" w:eastAsia="Arial" w:hAnsi="Arial"/>
          <w:sz w:val="16"/>
          <w:szCs w:val="16"/>
          <w:color w:val="auto"/>
        </w:rPr>
        <w:t>Review and approve the company’s non-audit services policy as well as certain non-audit services proposed to be provided by PricewaterhouseCoopers LLP;</w:t>
      </w:r>
    </w:p>
    <w:p>
      <w:pPr>
        <w:ind w:left="508" w:right="60" w:hanging="508"/>
        <w:spacing w:after="0" w:line="244" w:lineRule="auto"/>
        <w:tabs>
          <w:tab w:leader="none" w:pos="508" w:val="left"/>
        </w:tabs>
        <w:numPr>
          <w:ilvl w:val="0"/>
          <w:numId w:val="49"/>
        </w:numPr>
        <w:rPr>
          <w:rFonts w:ascii="Arial" w:cs="Arial" w:eastAsia="Arial" w:hAnsi="Arial"/>
          <w:sz w:val="16"/>
          <w:szCs w:val="16"/>
          <w:color w:val="D64000"/>
        </w:rPr>
      </w:pPr>
      <w:r>
        <w:rPr>
          <w:rFonts w:ascii="Arial" w:cs="Arial" w:eastAsia="Arial" w:hAnsi="Arial"/>
          <w:sz w:val="16"/>
          <w:szCs w:val="16"/>
          <w:color w:val="auto"/>
        </w:rPr>
        <w:t>Review and approve fees to be paid to PricewaterhouseCoopers LLP for its services;</w:t>
      </w:r>
    </w:p>
    <w:p>
      <w:pPr>
        <w:ind w:left="508" w:hanging="508"/>
        <w:spacing w:after="0"/>
        <w:tabs>
          <w:tab w:leader="none" w:pos="508" w:val="left"/>
        </w:tabs>
        <w:numPr>
          <w:ilvl w:val="0"/>
          <w:numId w:val="49"/>
        </w:numPr>
        <w:rPr>
          <w:rFonts w:ascii="Arial" w:cs="Arial" w:eastAsia="Arial" w:hAnsi="Arial"/>
          <w:sz w:val="16"/>
          <w:szCs w:val="16"/>
          <w:color w:val="D64000"/>
        </w:rPr>
      </w:pPr>
      <w:r>
        <w:rPr>
          <w:rFonts w:ascii="Arial" w:cs="Arial" w:eastAsia="Arial" w:hAnsi="Arial"/>
          <w:sz w:val="16"/>
          <w:szCs w:val="16"/>
          <w:color w:val="auto"/>
        </w:rPr>
        <w:t>Discuss with PricewaterhouseCoopers LLP:</w:t>
      </w:r>
    </w:p>
    <w:p>
      <w:pPr>
        <w:spacing w:after="0" w:line="3" w:lineRule="exact"/>
        <w:rPr>
          <w:rFonts w:ascii="Arial" w:cs="Arial" w:eastAsia="Arial" w:hAnsi="Arial"/>
          <w:sz w:val="16"/>
          <w:szCs w:val="16"/>
          <w:color w:val="D64000"/>
        </w:rPr>
      </w:pPr>
    </w:p>
    <w:p>
      <w:pPr>
        <w:ind w:left="508" w:right="220" w:hanging="241"/>
        <w:spacing w:after="0" w:line="244" w:lineRule="auto"/>
        <w:tabs>
          <w:tab w:leader="none" w:pos="508" w:val="left"/>
        </w:tabs>
        <w:numPr>
          <w:ilvl w:val="1"/>
          <w:numId w:val="49"/>
        </w:numPr>
        <w:rPr>
          <w:rFonts w:ascii="Arial" w:cs="Arial" w:eastAsia="Arial" w:hAnsi="Arial"/>
          <w:sz w:val="16"/>
          <w:szCs w:val="16"/>
          <w:color w:val="D64000"/>
        </w:rPr>
      </w:pPr>
      <w:r>
        <w:rPr>
          <w:rFonts w:ascii="Arial" w:cs="Arial" w:eastAsia="Arial" w:hAnsi="Arial"/>
          <w:sz w:val="16"/>
          <w:szCs w:val="16"/>
          <w:color w:val="auto"/>
        </w:rPr>
        <w:t>its independence from Thomson Reuters (and receiving disclosures from PricewaterhouseCoopers LLP in this regard);</w:t>
      </w:r>
    </w:p>
    <w:p>
      <w:pPr>
        <w:ind w:left="508" w:right="200" w:hanging="241"/>
        <w:spacing w:after="0" w:line="244" w:lineRule="auto"/>
        <w:tabs>
          <w:tab w:leader="none" w:pos="508" w:val="left"/>
        </w:tabs>
        <w:numPr>
          <w:ilvl w:val="1"/>
          <w:numId w:val="49"/>
        </w:numPr>
        <w:rPr>
          <w:rFonts w:ascii="Arial" w:cs="Arial" w:eastAsia="Arial" w:hAnsi="Arial"/>
          <w:sz w:val="16"/>
          <w:szCs w:val="16"/>
          <w:color w:val="D64000"/>
        </w:rPr>
      </w:pPr>
      <w:r>
        <w:rPr>
          <w:rFonts w:ascii="Arial" w:cs="Arial" w:eastAsia="Arial" w:hAnsi="Arial"/>
          <w:sz w:val="16"/>
          <w:szCs w:val="16"/>
          <w:color w:val="auto"/>
        </w:rPr>
        <w:t>all critical accounting policies and practices used or to be used by Thomson Reuters;</w:t>
      </w:r>
    </w:p>
    <w:p>
      <w:pPr>
        <w:jc w:val="both"/>
        <w:ind w:left="508" w:right="60" w:hanging="241"/>
        <w:spacing w:after="0" w:line="244" w:lineRule="auto"/>
        <w:tabs>
          <w:tab w:leader="none" w:pos="508" w:val="left"/>
        </w:tabs>
        <w:numPr>
          <w:ilvl w:val="1"/>
          <w:numId w:val="49"/>
        </w:numPr>
        <w:rPr>
          <w:rFonts w:ascii="Arial" w:cs="Arial" w:eastAsia="Arial" w:hAnsi="Arial"/>
          <w:sz w:val="16"/>
          <w:szCs w:val="16"/>
          <w:color w:val="D64000"/>
        </w:rPr>
      </w:pPr>
      <w:r>
        <w:rPr>
          <w:rFonts w:ascii="Arial" w:cs="Arial" w:eastAsia="Arial" w:hAnsi="Arial"/>
          <w:sz w:val="16"/>
          <w:szCs w:val="16"/>
          <w:color w:val="auto"/>
        </w:rPr>
        <w:t>all alternative treatments of financial information within IFRS that have been discussed with management, ramifications of the use of such alternative treatments and the treatment preferred by the auditor; and</w:t>
      </w:r>
    </w:p>
    <w:p>
      <w:pPr>
        <w:ind w:left="508" w:right="300" w:hanging="241"/>
        <w:spacing w:after="0" w:line="258" w:lineRule="auto"/>
        <w:tabs>
          <w:tab w:leader="none" w:pos="508" w:val="left"/>
        </w:tabs>
        <w:numPr>
          <w:ilvl w:val="1"/>
          <w:numId w:val="49"/>
        </w:numPr>
        <w:rPr>
          <w:rFonts w:ascii="Arial" w:cs="Arial" w:eastAsia="Arial" w:hAnsi="Arial"/>
          <w:sz w:val="16"/>
          <w:szCs w:val="16"/>
          <w:color w:val="D64000"/>
        </w:rPr>
      </w:pPr>
      <w:r>
        <w:rPr>
          <w:rFonts w:ascii="Arial" w:cs="Arial" w:eastAsia="Arial" w:hAnsi="Arial"/>
          <w:sz w:val="16"/>
          <w:szCs w:val="16"/>
          <w:color w:val="auto"/>
        </w:rPr>
        <w:t>all other matters required to be communicated under PCAOB standards.</w:t>
      </w:r>
    </w:p>
    <w:p>
      <w:pPr>
        <w:spacing w:after="0" w:line="200" w:lineRule="exact"/>
        <w:rPr>
          <w:sz w:val="20"/>
          <w:szCs w:val="20"/>
          <w:color w:val="auto"/>
        </w:rPr>
      </w:pPr>
    </w:p>
    <w:p>
      <w:pPr>
        <w:sectPr>
          <w:pgSz w:w="11900" w:h="16838" w:orient="portrait"/>
          <w:cols w:equalWidth="0" w:num="2">
            <w:col w:w="5580" w:space="192"/>
            <w:col w:w="5148"/>
          </w:cols>
          <w:pgMar w:left="480" w:top="262" w:right="49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Financial Literacy</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All members of the Audit Committee are financially literate in accordance with applicable Canadian and U.S. securities rules. Barry Salzberg and Beth Wilson each qualify as an “audit committee financial expert” (within the meaning of applicable SEC rules and the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40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Audit Committee Members’ Education and Experience</w:t>
      </w:r>
    </w:p>
    <w:p>
      <w:pPr>
        <w:spacing w:after="0" w:line="22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following summarizes the education and experience of each director nominee who is a member of the Audit Committee that is relevant to the performance of his or her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132715</wp:posOffset>
            </wp:positionV>
            <wp:extent cx="8255" cy="195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9558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800" w:type="dxa"/>
            <w:vAlign w:val="bottom"/>
            <w:tcBorders>
              <w:bottom w:val="single" w:sz="8" w:color="1F473D"/>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Audit Committee Member </w:t>
            </w:r>
          </w:p>
        </w:tc>
        <w:tc>
          <w:tcPr>
            <w:tcW w:w="8120" w:type="dxa"/>
            <w:vAlign w:val="bottom"/>
            <w:tcBorders>
              <w:bottom w:val="single" w:sz="8" w:color="1F473D"/>
            </w:tcBorders>
            <w:shd w:val="clear" w:color="auto" w:fill="1F473D"/>
          </w:tcPr>
          <w:p>
            <w:pPr>
              <w:ind w:left="200"/>
              <w:spacing w:after="0"/>
              <w:rPr>
                <w:sz w:val="20"/>
                <w:szCs w:val="20"/>
                <w:color w:val="auto"/>
              </w:rPr>
            </w:pPr>
            <w:r>
              <w:rPr>
                <w:rFonts w:ascii="Arial" w:cs="Arial" w:eastAsia="Arial" w:hAnsi="Arial"/>
                <w:sz w:val="16"/>
                <w:szCs w:val="16"/>
                <w:b w:val="1"/>
                <w:bCs w:val="1"/>
                <w:color w:val="FFFFFF"/>
              </w:rPr>
              <w:t>Education/Experience</w:t>
            </w:r>
          </w:p>
        </w:tc>
      </w:tr>
      <w:tr>
        <w:trPr>
          <w:trHeight w:val="227"/>
        </w:trPr>
        <w:tc>
          <w:tcPr>
            <w:tcW w:w="280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b w:val="1"/>
                <w:bCs w:val="1"/>
                <w:color w:val="auto"/>
              </w:rPr>
              <w:t>Barry Salzberg (Chair)</w:t>
            </w:r>
          </w:p>
        </w:tc>
        <w:tc>
          <w:tcPr>
            <w:tcW w:w="8120" w:type="dxa"/>
            <w:vAlign w:val="bottom"/>
            <w:tcBorders>
              <w:top w:val="single" w:sz="8" w:color="D64000"/>
            </w:tcBorders>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Global Chief Executive Officer of Deloitte Touche Tohmatsu Limited</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Professor at Columbia Business School</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Degree in accounting from Brooklyn College, JD from Brooklyn Law School and LLM in Tax from New York</w:t>
            </w:r>
          </w:p>
        </w:tc>
      </w:tr>
      <w:tr>
        <w:trPr>
          <w:trHeight w:val="211"/>
        </w:trPr>
        <w:tc>
          <w:tcPr>
            <w:tcW w:w="2800" w:type="dxa"/>
            <w:vAlign w:val="bottom"/>
            <w:tcBorders>
              <w:right w:val="single" w:sz="8" w:color="B2B2B2"/>
            </w:tcBorders>
          </w:tcPr>
          <w:p>
            <w:pPr>
              <w:spacing w:after="0"/>
              <w:rPr>
                <w:sz w:val="18"/>
                <w:szCs w:val="18"/>
                <w:color w:val="auto"/>
              </w:rPr>
            </w:pPr>
          </w:p>
        </w:tc>
        <w:tc>
          <w:tcPr>
            <w:tcW w:w="8120" w:type="dxa"/>
            <w:vAlign w:val="bottom"/>
          </w:tcPr>
          <w:p>
            <w:pPr>
              <w:ind w:left="440"/>
              <w:spacing w:after="0"/>
              <w:rPr>
                <w:sz w:val="20"/>
                <w:szCs w:val="20"/>
                <w:color w:val="auto"/>
              </w:rPr>
            </w:pPr>
            <w:r>
              <w:rPr>
                <w:rFonts w:ascii="Arial" w:cs="Arial" w:eastAsia="Arial" w:hAnsi="Arial"/>
                <w:sz w:val="16"/>
                <w:szCs w:val="16"/>
                <w:color w:val="auto"/>
              </w:rPr>
              <w:t>University</w:t>
            </w:r>
          </w:p>
        </w:tc>
      </w:tr>
      <w:tr>
        <w:trPr>
          <w:trHeight w:val="57"/>
        </w:trPr>
        <w:tc>
          <w:tcPr>
            <w:tcW w:w="2800" w:type="dxa"/>
            <w:vAlign w:val="bottom"/>
            <w:tcBorders>
              <w:bottom w:val="single" w:sz="8" w:color="B2B2B2"/>
              <w:right w:val="single" w:sz="8" w:color="B2B2B2"/>
            </w:tcBorders>
          </w:tcPr>
          <w:p>
            <w:pPr>
              <w:spacing w:after="0"/>
              <w:rPr>
                <w:sz w:val="4"/>
                <w:szCs w:val="4"/>
                <w:color w:val="auto"/>
              </w:rPr>
            </w:pPr>
          </w:p>
        </w:tc>
        <w:tc>
          <w:tcPr>
            <w:tcW w:w="8120" w:type="dxa"/>
            <w:vAlign w:val="bottom"/>
            <w:tcBorders>
              <w:bottom w:val="single" w:sz="8" w:color="B2B2B2"/>
            </w:tcBorders>
          </w:tcPr>
          <w:p>
            <w:pPr>
              <w:spacing w:after="0"/>
              <w:rPr>
                <w:sz w:val="4"/>
                <w:szCs w:val="4"/>
                <w:color w:val="auto"/>
              </w:rPr>
            </w:pPr>
          </w:p>
        </w:tc>
      </w:tr>
      <w:tr>
        <w:trPr>
          <w:trHeight w:val="220"/>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LaVerne Council</w:t>
            </w: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MBA and bachelor’s degree in business administration</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Member of CONMED Corporation board of directors and audit committee</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Member of Concentrix Corporation board of directors and audit committee</w:t>
            </w:r>
          </w:p>
        </w:tc>
      </w:tr>
      <w:tr>
        <w:trPr>
          <w:trHeight w:val="211"/>
        </w:trPr>
        <w:tc>
          <w:tcPr>
            <w:tcW w:w="2800" w:type="dxa"/>
            <w:vAlign w:val="bottom"/>
            <w:tcBorders>
              <w:right w:val="single" w:sz="8" w:color="B2B2B2"/>
            </w:tcBorders>
          </w:tcPr>
          <w:p>
            <w:pPr>
              <w:spacing w:after="0"/>
              <w:rPr>
                <w:sz w:val="18"/>
                <w:szCs w:val="18"/>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Member of Mathematica board of directors and audit committee</w:t>
            </w:r>
          </w:p>
        </w:tc>
      </w:tr>
      <w:tr>
        <w:trPr>
          <w:trHeight w:val="57"/>
        </w:trPr>
        <w:tc>
          <w:tcPr>
            <w:tcW w:w="2800" w:type="dxa"/>
            <w:vAlign w:val="bottom"/>
            <w:tcBorders>
              <w:bottom w:val="single" w:sz="8" w:color="B2B2B2"/>
              <w:right w:val="single" w:sz="8" w:color="B2B2B2"/>
            </w:tcBorders>
          </w:tcPr>
          <w:p>
            <w:pPr>
              <w:spacing w:after="0"/>
              <w:rPr>
                <w:sz w:val="4"/>
                <w:szCs w:val="4"/>
                <w:color w:val="auto"/>
              </w:rPr>
            </w:pPr>
          </w:p>
        </w:tc>
        <w:tc>
          <w:tcPr>
            <w:tcW w:w="8120" w:type="dxa"/>
            <w:vAlign w:val="bottom"/>
            <w:tcBorders>
              <w:bottom w:val="single" w:sz="8" w:color="B2B2B2"/>
            </w:tcBorders>
          </w:tcPr>
          <w:p>
            <w:pPr>
              <w:spacing w:after="0"/>
              <w:rPr>
                <w:sz w:val="4"/>
                <w:szCs w:val="4"/>
                <w:color w:val="auto"/>
              </w:rPr>
            </w:pPr>
          </w:p>
        </w:tc>
      </w:tr>
      <w:tr>
        <w:trPr>
          <w:trHeight w:val="220"/>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Deanna Oppenheimer</w:t>
            </w: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Vice Chair of Global Retail Banking of Barclays PLC</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President of Consumer Banking of Washington Mutual, Inc.</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member of AXA Global Insurance audit committee</w:t>
            </w:r>
          </w:p>
        </w:tc>
      </w:tr>
      <w:tr>
        <w:trPr>
          <w:trHeight w:val="211"/>
        </w:trPr>
        <w:tc>
          <w:tcPr>
            <w:tcW w:w="2800" w:type="dxa"/>
            <w:vAlign w:val="bottom"/>
            <w:tcBorders>
              <w:right w:val="single" w:sz="8" w:color="B2B2B2"/>
            </w:tcBorders>
          </w:tcPr>
          <w:p>
            <w:pPr>
              <w:spacing w:after="0"/>
              <w:rPr>
                <w:sz w:val="18"/>
                <w:szCs w:val="18"/>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member of NCR Corporation audit committee</w:t>
            </w:r>
          </w:p>
        </w:tc>
      </w:tr>
      <w:tr>
        <w:trPr>
          <w:trHeight w:val="57"/>
        </w:trPr>
        <w:tc>
          <w:tcPr>
            <w:tcW w:w="2800" w:type="dxa"/>
            <w:vAlign w:val="bottom"/>
            <w:tcBorders>
              <w:bottom w:val="single" w:sz="8" w:color="B2B2B2"/>
              <w:right w:val="single" w:sz="8" w:color="B2B2B2"/>
            </w:tcBorders>
          </w:tcPr>
          <w:p>
            <w:pPr>
              <w:spacing w:after="0"/>
              <w:rPr>
                <w:sz w:val="4"/>
                <w:szCs w:val="4"/>
                <w:color w:val="auto"/>
              </w:rPr>
            </w:pPr>
          </w:p>
        </w:tc>
        <w:tc>
          <w:tcPr>
            <w:tcW w:w="8120" w:type="dxa"/>
            <w:vAlign w:val="bottom"/>
            <w:tcBorders>
              <w:bottom w:val="single" w:sz="8" w:color="B2B2B2"/>
            </w:tcBorders>
          </w:tcPr>
          <w:p>
            <w:pPr>
              <w:spacing w:after="0"/>
              <w:rPr>
                <w:sz w:val="4"/>
                <w:szCs w:val="4"/>
                <w:color w:val="auto"/>
              </w:rPr>
            </w:pPr>
          </w:p>
        </w:tc>
      </w:tr>
      <w:tr>
        <w:trPr>
          <w:trHeight w:val="220"/>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Kim M. Rivera</w:t>
            </w: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Chief Legal Officer and Business Affairs Officer, OneTrust, LLC</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President, Strategy and Business Management and Chief Legal Officer of HP Inc.</w:t>
            </w:r>
          </w:p>
        </w:tc>
      </w:tr>
      <w:tr>
        <w:trPr>
          <w:trHeight w:val="211"/>
        </w:trPr>
        <w:tc>
          <w:tcPr>
            <w:tcW w:w="2800" w:type="dxa"/>
            <w:vAlign w:val="bottom"/>
            <w:tcBorders>
              <w:right w:val="single" w:sz="8" w:color="B2B2B2"/>
            </w:tcBorders>
          </w:tcPr>
          <w:p>
            <w:pPr>
              <w:spacing w:after="0"/>
              <w:rPr>
                <w:sz w:val="18"/>
                <w:szCs w:val="18"/>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Supported audit committees of two publicly traded Fortune 500 companies</w:t>
            </w:r>
          </w:p>
        </w:tc>
      </w:tr>
      <w:tr>
        <w:trPr>
          <w:trHeight w:val="57"/>
        </w:trPr>
        <w:tc>
          <w:tcPr>
            <w:tcW w:w="2800" w:type="dxa"/>
            <w:vAlign w:val="bottom"/>
            <w:tcBorders>
              <w:bottom w:val="single" w:sz="8" w:color="B2B2B2"/>
              <w:right w:val="single" w:sz="8" w:color="B2B2B2"/>
            </w:tcBorders>
          </w:tcPr>
          <w:p>
            <w:pPr>
              <w:spacing w:after="0"/>
              <w:rPr>
                <w:sz w:val="4"/>
                <w:szCs w:val="4"/>
                <w:color w:val="auto"/>
              </w:rPr>
            </w:pPr>
          </w:p>
        </w:tc>
        <w:tc>
          <w:tcPr>
            <w:tcW w:w="8120" w:type="dxa"/>
            <w:vAlign w:val="bottom"/>
            <w:tcBorders>
              <w:bottom w:val="single" w:sz="8" w:color="B2B2B2"/>
            </w:tcBorders>
          </w:tcPr>
          <w:p>
            <w:pPr>
              <w:spacing w:after="0"/>
              <w:rPr>
                <w:sz w:val="4"/>
                <w:szCs w:val="4"/>
                <w:color w:val="auto"/>
              </w:rPr>
            </w:pPr>
          </w:p>
        </w:tc>
      </w:tr>
      <w:tr>
        <w:trPr>
          <w:trHeight w:val="220"/>
        </w:trPr>
        <w:tc>
          <w:tcPr>
            <w:tcW w:w="28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Beth Wilson</w:t>
            </w: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Audit Committee Chair at Fountain Tire, The Hospital for Sick Children and Woodgreen Community</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440"/>
              <w:spacing w:after="0"/>
              <w:rPr>
                <w:sz w:val="20"/>
                <w:szCs w:val="20"/>
                <w:color w:val="auto"/>
              </w:rPr>
            </w:pPr>
            <w:r>
              <w:rPr>
                <w:rFonts w:ascii="Arial" w:cs="Arial" w:eastAsia="Arial" w:hAnsi="Arial"/>
                <w:sz w:val="16"/>
                <w:szCs w:val="16"/>
                <w:color w:val="auto"/>
              </w:rPr>
              <w:t>Services</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Member of Power Corporation of Canada and IGM Financial Inc. audit committees</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Bachelor of Commerce degree from University of Toronto and a Certified Professional Accountant in good</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440"/>
              <w:spacing w:after="0"/>
              <w:rPr>
                <w:sz w:val="20"/>
                <w:szCs w:val="20"/>
                <w:color w:val="auto"/>
              </w:rPr>
            </w:pPr>
            <w:r>
              <w:rPr>
                <w:rFonts w:ascii="Arial" w:cs="Arial" w:eastAsia="Arial" w:hAnsi="Arial"/>
                <w:sz w:val="16"/>
                <w:szCs w:val="16"/>
                <w:color w:val="auto"/>
              </w:rPr>
              <w:t>standing with the Chartered Professional Accountants of Ontario</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Chair of the Chartered Professional Accountants of Canada</w:t>
            </w:r>
          </w:p>
        </w:tc>
      </w:tr>
      <w:tr>
        <w:trPr>
          <w:trHeight w:val="187"/>
        </w:trPr>
        <w:tc>
          <w:tcPr>
            <w:tcW w:w="2800" w:type="dxa"/>
            <w:vAlign w:val="bottom"/>
            <w:tcBorders>
              <w:right w:val="single" w:sz="8" w:color="B2B2B2"/>
            </w:tcBorders>
          </w:tcPr>
          <w:p>
            <w:pPr>
              <w:spacing w:after="0"/>
              <w:rPr>
                <w:sz w:val="16"/>
                <w:szCs w:val="16"/>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Chief Executive Officer of Dentons Canada LLP</w:t>
            </w:r>
          </w:p>
        </w:tc>
      </w:tr>
      <w:tr>
        <w:trPr>
          <w:trHeight w:val="268"/>
        </w:trPr>
        <w:tc>
          <w:tcPr>
            <w:tcW w:w="2800" w:type="dxa"/>
            <w:vAlign w:val="bottom"/>
            <w:tcBorders>
              <w:right w:val="single" w:sz="8" w:color="B2B2B2"/>
            </w:tcBorders>
          </w:tcPr>
          <w:p>
            <w:pPr>
              <w:spacing w:after="0"/>
              <w:rPr>
                <w:sz w:val="23"/>
                <w:szCs w:val="23"/>
                <w:color w:val="auto"/>
              </w:rPr>
            </w:pPr>
          </w:p>
        </w:tc>
        <w:tc>
          <w:tcPr>
            <w:tcW w:w="8120" w:type="dxa"/>
            <w:vAlign w:val="bottom"/>
          </w:tcPr>
          <w:p>
            <w:pPr>
              <w:ind w:left="2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Former audit partner and Managing Partner at KPMG</w:t>
            </w:r>
          </w:p>
        </w:tc>
      </w:tr>
      <w:tr>
        <w:trPr>
          <w:trHeight w:val="27"/>
        </w:trPr>
        <w:tc>
          <w:tcPr>
            <w:tcW w:w="2800" w:type="dxa"/>
            <w:vAlign w:val="bottom"/>
            <w:tcBorders>
              <w:right w:val="single" w:sz="8" w:color="D64000"/>
            </w:tcBorders>
            <w:shd w:val="clear" w:color="auto" w:fill="D64000"/>
          </w:tcPr>
          <w:p>
            <w:pPr>
              <w:spacing w:after="0"/>
              <w:rPr>
                <w:sz w:val="2"/>
                <w:szCs w:val="2"/>
                <w:color w:val="auto"/>
              </w:rPr>
            </w:pPr>
          </w:p>
        </w:tc>
        <w:tc>
          <w:tcPr>
            <w:tcW w:w="8120" w:type="dxa"/>
            <w:vAlign w:val="bottom"/>
            <w:shd w:val="clear" w:color="auto" w:fill="D64000"/>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meets to discuss and review our:</w:t>
      </w:r>
    </w:p>
    <w:p>
      <w:pPr>
        <w:spacing w:after="0" w:line="85" w:lineRule="exact"/>
        <w:rPr>
          <w:sz w:val="20"/>
          <w:szCs w:val="20"/>
          <w:color w:val="auto"/>
        </w:rPr>
      </w:pPr>
    </w:p>
    <w:p>
      <w:pPr>
        <w:ind w:left="220" w:hanging="213"/>
        <w:spacing w:after="0"/>
        <w:tabs>
          <w:tab w:leader="none" w:pos="220" w:val="left"/>
        </w:tabs>
        <w:numPr>
          <w:ilvl w:val="0"/>
          <w:numId w:val="50"/>
        </w:numPr>
        <w:rPr>
          <w:rFonts w:ascii="Arial" w:cs="Arial" w:eastAsia="Arial" w:hAnsi="Arial"/>
          <w:sz w:val="17"/>
          <w:szCs w:val="17"/>
          <w:color w:val="D64000"/>
        </w:rPr>
      </w:pPr>
      <w:r>
        <w:rPr>
          <w:rFonts w:ascii="Arial" w:cs="Arial" w:eastAsia="Arial" w:hAnsi="Arial"/>
          <w:sz w:val="17"/>
          <w:szCs w:val="17"/>
          <w:color w:val="auto"/>
        </w:rPr>
        <w:t>annual and quarterly earnings releases; and</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0"/>
        </w:numPr>
        <w:rPr>
          <w:rFonts w:ascii="Arial" w:cs="Arial" w:eastAsia="Arial" w:hAnsi="Arial"/>
          <w:sz w:val="17"/>
          <w:szCs w:val="17"/>
          <w:color w:val="D64000"/>
        </w:rPr>
      </w:pPr>
      <w:r>
        <w:rPr>
          <w:rFonts w:ascii="Arial" w:cs="Arial" w:eastAsia="Arial" w:hAnsi="Arial"/>
          <w:sz w:val="17"/>
          <w:szCs w:val="17"/>
          <w:color w:val="auto"/>
        </w:rPr>
        <w:t>annual and quarterly management’s discussion and analysis (MD&amp;A) and related financial statements.</w:t>
      </w:r>
    </w:p>
    <w:p>
      <w:pPr>
        <w:spacing w:after="0" w:line="7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is customary for a number of global multinational companies, the Board has delegated review and approval authority to the Audit Committee for our quarterly earnings releases, MD&amp;A and financial statements. Following the Audit Committee’s recommendation, the full Board reviews and approves our annual MD&amp;A and annual audited financial statements, as required by applicable law.</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Prior to an Audit Committee meeting at which draft financial reporting documents will be discussed, these drafts are distributed to the members of the Audit Committee for review and comment. The CFO and the Chief Accounting Officer and a representative from the independent auditor meet with the Chair of the Audit Committee to preview the audit-related issues which will be discussed at the Audit Committee meeting. At the Audit Committee meeting, the Chief Accounting Officer discusses the financial statements and disclosure matters and the Audit Committee members are given an opportunity to raise any questions or comments. The independent auditor also participates in the meeting. All directors are also provided with the draft financial reporting documents and an opportunity to comment before or during the Audit Committee meeting. When the Audit Committee is satisfied with the disclosure, it provides its approval and the material is released.</w:t>
      </w:r>
    </w:p>
    <w:p>
      <w:pPr>
        <w:spacing w:after="0" w:line="5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the annual report, a draft is distributed to the members of the Board in advance of a Board meeting for their review and approval. At the Board meeting, directors are given an opportunity to raise any questions or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41</w:t>
      </w:r>
    </w:p>
    <w:p>
      <w:pPr>
        <w:sectPr>
          <w:pgSz w:w="11900" w:h="16838" w:orient="portrait"/>
          <w:cols w:equalWidth="0" w:num="1">
            <w:col w:w="10920"/>
          </w:cols>
          <w:pgMar w:left="480" w:top="262" w:right="499" w:bottom="1440" w:gutter="0" w:footer="0" w:header="0"/>
        </w:sectPr>
      </w:pPr>
    </w:p>
    <w:bookmarkStart w:id="51" w:name="page52"/>
    <w:bookmarkEnd w:id="51"/>
    <w:p>
      <w:pPr>
        <w:ind w:right="300"/>
        <w:spacing w:after="0" w:line="24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Based upon the reports and discussions described in this circular, and subject to the limitations on the role and responsibilities of the Audit Committee in its charter, the Audit Committee recommended that our Board approve the filing of the audited consolidated financial statements and related MD&amp;A and their inclusion in our annual report for the year ended December 31, 2025.</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Independent Auditor</w:t>
      </w:r>
    </w:p>
    <w:p>
      <w:pPr>
        <w:spacing w:after="0" w:line="10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Audit Committee is responsible for selecting, evaluating and recommending for nomination the independent auditor to be proposed for appointment or re-appointment. The Audit Committee recommended that PricewaterhouseCoopers LLP be re-appointed as our independent auditor to serve until our next meeting of shareholders in 2027 and that our Board submit this appointment to shareholders for approval at the 2026 annual meeting of shareholders. In connection with recommending PricewaterhouseCoopers LLP, the Audit Committee considered the firm’s provision of services to Thomson Reuters over the last year, including the performance of the lead audit engagement partner and the audit team. The Audit Committee also reviewed the appropriateness of PricewaterhouseCoopers LLP’s fees in relation to the size of Thomson Reuters and its global footprint. The Audit Committee continues to be satisfied with PricewaterhouseCoopers LLP’s performance and believes that its continued retention as independent auditor is in the best interests of Thomson Reuters and its shareholders.</w:t>
      </w:r>
    </w:p>
    <w:p>
      <w:pPr>
        <w:spacing w:after="0" w:line="4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Throughout the year, the Audit Committee evaluates and is directly responsible for our company’s relationship with PricewaterhouseCoopers LLP. The Audit Committee appoints PricewaterhouseCoopers LLP as our independent auditor after reviewing and approving its engagement letter. The Audit Committee also determines PricewaterhouseCoopers LLP’s fees.</w:t>
      </w:r>
    </w:p>
    <w:p>
      <w:pPr>
        <w:spacing w:after="0" w:line="54"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Audit Committee and representatives from PricewaterhouseCoopers LLP meet several times during the year. In 2025, representatives from PricewaterhouseCoopers LLP attended each Audit Committee meeting during which they met with the Audit Committee in separate in-camera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69297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01" w:lineRule="exact"/>
        <w:rPr>
          <w:sz w:val="20"/>
          <w:szCs w:val="20"/>
          <w:color w:val="auto"/>
        </w:rPr>
      </w:pPr>
    </w:p>
    <w:p>
      <w:pPr>
        <w:ind w:right="440"/>
        <w:spacing w:after="0" w:line="281" w:lineRule="auto"/>
        <w:rPr>
          <w:sz w:val="20"/>
          <w:szCs w:val="20"/>
          <w:color w:val="auto"/>
        </w:rPr>
      </w:pPr>
      <w:r>
        <w:rPr>
          <w:rFonts w:ascii="Arial" w:cs="Arial" w:eastAsia="Arial" w:hAnsi="Arial"/>
          <w:sz w:val="25"/>
          <w:szCs w:val="25"/>
          <w:color w:val="auto"/>
        </w:rPr>
        <w:t>PricewaterhouseCoopers LLP is accountable to the Audit Committee and reports directly to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69297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On an annual basis, before PricewaterhouseCoopers LLP issues its report on our company’s annual financial statements, the Audit Committee:</w:t>
      </w:r>
    </w:p>
    <w:p>
      <w:pPr>
        <w:spacing w:after="0" w:line="85" w:lineRule="exact"/>
        <w:rPr>
          <w:sz w:val="20"/>
          <w:szCs w:val="20"/>
          <w:color w:val="auto"/>
        </w:rPr>
      </w:pPr>
    </w:p>
    <w:p>
      <w:pPr>
        <w:ind w:left="220" w:right="80" w:hanging="213"/>
        <w:spacing w:after="0" w:line="263" w:lineRule="auto"/>
        <w:tabs>
          <w:tab w:leader="none" w:pos="220" w:val="left"/>
        </w:tabs>
        <w:numPr>
          <w:ilvl w:val="0"/>
          <w:numId w:val="51"/>
        </w:numPr>
        <w:rPr>
          <w:rFonts w:ascii="Arial" w:cs="Arial" w:eastAsia="Arial" w:hAnsi="Arial"/>
          <w:sz w:val="17"/>
          <w:szCs w:val="17"/>
          <w:color w:val="D64000"/>
        </w:rPr>
      </w:pPr>
      <w:r>
        <w:rPr>
          <w:rFonts w:ascii="Arial" w:cs="Arial" w:eastAsia="Arial" w:hAnsi="Arial"/>
          <w:sz w:val="17"/>
          <w:szCs w:val="17"/>
          <w:color w:val="auto"/>
        </w:rPr>
        <w:t>Confirms that PricewaterhouseCoopers LLP has submitted a written statement describing all of its relationships with Thomson Reuters that, in PricewaterhouseCoopers LLP’s professional judgment, may reasonably be thought to bear on its independence;</w:t>
      </w:r>
    </w:p>
    <w:p>
      <w:pPr>
        <w:spacing w:after="0" w:line="39" w:lineRule="exact"/>
        <w:rPr>
          <w:rFonts w:ascii="Arial" w:cs="Arial" w:eastAsia="Arial" w:hAnsi="Arial"/>
          <w:sz w:val="17"/>
          <w:szCs w:val="17"/>
          <w:color w:val="D64000"/>
        </w:rPr>
      </w:pPr>
    </w:p>
    <w:p>
      <w:pPr>
        <w:ind w:left="220" w:right="620" w:hanging="213"/>
        <w:spacing w:after="0" w:line="263" w:lineRule="auto"/>
        <w:tabs>
          <w:tab w:leader="none" w:pos="220" w:val="left"/>
        </w:tabs>
        <w:numPr>
          <w:ilvl w:val="0"/>
          <w:numId w:val="51"/>
        </w:numPr>
        <w:rPr>
          <w:rFonts w:ascii="Arial" w:cs="Arial" w:eastAsia="Arial" w:hAnsi="Arial"/>
          <w:sz w:val="17"/>
          <w:szCs w:val="17"/>
          <w:color w:val="D64000"/>
        </w:rPr>
      </w:pPr>
      <w:r>
        <w:rPr>
          <w:rFonts w:ascii="Arial" w:cs="Arial" w:eastAsia="Arial" w:hAnsi="Arial"/>
          <w:sz w:val="17"/>
          <w:szCs w:val="17"/>
          <w:color w:val="auto"/>
        </w:rPr>
        <w:t>Discusses any disclosed relationships or services, including any non-audit services, that PricewaterhouseCoopers LLP has provided to Thomson Reuters that may affect its independence;</w:t>
      </w:r>
    </w:p>
    <w:p>
      <w:pPr>
        <w:spacing w:after="0" w:line="39" w:lineRule="exact"/>
        <w:rPr>
          <w:rFonts w:ascii="Arial" w:cs="Arial" w:eastAsia="Arial" w:hAnsi="Arial"/>
          <w:sz w:val="17"/>
          <w:szCs w:val="17"/>
          <w:color w:val="D64000"/>
        </w:rPr>
      </w:pPr>
    </w:p>
    <w:p>
      <w:pPr>
        <w:ind w:left="220" w:right="140" w:hanging="213"/>
        <w:spacing w:after="0" w:line="246" w:lineRule="auto"/>
        <w:tabs>
          <w:tab w:leader="none" w:pos="220" w:val="left"/>
        </w:tabs>
        <w:numPr>
          <w:ilvl w:val="0"/>
          <w:numId w:val="51"/>
        </w:numPr>
        <w:rPr>
          <w:rFonts w:ascii="Arial" w:cs="Arial" w:eastAsia="Arial" w:hAnsi="Arial"/>
          <w:sz w:val="17"/>
          <w:szCs w:val="17"/>
          <w:color w:val="D64000"/>
        </w:rPr>
      </w:pPr>
      <w:r>
        <w:rPr>
          <w:rFonts w:ascii="Arial" w:cs="Arial" w:eastAsia="Arial" w:hAnsi="Arial"/>
          <w:sz w:val="17"/>
          <w:szCs w:val="17"/>
          <w:color w:val="auto"/>
        </w:rPr>
        <w:t>Obtains written confirmation from PricewaterhouseCoopers LLP that it is independent with respect to Thomson Reuters within the meaning of the Rules of Professional Conduct adopted by the Ontario Institute of Chartered Accountants and the standards established by the Public Company Accounting Oversight Board (PCAOB); and</w:t>
      </w:r>
    </w:p>
    <w:p>
      <w:pPr>
        <w:spacing w:after="0" w:line="54" w:lineRule="exact"/>
        <w:rPr>
          <w:rFonts w:ascii="Arial" w:cs="Arial" w:eastAsia="Arial" w:hAnsi="Arial"/>
          <w:sz w:val="17"/>
          <w:szCs w:val="17"/>
          <w:color w:val="D64000"/>
        </w:rPr>
      </w:pPr>
    </w:p>
    <w:p>
      <w:pPr>
        <w:ind w:left="220" w:right="480" w:hanging="213"/>
        <w:spacing w:after="0" w:line="263" w:lineRule="auto"/>
        <w:tabs>
          <w:tab w:leader="none" w:pos="220" w:val="left"/>
        </w:tabs>
        <w:numPr>
          <w:ilvl w:val="0"/>
          <w:numId w:val="51"/>
        </w:numPr>
        <w:rPr>
          <w:rFonts w:ascii="Arial" w:cs="Arial" w:eastAsia="Arial" w:hAnsi="Arial"/>
          <w:sz w:val="17"/>
          <w:szCs w:val="17"/>
          <w:color w:val="D64000"/>
        </w:rPr>
      </w:pPr>
      <w:r>
        <w:rPr>
          <w:rFonts w:ascii="Arial" w:cs="Arial" w:eastAsia="Arial" w:hAnsi="Arial"/>
          <w:sz w:val="17"/>
          <w:szCs w:val="17"/>
          <w:color w:val="auto"/>
        </w:rPr>
        <w:t>Confirms that PricewaterhouseCoopers LLP has complied with applicable law with respect to the rotation of certain members of the audit engagement team for Thomson Reuters.</w:t>
      </w:r>
    </w:p>
    <w:p>
      <w:pPr>
        <w:spacing w:after="0" w:line="4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Audit Committee has also adopted a policy regarding its pre-approval of all audit and permissible non-audit services provided to our company by independent auditors.</w:t>
      </w:r>
    </w:p>
    <w:p>
      <w:pPr>
        <w:spacing w:after="0" w:line="40" w:lineRule="exact"/>
        <w:rPr>
          <w:sz w:val="20"/>
          <w:szCs w:val="20"/>
          <w:color w:val="auto"/>
        </w:rPr>
      </w:pPr>
    </w:p>
    <w:p>
      <w:pPr>
        <w:ind w:left="220" w:hanging="213"/>
        <w:spacing w:after="0"/>
        <w:tabs>
          <w:tab w:leader="none" w:pos="220" w:val="left"/>
        </w:tabs>
        <w:numPr>
          <w:ilvl w:val="0"/>
          <w:numId w:val="52"/>
        </w:numPr>
        <w:rPr>
          <w:rFonts w:ascii="Arial" w:cs="Arial" w:eastAsia="Arial" w:hAnsi="Arial"/>
          <w:sz w:val="17"/>
          <w:szCs w:val="17"/>
          <w:color w:val="D64000"/>
        </w:rPr>
      </w:pPr>
      <w:r>
        <w:rPr>
          <w:rFonts w:ascii="Arial" w:cs="Arial" w:eastAsia="Arial" w:hAnsi="Arial"/>
          <w:sz w:val="17"/>
          <w:szCs w:val="17"/>
          <w:color w:val="auto"/>
        </w:rPr>
        <w:t>The policy gives detailed guidance to management as to the specific types of services that have been pre-approved by the Audit Committee.</w:t>
      </w:r>
    </w:p>
    <w:p>
      <w:pPr>
        <w:spacing w:after="0" w:line="85" w:lineRule="exact"/>
        <w:rPr>
          <w:rFonts w:ascii="Arial" w:cs="Arial" w:eastAsia="Arial" w:hAnsi="Arial"/>
          <w:sz w:val="17"/>
          <w:szCs w:val="17"/>
          <w:color w:val="D64000"/>
        </w:rPr>
      </w:pPr>
    </w:p>
    <w:p>
      <w:pPr>
        <w:ind w:left="220" w:right="1020" w:hanging="213"/>
        <w:spacing w:after="0" w:line="263" w:lineRule="auto"/>
        <w:tabs>
          <w:tab w:leader="none" w:pos="220" w:val="left"/>
        </w:tabs>
        <w:numPr>
          <w:ilvl w:val="0"/>
          <w:numId w:val="52"/>
        </w:numPr>
        <w:rPr>
          <w:rFonts w:ascii="Arial" w:cs="Arial" w:eastAsia="Arial" w:hAnsi="Arial"/>
          <w:sz w:val="17"/>
          <w:szCs w:val="17"/>
          <w:color w:val="D64000"/>
        </w:rPr>
      </w:pPr>
      <w:r>
        <w:rPr>
          <w:rFonts w:ascii="Arial" w:cs="Arial" w:eastAsia="Arial" w:hAnsi="Arial"/>
          <w:sz w:val="17"/>
          <w:szCs w:val="17"/>
          <w:color w:val="auto"/>
        </w:rPr>
        <w:t>The policy requires the Audit Committee’s specific pre-approval of all other permitted types of services that have not already been pre-approved.</w:t>
      </w:r>
    </w:p>
    <w:p>
      <w:pPr>
        <w:spacing w:after="0" w:line="2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Audit Committee’s charter allows the Audit Committee to delegate to one or more members the authority to evaluate and approve engagements in the event that the need arises for approval between Audit Committee meetings. Pursuant to this charter provision, the Audit Committee has delegated this authority to its Chair. If the Chair approves any such engagements, he must report his approval decisions to the full Audit Committee at its next meeting. For the year ended December 31, 2025, none of the fees of PricewaterhouseCoopers described on page 51 of this management proxy circular made use of the de minimis exception to pre-approval provisions as provided for by Rule 2-01(c)(7)(i)(c) of SEC Regulation S-X and Section 2.4 of the Canadian Securities Administrators’ Multilateral Instrument 52-110 (Audit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69297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9"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42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5" w:right="499" w:bottom="1440" w:gutter="0" w:footer="0" w:header="0"/>
        </w:sectPr>
      </w:pPr>
    </w:p>
    <w:bookmarkStart w:id="52" w:name="page53"/>
    <w:bookmarkEnd w:id="52"/>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Internal Audit and Internal Control Over Financial Reporting</w:t>
      </w:r>
    </w:p>
    <w:p>
      <w:pPr>
        <w:spacing w:after="0" w:line="103"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for external purposes in accordance with international financial reporting standards. Our company has adopted the Committee of Sponsoring Organizations of the Treadway Commission guidance for implementing our internal control framework as part of compliance with the Sarbanes-Oxley Act and applicable Canadian securities law.</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Internal Audit department of our company prepares and oversees the overall plan for assessing our internal control over financial reporting.</w:t>
      </w:r>
    </w:p>
    <w:p>
      <w:pPr>
        <w:spacing w:after="0" w:line="8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Each year, Internal Audit identifies certain processes, entities and/or significant accounts to be within the scope of its internal control focus areas and testing for the year. In determining the proposed scope of its annual internal audit plan, the Internal Audit department identifies, assesses and prioritizes risk to Thomson Reuters and considers both quantitative and qualitative factors in its assessment.</w:t>
      </w:r>
    </w:p>
    <w:p>
      <w:pPr>
        <w:spacing w:after="0" w:line="5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Internal Audit presented an annual internal audit plan and internal control over financial reporting scope to the Audit Committee for its review and approval in the first and second quarter of 2025, respectively. The Head of Internal Audit met with the Chair of the Audit Committee to preview internal audit and internal controls matters which were to be discussed at each Audit Committee meeting. The Head of Internal Audit then provided updates to the Audit Committee at meetings throughout the year. During the second half of 2025, the Internal Audit department tested applicable internal controls over financial reporting in order to achieve compliance with the required year-end evaluation of the effectiveness of the company’s internal control environment.</w:t>
      </w:r>
    </w:p>
    <w:p>
      <w:pPr>
        <w:spacing w:after="0" w:line="45"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Based on this evaluation, management concluded that our internal control over financial reporting was effective as of December 31, 2025. In March 2026, the Audit Committee reviewed and discussed with management its assessment and report on the effectiveness of our internal control over financial reporting as of December 31, 2025. The Audit Committee also reviewed and discussed with PricewaterhouseCoopers LLP its independent audit and report on the effectiveness of our internal controls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Disclosure and Communications Controls and Procedures</w:t>
      </w:r>
    </w:p>
    <w:p>
      <w:pPr>
        <w:spacing w:after="0" w:line="103"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We have adopted disclosure controls and procedures to ensure that all information required to be disclosed by us in reports and filings with Canadian and U.S. securities regulatory authorities and stock exchanges and other written and oral information that we publicly disclose is recorded, processed, summarized and reported accurately and within the time periods specified by rules and regulations of the securities regulatory authorities. These disclosure controls and procedures are also designed to ensure that this information is accumulated and communicated to management (including the CEO and CFO), as appropriate, to allow timely decisions regarding required disclosure. The Audit Committee receives an annual update from management regarding the adequacy and effectiveness of our disclosure controls and procedures, including the role and responsibilities of management’s disclosure committee.</w:t>
      </w:r>
    </w:p>
    <w:p>
      <w:pPr>
        <w:spacing w:after="0" w:line="5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As required by applicable Canadian and U.S. securities laws, our CEO and CFO provide certifications that they have reviewed our annual and quarterly reports, that the reports contain no untrue statements or omissions of material facts and that the reports fairly present our financial condition, results of operations and cash flows. In addition, the CEO and CFO make certifications regarding our disclosure controls and procedures and internal control over financial reporting. Our CEO and CFO concluded that our disclosure controls and procedures were effective as of December 31, 2025.</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Whistleblower Policy</w:t>
      </w:r>
    </w:p>
    <w:p>
      <w:pPr>
        <w:spacing w:after="0" w:line="89" w:lineRule="exact"/>
        <w:rPr>
          <w:sz w:val="20"/>
          <w:szCs w:val="20"/>
          <w:color w:val="auto"/>
        </w:rPr>
      </w:pPr>
    </w:p>
    <w:p>
      <w:pPr>
        <w:ind w:right="380"/>
        <w:spacing w:after="0" w:line="261" w:lineRule="auto"/>
        <w:rPr>
          <w:sz w:val="20"/>
          <w:szCs w:val="20"/>
          <w:color w:val="auto"/>
        </w:rPr>
      </w:pPr>
      <w:r>
        <w:rPr>
          <w:rFonts w:ascii="Arial" w:cs="Arial" w:eastAsia="Arial" w:hAnsi="Arial"/>
          <w:sz w:val="16"/>
          <w:szCs w:val="16"/>
          <w:color w:val="auto"/>
        </w:rPr>
        <w:t>The Audit Committee has adopted procedures for the receipt, retention and treatment of complaints received by our company regarding accounting, internal accounting controls, auditing matters, and disclosure controls and procedures, as well as procedures for the confidential, anonymous submission of concerns by our employees regarding questionable accounting, internal accounting controls, auditing matters or disclosure controls and procedures. These procedures are set forth in the Thomson Reuters Code of Business Conduct and Ethics.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Committee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Corporate Governance Committee is responsible for assisting the Board in fulfilling its oversight responsibilities in relation to:</w:t>
      </w:r>
    </w:p>
    <w:p>
      <w:pPr>
        <w:spacing w:after="0" w:line="85" w:lineRule="exact"/>
        <w:rPr>
          <w:sz w:val="20"/>
          <w:szCs w:val="20"/>
          <w:color w:val="auto"/>
        </w:rPr>
      </w:pPr>
    </w:p>
    <w:p>
      <w:pPr>
        <w:ind w:left="220" w:hanging="213"/>
        <w:spacing w:after="0"/>
        <w:tabs>
          <w:tab w:leader="none" w:pos="220" w:val="left"/>
        </w:tabs>
        <w:numPr>
          <w:ilvl w:val="0"/>
          <w:numId w:val="53"/>
        </w:numPr>
        <w:rPr>
          <w:rFonts w:ascii="Arial" w:cs="Arial" w:eastAsia="Arial" w:hAnsi="Arial"/>
          <w:sz w:val="17"/>
          <w:szCs w:val="17"/>
          <w:color w:val="D64000"/>
        </w:rPr>
      </w:pPr>
      <w:r>
        <w:rPr>
          <w:rFonts w:ascii="Arial" w:cs="Arial" w:eastAsia="Arial" w:hAnsi="Arial"/>
          <w:sz w:val="17"/>
          <w:szCs w:val="17"/>
          <w:color w:val="auto"/>
        </w:rPr>
        <w:t>our company’s overall approach to corporate governance;</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3"/>
        </w:numPr>
        <w:rPr>
          <w:rFonts w:ascii="Arial" w:cs="Arial" w:eastAsia="Arial" w:hAnsi="Arial"/>
          <w:sz w:val="17"/>
          <w:szCs w:val="17"/>
          <w:color w:val="D64000"/>
        </w:rPr>
      </w:pPr>
      <w:r>
        <w:rPr>
          <w:rFonts w:ascii="Arial" w:cs="Arial" w:eastAsia="Arial" w:hAnsi="Arial"/>
          <w:sz w:val="17"/>
          <w:szCs w:val="17"/>
          <w:color w:val="auto"/>
        </w:rPr>
        <w:t>the size, composition and structure of the Thomson Reuters Board and its committees, including the nomination of directors;</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3"/>
        </w:numPr>
        <w:rPr>
          <w:rFonts w:ascii="Arial" w:cs="Arial" w:eastAsia="Arial" w:hAnsi="Arial"/>
          <w:sz w:val="17"/>
          <w:szCs w:val="17"/>
          <w:color w:val="D64000"/>
        </w:rPr>
      </w:pPr>
      <w:r>
        <w:rPr>
          <w:rFonts w:ascii="Arial" w:cs="Arial" w:eastAsia="Arial" w:hAnsi="Arial"/>
          <w:sz w:val="17"/>
          <w:szCs w:val="17"/>
          <w:color w:val="auto"/>
        </w:rPr>
        <w:t>orientation and continuing education for directors;</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3"/>
        </w:numPr>
        <w:rPr>
          <w:rFonts w:ascii="Arial" w:cs="Arial" w:eastAsia="Arial" w:hAnsi="Arial"/>
          <w:sz w:val="17"/>
          <w:szCs w:val="17"/>
          <w:color w:val="D64000"/>
        </w:rPr>
      </w:pPr>
      <w:r>
        <w:rPr>
          <w:rFonts w:ascii="Arial" w:cs="Arial" w:eastAsia="Arial" w:hAnsi="Arial"/>
          <w:sz w:val="17"/>
          <w:szCs w:val="17"/>
          <w:color w:val="auto"/>
        </w:rPr>
        <w:t>related party transactions and other matters involving actual or potential conflicts of interest; and</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3"/>
        </w:numPr>
        <w:rPr>
          <w:rFonts w:ascii="Arial" w:cs="Arial" w:eastAsia="Arial" w:hAnsi="Arial"/>
          <w:sz w:val="17"/>
          <w:szCs w:val="17"/>
          <w:color w:val="D64000"/>
        </w:rPr>
      </w:pPr>
      <w:r>
        <w:rPr>
          <w:rFonts w:ascii="Arial" w:cs="Arial" w:eastAsia="Arial" w:hAnsi="Arial"/>
          <w:sz w:val="17"/>
          <w:szCs w:val="17"/>
          <w:color w:val="auto"/>
        </w:rPr>
        <w:t>any additional matters delegated to the Corporate Governance Committee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43</w:t>
      </w:r>
    </w:p>
    <w:p>
      <w:pPr>
        <w:sectPr>
          <w:pgSz w:w="11900" w:h="16838" w:orient="portrait"/>
          <w:cols w:equalWidth="0" w:num="1">
            <w:col w:w="10920"/>
          </w:cols>
          <w:pgMar w:left="480" w:top="262" w:right="49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following table provides an overview of the Corporate Governance Committee’s work plan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929755" cy="203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20383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2025 Primary Corporate Governance Committee Activities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size, composition and structure of the Board and its committees</w:t>
            </w:r>
          </w:p>
        </w:tc>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Periodically</w:t>
            </w: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for effective decision-making, including new committee members</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orientation and continuing education initiatives for directors</w:t>
            </w: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Board succession planning</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related party transactions and conflicts of interest</w:t>
            </w: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Oversee the effectiveness of the Board and its committees, including</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Monitor developments in corporate governance and recommend</w:t>
            </w: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receiving a report from the Lead Independent Director on the evaluation</w:t>
            </w:r>
          </w:p>
        </w:tc>
        <w:tc>
          <w:tcPr>
            <w:tcW w:w="5300" w:type="dxa"/>
            <w:vAlign w:val="bottom"/>
          </w:tcPr>
          <w:p>
            <w:pPr>
              <w:ind w:left="400"/>
              <w:spacing w:after="0"/>
              <w:rPr>
                <w:sz w:val="20"/>
                <w:szCs w:val="20"/>
                <w:color w:val="auto"/>
              </w:rPr>
            </w:pPr>
            <w:r>
              <w:rPr>
                <w:rFonts w:ascii="Arial" w:cs="Arial" w:eastAsia="Arial" w:hAnsi="Arial"/>
                <w:sz w:val="16"/>
                <w:szCs w:val="16"/>
                <w:color w:val="auto"/>
              </w:rPr>
              <w:t>appropriate initiatives as part of overall approach to governance</w:t>
            </w: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process and the interviews with directors</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Consider agendas for meetings of independent directors</w:t>
            </w: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Assess director independence, financial literacy and audit committee</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Board and CEO expenses</w:t>
            </w: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financial expert status</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delegation of authority</w:t>
            </w: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Nominate directors for the annual meeting</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share ownership expectations and compliance</w:t>
            </w: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director compensation and structure</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Approve any waivers of Code of Business Conduct and Ethics</w:t>
            </w: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corporate governance disclosure for draft proxy circular and AGM</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Monitor relationships between senior management and the Board</w:t>
            </w: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format</w:t>
            </w:r>
          </w:p>
        </w:tc>
        <w:tc>
          <w:tcPr>
            <w:tcW w:w="5300" w:type="dxa"/>
            <w:vAlign w:val="bottom"/>
          </w:tcPr>
          <w:p>
            <w:pPr>
              <w:ind w:left="1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Be available as a forum for addressing the concerns of individual</w:t>
            </w: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corporate governance guidelines, committee charters and</w:t>
            </w:r>
          </w:p>
        </w:tc>
        <w:tc>
          <w:tcPr>
            <w:tcW w:w="5300" w:type="dxa"/>
            <w:vAlign w:val="bottom"/>
          </w:tcPr>
          <w:p>
            <w:pPr>
              <w:ind w:left="400"/>
              <w:spacing w:after="0"/>
              <w:rPr>
                <w:sz w:val="20"/>
                <w:szCs w:val="20"/>
                <w:color w:val="auto"/>
              </w:rPr>
            </w:pPr>
            <w:r>
              <w:rPr>
                <w:rFonts w:ascii="Arial" w:cs="Arial" w:eastAsia="Arial" w:hAnsi="Arial"/>
                <w:sz w:val="16"/>
                <w:szCs w:val="16"/>
                <w:color w:val="auto"/>
              </w:rPr>
              <w:t>directors</w:t>
            </w: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position descriptions</w:t>
            </w:r>
          </w:p>
        </w:tc>
        <w:tc>
          <w:tcPr>
            <w:tcW w:w="5300" w:type="dxa"/>
            <w:vAlign w:val="bottom"/>
          </w:tcPr>
          <w:p>
            <w:pPr>
              <w:spacing w:after="0"/>
              <w:rPr>
                <w:sz w:val="16"/>
                <w:szCs w:val="16"/>
                <w:color w:val="auto"/>
              </w:rPr>
            </w:pP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results of board effectiveness review process</w:t>
            </w:r>
          </w:p>
        </w:tc>
        <w:tc>
          <w:tcPr>
            <w:tcW w:w="5300" w:type="dxa"/>
            <w:vAlign w:val="bottom"/>
          </w:tcPr>
          <w:p>
            <w:pPr>
              <w:spacing w:after="0"/>
              <w:rPr>
                <w:sz w:val="16"/>
                <w:szCs w:val="16"/>
                <w:color w:val="auto"/>
              </w:rPr>
            </w:pP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committee composition and chairs</w:t>
            </w:r>
          </w:p>
        </w:tc>
        <w:tc>
          <w:tcPr>
            <w:tcW w:w="5300" w:type="dxa"/>
            <w:vAlign w:val="bottom"/>
          </w:tcPr>
          <w:p>
            <w:pPr>
              <w:spacing w:after="0"/>
              <w:rPr>
                <w:sz w:val="16"/>
                <w:szCs w:val="16"/>
                <w:color w:val="auto"/>
              </w:rPr>
            </w:pP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external analysis of proxy circular and other shareholder group</w:t>
            </w:r>
          </w:p>
        </w:tc>
        <w:tc>
          <w:tcPr>
            <w:tcW w:w="5300" w:type="dxa"/>
            <w:vAlign w:val="bottom"/>
          </w:tcPr>
          <w:p>
            <w:pPr>
              <w:spacing w:after="0"/>
              <w:rPr>
                <w:sz w:val="16"/>
                <w:szCs w:val="16"/>
                <w:color w:val="auto"/>
              </w:rPr>
            </w:pP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assessments</w:t>
            </w:r>
          </w:p>
        </w:tc>
        <w:tc>
          <w:tcPr>
            <w:tcW w:w="5300" w:type="dxa"/>
            <w:vAlign w:val="bottom"/>
          </w:tcPr>
          <w:p>
            <w:pPr>
              <w:spacing w:after="0"/>
              <w:rPr>
                <w:sz w:val="16"/>
                <w:szCs w:val="16"/>
                <w:color w:val="auto"/>
              </w:rPr>
            </w:pP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Discuss the company’s approach to ESG</w:t>
            </w:r>
          </w:p>
        </w:tc>
        <w:tc>
          <w:tcPr>
            <w:tcW w:w="5300" w:type="dxa"/>
            <w:vAlign w:val="bottom"/>
          </w:tcPr>
          <w:p>
            <w:pPr>
              <w:spacing w:after="0"/>
              <w:rPr>
                <w:sz w:val="16"/>
                <w:szCs w:val="16"/>
                <w:color w:val="auto"/>
              </w:rPr>
            </w:pP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compliance with Thomson Reuters Trust Principles</w:t>
            </w:r>
          </w:p>
        </w:tc>
        <w:tc>
          <w:tcPr>
            <w:tcW w:w="5300" w:type="dxa"/>
            <w:vAlign w:val="bottom"/>
          </w:tcPr>
          <w:p>
            <w:pPr>
              <w:spacing w:after="0"/>
              <w:rPr>
                <w:sz w:val="16"/>
                <w:szCs w:val="16"/>
                <w:color w:val="auto"/>
              </w:rPr>
            </w:pPr>
          </w:p>
        </w:tc>
      </w:tr>
      <w:tr>
        <w:trPr>
          <w:trHeight w:val="187"/>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Report on effectiveness of Thomson Reuters Code of Business Conduct</w:t>
            </w:r>
          </w:p>
        </w:tc>
        <w:tc>
          <w:tcPr>
            <w:tcW w:w="5300" w:type="dxa"/>
            <w:vAlign w:val="bottom"/>
          </w:tcPr>
          <w:p>
            <w:pPr>
              <w:spacing w:after="0"/>
              <w:rPr>
                <w:sz w:val="16"/>
                <w:szCs w:val="16"/>
                <w:color w:val="auto"/>
              </w:rPr>
            </w:pPr>
          </w:p>
        </w:tc>
      </w:tr>
      <w:tr>
        <w:trPr>
          <w:trHeight w:val="187"/>
        </w:trPr>
        <w:tc>
          <w:tcPr>
            <w:tcW w:w="5620" w:type="dxa"/>
            <w:vAlign w:val="bottom"/>
          </w:tcPr>
          <w:p>
            <w:pPr>
              <w:ind w:left="320"/>
              <w:spacing w:after="0"/>
              <w:rPr>
                <w:sz w:val="20"/>
                <w:szCs w:val="20"/>
                <w:color w:val="auto"/>
              </w:rPr>
            </w:pPr>
            <w:r>
              <w:rPr>
                <w:rFonts w:ascii="Arial" w:cs="Arial" w:eastAsia="Arial" w:hAnsi="Arial"/>
                <w:sz w:val="16"/>
                <w:szCs w:val="16"/>
                <w:color w:val="auto"/>
              </w:rPr>
              <w:t>and Ethics</w:t>
            </w:r>
          </w:p>
        </w:tc>
        <w:tc>
          <w:tcPr>
            <w:tcW w:w="5300" w:type="dxa"/>
            <w:vAlign w:val="bottom"/>
          </w:tcPr>
          <w:p>
            <w:pPr>
              <w:spacing w:after="0"/>
              <w:rPr>
                <w:sz w:val="16"/>
                <w:szCs w:val="16"/>
                <w:color w:val="auto"/>
              </w:rPr>
            </w:pPr>
          </w:p>
        </w:tc>
      </w:tr>
      <w:tr>
        <w:trPr>
          <w:trHeight w:val="211"/>
        </w:trPr>
        <w:tc>
          <w:tcPr>
            <w:tcW w:w="5620" w:type="dxa"/>
            <w:vAlign w:val="bottom"/>
          </w:tcPr>
          <w:p>
            <w:pPr>
              <w:ind w:left="8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Review D&amp;O insurance and indemnification</w:t>
            </w:r>
          </w:p>
        </w:tc>
        <w:tc>
          <w:tcPr>
            <w:tcW w:w="5300" w:type="dxa"/>
            <w:vAlign w:val="bottom"/>
          </w:tcPr>
          <w:p>
            <w:pPr>
              <w:spacing w:after="0"/>
              <w:rPr>
                <w:sz w:val="18"/>
                <w:szCs w:val="18"/>
                <w:color w:val="auto"/>
              </w:rPr>
            </w:pPr>
          </w:p>
        </w:tc>
      </w:tr>
      <w:tr>
        <w:trPr>
          <w:trHeight w:val="50"/>
        </w:trPr>
        <w:tc>
          <w:tcPr>
            <w:tcW w:w="5620" w:type="dxa"/>
            <w:vAlign w:val="bottom"/>
            <w:tcBorders>
              <w:bottom w:val="single" w:sz="8" w:color="D64000"/>
            </w:tcBorders>
          </w:tcPr>
          <w:p>
            <w:pPr>
              <w:spacing w:after="0"/>
              <w:rPr>
                <w:sz w:val="4"/>
                <w:szCs w:val="4"/>
                <w:color w:val="auto"/>
              </w:rPr>
            </w:pPr>
          </w:p>
        </w:tc>
        <w:tc>
          <w:tcPr>
            <w:tcW w:w="5300" w:type="dxa"/>
            <w:vAlign w:val="bottom"/>
            <w:tcBorders>
              <w:bottom w:val="single" w:sz="8" w:color="D64000"/>
            </w:tcBorders>
          </w:tcPr>
          <w:p>
            <w:pPr>
              <w:spacing w:after="0"/>
              <w:rPr>
                <w:sz w:val="4"/>
                <w:szCs w:val="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Director Qualifications, Recruitment, Board Size and Appointments</w:t>
      </w:r>
    </w:p>
    <w:p>
      <w:pPr>
        <w:spacing w:after="0" w:line="103"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Corporate Governance Committee is responsible for assessing the skills and competencies of current directors, their anticipated tenure and the need for new directors. The Corporate Governance Committee retains a professional search firm to assist it in identifying and evaluating potential director candidates. Through its search firm, the Corporate Governance Committee maintains an evergreen list of potential director candidates.</w:t>
      </w:r>
    </w:p>
    <w:p>
      <w:pPr>
        <w:spacing w:after="0" w:line="44" w:lineRule="exact"/>
        <w:rPr>
          <w:sz w:val="20"/>
          <w:szCs w:val="20"/>
          <w:color w:val="auto"/>
        </w:rPr>
      </w:pPr>
    </w:p>
    <w:p>
      <w:pPr>
        <w:ind w:right="320"/>
        <w:spacing w:after="0" w:line="241" w:lineRule="auto"/>
        <w:rPr>
          <w:sz w:val="20"/>
          <w:szCs w:val="20"/>
          <w:color w:val="auto"/>
        </w:rPr>
      </w:pPr>
      <w:r>
        <w:rPr>
          <w:rFonts w:ascii="Arial" w:cs="Arial" w:eastAsia="Arial" w:hAnsi="Arial"/>
          <w:sz w:val="17"/>
          <w:szCs w:val="17"/>
          <w:color w:val="auto"/>
        </w:rPr>
        <w:t>The Corporate Governance Committee considers and recommends candidates for initial Board membership and Board members for re-nomination. Recommendations are based on character, integrity, judgment, skills and competencies, business experience, merit, including each candidate’s record of achievement, and any other attributes that would enhance the Board and overall management of the business and affairs of our company.</w:t>
      </w:r>
    </w:p>
    <w:p>
      <w:pPr>
        <w:spacing w:after="0" w:line="5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Corporate Governance Committee believes that the inclusion of different perspectives, experiences and backgrounds on the Board enhances Board operations, promotes healthy debate and improves oversight, decision-making and governance. In identifying candidates for appointment, election or re-election, the Board and the Corporate Governance Committee have established a widescale nondiscriminatory recruitment approach. We do not currently have a policy that specifically addresses the representation of women on the Board. 43% of our director nominees self-identify as women and the Company’s efforts to attract and consider candidates for Board roles based on their qualifications and merit have resulted in a favorable representation of women on the Board.</w:t>
      </w:r>
    </w:p>
    <w:p>
      <w:pPr>
        <w:spacing w:after="0" w:line="5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Six of the 14 director nominees proposed for election (approximately 43%) at this year’s meeting self-identify as women, one self identifies as Hispanic/Latinx and one self-identifies as Black/African American. We continue to strive for a Board composition that reflects our company’s values and the composition of the communities we operate in and serve. The Board has determined that a fixed objective for the representation of women on the Board is no longer necessary to build a highly effective, qualified and skilled Board and it is satisfied with the current composition of the Board.</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New Director Nominees for the 2026 Annual Meeting of Shareholders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Medline</w:t>
      </w:r>
    </w:p>
    <w:p>
      <w:pPr>
        <w:spacing w:after="0" w:line="85"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January 2026, Michael Medline was appointed President and CEO of Woodbridge, the Thomson family holding company and the principal shareholder of our company. Michael met with the Lead Independent Director, the CEO and other Board members prior to his consideration as a director nominee by the Corporate Governance Committee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44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5" w:right="499" w:bottom="1440" w:gutter="0" w:footer="0" w:header="0"/>
        </w:sectPr>
      </w:pPr>
    </w:p>
    <w:bookmarkStart w:id="54" w:name="page55"/>
    <w:bookmarkEnd w:id="54"/>
    <w:p>
      <w:pPr>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Upon the recommendation of the Corporate Governance Committee, the Board approved that Michael Medline be proposed to be elected at the annual meeting of shareholders as a representative of Woodbridge on the Board. In evaluating Michael’s profile, the Board considered his extensive experience as an executive with over a decade of experience at a range of public and private companies, including a number of controlled companies. As President &amp; CEO of Woodbridge, Michael will also bring the knowledge and perspective of the controlling shareholder to the Board.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Liz Hilton Segel</w:t>
      </w:r>
    </w:p>
    <w:p>
      <w:pPr>
        <w:spacing w:after="0" w:line="85"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Liz was initially identified by a current Thomson Reuters director and she subsequently met with the Chairman, the Lead Independent Director, the CEO and other Board members prior to her consideration as a nominee by the Corporate Governance Committee and the Board. Upon the recommendation by the Corporate Governance Committee, the Board approved that Liz Hilton Segel be proposed to be elected at the annual meeting of shareholders.</w:t>
      </w:r>
    </w:p>
    <w:p>
      <w:pPr>
        <w:spacing w:after="0" w:line="44"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In evaluating Liz’s profile, the Board put weight on her deep experience as an executive, including her leadership roles at McKinsey &amp; Company, her experience driving transformational change including through the use of AI and her considerable background in strategic advisory expertise, particularly with respect to technology companies and the use of technology across industries.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Director Orientation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All new directors are provided with an orientation in connection with their election or appointment to the Board, which includes:</w:t>
      </w:r>
    </w:p>
    <w:p>
      <w:pPr>
        <w:spacing w:after="0" w:line="85" w:lineRule="exact"/>
        <w:rPr>
          <w:sz w:val="20"/>
          <w:szCs w:val="20"/>
          <w:color w:val="auto"/>
        </w:rPr>
      </w:pPr>
    </w:p>
    <w:p>
      <w:pPr>
        <w:ind w:left="220" w:hanging="213"/>
        <w:spacing w:after="0"/>
        <w:tabs>
          <w:tab w:leader="none" w:pos="220" w:val="left"/>
        </w:tabs>
        <w:numPr>
          <w:ilvl w:val="0"/>
          <w:numId w:val="54"/>
        </w:numPr>
        <w:rPr>
          <w:rFonts w:ascii="Arial" w:cs="Arial" w:eastAsia="Arial" w:hAnsi="Arial"/>
          <w:sz w:val="17"/>
          <w:szCs w:val="17"/>
          <w:color w:val="D64000"/>
        </w:rPr>
      </w:pPr>
      <w:r>
        <w:rPr>
          <w:rFonts w:ascii="Arial" w:cs="Arial" w:eastAsia="Arial" w:hAnsi="Arial"/>
          <w:sz w:val="17"/>
          <w:szCs w:val="17"/>
          <w:color w:val="auto"/>
        </w:rPr>
        <w:t>Induction materials describing our business, our corporate governance structure and related policies and information; and</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4"/>
        </w:numPr>
        <w:rPr>
          <w:rFonts w:ascii="Arial" w:cs="Arial" w:eastAsia="Arial" w:hAnsi="Arial"/>
          <w:sz w:val="17"/>
          <w:szCs w:val="17"/>
          <w:color w:val="D64000"/>
        </w:rPr>
      </w:pPr>
      <w:r>
        <w:rPr>
          <w:rFonts w:ascii="Arial" w:cs="Arial" w:eastAsia="Arial" w:hAnsi="Arial"/>
          <w:sz w:val="17"/>
          <w:szCs w:val="17"/>
          <w:color w:val="auto"/>
        </w:rPr>
        <w:t>Meetings with the Chairman, Lead Independent Director, CEO, CFO and other executives.</w:t>
      </w:r>
    </w:p>
    <w:p>
      <w:pPr>
        <w:spacing w:after="0" w:line="85"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The Board also has a “buddy” program that pairs a new director with a tenured director to assist with onboarding. The Board buddy provides historical context regarding the business and decisions and serves as a sounding board for new directors.</w:t>
      </w:r>
    </w:p>
    <w:p>
      <w:pPr>
        <w:spacing w:after="0" w:line="26"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The Board’s secure website, management reports and other means of communication also provide directors with information to ensure their knowledge and understanding of our business remain current.</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Continuing Education</w:t>
      </w:r>
    </w:p>
    <w:p>
      <w:pPr>
        <w:spacing w:after="0" w:line="103"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The Corporate Governance Committee is responsible for confirming that procedures are in place and resources are made available to provide directors with appropriate continuing education opportunities.</w:t>
      </w:r>
    </w:p>
    <w:p>
      <w:pPr>
        <w:spacing w:after="0" w:line="4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Our directors are members of the National Association of Corporate Directors (NACD) and the company pays the cost of that membership. NACD membership provides directors with access to insights, analytics, courses and events. To facilitate ongoing education, the directors are also entitled to attend external continuing education opportunities at the expense of Thomson Reuters with the approval of the Lead Independent Director.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some of the education sessions provided to our directors in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20" w:type="dxa"/>
            <w:vAlign w:val="bottom"/>
          </w:tcPr>
          <w:p>
            <w:pPr>
              <w:spacing w:after="0"/>
              <w:rPr>
                <w:sz w:val="24"/>
                <w:szCs w:val="24"/>
                <w:color w:val="auto"/>
              </w:rPr>
            </w:pPr>
          </w:p>
        </w:tc>
        <w:tc>
          <w:tcPr>
            <w:tcW w:w="960" w:type="dxa"/>
            <w:vAlign w:val="bottom"/>
            <w:tcBorders>
              <w:bottom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Month</w:t>
            </w:r>
          </w:p>
        </w:tc>
        <w:tc>
          <w:tcPr>
            <w:tcW w:w="3680" w:type="dxa"/>
            <w:vAlign w:val="bottom"/>
            <w:tcBorders>
              <w:bottom w:val="single" w:sz="8" w:color="1F473D"/>
            </w:tcBorders>
            <w:shd w:val="clear" w:color="auto" w:fill="1F473D"/>
          </w:tcPr>
          <w:p>
            <w:pPr>
              <w:ind w:left="120"/>
              <w:spacing w:after="0"/>
              <w:rPr>
                <w:sz w:val="20"/>
                <w:szCs w:val="20"/>
                <w:color w:val="auto"/>
              </w:rPr>
            </w:pPr>
            <w:r>
              <w:rPr>
                <w:rFonts w:ascii="Arial" w:cs="Arial" w:eastAsia="Arial" w:hAnsi="Arial"/>
                <w:sz w:val="16"/>
                <w:szCs w:val="16"/>
                <w:b w:val="1"/>
                <w:bCs w:val="1"/>
                <w:color w:val="FFFFFF"/>
              </w:rPr>
              <w:t>Topic/Subject</w:t>
            </w:r>
          </w:p>
        </w:tc>
        <w:tc>
          <w:tcPr>
            <w:tcW w:w="1460" w:type="dxa"/>
            <w:vAlign w:val="bottom"/>
            <w:tcBorders>
              <w:bottom w:val="single" w:sz="8" w:color="1F473D"/>
            </w:tcBorders>
            <w:shd w:val="clear" w:color="auto" w:fill="1F473D"/>
          </w:tcPr>
          <w:p>
            <w:pPr>
              <w:ind w:left="60"/>
              <w:spacing w:after="0"/>
              <w:rPr>
                <w:sz w:val="20"/>
                <w:szCs w:val="20"/>
                <w:color w:val="auto"/>
              </w:rPr>
            </w:pPr>
            <w:r>
              <w:rPr>
                <w:rFonts w:ascii="Arial" w:cs="Arial" w:eastAsia="Arial" w:hAnsi="Arial"/>
                <w:sz w:val="16"/>
                <w:szCs w:val="16"/>
                <w:b w:val="1"/>
                <w:bCs w:val="1"/>
                <w:color w:val="FFFFFF"/>
              </w:rPr>
              <w:t>Attendees</w:t>
            </w:r>
          </w:p>
        </w:tc>
        <w:tc>
          <w:tcPr>
            <w:tcW w:w="4800" w:type="dxa"/>
            <w:vAlign w:val="bottom"/>
            <w:tcBorders>
              <w:bottom w:val="single" w:sz="8" w:color="1F473D"/>
            </w:tcBorders>
            <w:shd w:val="clear" w:color="auto" w:fill="1F473D"/>
          </w:tcPr>
          <w:p>
            <w:pPr>
              <w:ind w:left="120"/>
              <w:spacing w:after="0"/>
              <w:rPr>
                <w:sz w:val="20"/>
                <w:szCs w:val="20"/>
                <w:color w:val="auto"/>
              </w:rPr>
            </w:pPr>
            <w:r>
              <w:rPr>
                <w:rFonts w:ascii="Arial" w:cs="Arial" w:eastAsia="Arial" w:hAnsi="Arial"/>
                <w:sz w:val="16"/>
                <w:szCs w:val="16"/>
                <w:b w:val="1"/>
                <w:bCs w:val="1"/>
                <w:color w:val="FFFFFF"/>
              </w:rPr>
              <w:t>Lead Presenter(s)</w:t>
            </w:r>
          </w:p>
        </w:tc>
        <w:tc>
          <w:tcPr>
            <w:tcW w:w="20" w:type="dxa"/>
            <w:vAlign w:val="bottom"/>
          </w:tcPr>
          <w:p>
            <w:pPr>
              <w:spacing w:after="0"/>
              <w:rPr>
                <w:sz w:val="24"/>
                <w:szCs w:val="24"/>
                <w:color w:val="auto"/>
              </w:rPr>
            </w:pPr>
          </w:p>
        </w:tc>
      </w:tr>
      <w:tr>
        <w:trPr>
          <w:trHeight w:val="224"/>
        </w:trPr>
        <w:tc>
          <w:tcPr>
            <w:tcW w:w="20" w:type="dxa"/>
            <w:vAlign w:val="bottom"/>
            <w:tcBorders>
              <w:bottom w:val="single" w:sz="8" w:color="B2B2B2"/>
            </w:tcBorders>
          </w:tcPr>
          <w:p>
            <w:pPr>
              <w:spacing w:after="0"/>
              <w:rPr>
                <w:sz w:val="19"/>
                <w:szCs w:val="19"/>
                <w:color w:val="auto"/>
              </w:rPr>
            </w:pPr>
          </w:p>
        </w:tc>
        <w:tc>
          <w:tcPr>
            <w:tcW w:w="960" w:type="dxa"/>
            <w:vAlign w:val="bottom"/>
            <w:tcBorders>
              <w:top w:val="single" w:sz="8" w:color="D64000"/>
              <w:bottom w:val="single" w:sz="8" w:color="B2B2B2"/>
            </w:tcBorders>
          </w:tcPr>
          <w:p>
            <w:pPr>
              <w:spacing w:after="0"/>
              <w:rPr>
                <w:sz w:val="20"/>
                <w:szCs w:val="20"/>
                <w:color w:val="auto"/>
              </w:rPr>
            </w:pPr>
            <w:r>
              <w:rPr>
                <w:rFonts w:ascii="Arial" w:cs="Arial" w:eastAsia="Arial" w:hAnsi="Arial"/>
                <w:sz w:val="16"/>
                <w:szCs w:val="16"/>
                <w:b w:val="1"/>
                <w:bCs w:val="1"/>
                <w:color w:val="auto"/>
              </w:rPr>
              <w:t>February</w:t>
            </w:r>
          </w:p>
        </w:tc>
        <w:tc>
          <w:tcPr>
            <w:tcW w:w="3680" w:type="dxa"/>
            <w:vAlign w:val="bottom"/>
            <w:tcBorders>
              <w:top w:val="single" w:sz="8" w:color="D64000"/>
              <w:bottom w:val="single" w:sz="8" w:color="B2B2B2"/>
            </w:tcBorders>
          </w:tcPr>
          <w:p>
            <w:pPr>
              <w:ind w:left="120"/>
              <w:spacing w:after="0"/>
              <w:rPr>
                <w:sz w:val="20"/>
                <w:szCs w:val="20"/>
                <w:color w:val="auto"/>
              </w:rPr>
            </w:pPr>
            <w:r>
              <w:rPr>
                <w:rFonts w:ascii="Arial" w:cs="Arial" w:eastAsia="Arial" w:hAnsi="Arial"/>
                <w:sz w:val="16"/>
                <w:szCs w:val="16"/>
                <w:color w:val="auto"/>
              </w:rPr>
              <w:t>Executive compensation risks</w:t>
            </w:r>
          </w:p>
        </w:tc>
        <w:tc>
          <w:tcPr>
            <w:tcW w:w="1460" w:type="dxa"/>
            <w:vAlign w:val="bottom"/>
            <w:tcBorders>
              <w:top w:val="single" w:sz="8" w:color="D64000"/>
              <w:bottom w:val="single" w:sz="8" w:color="B2B2B2"/>
            </w:tcBorders>
          </w:tcPr>
          <w:p>
            <w:pPr>
              <w:ind w:left="60"/>
              <w:spacing w:after="0"/>
              <w:rPr>
                <w:sz w:val="20"/>
                <w:szCs w:val="20"/>
                <w:color w:val="auto"/>
              </w:rPr>
            </w:pPr>
            <w:r>
              <w:rPr>
                <w:rFonts w:ascii="Arial" w:cs="Arial" w:eastAsia="Arial" w:hAnsi="Arial"/>
                <w:sz w:val="16"/>
                <w:szCs w:val="16"/>
                <w:color w:val="auto"/>
              </w:rPr>
              <w:t>HR Committee</w:t>
            </w:r>
          </w:p>
        </w:tc>
        <w:tc>
          <w:tcPr>
            <w:tcW w:w="4800" w:type="dxa"/>
            <w:vAlign w:val="bottom"/>
            <w:tcBorders>
              <w:top w:val="single" w:sz="8" w:color="D64000"/>
              <w:bottom w:val="single" w:sz="8" w:color="B2B2B2"/>
            </w:tcBorders>
          </w:tcPr>
          <w:p>
            <w:pPr>
              <w:ind w:left="120"/>
              <w:spacing w:after="0"/>
              <w:rPr>
                <w:sz w:val="20"/>
                <w:szCs w:val="20"/>
                <w:color w:val="auto"/>
              </w:rPr>
            </w:pPr>
            <w:r>
              <w:rPr>
                <w:rFonts w:ascii="Arial" w:cs="Arial" w:eastAsia="Arial" w:hAnsi="Arial"/>
                <w:sz w:val="16"/>
                <w:szCs w:val="16"/>
                <w:color w:val="auto"/>
              </w:rPr>
              <w:t>FW Cook (external compensation consultant)</w:t>
            </w:r>
          </w:p>
        </w:tc>
        <w:tc>
          <w:tcPr>
            <w:tcW w:w="20" w:type="dxa"/>
            <w:vAlign w:val="bottom"/>
          </w:tcPr>
          <w:p>
            <w:pPr>
              <w:spacing w:after="0"/>
              <w:rPr>
                <w:sz w:val="19"/>
                <w:szCs w:val="19"/>
                <w:color w:val="auto"/>
              </w:rPr>
            </w:pPr>
          </w:p>
        </w:tc>
      </w:tr>
      <w:tr>
        <w:trPr>
          <w:trHeight w:val="221"/>
        </w:trPr>
        <w:tc>
          <w:tcPr>
            <w:tcW w:w="98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March</w:t>
            </w:r>
          </w:p>
        </w:tc>
        <w:tc>
          <w:tcPr>
            <w:tcW w:w="36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Disclosure controls and procedures update</w:t>
            </w:r>
          </w:p>
        </w:tc>
        <w:tc>
          <w:tcPr>
            <w:tcW w:w="1460" w:type="dxa"/>
            <w:vAlign w:val="bottom"/>
            <w:tcBorders>
              <w:bottom w:val="single" w:sz="8" w:color="B2B2B2"/>
            </w:tcBorders>
          </w:tcPr>
          <w:p>
            <w:pPr>
              <w:ind w:left="60"/>
              <w:spacing w:after="0"/>
              <w:rPr>
                <w:sz w:val="20"/>
                <w:szCs w:val="20"/>
                <w:color w:val="auto"/>
              </w:rPr>
            </w:pPr>
            <w:r>
              <w:rPr>
                <w:rFonts w:ascii="Arial" w:cs="Arial" w:eastAsia="Arial" w:hAnsi="Arial"/>
                <w:sz w:val="16"/>
                <w:szCs w:val="16"/>
                <w:color w:val="auto"/>
              </w:rPr>
              <w:t>Audit Committee</w:t>
            </w:r>
          </w:p>
        </w:tc>
        <w:tc>
          <w:tcPr>
            <w:tcW w:w="480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Thomson Reuters internal legal counsel</w:t>
            </w:r>
          </w:p>
        </w:tc>
        <w:tc>
          <w:tcPr>
            <w:tcW w:w="20" w:type="dxa"/>
            <w:vAlign w:val="bottom"/>
          </w:tcPr>
          <w:p>
            <w:pPr>
              <w:spacing w:after="0"/>
              <w:rPr>
                <w:sz w:val="19"/>
                <w:szCs w:val="19"/>
                <w:color w:val="auto"/>
              </w:rPr>
            </w:pPr>
          </w:p>
        </w:tc>
      </w:tr>
      <w:tr>
        <w:trPr>
          <w:trHeight w:val="221"/>
        </w:trPr>
        <w:tc>
          <w:tcPr>
            <w:tcW w:w="98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March</w:t>
            </w:r>
          </w:p>
        </w:tc>
        <w:tc>
          <w:tcPr>
            <w:tcW w:w="36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ESG regulatory update</w:t>
            </w:r>
          </w:p>
        </w:tc>
        <w:tc>
          <w:tcPr>
            <w:tcW w:w="1460" w:type="dxa"/>
            <w:vAlign w:val="bottom"/>
            <w:tcBorders>
              <w:bottom w:val="single" w:sz="8" w:color="B2B2B2"/>
            </w:tcBorders>
          </w:tcPr>
          <w:p>
            <w:pPr>
              <w:ind w:left="60"/>
              <w:spacing w:after="0"/>
              <w:rPr>
                <w:sz w:val="20"/>
                <w:szCs w:val="20"/>
                <w:color w:val="auto"/>
              </w:rPr>
            </w:pPr>
            <w:r>
              <w:rPr>
                <w:rFonts w:ascii="Arial" w:cs="Arial" w:eastAsia="Arial" w:hAnsi="Arial"/>
                <w:sz w:val="16"/>
                <w:szCs w:val="16"/>
                <w:color w:val="auto"/>
              </w:rPr>
              <w:t>Audit Committee</w:t>
            </w:r>
          </w:p>
        </w:tc>
        <w:tc>
          <w:tcPr>
            <w:tcW w:w="480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Thomson Reuters internal ESG leadership</w:t>
            </w:r>
          </w:p>
        </w:tc>
        <w:tc>
          <w:tcPr>
            <w:tcW w:w="20" w:type="dxa"/>
            <w:vAlign w:val="bottom"/>
          </w:tcPr>
          <w:p>
            <w:pPr>
              <w:spacing w:after="0"/>
              <w:rPr>
                <w:sz w:val="19"/>
                <w:szCs w:val="19"/>
                <w:color w:val="auto"/>
              </w:rPr>
            </w:pPr>
          </w:p>
        </w:tc>
      </w:tr>
      <w:tr>
        <w:trPr>
          <w:trHeight w:val="183"/>
        </w:trPr>
        <w:tc>
          <w:tcPr>
            <w:tcW w:w="9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September</w:t>
            </w:r>
          </w:p>
        </w:tc>
        <w:tc>
          <w:tcPr>
            <w:tcW w:w="3680" w:type="dxa"/>
            <w:vAlign w:val="bottom"/>
          </w:tcPr>
          <w:p>
            <w:pPr>
              <w:ind w:left="120"/>
              <w:spacing w:after="0" w:line="183" w:lineRule="exact"/>
              <w:rPr>
                <w:sz w:val="20"/>
                <w:szCs w:val="20"/>
                <w:color w:val="auto"/>
              </w:rPr>
            </w:pPr>
            <w:r>
              <w:rPr>
                <w:rFonts w:ascii="Arial" w:cs="Arial" w:eastAsia="Arial" w:hAnsi="Arial"/>
                <w:sz w:val="16"/>
                <w:szCs w:val="16"/>
                <w:color w:val="auto"/>
              </w:rPr>
              <w:t>Executive compensation trends and</w:t>
            </w:r>
          </w:p>
        </w:tc>
        <w:tc>
          <w:tcPr>
            <w:tcW w:w="1460" w:type="dxa"/>
            <w:vAlign w:val="bottom"/>
          </w:tcPr>
          <w:p>
            <w:pPr>
              <w:ind w:left="60"/>
              <w:spacing w:after="0" w:line="183" w:lineRule="exact"/>
              <w:rPr>
                <w:sz w:val="20"/>
                <w:szCs w:val="20"/>
                <w:color w:val="auto"/>
              </w:rPr>
            </w:pPr>
            <w:r>
              <w:rPr>
                <w:rFonts w:ascii="Arial" w:cs="Arial" w:eastAsia="Arial" w:hAnsi="Arial"/>
                <w:sz w:val="16"/>
                <w:szCs w:val="16"/>
                <w:color w:val="auto"/>
              </w:rPr>
              <w:t>HR Committee</w:t>
            </w:r>
          </w:p>
        </w:tc>
        <w:tc>
          <w:tcPr>
            <w:tcW w:w="4800" w:type="dxa"/>
            <w:vAlign w:val="bottom"/>
          </w:tcPr>
          <w:p>
            <w:pPr>
              <w:ind w:left="120"/>
              <w:spacing w:after="0" w:line="183" w:lineRule="exact"/>
              <w:rPr>
                <w:sz w:val="20"/>
                <w:szCs w:val="20"/>
                <w:color w:val="auto"/>
              </w:rPr>
            </w:pPr>
            <w:r>
              <w:rPr>
                <w:rFonts w:ascii="Arial" w:cs="Arial" w:eastAsia="Arial" w:hAnsi="Arial"/>
                <w:sz w:val="16"/>
                <w:szCs w:val="16"/>
                <w:color w:val="auto"/>
              </w:rPr>
              <w:t>FW Cook (external compensation consultant)</w:t>
            </w:r>
          </w:p>
        </w:tc>
        <w:tc>
          <w:tcPr>
            <w:tcW w:w="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developments</w:t>
            </w:r>
          </w:p>
        </w:tc>
        <w:tc>
          <w:tcPr>
            <w:tcW w:w="1460" w:type="dxa"/>
            <w:vAlign w:val="bottom"/>
          </w:tcPr>
          <w:p>
            <w:pPr>
              <w:ind w:left="60"/>
              <w:spacing w:after="0"/>
              <w:rPr>
                <w:sz w:val="20"/>
                <w:szCs w:val="20"/>
                <w:color w:val="auto"/>
              </w:rPr>
            </w:pPr>
            <w:r>
              <w:rPr>
                <w:rFonts w:ascii="Arial" w:cs="Arial" w:eastAsia="Arial" w:hAnsi="Arial"/>
                <w:sz w:val="16"/>
                <w:szCs w:val="16"/>
                <w:color w:val="auto"/>
              </w:rPr>
              <w:t>CG Committee</w:t>
            </w:r>
          </w:p>
        </w:tc>
        <w:tc>
          <w:tcPr>
            <w:tcW w:w="4820" w:type="dxa"/>
            <w:vAlign w:val="bottom"/>
            <w:gridSpan w:val="2"/>
          </w:tcPr>
          <w:p>
            <w:pPr>
              <w:ind w:left="120"/>
              <w:spacing w:after="0"/>
              <w:rPr>
                <w:sz w:val="20"/>
                <w:szCs w:val="20"/>
                <w:color w:val="auto"/>
              </w:rPr>
            </w:pPr>
            <w:r>
              <w:rPr>
                <w:rFonts w:ascii="Arial" w:cs="Arial" w:eastAsia="Arial" w:hAnsi="Arial"/>
                <w:sz w:val="16"/>
                <w:szCs w:val="16"/>
                <w:color w:val="auto"/>
              </w:rPr>
              <w:t>TR Foundation internal leadership</w:t>
            </w:r>
          </w:p>
        </w:tc>
      </w:tr>
      <w:tr>
        <w:trPr>
          <w:trHeight w:val="211"/>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TR Foundation Update</w:t>
            </w:r>
          </w:p>
        </w:tc>
        <w:tc>
          <w:tcPr>
            <w:tcW w:w="1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
        </w:trPr>
        <w:tc>
          <w:tcPr>
            <w:tcW w:w="980" w:type="dxa"/>
            <w:vAlign w:val="bottom"/>
            <w:gridSpan w:val="2"/>
          </w:tcPr>
          <w:p>
            <w:pPr>
              <w:spacing w:after="0"/>
              <w:rPr>
                <w:sz w:val="2"/>
                <w:szCs w:val="2"/>
                <w:color w:val="auto"/>
              </w:rPr>
            </w:pPr>
          </w:p>
        </w:tc>
        <w:tc>
          <w:tcPr>
            <w:tcW w:w="3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960" w:type="dxa"/>
            <w:vAlign w:val="bottom"/>
            <w:tcBorders>
              <w:top w:val="single" w:sz="8" w:color="B2B2B2"/>
            </w:tcBorders>
          </w:tcPr>
          <w:p>
            <w:pPr>
              <w:spacing w:after="0" w:line="180" w:lineRule="exact"/>
              <w:rPr>
                <w:sz w:val="20"/>
                <w:szCs w:val="20"/>
                <w:color w:val="auto"/>
              </w:rPr>
            </w:pPr>
            <w:r>
              <w:rPr>
                <w:rFonts w:ascii="Arial" w:cs="Arial" w:eastAsia="Arial" w:hAnsi="Arial"/>
                <w:sz w:val="16"/>
                <w:szCs w:val="16"/>
                <w:b w:val="1"/>
                <w:bCs w:val="1"/>
                <w:color w:val="auto"/>
              </w:rPr>
              <w:t>September</w:t>
            </w:r>
          </w:p>
        </w:tc>
        <w:tc>
          <w:tcPr>
            <w:tcW w:w="368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ESG regulatory update, including climate change</w:t>
            </w:r>
          </w:p>
        </w:tc>
        <w:tc>
          <w:tcPr>
            <w:tcW w:w="1460" w:type="dxa"/>
            <w:vAlign w:val="bottom"/>
            <w:tcBorders>
              <w:top w:val="single" w:sz="8" w:color="B2B2B2"/>
            </w:tcBorders>
          </w:tcPr>
          <w:p>
            <w:pPr>
              <w:ind w:left="60"/>
              <w:spacing w:after="0" w:line="180" w:lineRule="exact"/>
              <w:rPr>
                <w:sz w:val="20"/>
                <w:szCs w:val="20"/>
                <w:color w:val="auto"/>
              </w:rPr>
            </w:pPr>
            <w:r>
              <w:rPr>
                <w:rFonts w:ascii="Arial" w:cs="Arial" w:eastAsia="Arial" w:hAnsi="Arial"/>
                <w:sz w:val="16"/>
                <w:szCs w:val="16"/>
                <w:color w:val="auto"/>
              </w:rPr>
              <w:t>Audit Committee</w:t>
            </w:r>
          </w:p>
        </w:tc>
        <w:tc>
          <w:tcPr>
            <w:tcW w:w="480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Thomson Reuters internal ESG leadership</w:t>
            </w:r>
          </w:p>
        </w:tc>
        <w:tc>
          <w:tcPr>
            <w:tcW w:w="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disclosure update and double materiality</w:t>
            </w:r>
          </w:p>
        </w:tc>
        <w:tc>
          <w:tcPr>
            <w:tcW w:w="14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960" w:type="dxa"/>
            <w:vAlign w:val="bottom"/>
            <w:tcBorders>
              <w:bottom w:val="single" w:sz="8" w:color="B2B2B2"/>
            </w:tcBorders>
          </w:tcPr>
          <w:p>
            <w:pPr>
              <w:spacing w:after="0"/>
              <w:rPr>
                <w:sz w:val="19"/>
                <w:szCs w:val="19"/>
                <w:color w:val="auto"/>
              </w:rPr>
            </w:pPr>
          </w:p>
        </w:tc>
        <w:tc>
          <w:tcPr>
            <w:tcW w:w="36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assessment</w:t>
            </w:r>
          </w:p>
        </w:tc>
        <w:tc>
          <w:tcPr>
            <w:tcW w:w="1460" w:type="dxa"/>
            <w:vAlign w:val="bottom"/>
            <w:tcBorders>
              <w:bottom w:val="single" w:sz="8" w:color="B2B2B2"/>
            </w:tcBorders>
          </w:tcPr>
          <w:p>
            <w:pPr>
              <w:spacing w:after="0"/>
              <w:rPr>
                <w:sz w:val="19"/>
                <w:szCs w:val="19"/>
                <w:color w:val="auto"/>
              </w:rPr>
            </w:pPr>
          </w:p>
        </w:tc>
        <w:tc>
          <w:tcPr>
            <w:tcW w:w="4800" w:type="dxa"/>
            <w:vAlign w:val="bottom"/>
            <w:tcBorders>
              <w:bottom w:val="single" w:sz="8" w:color="B2B2B2"/>
            </w:tcBorders>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20" w:type="dxa"/>
            <w:vAlign w:val="bottom"/>
            <w:tcBorders>
              <w:bottom w:val="single" w:sz="8" w:color="B2B2B2"/>
            </w:tcBorders>
          </w:tcPr>
          <w:p>
            <w:pPr>
              <w:spacing w:after="0"/>
              <w:rPr>
                <w:sz w:val="19"/>
                <w:szCs w:val="19"/>
                <w:color w:val="auto"/>
              </w:rPr>
            </w:pPr>
          </w:p>
        </w:tc>
        <w:tc>
          <w:tcPr>
            <w:tcW w:w="9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November</w:t>
            </w:r>
          </w:p>
        </w:tc>
        <w:tc>
          <w:tcPr>
            <w:tcW w:w="36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Generative AI board education session</w:t>
            </w:r>
          </w:p>
        </w:tc>
        <w:tc>
          <w:tcPr>
            <w:tcW w:w="1460" w:type="dxa"/>
            <w:vAlign w:val="bottom"/>
            <w:tcBorders>
              <w:bottom w:val="single" w:sz="8" w:color="B2B2B2"/>
            </w:tcBorders>
          </w:tcPr>
          <w:p>
            <w:pPr>
              <w:ind w:left="60"/>
              <w:spacing w:after="0"/>
              <w:rPr>
                <w:sz w:val="20"/>
                <w:szCs w:val="20"/>
                <w:color w:val="auto"/>
              </w:rPr>
            </w:pPr>
            <w:r>
              <w:rPr>
                <w:rFonts w:ascii="Arial" w:cs="Arial" w:eastAsia="Arial" w:hAnsi="Arial"/>
                <w:sz w:val="16"/>
                <w:szCs w:val="16"/>
                <w:color w:val="auto"/>
              </w:rPr>
              <w:t>Board</w:t>
            </w:r>
          </w:p>
        </w:tc>
        <w:tc>
          <w:tcPr>
            <w:tcW w:w="480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Thomson Reuters internal leadership</w:t>
            </w:r>
          </w:p>
        </w:tc>
        <w:tc>
          <w:tcPr>
            <w:tcW w:w="20" w:type="dxa"/>
            <w:vAlign w:val="bottom"/>
          </w:tcPr>
          <w:p>
            <w:pPr>
              <w:spacing w:after="0"/>
              <w:rPr>
                <w:sz w:val="19"/>
                <w:szCs w:val="19"/>
                <w:color w:val="auto"/>
              </w:rPr>
            </w:pPr>
          </w:p>
        </w:tc>
      </w:tr>
      <w:tr>
        <w:trPr>
          <w:trHeight w:val="221"/>
        </w:trPr>
        <w:tc>
          <w:tcPr>
            <w:tcW w:w="98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Quarterly</w:t>
            </w:r>
          </w:p>
        </w:tc>
        <w:tc>
          <w:tcPr>
            <w:tcW w:w="368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Tax updates</w:t>
            </w:r>
          </w:p>
        </w:tc>
        <w:tc>
          <w:tcPr>
            <w:tcW w:w="1460" w:type="dxa"/>
            <w:vAlign w:val="bottom"/>
            <w:tcBorders>
              <w:bottom w:val="single" w:sz="8" w:color="B2B2B2"/>
            </w:tcBorders>
          </w:tcPr>
          <w:p>
            <w:pPr>
              <w:ind w:left="60"/>
              <w:spacing w:after="0"/>
              <w:rPr>
                <w:sz w:val="20"/>
                <w:szCs w:val="20"/>
                <w:color w:val="auto"/>
              </w:rPr>
            </w:pPr>
            <w:r>
              <w:rPr>
                <w:rFonts w:ascii="Arial" w:cs="Arial" w:eastAsia="Arial" w:hAnsi="Arial"/>
                <w:sz w:val="16"/>
                <w:szCs w:val="16"/>
                <w:color w:val="auto"/>
              </w:rPr>
              <w:t>Audit Committee</w:t>
            </w:r>
          </w:p>
        </w:tc>
        <w:tc>
          <w:tcPr>
            <w:tcW w:w="480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Thomson Reuters Head of Tax</w:t>
            </w:r>
          </w:p>
        </w:tc>
        <w:tc>
          <w:tcPr>
            <w:tcW w:w="20" w:type="dxa"/>
            <w:vAlign w:val="bottom"/>
          </w:tcPr>
          <w:p>
            <w:pPr>
              <w:spacing w:after="0"/>
              <w:rPr>
                <w:sz w:val="19"/>
                <w:szCs w:val="19"/>
                <w:color w:val="auto"/>
              </w:rPr>
            </w:pPr>
          </w:p>
        </w:tc>
      </w:tr>
      <w:tr>
        <w:trPr>
          <w:trHeight w:val="218"/>
        </w:trPr>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Quarterly</w:t>
            </w:r>
          </w:p>
        </w:tc>
        <w:tc>
          <w:tcPr>
            <w:tcW w:w="3680" w:type="dxa"/>
            <w:vAlign w:val="bottom"/>
          </w:tcPr>
          <w:p>
            <w:pPr>
              <w:ind w:left="120"/>
              <w:spacing w:after="0"/>
              <w:rPr>
                <w:sz w:val="20"/>
                <w:szCs w:val="20"/>
                <w:color w:val="auto"/>
              </w:rPr>
            </w:pPr>
            <w:r>
              <w:rPr>
                <w:rFonts w:ascii="Arial" w:cs="Arial" w:eastAsia="Arial" w:hAnsi="Arial"/>
                <w:sz w:val="16"/>
                <w:szCs w:val="16"/>
                <w:color w:val="auto"/>
              </w:rPr>
              <w:t>Accounting updates</w:t>
            </w:r>
          </w:p>
        </w:tc>
        <w:tc>
          <w:tcPr>
            <w:tcW w:w="146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4800" w:type="dxa"/>
            <w:vAlign w:val="bottom"/>
          </w:tcPr>
          <w:p>
            <w:pPr>
              <w:ind w:left="120"/>
              <w:spacing w:after="0"/>
              <w:rPr>
                <w:sz w:val="20"/>
                <w:szCs w:val="20"/>
                <w:color w:val="auto"/>
              </w:rPr>
            </w:pPr>
            <w:r>
              <w:rPr>
                <w:rFonts w:ascii="Arial" w:cs="Arial" w:eastAsia="Arial" w:hAnsi="Arial"/>
                <w:sz w:val="16"/>
                <w:szCs w:val="16"/>
                <w:color w:val="auto"/>
              </w:rPr>
              <w:t>Thomson Reuters Chief Accounting Officer</w:t>
            </w:r>
          </w:p>
        </w:tc>
        <w:tc>
          <w:tcPr>
            <w:tcW w:w="20" w:type="dxa"/>
            <w:vAlign w:val="bottom"/>
          </w:tcPr>
          <w:p>
            <w:pPr>
              <w:spacing w:after="0"/>
              <w:rPr>
                <w:sz w:val="18"/>
                <w:szCs w:val="18"/>
                <w:color w:val="auto"/>
              </w:rPr>
            </w:pPr>
          </w:p>
        </w:tc>
      </w:tr>
      <w:tr>
        <w:trPr>
          <w:trHeight w:val="40"/>
        </w:trPr>
        <w:tc>
          <w:tcPr>
            <w:tcW w:w="6120" w:type="dxa"/>
            <w:vAlign w:val="bottom"/>
            <w:tcBorders>
              <w:bottom w:val="single" w:sz="8" w:color="D64000"/>
            </w:tcBorders>
            <w:gridSpan w:val="4"/>
          </w:tcPr>
          <w:p>
            <w:pPr>
              <w:spacing w:after="0"/>
              <w:rPr>
                <w:sz w:val="3"/>
                <w:szCs w:val="3"/>
                <w:color w:val="auto"/>
              </w:rPr>
            </w:pPr>
          </w:p>
        </w:tc>
        <w:tc>
          <w:tcPr>
            <w:tcW w:w="4800" w:type="dxa"/>
            <w:vAlign w:val="bottom"/>
            <w:tcBorders>
              <w:bottom w:val="single" w:sz="8" w:color="D64000"/>
            </w:tcBorders>
          </w:tcPr>
          <w:p>
            <w:pPr>
              <w:spacing w:after="0"/>
              <w:rPr>
                <w:sz w:val="3"/>
                <w:szCs w:val="3"/>
                <w:color w:val="auto"/>
              </w:rPr>
            </w:pPr>
          </w:p>
        </w:tc>
        <w:tc>
          <w:tcPr>
            <w:tcW w:w="20" w:type="dxa"/>
            <w:vAlign w:val="bottom"/>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6100" w:type="dxa"/>
            <w:vAlign w:val="bottom"/>
            <w:tcBorders>
              <w:bottom w:val="single" w:sz="8" w:color="7F7F7F"/>
            </w:tcBorders>
            <w:gridSpan w:val="3"/>
          </w:tcPr>
          <w:p>
            <w:pPr>
              <w:spacing w:after="0"/>
              <w:rPr>
                <w:sz w:val="15"/>
                <w:szCs w:val="15"/>
                <w:color w:val="auto"/>
              </w:rPr>
            </w:pPr>
          </w:p>
        </w:tc>
        <w:tc>
          <w:tcPr>
            <w:tcW w:w="4800" w:type="dxa"/>
            <w:vAlign w:val="bottom"/>
            <w:tcBorders>
              <w:bottom w:val="single" w:sz="8" w:color="7F7F7F"/>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6120" w:type="dxa"/>
            <w:vAlign w:val="bottom"/>
            <w:gridSpan w:val="4"/>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4820" w:type="dxa"/>
            <w:vAlign w:val="bottom"/>
            <w:gridSpan w:val="2"/>
          </w:tcPr>
          <w:p>
            <w:pPr>
              <w:ind w:left="4180"/>
              <w:spacing w:after="0"/>
              <w:rPr>
                <w:sz w:val="20"/>
                <w:szCs w:val="20"/>
                <w:color w:val="auto"/>
              </w:rPr>
            </w:pPr>
            <w:r>
              <w:rPr>
                <w:rFonts w:ascii="Arial" w:cs="Arial" w:eastAsia="Arial" w:hAnsi="Arial"/>
                <w:sz w:val="17"/>
                <w:szCs w:val="17"/>
                <w:color w:val="auto"/>
                <w:w w:val="97"/>
              </w:rPr>
              <w:t>Page 45</w:t>
            </w:r>
          </w:p>
        </w:tc>
      </w:tr>
    </w:tbl>
    <w:p>
      <w:pPr>
        <w:sectPr>
          <w:pgSz w:w="11900" w:h="16838" w:orient="portrait"/>
          <w:cols w:equalWidth="0" w:num="1">
            <w:col w:w="10920"/>
          </w:cols>
          <w:pgMar w:left="480" w:top="264" w:right="499" w:bottom="1440" w:gutter="0" w:footer="0" w:header="0"/>
        </w:sectPr>
      </w:pPr>
    </w:p>
    <w:bookmarkStart w:id="55" w:name="page56"/>
    <w:bookmarkEnd w:id="55"/>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Site Visits</w:t>
      </w:r>
    </w:p>
    <w:p>
      <w:pPr>
        <w:spacing w:after="0" w:line="10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Corporate Governance Committee facilitated visits by directors to the Thomson Reuters office in Frisco, Texas in January 2025, Minneapolis, Minnesota in September 2025, and Zug, Switzerland in January 2026. The Board coordinates the timing of these site visits to coincide with regularly scheduled Board meetings. This allows the directors to participate in the site visit at the same time and then attend a Board meeting as part of one trip. The visits are designed to:</w:t>
      </w:r>
    </w:p>
    <w:p>
      <w:pPr>
        <w:spacing w:after="0" w:line="57" w:lineRule="exact"/>
        <w:rPr>
          <w:sz w:val="20"/>
          <w:szCs w:val="20"/>
          <w:color w:val="auto"/>
        </w:rPr>
      </w:pPr>
    </w:p>
    <w:p>
      <w:pPr>
        <w:ind w:left="220" w:hanging="213"/>
        <w:spacing w:after="0"/>
        <w:tabs>
          <w:tab w:leader="none" w:pos="220" w:val="left"/>
        </w:tabs>
        <w:numPr>
          <w:ilvl w:val="0"/>
          <w:numId w:val="55"/>
        </w:numPr>
        <w:rPr>
          <w:rFonts w:ascii="Arial" w:cs="Arial" w:eastAsia="Arial" w:hAnsi="Arial"/>
          <w:sz w:val="17"/>
          <w:szCs w:val="17"/>
          <w:color w:val="D64000"/>
        </w:rPr>
      </w:pPr>
      <w:r>
        <w:rPr>
          <w:rFonts w:ascii="Arial" w:cs="Arial" w:eastAsia="Arial" w:hAnsi="Arial"/>
          <w:sz w:val="17"/>
          <w:szCs w:val="17"/>
          <w:color w:val="auto"/>
        </w:rPr>
        <w:t>Enable directors to update themselves on our key businesses, products and services;</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5"/>
        </w:numPr>
        <w:rPr>
          <w:rFonts w:ascii="Arial" w:cs="Arial" w:eastAsia="Arial" w:hAnsi="Arial"/>
          <w:sz w:val="17"/>
          <w:szCs w:val="17"/>
          <w:color w:val="D64000"/>
        </w:rPr>
      </w:pPr>
      <w:r>
        <w:rPr>
          <w:rFonts w:ascii="Arial" w:cs="Arial" w:eastAsia="Arial" w:hAnsi="Arial"/>
          <w:sz w:val="17"/>
          <w:szCs w:val="17"/>
          <w:color w:val="auto"/>
        </w:rPr>
        <w:t>Provide an opportunity for directors to interact with key executives, high potential talent and customers; and</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5"/>
        </w:numPr>
        <w:rPr>
          <w:rFonts w:ascii="Arial" w:cs="Arial" w:eastAsia="Arial" w:hAnsi="Arial"/>
          <w:sz w:val="17"/>
          <w:szCs w:val="17"/>
          <w:color w:val="D64000"/>
        </w:rPr>
      </w:pPr>
      <w:r>
        <w:rPr>
          <w:rFonts w:ascii="Arial" w:cs="Arial" w:eastAsia="Arial" w:hAnsi="Arial"/>
          <w:sz w:val="17"/>
          <w:szCs w:val="17"/>
          <w:color w:val="auto"/>
        </w:rPr>
        <w:t>Give a broader selection of current and future executives the opportunity to meet directors.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Feedback on this program from directors and location hosts has been positive and it is expected to continue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Board Effectiveness Review</w:t>
      </w:r>
    </w:p>
    <w:p>
      <w:pPr>
        <w:spacing w:after="0" w:line="103"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The Corporate Governance Committee, together with the Lead Independent Director, reviews the effectiveness of the Board, its committees and individual directors annually. This review helps identify opportunities for continuing Board and director development and forms the basis of action plans for improving the Board and committee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assessment process is conducted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144780</wp:posOffset>
            </wp:positionV>
            <wp:extent cx="6012815" cy="1180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12815"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Each director is required to complete a detailed questionnaire which includes an individual self-assessment and an assessment of the Board and each committee they are a member of. Thomson Reuters General Counsel’s Office collects the completed questionnaires and summarizes the results in a report to the Lead Independent Director.</w:t>
      </w:r>
    </w:p>
    <w:p>
      <w:pPr>
        <w:spacing w:after="0" w:line="54" w:lineRule="exact"/>
        <w:rPr>
          <w:sz w:val="20"/>
          <w:szCs w:val="20"/>
          <w:color w:val="auto"/>
        </w:rPr>
      </w:pPr>
    </w:p>
    <w:p>
      <w:pPr>
        <w:ind w:right="720"/>
        <w:spacing w:after="0" w:line="263" w:lineRule="auto"/>
        <w:rPr>
          <w:sz w:val="20"/>
          <w:szCs w:val="20"/>
          <w:color w:val="auto"/>
        </w:rPr>
      </w:pPr>
      <w:r>
        <w:rPr>
          <w:rFonts w:ascii="Arial" w:cs="Arial" w:eastAsia="Arial" w:hAnsi="Arial"/>
          <w:sz w:val="17"/>
          <w:szCs w:val="17"/>
          <w:color w:val="auto"/>
        </w:rPr>
        <w:t>The Lead Independent Director then meets individually with each independent and non-independent director to discuss the results of the questionnaires, to assess the performance of the Board and its committees and to solicit peer evaluation.</w:t>
      </w:r>
    </w:p>
    <w:p>
      <w:pPr>
        <w:spacing w:after="0" w:line="2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Lead Independent Director initially prepares a summary of the outcome of the questionnaires and his one-on-one interviews for review and discussion with the Corporate Governance Committee before presenting the report to the Board. As part of this process, committee chairs receive feedback relating to the effectiveness and operation of the committees they oversee. The Corporate Governance Committee may make recommendations to the Board to improve the effectiveness of the Board in light of the results of the assessments. The Corporate Governance Committee monitors any priorities and action plans that are developed as a result of the evaluation process.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This process was most recently completed and reviewed with the Corporate Governance Committee and the Board in March 2026.</w:t>
      </w:r>
    </w:p>
    <w:p>
      <w:pPr>
        <w:spacing w:after="0" w:line="7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Corporate Governance Committee reviews the adequacy of the assessment process and the questionnaires periodically to take into account new trends and best practices.</w:t>
      </w:r>
    </w:p>
    <w:p>
      <w:pPr>
        <w:spacing w:after="0" w:line="4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Annually, the Board also reviews its responsibilities by assessing our corporate governance guidelines and each committee of the Board performs an annual review of its charter. The Corporate Governance Committee also reviews various position descriptions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46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56" w:name="page57"/>
    <w:bookmarkEnd w:id="56"/>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Conflicts of Interest and Transactions Involving Directors or Officers</w:t>
      </w:r>
    </w:p>
    <w:p>
      <w:pPr>
        <w:spacing w:after="0" w:line="10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In the case of any potential or actual conflict of interest, each director is required to inform the Board and executive officers are required to inform the CEO. We also ask our directors and executive officers about potential or actual conflicts of interest in annual questionnaires. Our policies on conflicts of interest are reflected in our Code of Business Conduct and Ethics, our Corporate Governance Guidelines and in supplemental guidance approved by the Board.</w:t>
      </w:r>
    </w:p>
    <w:p>
      <w:pPr>
        <w:spacing w:after="0" w:line="44" w:lineRule="exact"/>
        <w:rPr>
          <w:sz w:val="20"/>
          <w:szCs w:val="20"/>
          <w:color w:val="auto"/>
        </w:rPr>
      </w:pPr>
    </w:p>
    <w:p>
      <w:pPr>
        <w:ind w:right="420"/>
        <w:spacing w:after="0" w:line="241" w:lineRule="auto"/>
        <w:rPr>
          <w:sz w:val="20"/>
          <w:szCs w:val="20"/>
          <w:color w:val="auto"/>
        </w:rPr>
      </w:pPr>
      <w:r>
        <w:rPr>
          <w:rFonts w:ascii="Arial" w:cs="Arial" w:eastAsia="Arial" w:hAnsi="Arial"/>
          <w:sz w:val="17"/>
          <w:szCs w:val="17"/>
          <w:color w:val="auto"/>
        </w:rPr>
        <w:t>Unless otherwise expressly determined by the Board or relevant committee of the Board, a director who has a conflict of interest in a matter before the Board or such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w:t>
      </w:r>
    </w:p>
    <w:p>
      <w:pPr>
        <w:spacing w:after="0" w:line="57" w:lineRule="exact"/>
        <w:rPr>
          <w:sz w:val="20"/>
          <w:szCs w:val="20"/>
          <w:color w:val="auto"/>
        </w:rPr>
      </w:pPr>
    </w:p>
    <w:p>
      <w:pPr>
        <w:ind w:right="860"/>
        <w:spacing w:after="0" w:line="263" w:lineRule="auto"/>
        <w:rPr>
          <w:sz w:val="20"/>
          <w:szCs w:val="20"/>
          <w:color w:val="auto"/>
        </w:rPr>
      </w:pPr>
      <w:r>
        <w:rPr>
          <w:rFonts w:ascii="Arial" w:cs="Arial" w:eastAsia="Arial" w:hAnsi="Arial"/>
          <w:sz w:val="17"/>
          <w:szCs w:val="17"/>
          <w:color w:val="auto"/>
        </w:rPr>
        <w:t>If a director has a significant, ongoing and irreconcilable conflict, voluntary resignation from the Board or the conflicting interest may be appropriate or required.</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Related Party Transactions Policy</w:t>
      </w:r>
    </w:p>
    <w:p>
      <w:pPr>
        <w:spacing w:after="0" w:line="10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Under our current related party transactions policy, the disinterested members of the Corporate Governance Committee or an independent body of the Board conducts a reasonable prior review and oversight of related party transactions for potential conflicts of interests and will only approve such a transaction if it is determined that the transaction is in the best interests of Thomson Reuters and its stakeholders.</w:t>
      </w:r>
    </w:p>
    <w:p>
      <w:pPr>
        <w:spacing w:after="0" w:line="4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If it is not possible to convene a meeting of the Corporate Governance Committee to review and approve any such transaction in advance, then the Chair of the Corporate Governance Committee will consider whether the related party transaction is appropriate and, if so, will approve it. Any such transaction will be subject to ratification by the Corporate Governance Committee at its next regularly scheduled meeting.</w:t>
      </w:r>
    </w:p>
    <w:p>
      <w:pPr>
        <w:spacing w:after="0" w:line="54"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An “independent special committee” of the Board shall be established in connection with related party transactions when required pursuant to applicable Canadian law or otherwise determined to be advisable.</w:t>
      </w:r>
    </w:p>
    <w:p>
      <w:pPr>
        <w:spacing w:after="0" w:line="40" w:lineRule="exact"/>
        <w:rPr>
          <w:sz w:val="20"/>
          <w:szCs w:val="20"/>
          <w:color w:val="auto"/>
        </w:rPr>
      </w:pPr>
    </w:p>
    <w:p>
      <w:pPr>
        <w:ind w:right="960"/>
        <w:spacing w:after="0" w:line="263" w:lineRule="auto"/>
        <w:rPr>
          <w:sz w:val="20"/>
          <w:szCs w:val="20"/>
          <w:color w:val="auto"/>
        </w:rPr>
      </w:pPr>
      <w:r>
        <w:rPr>
          <w:rFonts w:ascii="Arial" w:cs="Arial" w:eastAsia="Arial" w:hAnsi="Arial"/>
          <w:sz w:val="17"/>
          <w:szCs w:val="17"/>
          <w:color w:val="auto"/>
        </w:rPr>
        <w:t>The company’s related party transactions policy includes various considerations for reviewing the relevant facts and circumstances of transactions and includes a set of related party transactions that are pre-approved for purposes of the policy.</w:t>
      </w:r>
    </w:p>
    <w:p>
      <w:pPr>
        <w:spacing w:after="0" w:line="26"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 director who may not be considered independent for purposes of a related party transaction (e.g., a director, including any immediate family member, who is a party to or has a potential conflict of interest in a proposed related party transaction, or has a material interest in any related party transaction or in a party to a related party transaction) is to disclose that fact and provide all material information concerning the transaction to the Chair of the Corporate Governance Committee and the Chief Legal Officer and Company Secretary as soon as they become aware. Any such director must not receive or review any written materials or correspondence related to the conflict subject area, nor attend any part of a meeting during which the matter is discussed or participate in any vote on the matter, except where the disinterested members of the Corporate Governance Committee have expressly determined that it is appropriate for him or her to do so.</w:t>
      </w:r>
    </w:p>
    <w:p>
      <w:pPr>
        <w:spacing w:after="0" w:line="5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All related party transactions that are required to be disclosed pursuant to Canadian law shall be disclosed in Thomson Reuters’ applicable filings with the Canadian securities regulatory authorities and/or the SEC.</w:t>
      </w:r>
    </w:p>
    <w:p>
      <w:pPr>
        <w:spacing w:after="0" w:line="40"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For more information about related party transactions in the last two years, please see the management’s discussion and analysis (MD&amp;A) section of our 2025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HR Committee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HR Committee is responsible for assisting the Board in fulfilling its oversight responsibilities in relation to:</w:t>
      </w:r>
    </w:p>
    <w:p>
      <w:pPr>
        <w:spacing w:after="0" w:line="85" w:lineRule="exact"/>
        <w:rPr>
          <w:sz w:val="20"/>
          <w:szCs w:val="20"/>
          <w:color w:val="auto"/>
        </w:rPr>
      </w:pPr>
    </w:p>
    <w:p>
      <w:pPr>
        <w:ind w:left="220" w:hanging="213"/>
        <w:spacing w:after="0"/>
        <w:tabs>
          <w:tab w:leader="none" w:pos="220" w:val="left"/>
        </w:tabs>
        <w:numPr>
          <w:ilvl w:val="0"/>
          <w:numId w:val="56"/>
        </w:numPr>
        <w:rPr>
          <w:rFonts w:ascii="Arial" w:cs="Arial" w:eastAsia="Arial" w:hAnsi="Arial"/>
          <w:sz w:val="17"/>
          <w:szCs w:val="17"/>
          <w:color w:val="D64000"/>
        </w:rPr>
      </w:pPr>
      <w:r>
        <w:rPr>
          <w:rFonts w:ascii="Arial" w:cs="Arial" w:eastAsia="Arial" w:hAnsi="Arial"/>
          <w:sz w:val="17"/>
          <w:szCs w:val="17"/>
          <w:color w:val="auto"/>
        </w:rPr>
        <w:t>the selection and retention of senior management;</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6"/>
        </w:numPr>
        <w:rPr>
          <w:rFonts w:ascii="Arial" w:cs="Arial" w:eastAsia="Arial" w:hAnsi="Arial"/>
          <w:sz w:val="17"/>
          <w:szCs w:val="17"/>
          <w:color w:val="D64000"/>
        </w:rPr>
      </w:pPr>
      <w:r>
        <w:rPr>
          <w:rFonts w:ascii="Arial" w:cs="Arial" w:eastAsia="Arial" w:hAnsi="Arial"/>
          <w:sz w:val="17"/>
          <w:szCs w:val="17"/>
          <w:color w:val="auto"/>
        </w:rPr>
        <w:t>planning for the succession of senior management;</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6"/>
        </w:numPr>
        <w:rPr>
          <w:rFonts w:ascii="Arial" w:cs="Arial" w:eastAsia="Arial" w:hAnsi="Arial"/>
          <w:sz w:val="17"/>
          <w:szCs w:val="17"/>
          <w:color w:val="D64000"/>
        </w:rPr>
      </w:pPr>
      <w:r>
        <w:rPr>
          <w:rFonts w:ascii="Arial" w:cs="Arial" w:eastAsia="Arial" w:hAnsi="Arial"/>
          <w:sz w:val="17"/>
          <w:szCs w:val="17"/>
          <w:color w:val="auto"/>
        </w:rPr>
        <w:t>talent and professional development for senior management;</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6"/>
        </w:numPr>
        <w:rPr>
          <w:rFonts w:ascii="Arial" w:cs="Arial" w:eastAsia="Arial" w:hAnsi="Arial"/>
          <w:sz w:val="17"/>
          <w:szCs w:val="17"/>
          <w:color w:val="D64000"/>
        </w:rPr>
      </w:pPr>
      <w:r>
        <w:rPr>
          <w:rFonts w:ascii="Arial" w:cs="Arial" w:eastAsia="Arial" w:hAnsi="Arial"/>
          <w:sz w:val="17"/>
          <w:szCs w:val="17"/>
          <w:color w:val="auto"/>
        </w:rPr>
        <w:t>the compensation of the CEO and other senior management and assessment of compensation risk;</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6"/>
        </w:numPr>
        <w:rPr>
          <w:rFonts w:ascii="Arial" w:cs="Arial" w:eastAsia="Arial" w:hAnsi="Arial"/>
          <w:sz w:val="17"/>
          <w:szCs w:val="17"/>
          <w:color w:val="D64000"/>
        </w:rPr>
      </w:pPr>
      <w:r>
        <w:rPr>
          <w:rFonts w:ascii="Arial" w:cs="Arial" w:eastAsia="Arial" w:hAnsi="Arial"/>
          <w:sz w:val="17"/>
          <w:szCs w:val="17"/>
          <w:color w:val="auto"/>
        </w:rPr>
        <w:t>human capital management;</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6"/>
        </w:numPr>
        <w:rPr>
          <w:rFonts w:ascii="Arial" w:cs="Arial" w:eastAsia="Arial" w:hAnsi="Arial"/>
          <w:sz w:val="17"/>
          <w:szCs w:val="17"/>
          <w:color w:val="D64000"/>
        </w:rPr>
      </w:pPr>
      <w:r>
        <w:rPr>
          <w:rFonts w:ascii="Arial" w:cs="Arial" w:eastAsia="Arial" w:hAnsi="Arial"/>
          <w:sz w:val="17"/>
          <w:szCs w:val="17"/>
          <w:color w:val="auto"/>
        </w:rPr>
        <w:t>the management of pension and significant benefit plans for employees; and</w:t>
      </w:r>
    </w:p>
    <w:p>
      <w:pPr>
        <w:spacing w:after="0" w:line="85" w:lineRule="exact"/>
        <w:rPr>
          <w:rFonts w:ascii="Arial" w:cs="Arial" w:eastAsia="Arial" w:hAnsi="Arial"/>
          <w:sz w:val="17"/>
          <w:szCs w:val="17"/>
          <w:color w:val="D64000"/>
        </w:rPr>
      </w:pPr>
    </w:p>
    <w:p>
      <w:pPr>
        <w:ind w:left="220" w:hanging="213"/>
        <w:spacing w:after="0"/>
        <w:tabs>
          <w:tab w:leader="none" w:pos="220" w:val="left"/>
        </w:tabs>
        <w:numPr>
          <w:ilvl w:val="0"/>
          <w:numId w:val="56"/>
        </w:numPr>
        <w:rPr>
          <w:rFonts w:ascii="Arial" w:cs="Arial" w:eastAsia="Arial" w:hAnsi="Arial"/>
          <w:sz w:val="17"/>
          <w:szCs w:val="17"/>
          <w:color w:val="D64000"/>
        </w:rPr>
      </w:pPr>
      <w:r>
        <w:rPr>
          <w:rFonts w:ascii="Arial" w:cs="Arial" w:eastAsia="Arial" w:hAnsi="Arial"/>
          <w:sz w:val="17"/>
          <w:szCs w:val="17"/>
          <w:color w:val="auto"/>
        </w:rPr>
        <w:t>any additional matters delegated to the HR Committee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47</w:t>
      </w:r>
    </w:p>
    <w:p>
      <w:pPr>
        <w:sectPr>
          <w:pgSz w:w="11900" w:h="16838" w:orient="portrait"/>
          <w:cols w:equalWidth="0" w:num="1">
            <w:col w:w="10920"/>
          </w:cols>
          <w:pgMar w:left="480" w:top="262" w:right="49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following table provides an overview of the HR Committee’s work plan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6929755" cy="153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2025 Primary HR Committee Activities</w:t>
      </w:r>
    </w:p>
    <w:p>
      <w:pPr>
        <w:sectPr>
          <w:pgSz w:w="11900" w:h="16838" w:orient="portrait"/>
          <w:cols w:equalWidth="0" w:num="1">
            <w:col w:w="10920"/>
          </w:cols>
          <w:pgMar w:left="480" w:top="264" w:right="499" w:bottom="1440" w:gutter="0" w:footer="0" w:header="0"/>
        </w:sectPr>
      </w:pPr>
    </w:p>
    <w:p>
      <w:pPr>
        <w:spacing w:after="0" w:line="37" w:lineRule="exact"/>
        <w:rPr>
          <w:sz w:val="20"/>
          <w:szCs w:val="20"/>
          <w:color w:val="auto"/>
        </w:rPr>
      </w:pPr>
    </w:p>
    <w:p>
      <w:pPr>
        <w:ind w:left="320" w:hanging="232"/>
        <w:spacing w:after="0"/>
        <w:tabs>
          <w:tab w:leader="none" w:pos="320" w:val="left"/>
        </w:tabs>
        <w:numPr>
          <w:ilvl w:val="0"/>
          <w:numId w:val="57"/>
        </w:numPr>
        <w:rPr>
          <w:rFonts w:ascii="Arial" w:cs="Arial" w:eastAsia="Arial" w:hAnsi="Arial"/>
          <w:sz w:val="16"/>
          <w:szCs w:val="16"/>
          <w:color w:val="D64000"/>
        </w:rPr>
      </w:pPr>
      <w:r>
        <w:rPr>
          <w:rFonts w:ascii="Arial" w:cs="Arial" w:eastAsia="Arial" w:hAnsi="Arial"/>
          <w:sz w:val="16"/>
          <w:szCs w:val="16"/>
          <w:color w:val="auto"/>
        </w:rPr>
        <w:t>Review target compensation for executive officers</w:t>
      </w:r>
    </w:p>
    <w:p>
      <w:pPr>
        <w:spacing w:after="0" w:line="11" w:lineRule="exact"/>
        <w:rPr>
          <w:rFonts w:ascii="Arial" w:cs="Arial" w:eastAsia="Arial" w:hAnsi="Arial"/>
          <w:sz w:val="16"/>
          <w:szCs w:val="16"/>
          <w:color w:val="D64000"/>
        </w:rPr>
      </w:pPr>
    </w:p>
    <w:p>
      <w:pPr>
        <w:ind w:left="320" w:right="80" w:hanging="232"/>
        <w:spacing w:after="0" w:line="244" w:lineRule="auto"/>
        <w:tabs>
          <w:tab w:leader="none" w:pos="320" w:val="left"/>
        </w:tabs>
        <w:numPr>
          <w:ilvl w:val="0"/>
          <w:numId w:val="57"/>
        </w:numPr>
        <w:rPr>
          <w:rFonts w:ascii="Arial" w:cs="Arial" w:eastAsia="Arial" w:hAnsi="Arial"/>
          <w:sz w:val="16"/>
          <w:szCs w:val="16"/>
          <w:color w:val="D64000"/>
        </w:rPr>
      </w:pPr>
      <w:r>
        <w:rPr>
          <w:rFonts w:ascii="Arial" w:cs="Arial" w:eastAsia="Arial" w:hAnsi="Arial"/>
          <w:sz w:val="16"/>
          <w:szCs w:val="16"/>
          <w:color w:val="auto"/>
        </w:rPr>
        <w:t>Evaluate the performance of the CEO and review evaluations of other executive officers</w:t>
      </w:r>
    </w:p>
    <w:p>
      <w:pPr>
        <w:ind w:left="320" w:hanging="232"/>
        <w:spacing w:after="0"/>
        <w:tabs>
          <w:tab w:leader="none" w:pos="320" w:val="left"/>
        </w:tabs>
        <w:numPr>
          <w:ilvl w:val="0"/>
          <w:numId w:val="57"/>
        </w:numPr>
        <w:rPr>
          <w:rFonts w:ascii="Arial" w:cs="Arial" w:eastAsia="Arial" w:hAnsi="Arial"/>
          <w:sz w:val="16"/>
          <w:szCs w:val="16"/>
          <w:color w:val="D64000"/>
        </w:rPr>
      </w:pPr>
      <w:r>
        <w:rPr>
          <w:rFonts w:ascii="Arial" w:cs="Arial" w:eastAsia="Arial" w:hAnsi="Arial"/>
          <w:sz w:val="16"/>
          <w:szCs w:val="16"/>
          <w:color w:val="auto"/>
        </w:rPr>
        <w:t>Approve 2024 annual incentive award payouts</w:t>
      </w:r>
    </w:p>
    <w:p>
      <w:pPr>
        <w:spacing w:after="0" w:line="3" w:lineRule="exact"/>
        <w:rPr>
          <w:rFonts w:ascii="Arial" w:cs="Arial" w:eastAsia="Arial" w:hAnsi="Arial"/>
          <w:sz w:val="16"/>
          <w:szCs w:val="16"/>
          <w:color w:val="D64000"/>
        </w:rPr>
      </w:pPr>
    </w:p>
    <w:p>
      <w:pPr>
        <w:ind w:left="320" w:hanging="232"/>
        <w:spacing w:after="0" w:line="244" w:lineRule="auto"/>
        <w:tabs>
          <w:tab w:leader="none" w:pos="320" w:val="left"/>
        </w:tabs>
        <w:numPr>
          <w:ilvl w:val="0"/>
          <w:numId w:val="57"/>
        </w:numPr>
        <w:rPr>
          <w:rFonts w:ascii="Arial" w:cs="Arial" w:eastAsia="Arial" w:hAnsi="Arial"/>
          <w:sz w:val="16"/>
          <w:szCs w:val="16"/>
          <w:color w:val="D64000"/>
        </w:rPr>
      </w:pPr>
      <w:r>
        <w:rPr>
          <w:rFonts w:ascii="Arial" w:cs="Arial" w:eastAsia="Arial" w:hAnsi="Arial"/>
          <w:sz w:val="16"/>
          <w:szCs w:val="16"/>
          <w:color w:val="auto"/>
        </w:rPr>
        <w:t>Approve 2025 annual and long-term incentive award design, the mix of cash and equity compensation, the allocation of equity-based awards, and performance goals</w:t>
      </w:r>
    </w:p>
    <w:p>
      <w:pPr>
        <w:ind w:left="320" w:hanging="232"/>
        <w:spacing w:after="0"/>
        <w:tabs>
          <w:tab w:leader="none" w:pos="320" w:val="left"/>
        </w:tabs>
        <w:numPr>
          <w:ilvl w:val="0"/>
          <w:numId w:val="57"/>
        </w:numPr>
        <w:rPr>
          <w:rFonts w:ascii="Arial" w:cs="Arial" w:eastAsia="Arial" w:hAnsi="Arial"/>
          <w:sz w:val="16"/>
          <w:szCs w:val="16"/>
          <w:color w:val="D64000"/>
        </w:rPr>
      </w:pPr>
      <w:r>
        <w:rPr>
          <w:rFonts w:ascii="Arial" w:cs="Arial" w:eastAsia="Arial" w:hAnsi="Arial"/>
          <w:sz w:val="16"/>
          <w:szCs w:val="16"/>
          <w:color w:val="auto"/>
        </w:rPr>
        <w:t>Discuss 2025 annual and long-term incentive award design</w:t>
      </w:r>
    </w:p>
    <w:p>
      <w:pPr>
        <w:spacing w:after="0" w:line="3" w:lineRule="exact"/>
        <w:rPr>
          <w:rFonts w:ascii="Arial" w:cs="Arial" w:eastAsia="Arial" w:hAnsi="Arial"/>
          <w:sz w:val="16"/>
          <w:szCs w:val="16"/>
          <w:color w:val="D64000"/>
        </w:rPr>
      </w:pPr>
    </w:p>
    <w:p>
      <w:pPr>
        <w:ind w:left="320" w:right="240" w:hanging="232"/>
        <w:spacing w:after="0" w:line="258" w:lineRule="auto"/>
        <w:tabs>
          <w:tab w:leader="none" w:pos="320" w:val="left"/>
        </w:tabs>
        <w:numPr>
          <w:ilvl w:val="0"/>
          <w:numId w:val="57"/>
        </w:numPr>
        <w:rPr>
          <w:rFonts w:ascii="Arial" w:cs="Arial" w:eastAsia="Arial" w:hAnsi="Arial"/>
          <w:sz w:val="16"/>
          <w:szCs w:val="16"/>
          <w:color w:val="D64000"/>
        </w:rPr>
      </w:pPr>
      <w:r>
        <w:rPr>
          <w:rFonts w:ascii="Arial" w:cs="Arial" w:eastAsia="Arial" w:hAnsi="Arial"/>
          <w:sz w:val="16"/>
          <w:szCs w:val="16"/>
          <w:color w:val="auto"/>
        </w:rPr>
        <w:t>Approve compensation disclosure in the annual management proxy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92975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48" w:right="240" w:hanging="248"/>
        <w:spacing w:after="0" w:line="248" w:lineRule="auto"/>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Discuss human capital management matters such as talent, organizational health and culture, internal adoption of AI and ESG matters</w:t>
      </w:r>
    </w:p>
    <w:p>
      <w:pPr>
        <w:ind w:left="248" w:hanging="248"/>
        <w:spacing w:after="0"/>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Review succession planning</w:t>
      </w:r>
    </w:p>
    <w:p>
      <w:pPr>
        <w:spacing w:after="0" w:line="3" w:lineRule="exact"/>
        <w:rPr>
          <w:rFonts w:ascii="Arial" w:cs="Arial" w:eastAsia="Arial" w:hAnsi="Arial"/>
          <w:sz w:val="16"/>
          <w:szCs w:val="16"/>
          <w:color w:val="D64000"/>
        </w:rPr>
      </w:pPr>
    </w:p>
    <w:p>
      <w:pPr>
        <w:ind w:left="248" w:hanging="248"/>
        <w:spacing w:after="0"/>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Review compensation program risk assessment</w:t>
      </w:r>
    </w:p>
    <w:p>
      <w:pPr>
        <w:spacing w:after="0" w:line="3" w:lineRule="exact"/>
        <w:rPr>
          <w:rFonts w:ascii="Arial" w:cs="Arial" w:eastAsia="Arial" w:hAnsi="Arial"/>
          <w:sz w:val="16"/>
          <w:szCs w:val="16"/>
          <w:color w:val="D64000"/>
        </w:rPr>
      </w:pPr>
    </w:p>
    <w:p>
      <w:pPr>
        <w:ind w:left="248" w:hanging="248"/>
        <w:spacing w:after="0"/>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Review compensation trends and regulatory developments</w:t>
      </w:r>
    </w:p>
    <w:p>
      <w:pPr>
        <w:spacing w:after="0" w:line="3" w:lineRule="exact"/>
        <w:rPr>
          <w:rFonts w:ascii="Arial" w:cs="Arial" w:eastAsia="Arial" w:hAnsi="Arial"/>
          <w:sz w:val="16"/>
          <w:szCs w:val="16"/>
          <w:color w:val="D64000"/>
        </w:rPr>
      </w:pPr>
    </w:p>
    <w:p>
      <w:pPr>
        <w:ind w:left="248" w:hanging="248"/>
        <w:spacing w:after="0"/>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Review equity share plan reserve analysis</w:t>
      </w:r>
    </w:p>
    <w:p>
      <w:pPr>
        <w:spacing w:after="0" w:line="3" w:lineRule="exact"/>
        <w:rPr>
          <w:rFonts w:ascii="Arial" w:cs="Arial" w:eastAsia="Arial" w:hAnsi="Arial"/>
          <w:sz w:val="16"/>
          <w:szCs w:val="16"/>
          <w:color w:val="D64000"/>
        </w:rPr>
      </w:pPr>
    </w:p>
    <w:p>
      <w:pPr>
        <w:ind w:left="248" w:hanging="248"/>
        <w:spacing w:after="0"/>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Evaluate outcome of “Say on pay” vote</w:t>
      </w:r>
    </w:p>
    <w:p>
      <w:pPr>
        <w:spacing w:after="0" w:line="3" w:lineRule="exact"/>
        <w:rPr>
          <w:rFonts w:ascii="Arial" w:cs="Arial" w:eastAsia="Arial" w:hAnsi="Arial"/>
          <w:sz w:val="16"/>
          <w:szCs w:val="16"/>
          <w:color w:val="D64000"/>
        </w:rPr>
      </w:pPr>
    </w:p>
    <w:p>
      <w:pPr>
        <w:ind w:left="248" w:hanging="248"/>
        <w:spacing w:after="0"/>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Review key global retirement plans</w:t>
      </w:r>
    </w:p>
    <w:p>
      <w:pPr>
        <w:spacing w:after="0" w:line="3" w:lineRule="exact"/>
        <w:rPr>
          <w:rFonts w:ascii="Arial" w:cs="Arial" w:eastAsia="Arial" w:hAnsi="Arial"/>
          <w:sz w:val="16"/>
          <w:szCs w:val="16"/>
          <w:color w:val="D64000"/>
        </w:rPr>
      </w:pPr>
    </w:p>
    <w:p>
      <w:pPr>
        <w:ind w:left="248" w:hanging="248"/>
        <w:spacing w:after="0"/>
        <w:tabs>
          <w:tab w:leader="none" w:pos="248" w:val="left"/>
        </w:tabs>
        <w:numPr>
          <w:ilvl w:val="0"/>
          <w:numId w:val="58"/>
        </w:numPr>
        <w:rPr>
          <w:rFonts w:ascii="Arial" w:cs="Arial" w:eastAsia="Arial" w:hAnsi="Arial"/>
          <w:sz w:val="16"/>
          <w:szCs w:val="16"/>
          <w:color w:val="D64000"/>
        </w:rPr>
      </w:pPr>
      <w:r>
        <w:rPr>
          <w:rFonts w:ascii="Arial" w:cs="Arial" w:eastAsia="Arial" w:hAnsi="Arial"/>
          <w:sz w:val="16"/>
          <w:szCs w:val="16"/>
          <w:color w:val="auto"/>
        </w:rPr>
        <w:t>Review senior management’s share ownership guidelines</w:t>
      </w:r>
    </w:p>
    <w:p>
      <w:pPr>
        <w:spacing w:after="0" w:line="166" w:lineRule="exact"/>
        <w:rPr>
          <w:sz w:val="20"/>
          <w:szCs w:val="20"/>
          <w:color w:val="auto"/>
        </w:rPr>
      </w:pPr>
    </w:p>
    <w:p>
      <w:pPr>
        <w:sectPr>
          <w:pgSz w:w="11900" w:h="16838" w:orient="portrait"/>
          <w:cols w:equalWidth="0" w:num="2">
            <w:col w:w="5360" w:space="412"/>
            <w:col w:w="5148"/>
          </w:cols>
          <w:pgMar w:left="480" w:top="264" w:right="499" w:bottom="1440" w:gutter="0" w:footer="0" w:header="0"/>
          <w:type w:val="continuous"/>
        </w:sectPr>
      </w:pPr>
    </w:p>
    <w:p>
      <w:pPr>
        <w:ind w:right="640"/>
        <w:spacing w:after="0" w:line="263" w:lineRule="auto"/>
        <w:rPr>
          <w:sz w:val="20"/>
          <w:szCs w:val="20"/>
          <w:color w:val="auto"/>
        </w:rPr>
      </w:pPr>
      <w:r>
        <w:rPr>
          <w:rFonts w:ascii="Arial" w:cs="Arial" w:eastAsia="Arial" w:hAnsi="Arial"/>
          <w:sz w:val="17"/>
          <w:szCs w:val="17"/>
          <w:color w:val="auto"/>
        </w:rPr>
        <w:t>The following is a brief summary of the experience of each director nominee who is a member of the HR Committee that is relevant to the performance of his or her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56515</wp:posOffset>
            </wp:positionV>
            <wp:extent cx="8255" cy="186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866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20" w:type="dxa"/>
            <w:vAlign w:val="bottom"/>
          </w:tcPr>
          <w:p>
            <w:pPr>
              <w:spacing w:after="0"/>
              <w:rPr>
                <w:sz w:val="24"/>
                <w:szCs w:val="24"/>
                <w:color w:val="auto"/>
              </w:rPr>
            </w:pPr>
          </w:p>
        </w:tc>
        <w:tc>
          <w:tcPr>
            <w:tcW w:w="2620" w:type="dxa"/>
            <w:vAlign w:val="bottom"/>
            <w:tcBorders>
              <w:bottom w:val="single" w:sz="8" w:color="1F473D"/>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HR Committee Member</w:t>
            </w:r>
          </w:p>
        </w:tc>
        <w:tc>
          <w:tcPr>
            <w:tcW w:w="8280" w:type="dxa"/>
            <w:vAlign w:val="bottom"/>
            <w:tcBorders>
              <w:bottom w:val="single" w:sz="8" w:color="1F473D"/>
            </w:tcBorders>
            <w:shd w:val="clear" w:color="auto" w:fill="1F473D"/>
          </w:tcPr>
          <w:p>
            <w:pPr>
              <w:ind w:left="100"/>
              <w:spacing w:after="0"/>
              <w:rPr>
                <w:sz w:val="20"/>
                <w:szCs w:val="20"/>
                <w:color w:val="auto"/>
              </w:rPr>
            </w:pPr>
            <w:r>
              <w:rPr>
                <w:rFonts w:ascii="Arial" w:cs="Arial" w:eastAsia="Arial" w:hAnsi="Arial"/>
                <w:sz w:val="16"/>
                <w:szCs w:val="16"/>
                <w:b w:val="1"/>
                <w:bCs w:val="1"/>
                <w:color w:val="FFFFFF"/>
              </w:rPr>
              <w:t>Experience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b w:val="1"/>
                <w:bCs w:val="1"/>
                <w:color w:val="auto"/>
              </w:rPr>
              <w:t>Simon Paris (Chair)</w:t>
            </w:r>
          </w:p>
        </w:tc>
        <w:tc>
          <w:tcPr>
            <w:tcW w:w="8280" w:type="dxa"/>
            <w:vAlign w:val="bottom"/>
            <w:tcBorders>
              <w:top w:val="single" w:sz="8" w:color="D64000"/>
            </w:tcBorders>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Chief Executive Officer of Unit4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right w:val="single" w:sz="8" w:color="B2B2B2"/>
            </w:tcBorders>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Chief Executive Officer of Finastra</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Human capital management expertise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Familiarity with global compensation standards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20" w:type="dxa"/>
            <w:vAlign w:val="bottom"/>
            <w:tcBorders>
              <w:bottom w:val="single" w:sz="8" w:color="AFAFAF"/>
              <w:right w:val="single" w:sz="8" w:color="B2B2B2"/>
            </w:tcBorders>
          </w:tcPr>
          <w:p>
            <w:pPr>
              <w:spacing w:after="0"/>
              <w:rPr>
                <w:sz w:val="3"/>
                <w:szCs w:val="3"/>
                <w:color w:val="auto"/>
              </w:rPr>
            </w:pPr>
          </w:p>
        </w:tc>
        <w:tc>
          <w:tcPr>
            <w:tcW w:w="82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6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Kirk E. Arnold</w:t>
            </w: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Member of Trane Technologies PLC human resources and compensation committee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20" w:type="dxa"/>
            <w:vAlign w:val="bottom"/>
            <w:tcBorders>
              <w:right w:val="single" w:sz="8" w:color="B2B2B2"/>
            </w:tcBorders>
          </w:tcPr>
          <w:p>
            <w:pPr>
              <w:spacing w:after="0"/>
              <w:rPr>
                <w:sz w:val="16"/>
                <w:szCs w:val="16"/>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Member of the Board of Directors of The Predictive Index, a private software company focused on human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right w:val="single" w:sz="8" w:color="B2B2B2"/>
            </w:tcBorders>
          </w:tcPr>
          <w:p>
            <w:pPr>
              <w:spacing w:after="0"/>
              <w:rPr>
                <w:sz w:val="18"/>
                <w:szCs w:val="18"/>
                <w:color w:val="auto"/>
              </w:rPr>
            </w:pPr>
          </w:p>
        </w:tc>
        <w:tc>
          <w:tcPr>
            <w:tcW w:w="8280" w:type="dxa"/>
            <w:vAlign w:val="bottom"/>
          </w:tcPr>
          <w:p>
            <w:pPr>
              <w:ind w:left="260"/>
              <w:spacing w:after="0"/>
              <w:rPr>
                <w:sz w:val="20"/>
                <w:szCs w:val="20"/>
                <w:color w:val="auto"/>
              </w:rPr>
            </w:pPr>
            <w:r>
              <w:rPr>
                <w:rFonts w:ascii="Arial" w:cs="Arial" w:eastAsia="Arial" w:hAnsi="Arial"/>
                <w:sz w:val="16"/>
                <w:szCs w:val="16"/>
                <w:color w:val="auto"/>
              </w:rPr>
              <w:t>resource engagement tools and leadership practices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Senior Lecturer at MIT Sloan School of Management, including teaching a course on compensation strategies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Chief Executive Officer of Data Intensity, Inc., Keane, Inc. and NerveWire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Chair of Ingersoll Rand Inc. compensation committee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20" w:type="dxa"/>
            <w:vAlign w:val="bottom"/>
            <w:tcBorders>
              <w:bottom w:val="single" w:sz="8" w:color="AFAFAF"/>
              <w:right w:val="single" w:sz="8" w:color="B2B2B2"/>
            </w:tcBorders>
          </w:tcPr>
          <w:p>
            <w:pPr>
              <w:spacing w:after="0"/>
              <w:rPr>
                <w:sz w:val="3"/>
                <w:szCs w:val="3"/>
                <w:color w:val="auto"/>
              </w:rPr>
            </w:pPr>
          </w:p>
        </w:tc>
        <w:tc>
          <w:tcPr>
            <w:tcW w:w="82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6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Michael Friisdahl</w:t>
            </w: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President and CEO of Maple Leaf Sports and Entertainment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right w:val="single" w:sz="8" w:color="B2B2B2"/>
            </w:tcBorders>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CEO of Air Canada Leisure Group</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CEO of Thomas Cook North America</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Executive Chairman of Signature Aviation</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20" w:type="dxa"/>
            <w:vAlign w:val="bottom"/>
            <w:tcBorders>
              <w:bottom w:val="single" w:sz="8" w:color="AFAFAF"/>
              <w:right w:val="single" w:sz="8" w:color="B2B2B2"/>
            </w:tcBorders>
          </w:tcPr>
          <w:p>
            <w:pPr>
              <w:spacing w:after="0"/>
              <w:rPr>
                <w:sz w:val="3"/>
                <w:szCs w:val="3"/>
                <w:color w:val="auto"/>
              </w:rPr>
            </w:pPr>
          </w:p>
        </w:tc>
        <w:tc>
          <w:tcPr>
            <w:tcW w:w="82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6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Kirk Koenigsbauer</w:t>
            </w: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Chief Operating Officer and Corporate Vice President, Experiences and Devices, at Microsoft Corporation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right w:val="single" w:sz="8" w:color="B2B2B2"/>
            </w:tcBorders>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Familiarity with global compensation standards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20" w:type="dxa"/>
            <w:vAlign w:val="bottom"/>
            <w:tcBorders>
              <w:bottom w:val="single" w:sz="8" w:color="AFAFAF"/>
              <w:right w:val="single" w:sz="8" w:color="B2B2B2"/>
            </w:tcBorders>
          </w:tcPr>
          <w:p>
            <w:pPr>
              <w:spacing w:after="0"/>
              <w:rPr>
                <w:sz w:val="3"/>
                <w:szCs w:val="3"/>
                <w:color w:val="auto"/>
              </w:rPr>
            </w:pPr>
          </w:p>
        </w:tc>
        <w:tc>
          <w:tcPr>
            <w:tcW w:w="82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6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Barry Salzberg</w:t>
            </w: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Global Chief Executive Officer of Deloitte Touche Tohmatsu Limited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right w:val="single" w:sz="8" w:color="B2B2B2"/>
            </w:tcBorders>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Familiarity with global compensation standards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20" w:type="dxa"/>
            <w:vAlign w:val="bottom"/>
            <w:tcBorders>
              <w:bottom w:val="single" w:sz="8" w:color="AFAFAF"/>
              <w:right w:val="single" w:sz="8" w:color="B2B2B2"/>
            </w:tcBorders>
          </w:tcPr>
          <w:p>
            <w:pPr>
              <w:spacing w:after="0"/>
              <w:rPr>
                <w:sz w:val="3"/>
                <w:szCs w:val="3"/>
                <w:color w:val="auto"/>
              </w:rPr>
            </w:pPr>
          </w:p>
        </w:tc>
        <w:tc>
          <w:tcPr>
            <w:tcW w:w="82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6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Peter J. Thomson</w:t>
            </w: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Chair of Woodbridge and familiar with compensation programs at many companies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right w:val="single" w:sz="8" w:color="B2B2B2"/>
            </w:tcBorders>
          </w:tcPr>
          <w:p>
            <w:pPr>
              <w:spacing w:after="0"/>
              <w:rPr>
                <w:sz w:val="18"/>
                <w:szCs w:val="18"/>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Familiarity with global compensation standards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20" w:type="dxa"/>
            <w:vAlign w:val="bottom"/>
            <w:tcBorders>
              <w:bottom w:val="single" w:sz="8" w:color="AFAFAF"/>
              <w:right w:val="single" w:sz="8" w:color="B2B2B2"/>
            </w:tcBorders>
          </w:tcPr>
          <w:p>
            <w:pPr>
              <w:spacing w:after="0"/>
              <w:rPr>
                <w:sz w:val="3"/>
                <w:szCs w:val="3"/>
                <w:color w:val="auto"/>
              </w:rPr>
            </w:pPr>
          </w:p>
        </w:tc>
        <w:tc>
          <w:tcPr>
            <w:tcW w:w="8280" w:type="dxa"/>
            <w:vAlign w:val="bottom"/>
            <w:tcBorders>
              <w:bottom w:val="single" w:sz="8" w:color="AFAFAF"/>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620" w:type="dxa"/>
            <w:vAlign w:val="bottom"/>
            <w:tcBorders>
              <w:right w:val="single" w:sz="8" w:color="B2B2B2"/>
            </w:tcBorders>
          </w:tcPr>
          <w:p>
            <w:pPr>
              <w:spacing w:after="0" w:line="167" w:lineRule="exact"/>
              <w:rPr>
                <w:sz w:val="20"/>
                <w:szCs w:val="20"/>
                <w:color w:val="auto"/>
              </w:rPr>
            </w:pPr>
            <w:r>
              <w:rPr>
                <w:rFonts w:ascii="Arial" w:cs="Arial" w:eastAsia="Arial" w:hAnsi="Arial"/>
                <w:sz w:val="16"/>
                <w:szCs w:val="16"/>
                <w:b w:val="1"/>
                <w:bCs w:val="1"/>
                <w:color w:val="auto"/>
              </w:rPr>
              <w:t>Beth Wilson</w:t>
            </w:r>
          </w:p>
        </w:tc>
        <w:tc>
          <w:tcPr>
            <w:tcW w:w="8280" w:type="dxa"/>
            <w:vAlign w:val="bottom"/>
          </w:tcPr>
          <w:p>
            <w:pPr>
              <w:ind w:left="100"/>
              <w:spacing w:after="0" w:line="167" w:lineRule="exact"/>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Director at Woodgreen Community Services, The Hospital for Sick Children, IGM Financial Inc., Fountain Tire,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tcBorders>
              <w:right w:val="single" w:sz="8" w:color="B2B2B2"/>
            </w:tcBorders>
          </w:tcPr>
          <w:p>
            <w:pPr>
              <w:spacing w:after="0"/>
              <w:rPr>
                <w:sz w:val="18"/>
                <w:szCs w:val="18"/>
                <w:color w:val="auto"/>
              </w:rPr>
            </w:pPr>
          </w:p>
        </w:tc>
        <w:tc>
          <w:tcPr>
            <w:tcW w:w="8280" w:type="dxa"/>
            <w:vAlign w:val="bottom"/>
          </w:tcPr>
          <w:p>
            <w:pPr>
              <w:ind w:left="260"/>
              <w:spacing w:after="0"/>
              <w:rPr>
                <w:sz w:val="20"/>
                <w:szCs w:val="20"/>
                <w:color w:val="auto"/>
              </w:rPr>
            </w:pPr>
            <w:r>
              <w:rPr>
                <w:rFonts w:ascii="Arial" w:cs="Arial" w:eastAsia="Arial" w:hAnsi="Arial"/>
                <w:sz w:val="16"/>
                <w:szCs w:val="16"/>
                <w:color w:val="auto"/>
              </w:rPr>
              <w:t>and Power Corporation of Canada</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Chief Human Resources Officer at KPMG</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Borders>
              <w:right w:val="single" w:sz="8" w:color="B2B2B2"/>
            </w:tcBorders>
          </w:tcPr>
          <w:p>
            <w:pPr>
              <w:spacing w:after="0"/>
              <w:rPr>
                <w:sz w:val="19"/>
                <w:szCs w:val="19"/>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Chief Executive Officer at Dentons LLP</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20" w:type="dxa"/>
            <w:vAlign w:val="bottom"/>
            <w:tcBorders>
              <w:right w:val="single" w:sz="8" w:color="B2B2B2"/>
            </w:tcBorders>
          </w:tcPr>
          <w:p>
            <w:pPr>
              <w:spacing w:after="0"/>
              <w:rPr>
                <w:sz w:val="23"/>
                <w:szCs w:val="23"/>
                <w:color w:val="auto"/>
              </w:rPr>
            </w:pPr>
          </w:p>
        </w:tc>
        <w:tc>
          <w:tcPr>
            <w:tcW w:w="8280" w:type="dxa"/>
            <w:vAlign w:val="bottom"/>
          </w:tcPr>
          <w:p>
            <w:pPr>
              <w:ind w:left="10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Familiarity with global compensation standards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20" w:type="dxa"/>
            <w:vAlign w:val="bottom"/>
            <w:tcBorders>
              <w:right w:val="single" w:sz="8" w:color="D64000"/>
            </w:tcBorders>
            <w:shd w:val="clear" w:color="auto" w:fill="D64000"/>
          </w:tcPr>
          <w:p>
            <w:pPr>
              <w:spacing w:after="0"/>
              <w:rPr>
                <w:sz w:val="2"/>
                <w:szCs w:val="2"/>
                <w:color w:val="auto"/>
              </w:rPr>
            </w:pPr>
          </w:p>
        </w:tc>
        <w:tc>
          <w:tcPr>
            <w:tcW w:w="8280" w:type="dxa"/>
            <w:vAlign w:val="bottom"/>
            <w:shd w:val="clear" w:color="auto" w:fill="D64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Compensation Planning</w:t>
      </w:r>
    </w:p>
    <w:p>
      <w:pPr>
        <w:spacing w:after="0" w:line="89"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HR Committee’s responsibilities include establishing, implementing and overseeing our compensation policies and programs. A detailed discussion of the HR Committee’s responsibilities in this area is provided in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297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48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CEO Performance Evaluation and Objectives Setting</w:t>
      </w:r>
    </w:p>
    <w:p>
      <w:pPr>
        <w:spacing w:after="0" w:line="116"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HR Committee assists the Board in setting objectives each year for the CEO. The HR Committee and the Board evaluate the performance of the CEO against these objectives at year end. The HR Committee reports to the full Board on the objectives for the forthcoming year and the performance against objectives in the preceding year. The HR Committee also maintains a written position description for the CEO.</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Succession Planning</w:t>
      </w:r>
    </w:p>
    <w:p>
      <w:pPr>
        <w:spacing w:after="0" w:line="116"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With respect to succession, Thomson Reuters has a comprehensive succession planning program at various levels within the organization to ensure our future teams have the skills and capabilities to execute our business strategy and that we have effective continuity and risk management in place for planned and unplanned changes.</w:t>
      </w:r>
    </w:p>
    <w:p>
      <w:pPr>
        <w:spacing w:after="0" w:line="5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Board is responsible for ensuring that Thomson Reuters has a process in place to provide for the development, evaluation and succession of the CEO and other members of senior management. The Board of Directors fulfills this responsibility with the support of the HR Committee, which considers the policies and principles for the selection and retention of senior management and makes recommendations on the assessment and compensation of the CEO and certain other senior management.</w:t>
      </w:r>
    </w:p>
    <w:p>
      <w:pPr>
        <w:spacing w:after="0" w:line="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 part of its responsibilities, the HR Committee also reviews and monitors Thomson Reuters’ succession plan for senior management. Biannually, the Chief Executive Officer and Chief People Officer complete a thorough talent review with senior management with respect to hundreds of key talent roles within the organization. The findings from this process form the foundation for the succession plan report covering a number of critical roles, including the CEO and other senior management, that the Chief People Officer prepares for the HR Committee. For each critical position, a pool of Ready Now, On-Deck (Ready in 1 – 3 Years) and In-Future (Ready in 3+ Years) candidates is identified. If a talent gap or risk is identified, a development plan is put in place to find and prepare potential successors. Individualized development plans may include lateral movements to diversify exposure, leadership training, mentoring and other special programs. In addition to this, each Committee conducts an annual review of succession candidates for key roles within its mandate.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Human Capital Management</w:t>
      </w:r>
    </w:p>
    <w:p>
      <w:pPr>
        <w:spacing w:after="0" w:line="11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Our human capital practices and initiatives are designed to attract, develop and retain talented employees across our global business. We aim to ensure employees feel valued, have meaningful opportunities to grow, and are empowered to succeed. Our priorities span key areas including compensation and benefits, culture and engagement, talent acquisition, learning and development, and inclusion and belonging.</w:t>
      </w:r>
    </w:p>
    <w:p>
      <w:pPr>
        <w:spacing w:after="0" w:line="54"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We are continuing to build talent for the future by integrating AI into day-to-day work, strengthening business acumen, and deepening knowledge of our evolving product portfolio and customers. In 2025, we launched refreshed values to support how we work and guide our decisions and behaviors for how we deliver for our customers and colleagues.</w:t>
      </w:r>
    </w:p>
    <w:p>
      <w:pPr>
        <w:spacing w:after="0" w:line="54"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We remain committed to career development through Grow My Way, an initiative that supports continuous skill building and enables leaders to deploy talent effectively as business needs change. As our AI capabilities mature, we are shifting from measuring AI tool adoption alone to capturing the operational and business impacts enabled – such as improved cycle times, quality, customer outcomes, and productivity.</w:t>
      </w:r>
    </w:p>
    <w:p>
      <w:pPr>
        <w:spacing w:after="0" w:line="41"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Supporting and developing people leaders remains a priority. In 2025, we focused on building skills around critical conversations and leading through ambiguity. We will continue broadening people leader development with the introduction of Leading at TR with upskilling focus areas around setting clear goals, delivering quality feedback, improving empowerment and decision making, and leading change. This leadership program is designed to strengthen leadership effectiveness at all levels, accelerate performance, and reinforce a culture of accountability, collaboration, and results.</w:t>
      </w:r>
    </w:p>
    <w:p>
      <w:pPr>
        <w:spacing w:after="0" w:line="61"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Our investments in learning, career development, and AI are reflected in employee feedback. In our most recent organizational health survey, scores related to learning and innovation rose 2 points and remain top quartile, with:</w:t>
      </w:r>
    </w:p>
    <w:p>
      <w:pPr>
        <w:spacing w:after="0" w:line="66" w:lineRule="exact"/>
        <w:rPr>
          <w:sz w:val="20"/>
          <w:szCs w:val="20"/>
          <w:color w:val="auto"/>
        </w:rPr>
      </w:pPr>
    </w:p>
    <w:p>
      <w:pPr>
        <w:ind w:left="320" w:hanging="313"/>
        <w:spacing w:after="0"/>
        <w:tabs>
          <w:tab w:leader="none" w:pos="320" w:val="left"/>
        </w:tabs>
        <w:numPr>
          <w:ilvl w:val="0"/>
          <w:numId w:val="59"/>
        </w:numPr>
        <w:rPr>
          <w:rFonts w:ascii="Arial" w:cs="Arial" w:eastAsia="Arial" w:hAnsi="Arial"/>
          <w:sz w:val="17"/>
          <w:szCs w:val="17"/>
          <w:color w:val="D64000"/>
        </w:rPr>
      </w:pPr>
      <w:r>
        <w:rPr>
          <w:rFonts w:ascii="Arial" w:cs="Arial" w:eastAsia="Arial" w:hAnsi="Arial"/>
          <w:sz w:val="17"/>
          <w:szCs w:val="17"/>
          <w:color w:val="auto"/>
        </w:rPr>
        <w:t>79% of employees indicating they are building skills that equip them for the future, and</w:t>
      </w:r>
    </w:p>
    <w:p>
      <w:pPr>
        <w:spacing w:after="0" w:line="112" w:lineRule="exact"/>
        <w:rPr>
          <w:rFonts w:ascii="Arial" w:cs="Arial" w:eastAsia="Arial" w:hAnsi="Arial"/>
          <w:sz w:val="17"/>
          <w:szCs w:val="17"/>
          <w:color w:val="D64000"/>
        </w:rPr>
      </w:pPr>
    </w:p>
    <w:p>
      <w:pPr>
        <w:ind w:left="320" w:hanging="313"/>
        <w:spacing w:after="0"/>
        <w:tabs>
          <w:tab w:leader="none" w:pos="320" w:val="left"/>
        </w:tabs>
        <w:numPr>
          <w:ilvl w:val="0"/>
          <w:numId w:val="59"/>
        </w:numPr>
        <w:rPr>
          <w:rFonts w:ascii="Arial" w:cs="Arial" w:eastAsia="Arial" w:hAnsi="Arial"/>
          <w:sz w:val="17"/>
          <w:szCs w:val="17"/>
          <w:color w:val="D64000"/>
        </w:rPr>
      </w:pPr>
      <w:r>
        <w:rPr>
          <w:rFonts w:ascii="Arial" w:cs="Arial" w:eastAsia="Arial" w:hAnsi="Arial"/>
          <w:sz w:val="17"/>
          <w:szCs w:val="17"/>
          <w:color w:val="auto"/>
        </w:rPr>
        <w:t>84% reporting they have the skills to confidently use AI in their work.</w:t>
      </w:r>
    </w:p>
    <w:p>
      <w:pPr>
        <w:spacing w:after="0" w:line="85"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voluntarily publish a range of human capital metrics in our securities filings and on our website, including our Social Impact &amp; ESG Report. Certain metrics are not publicly disclosed due to competitive considerations. We expect human capital management to remain an important focus area for management and the Board, supporting strong stewardship of the organization, advancing societal objectives, and contributing to our strategic advantage in the marketplace.</w:t>
      </w:r>
    </w:p>
    <w:p>
      <w:pPr>
        <w:spacing w:after="0" w:line="44"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For additional information on our human capital management practices, please see the “Environmental, Social and Governance (ESG)”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49</w:t>
      </w:r>
    </w:p>
    <w:p>
      <w:pPr>
        <w:sectPr>
          <w:pgSz w:w="11900" w:h="16838" w:orient="portrait"/>
          <w:cols w:equalWidth="0" w:num="1">
            <w:col w:w="10920"/>
          </w:cols>
          <w:pgMar w:left="480" w:top="262" w:right="499" w:bottom="1440" w:gutter="0" w:footer="0" w:header="0"/>
        </w:sectPr>
      </w:pPr>
    </w:p>
    <w:bookmarkStart w:id="59" w:name="page60"/>
    <w:bookmarkEnd w:id="59"/>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Risk Committee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Risk Committee is responsible for assisting the Board in fulfilling its oversight responsibilities in relation to:</w:t>
      </w:r>
    </w:p>
    <w:p>
      <w:pPr>
        <w:spacing w:after="0" w:line="85" w:lineRule="exact"/>
        <w:rPr>
          <w:sz w:val="20"/>
          <w:szCs w:val="20"/>
          <w:color w:val="auto"/>
        </w:rPr>
      </w:pPr>
    </w:p>
    <w:p>
      <w:pPr>
        <w:ind w:left="320" w:right="40" w:hanging="313"/>
        <w:spacing w:after="0" w:line="263" w:lineRule="auto"/>
        <w:tabs>
          <w:tab w:leader="none" w:pos="320" w:val="left"/>
        </w:tabs>
        <w:numPr>
          <w:ilvl w:val="0"/>
          <w:numId w:val="60"/>
        </w:numPr>
        <w:rPr>
          <w:rFonts w:ascii="Arial" w:cs="Arial" w:eastAsia="Arial" w:hAnsi="Arial"/>
          <w:sz w:val="17"/>
          <w:szCs w:val="17"/>
          <w:color w:val="D64000"/>
        </w:rPr>
      </w:pPr>
      <w:r>
        <w:rPr>
          <w:rFonts w:ascii="Arial" w:cs="Arial" w:eastAsia="Arial" w:hAnsi="Arial"/>
          <w:sz w:val="17"/>
          <w:szCs w:val="17"/>
          <w:color w:val="auto"/>
        </w:rPr>
        <w:t>Thomson Reuters’ identification, assessment and management of enterprise risks, other than financial risks (which are overseen by the Audit Committee) or risks related to compensation and talent matters (which are overseen by the HR Committee); and</w:t>
      </w:r>
    </w:p>
    <w:p>
      <w:pPr>
        <w:spacing w:after="0" w:line="66" w:lineRule="exact"/>
        <w:rPr>
          <w:rFonts w:ascii="Arial" w:cs="Arial" w:eastAsia="Arial" w:hAnsi="Arial"/>
          <w:sz w:val="17"/>
          <w:szCs w:val="17"/>
          <w:color w:val="D64000"/>
        </w:rPr>
      </w:pPr>
    </w:p>
    <w:p>
      <w:pPr>
        <w:ind w:left="320" w:hanging="313"/>
        <w:spacing w:after="0"/>
        <w:tabs>
          <w:tab w:leader="none" w:pos="320" w:val="left"/>
        </w:tabs>
        <w:numPr>
          <w:ilvl w:val="0"/>
          <w:numId w:val="60"/>
        </w:numPr>
        <w:rPr>
          <w:rFonts w:ascii="Arial" w:cs="Arial" w:eastAsia="Arial" w:hAnsi="Arial"/>
          <w:sz w:val="17"/>
          <w:szCs w:val="17"/>
          <w:color w:val="D64000"/>
        </w:rPr>
      </w:pPr>
      <w:r>
        <w:rPr>
          <w:rFonts w:ascii="Arial" w:cs="Arial" w:eastAsia="Arial" w:hAnsi="Arial"/>
          <w:sz w:val="17"/>
          <w:szCs w:val="17"/>
          <w:color w:val="auto"/>
        </w:rPr>
        <w:t>any additional matters delegated to the Risk Committee by the Board.</w:t>
      </w:r>
    </w:p>
    <w:p>
      <w:pPr>
        <w:spacing w:after="0" w:line="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2025, the Risk Committee met with senior management to review the company’s risk management frameworks, policies and processes, including the steps and process taken to identify, assess, monitor and manage risks. The Risk Committee was also presented with an overview of key risks identified by management and a proposed calendar of future meetings for “deep dive” reviews and discussions about specific risks (at the Board or committee level). While the Risk Committee oversees and manages our company’s framework policies and procedures with respect to risk identification, assessment and management, it is the responsibility of our CEO and senior management to identify, assess and manage our company’s risks through the design, implementation and maintenance of our ERM program. The Risk Committee’s responsibilities include reviewing and approving the ERM framework on an annual basis along with the tone and culture within Thomson Reuters regarding risk. For additional information regarding oversight of risk management, please see the “Risk Oversight” section of this proxy circular.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an overview of the Risk Committee’s work plan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6929755" cy="2038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20383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2025 Primary Risk Committee Activities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0" w:type="dxa"/>
            <w:vAlign w:val="bottom"/>
            <w:tcBorders>
              <w:top w:val="single" w:sz="8" w:color="D64000"/>
            </w:tcBorders>
          </w:tcPr>
          <w:p>
            <w:pPr>
              <w:ind w:left="100"/>
              <w:spacing w:after="0"/>
              <w:rPr>
                <w:sz w:val="20"/>
                <w:szCs w:val="20"/>
                <w:color w:val="auto"/>
              </w:rPr>
            </w:pPr>
            <w:r>
              <w:rPr>
                <w:rFonts w:ascii="Arial" w:cs="Arial" w:eastAsia="Arial" w:hAnsi="Arial"/>
                <w:sz w:val="16"/>
                <w:szCs w:val="16"/>
                <w:color w:val="D64000"/>
              </w:rPr>
              <w:t>•</w:t>
            </w:r>
          </w:p>
        </w:tc>
        <w:tc>
          <w:tcPr>
            <w:tcW w:w="5120" w:type="dxa"/>
            <w:vAlign w:val="bottom"/>
            <w:tcBorders>
              <w:top w:val="single" w:sz="8" w:color="D64000"/>
            </w:tcBorders>
          </w:tcPr>
          <w:p>
            <w:pPr>
              <w:ind w:left="120"/>
              <w:spacing w:after="0"/>
              <w:rPr>
                <w:sz w:val="20"/>
                <w:szCs w:val="20"/>
                <w:color w:val="auto"/>
              </w:rPr>
            </w:pPr>
            <w:r>
              <w:rPr>
                <w:rFonts w:ascii="Arial" w:cs="Arial" w:eastAsia="Arial" w:hAnsi="Arial"/>
                <w:sz w:val="16"/>
                <w:szCs w:val="16"/>
                <w:color w:val="auto"/>
              </w:rPr>
              <w:t>Approve 2025 enterprise top risks</w:t>
            </w:r>
          </w:p>
        </w:tc>
        <w:tc>
          <w:tcPr>
            <w:tcW w:w="5520" w:type="dxa"/>
            <w:vAlign w:val="bottom"/>
            <w:tcBorders>
              <w:top w:val="single" w:sz="8" w:color="D64000"/>
            </w:tcBorders>
            <w:gridSpan w:val="2"/>
          </w:tcPr>
          <w:p>
            <w:pPr>
              <w:ind w:left="300"/>
              <w:spacing w:after="0"/>
              <w:rPr>
                <w:sz w:val="20"/>
                <w:szCs w:val="20"/>
                <w:color w:val="auto"/>
              </w:rPr>
            </w:pPr>
            <w:r>
              <w:rPr>
                <w:rFonts w:ascii="Arial" w:cs="Arial" w:eastAsia="Arial" w:hAnsi="Arial"/>
                <w:sz w:val="16"/>
                <w:szCs w:val="16"/>
                <w:b w:val="1"/>
                <w:bCs w:val="1"/>
                <w:color w:val="auto"/>
              </w:rPr>
              <w:t>Periodically</w:t>
            </w:r>
          </w:p>
        </w:tc>
      </w:tr>
      <w:tr>
        <w:trPr>
          <w:trHeight w:val="187"/>
        </w:trPr>
        <w:tc>
          <w:tcPr>
            <w:tcW w:w="280" w:type="dxa"/>
            <w:vAlign w:val="bottom"/>
          </w:tcPr>
          <w:p>
            <w:pPr>
              <w:ind w:left="100"/>
              <w:spacing w:after="0"/>
              <w:rPr>
                <w:sz w:val="20"/>
                <w:szCs w:val="20"/>
                <w:color w:val="auto"/>
              </w:rPr>
            </w:pPr>
            <w:r>
              <w:rPr>
                <w:rFonts w:ascii="Arial" w:cs="Arial" w:eastAsia="Arial" w:hAnsi="Arial"/>
                <w:sz w:val="16"/>
                <w:szCs w:val="16"/>
                <w:color w:val="D64000"/>
              </w:rPr>
              <w:t>•</w:t>
            </w:r>
          </w:p>
        </w:tc>
        <w:tc>
          <w:tcPr>
            <w:tcW w:w="5120" w:type="dxa"/>
            <w:vAlign w:val="bottom"/>
          </w:tcPr>
          <w:p>
            <w:pPr>
              <w:ind w:left="120"/>
              <w:spacing w:after="0"/>
              <w:rPr>
                <w:sz w:val="20"/>
                <w:szCs w:val="20"/>
                <w:color w:val="auto"/>
              </w:rPr>
            </w:pPr>
            <w:r>
              <w:rPr>
                <w:rFonts w:ascii="Arial" w:cs="Arial" w:eastAsia="Arial" w:hAnsi="Arial"/>
                <w:sz w:val="16"/>
                <w:szCs w:val="16"/>
                <w:color w:val="auto"/>
              </w:rPr>
              <w:t>Review the ERM quarterly report, which discusses the ongoing</w:t>
            </w:r>
          </w:p>
        </w:tc>
        <w:tc>
          <w:tcPr>
            <w:tcW w:w="480" w:type="dxa"/>
            <w:vAlign w:val="bottom"/>
          </w:tcPr>
          <w:p>
            <w:pPr>
              <w:ind w:left="300"/>
              <w:spacing w:after="0"/>
              <w:rPr>
                <w:sz w:val="20"/>
                <w:szCs w:val="20"/>
                <w:color w:val="auto"/>
              </w:rPr>
            </w:pPr>
            <w:r>
              <w:rPr>
                <w:rFonts w:ascii="Arial" w:cs="Arial" w:eastAsia="Arial" w:hAnsi="Arial"/>
                <w:sz w:val="16"/>
                <w:szCs w:val="16"/>
                <w:color w:val="D64000"/>
              </w:rPr>
              <w:t>•</w:t>
            </w:r>
          </w:p>
        </w:tc>
        <w:tc>
          <w:tcPr>
            <w:tcW w:w="5040" w:type="dxa"/>
            <w:vAlign w:val="bottom"/>
          </w:tcPr>
          <w:p>
            <w:pPr>
              <w:ind w:left="140"/>
              <w:spacing w:after="0"/>
              <w:rPr>
                <w:sz w:val="20"/>
                <w:szCs w:val="20"/>
                <w:color w:val="auto"/>
              </w:rPr>
            </w:pPr>
            <w:r>
              <w:rPr>
                <w:rFonts w:ascii="Arial" w:cs="Arial" w:eastAsia="Arial" w:hAnsi="Arial"/>
                <w:sz w:val="16"/>
                <w:szCs w:val="16"/>
                <w:color w:val="auto"/>
              </w:rPr>
              <w:t>Conduct table-top exercises on topics such as cybersecurity</w:t>
            </w:r>
          </w:p>
        </w:tc>
      </w:tr>
      <w:tr>
        <w:trPr>
          <w:trHeight w:val="187"/>
        </w:trPr>
        <w:tc>
          <w:tcPr>
            <w:tcW w:w="280" w:type="dxa"/>
            <w:vAlign w:val="bottom"/>
          </w:tcPr>
          <w:p>
            <w:pPr>
              <w:spacing w:after="0"/>
              <w:rPr>
                <w:sz w:val="16"/>
                <w:szCs w:val="16"/>
                <w:color w:val="auto"/>
              </w:rPr>
            </w:pPr>
          </w:p>
        </w:tc>
        <w:tc>
          <w:tcPr>
            <w:tcW w:w="5120" w:type="dxa"/>
            <w:vAlign w:val="bottom"/>
          </w:tcPr>
          <w:p>
            <w:pPr>
              <w:ind w:left="120"/>
              <w:spacing w:after="0"/>
              <w:rPr>
                <w:sz w:val="20"/>
                <w:szCs w:val="20"/>
                <w:color w:val="auto"/>
              </w:rPr>
            </w:pPr>
            <w:r>
              <w:rPr>
                <w:rFonts w:ascii="Arial" w:cs="Arial" w:eastAsia="Arial" w:hAnsi="Arial"/>
                <w:sz w:val="16"/>
                <w:szCs w:val="16"/>
                <w:color w:val="auto"/>
              </w:rPr>
              <w:t>management of enterprise top risks</w:t>
            </w:r>
          </w:p>
        </w:tc>
        <w:tc>
          <w:tcPr>
            <w:tcW w:w="480" w:type="dxa"/>
            <w:vAlign w:val="bottom"/>
          </w:tcPr>
          <w:p>
            <w:pPr>
              <w:ind w:left="300"/>
              <w:spacing w:after="0"/>
              <w:rPr>
                <w:sz w:val="20"/>
                <w:szCs w:val="20"/>
                <w:color w:val="auto"/>
              </w:rPr>
            </w:pPr>
            <w:r>
              <w:rPr>
                <w:rFonts w:ascii="Arial" w:cs="Arial" w:eastAsia="Arial" w:hAnsi="Arial"/>
                <w:sz w:val="16"/>
                <w:szCs w:val="16"/>
                <w:color w:val="D64000"/>
              </w:rPr>
              <w:t>•</w:t>
            </w:r>
          </w:p>
        </w:tc>
        <w:tc>
          <w:tcPr>
            <w:tcW w:w="5040" w:type="dxa"/>
            <w:vAlign w:val="bottom"/>
          </w:tcPr>
          <w:p>
            <w:pPr>
              <w:ind w:left="140"/>
              <w:spacing w:after="0"/>
              <w:rPr>
                <w:sz w:val="20"/>
                <w:szCs w:val="20"/>
                <w:color w:val="auto"/>
              </w:rPr>
            </w:pPr>
            <w:r>
              <w:rPr>
                <w:rFonts w:ascii="Arial" w:cs="Arial" w:eastAsia="Arial" w:hAnsi="Arial"/>
                <w:sz w:val="16"/>
                <w:szCs w:val="16"/>
                <w:color w:val="auto"/>
              </w:rPr>
              <w:t>Conduct “deep dives” on selected risk topics</w:t>
            </w:r>
          </w:p>
        </w:tc>
      </w:tr>
      <w:tr>
        <w:trPr>
          <w:trHeight w:val="187"/>
        </w:trPr>
        <w:tc>
          <w:tcPr>
            <w:tcW w:w="280" w:type="dxa"/>
            <w:vAlign w:val="bottom"/>
          </w:tcPr>
          <w:p>
            <w:pPr>
              <w:ind w:left="100"/>
              <w:spacing w:after="0"/>
              <w:rPr>
                <w:sz w:val="20"/>
                <w:szCs w:val="20"/>
                <w:color w:val="auto"/>
              </w:rPr>
            </w:pPr>
            <w:r>
              <w:rPr>
                <w:rFonts w:ascii="Arial" w:cs="Arial" w:eastAsia="Arial" w:hAnsi="Arial"/>
                <w:sz w:val="16"/>
                <w:szCs w:val="16"/>
                <w:color w:val="D64000"/>
              </w:rPr>
              <w:t>•</w:t>
            </w:r>
          </w:p>
        </w:tc>
        <w:tc>
          <w:tcPr>
            <w:tcW w:w="5120" w:type="dxa"/>
            <w:vAlign w:val="bottom"/>
          </w:tcPr>
          <w:p>
            <w:pPr>
              <w:ind w:left="120"/>
              <w:spacing w:after="0"/>
              <w:rPr>
                <w:sz w:val="20"/>
                <w:szCs w:val="20"/>
                <w:color w:val="auto"/>
              </w:rPr>
            </w:pPr>
            <w:r>
              <w:rPr>
                <w:rFonts w:ascii="Arial" w:cs="Arial" w:eastAsia="Arial" w:hAnsi="Arial"/>
                <w:sz w:val="16"/>
                <w:szCs w:val="16"/>
                <w:color w:val="auto"/>
              </w:rPr>
              <w:t>Discuss key risks related to misuse of proprietary content, product</w:t>
            </w:r>
          </w:p>
        </w:tc>
        <w:tc>
          <w:tcPr>
            <w:tcW w:w="480" w:type="dxa"/>
            <w:vAlign w:val="bottom"/>
          </w:tcPr>
          <w:p>
            <w:pPr>
              <w:ind w:left="300"/>
              <w:spacing w:after="0"/>
              <w:rPr>
                <w:sz w:val="20"/>
                <w:szCs w:val="20"/>
                <w:color w:val="auto"/>
              </w:rPr>
            </w:pPr>
            <w:r>
              <w:rPr>
                <w:rFonts w:ascii="Arial" w:cs="Arial" w:eastAsia="Arial" w:hAnsi="Arial"/>
                <w:sz w:val="16"/>
                <w:szCs w:val="16"/>
                <w:color w:val="D64000"/>
              </w:rPr>
              <w:t>•</w:t>
            </w:r>
          </w:p>
        </w:tc>
        <w:tc>
          <w:tcPr>
            <w:tcW w:w="5040" w:type="dxa"/>
            <w:vAlign w:val="bottom"/>
          </w:tcPr>
          <w:p>
            <w:pPr>
              <w:ind w:left="140"/>
              <w:spacing w:after="0"/>
              <w:rPr>
                <w:sz w:val="20"/>
                <w:szCs w:val="20"/>
                <w:color w:val="auto"/>
              </w:rPr>
            </w:pPr>
            <w:r>
              <w:rPr>
                <w:rFonts w:ascii="Arial" w:cs="Arial" w:eastAsia="Arial" w:hAnsi="Arial"/>
                <w:sz w:val="16"/>
                <w:szCs w:val="16"/>
                <w:color w:val="auto"/>
              </w:rPr>
              <w:t>Discuss certain reputational risks</w:t>
            </w:r>
          </w:p>
        </w:tc>
      </w:tr>
      <w:tr>
        <w:trPr>
          <w:trHeight w:val="203"/>
        </w:trPr>
        <w:tc>
          <w:tcPr>
            <w:tcW w:w="280" w:type="dxa"/>
            <w:vAlign w:val="bottom"/>
          </w:tcPr>
          <w:p>
            <w:pPr>
              <w:spacing w:after="0"/>
              <w:rPr>
                <w:sz w:val="17"/>
                <w:szCs w:val="17"/>
                <w:color w:val="auto"/>
              </w:rPr>
            </w:pPr>
          </w:p>
        </w:tc>
        <w:tc>
          <w:tcPr>
            <w:tcW w:w="5120" w:type="dxa"/>
            <w:vAlign w:val="bottom"/>
          </w:tcPr>
          <w:p>
            <w:pPr>
              <w:ind w:left="120"/>
              <w:spacing w:after="0"/>
              <w:rPr>
                <w:sz w:val="20"/>
                <w:szCs w:val="20"/>
                <w:color w:val="auto"/>
              </w:rPr>
            </w:pPr>
            <w:r>
              <w:rPr>
                <w:rFonts w:ascii="Arial" w:cs="Arial" w:eastAsia="Arial" w:hAnsi="Arial"/>
                <w:sz w:val="16"/>
                <w:szCs w:val="16"/>
                <w:color w:val="auto"/>
              </w:rPr>
              <w:t>stability, cybersecurity and other technology and data matters</w:t>
            </w:r>
          </w:p>
        </w:tc>
        <w:tc>
          <w:tcPr>
            <w:tcW w:w="480" w:type="dxa"/>
            <w:vAlign w:val="bottom"/>
          </w:tcPr>
          <w:p>
            <w:pPr>
              <w:spacing w:after="0"/>
              <w:rPr>
                <w:sz w:val="17"/>
                <w:szCs w:val="17"/>
                <w:color w:val="auto"/>
              </w:rPr>
            </w:pPr>
          </w:p>
        </w:tc>
        <w:tc>
          <w:tcPr>
            <w:tcW w:w="5040" w:type="dxa"/>
            <w:vAlign w:val="bottom"/>
          </w:tcPr>
          <w:p>
            <w:pPr>
              <w:spacing w:after="0"/>
              <w:rPr>
                <w:sz w:val="17"/>
                <w:szCs w:val="17"/>
                <w:color w:val="auto"/>
              </w:rPr>
            </w:pPr>
          </w:p>
        </w:tc>
      </w:tr>
    </w:tbl>
    <w:p>
      <w:pPr>
        <w:ind w:left="400" w:hanging="304"/>
        <w:spacing w:after="0"/>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Discuss key risks related to competition and government segment</w:t>
      </w:r>
    </w:p>
    <w:p>
      <w:pPr>
        <w:spacing w:after="0" w:line="3" w:lineRule="exact"/>
        <w:rPr>
          <w:rFonts w:ascii="Arial" w:cs="Arial" w:eastAsia="Arial" w:hAnsi="Arial"/>
          <w:sz w:val="16"/>
          <w:szCs w:val="16"/>
          <w:color w:val="D64000"/>
        </w:rPr>
      </w:pPr>
    </w:p>
    <w:p>
      <w:pPr>
        <w:ind w:left="400" w:right="5620" w:hanging="304"/>
        <w:spacing w:after="0" w:line="244" w:lineRule="auto"/>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Discuss key risks related to third party risk management, integrations and separations and go-to-market people, process and systems</w:t>
      </w:r>
    </w:p>
    <w:p>
      <w:pPr>
        <w:ind w:left="400" w:hanging="304"/>
        <w:spacing w:after="0"/>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Discuss key risks related to employee wellbeing, safety and security</w:t>
      </w:r>
    </w:p>
    <w:p>
      <w:pPr>
        <w:spacing w:after="0" w:line="3" w:lineRule="exact"/>
        <w:rPr>
          <w:rFonts w:ascii="Arial" w:cs="Arial" w:eastAsia="Arial" w:hAnsi="Arial"/>
          <w:sz w:val="16"/>
          <w:szCs w:val="16"/>
          <w:color w:val="D64000"/>
        </w:rPr>
      </w:pPr>
    </w:p>
    <w:p>
      <w:pPr>
        <w:ind w:left="400" w:hanging="304"/>
        <w:spacing w:after="0"/>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Discuss legal and regulatory compliance risks</w:t>
      </w:r>
    </w:p>
    <w:p>
      <w:pPr>
        <w:spacing w:after="0" w:line="3" w:lineRule="exact"/>
        <w:rPr>
          <w:rFonts w:ascii="Arial" w:cs="Arial" w:eastAsia="Arial" w:hAnsi="Arial"/>
          <w:sz w:val="16"/>
          <w:szCs w:val="16"/>
          <w:color w:val="D64000"/>
        </w:rPr>
      </w:pPr>
    </w:p>
    <w:p>
      <w:pPr>
        <w:ind w:left="400" w:hanging="304"/>
        <w:spacing w:after="0"/>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Discuss key risks related to trust in AI products</w:t>
      </w:r>
    </w:p>
    <w:p>
      <w:pPr>
        <w:spacing w:after="0" w:line="3" w:lineRule="exact"/>
        <w:rPr>
          <w:rFonts w:ascii="Arial" w:cs="Arial" w:eastAsia="Arial" w:hAnsi="Arial"/>
          <w:sz w:val="16"/>
          <w:szCs w:val="16"/>
          <w:color w:val="D64000"/>
        </w:rPr>
      </w:pPr>
    </w:p>
    <w:p>
      <w:pPr>
        <w:ind w:left="400" w:hanging="304"/>
        <w:spacing w:after="0"/>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Review 2026 internal audit plan</w:t>
      </w:r>
    </w:p>
    <w:p>
      <w:pPr>
        <w:spacing w:after="0" w:line="3" w:lineRule="exact"/>
        <w:rPr>
          <w:rFonts w:ascii="Arial" w:cs="Arial" w:eastAsia="Arial" w:hAnsi="Arial"/>
          <w:sz w:val="16"/>
          <w:szCs w:val="16"/>
          <w:color w:val="D64000"/>
        </w:rPr>
      </w:pPr>
    </w:p>
    <w:p>
      <w:pPr>
        <w:ind w:left="400" w:hanging="304"/>
        <w:spacing w:after="0"/>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Review 2026 risk program strategic priorities</w:t>
      </w:r>
    </w:p>
    <w:p>
      <w:pPr>
        <w:spacing w:after="0" w:line="3" w:lineRule="exact"/>
        <w:rPr>
          <w:rFonts w:ascii="Arial" w:cs="Arial" w:eastAsia="Arial" w:hAnsi="Arial"/>
          <w:sz w:val="16"/>
          <w:szCs w:val="16"/>
          <w:color w:val="D64000"/>
        </w:rPr>
      </w:pPr>
    </w:p>
    <w:p>
      <w:pPr>
        <w:ind w:left="400" w:hanging="304"/>
        <w:spacing w:after="0"/>
        <w:tabs>
          <w:tab w:leader="none" w:pos="400" w:val="left"/>
        </w:tabs>
        <w:numPr>
          <w:ilvl w:val="0"/>
          <w:numId w:val="61"/>
        </w:numPr>
        <w:rPr>
          <w:rFonts w:ascii="Arial" w:cs="Arial" w:eastAsia="Arial" w:hAnsi="Arial"/>
          <w:sz w:val="16"/>
          <w:szCs w:val="16"/>
          <w:color w:val="D64000"/>
        </w:rPr>
      </w:pPr>
      <w:r>
        <w:rPr>
          <w:rFonts w:ascii="Arial" w:cs="Arial" w:eastAsia="Arial" w:hAnsi="Arial"/>
          <w:sz w:val="16"/>
          <w:szCs w:val="16"/>
          <w:color w:val="auto"/>
        </w:rPr>
        <w:t>Approve 2026 ERM policy and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69297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Joint Audit Committee and Risk Committee Meetings</w:t>
      </w:r>
    </w:p>
    <w:p>
      <w:pPr>
        <w:spacing w:after="0" w:line="8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part of the Board’s risk assessment and risk management oversight, the Audit Committee and the Risk Committee met jointly in March 2025 to discuss topics of interest to each committee. The joint committee meetings were co-chaired by Barry Salzberg (Audit Committee Chair) and Kirk Arnold (Risk Committee Chair).</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topics discussed by the joint committees were the following:</w:t>
      </w:r>
    </w:p>
    <w:p>
      <w:pPr>
        <w:spacing w:after="0" w:line="85" w:lineRule="exact"/>
        <w:rPr>
          <w:sz w:val="20"/>
          <w:szCs w:val="20"/>
          <w:color w:val="auto"/>
        </w:rPr>
      </w:pPr>
    </w:p>
    <w:p>
      <w:pPr>
        <w:ind w:left="440" w:hanging="433"/>
        <w:spacing w:after="0"/>
        <w:tabs>
          <w:tab w:leader="none" w:pos="440" w:val="left"/>
        </w:tabs>
        <w:numPr>
          <w:ilvl w:val="0"/>
          <w:numId w:val="62"/>
        </w:numPr>
        <w:rPr>
          <w:rFonts w:ascii="Arial" w:cs="Arial" w:eastAsia="Arial" w:hAnsi="Arial"/>
          <w:sz w:val="17"/>
          <w:szCs w:val="17"/>
          <w:color w:val="D64000"/>
        </w:rPr>
      </w:pPr>
      <w:r>
        <w:rPr>
          <w:rFonts w:ascii="Arial" w:cs="Arial" w:eastAsia="Arial" w:hAnsi="Arial"/>
          <w:sz w:val="17"/>
          <w:szCs w:val="17"/>
          <w:color w:val="auto"/>
        </w:rPr>
        <w:t>Review of the 2025 internal audit work plan; and</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2"/>
        </w:numPr>
        <w:rPr>
          <w:rFonts w:ascii="Arial" w:cs="Arial" w:eastAsia="Arial" w:hAnsi="Arial"/>
          <w:sz w:val="17"/>
          <w:szCs w:val="17"/>
          <w:color w:val="D64000"/>
        </w:rPr>
      </w:pPr>
      <w:r>
        <w:rPr>
          <w:rFonts w:ascii="Arial" w:cs="Arial" w:eastAsia="Arial" w:hAnsi="Arial"/>
          <w:sz w:val="17"/>
          <w:szCs w:val="17"/>
          <w:color w:val="auto"/>
        </w:rPr>
        <w:t>Review of “Risk Factors” disclosure for the annual report and general review of the risk 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50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60" w:name="page61"/>
    <w:bookmarkEnd w:id="60"/>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About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692975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HIGHLIGHTS</w:t>
      </w:r>
    </w:p>
    <w:p>
      <w:pPr>
        <w:spacing w:after="0" w:line="129" w:lineRule="exact"/>
        <w:rPr>
          <w:sz w:val="20"/>
          <w:szCs w:val="20"/>
          <w:color w:val="auto"/>
        </w:rPr>
      </w:pPr>
    </w:p>
    <w:p>
      <w:pPr>
        <w:ind w:left="320" w:right="20" w:hanging="313"/>
        <w:spacing w:after="0" w:line="280" w:lineRule="auto"/>
        <w:tabs>
          <w:tab w:leader="none" w:pos="320" w:val="left"/>
        </w:tabs>
        <w:numPr>
          <w:ilvl w:val="0"/>
          <w:numId w:val="63"/>
        </w:numPr>
        <w:rPr>
          <w:rFonts w:ascii="Times New Roman" w:cs="Times New Roman" w:eastAsia="Times New Roman" w:hAnsi="Times New Roman"/>
          <w:sz w:val="25"/>
          <w:szCs w:val="25"/>
          <w:color w:val="FF4338"/>
        </w:rPr>
      </w:pPr>
      <w:r>
        <w:rPr>
          <w:rFonts w:ascii="Arial" w:cs="Arial" w:eastAsia="Arial" w:hAnsi="Arial"/>
          <w:sz w:val="25"/>
          <w:szCs w:val="25"/>
          <w:color w:val="auto"/>
        </w:rPr>
        <w:t>We are proposing to re-appoint PricewaterhouseCoopers LLP (U.S.) as our independent auditor for another year until the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692975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24"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The Board unanimously recommends that PricewaterhouseCoopers LLP (U.S.) be appointed as the auditor of our company, to hold office until the next annual meeting of shareholders. It is also recommended that the Board be authorized to fix the remuneration of PricewaterhouseCoopers LLP (U.S.).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fees related to services rendered by PricewaterhouseCoopers LLP and its affiliates in 2025 and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2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(in millions of U.S. dollars)</w:t>
            </w:r>
          </w:p>
        </w:tc>
        <w:tc>
          <w:tcPr>
            <w:tcW w:w="4260" w:type="dxa"/>
            <w:vAlign w:val="bottom"/>
            <w:tcBorders>
              <w:bottom w:val="single" w:sz="8" w:color="D64000"/>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2025</w:t>
            </w:r>
          </w:p>
        </w:tc>
        <w:tc>
          <w:tcPr>
            <w:tcW w:w="940" w:type="dxa"/>
            <w:vAlign w:val="bottom"/>
            <w:tcBorders>
              <w:bottom w:val="single" w:sz="8" w:color="D64000"/>
            </w:tcBorders>
            <w:shd w:val="clear" w:color="auto" w:fill="1F473D"/>
          </w:tcPr>
          <w:p>
            <w:pPr>
              <w:jc w:val="right"/>
              <w:ind w:right="240"/>
              <w:spacing w:after="0"/>
              <w:rPr>
                <w:sz w:val="20"/>
                <w:szCs w:val="20"/>
                <w:color w:val="auto"/>
              </w:rPr>
            </w:pPr>
            <w:r>
              <w:rPr>
                <w:rFonts w:ascii="Arial" w:cs="Arial" w:eastAsia="Arial" w:hAnsi="Arial"/>
                <w:sz w:val="16"/>
                <w:szCs w:val="16"/>
                <w:b w:val="1"/>
                <w:bCs w:val="1"/>
                <w:color w:val="FFFFFF"/>
              </w:rPr>
              <w:t>2024</w:t>
            </w:r>
          </w:p>
        </w:tc>
      </w:tr>
      <w:tr>
        <w:trPr>
          <w:trHeight w:val="241"/>
        </w:trPr>
        <w:tc>
          <w:tcPr>
            <w:tcW w:w="5720" w:type="dxa"/>
            <w:vAlign w:val="bottom"/>
            <w:tcBorders>
              <w:bottom w:val="single" w:sz="8" w:color="AFAFAF"/>
            </w:tcBorders>
          </w:tcPr>
          <w:p>
            <w:pPr>
              <w:spacing w:after="0"/>
              <w:rPr>
                <w:sz w:val="20"/>
                <w:szCs w:val="20"/>
                <w:color w:val="auto"/>
              </w:rPr>
            </w:pPr>
            <w:r>
              <w:rPr>
                <w:rFonts w:ascii="Arial" w:cs="Arial" w:eastAsia="Arial" w:hAnsi="Arial"/>
                <w:sz w:val="16"/>
                <w:szCs w:val="16"/>
                <w:b w:val="1"/>
                <w:bCs w:val="1"/>
                <w:color w:val="auto"/>
              </w:rPr>
              <w:t>  Audit fees</w:t>
            </w:r>
          </w:p>
        </w:tc>
        <w:tc>
          <w:tcPr>
            <w:tcW w:w="4260" w:type="dxa"/>
            <w:vAlign w:val="bottom"/>
            <w:tcBorders>
              <w:bottom w:val="single" w:sz="8" w:color="AFAFAF"/>
            </w:tcBorders>
          </w:tcPr>
          <w:p>
            <w:pPr>
              <w:jc w:val="right"/>
              <w:ind w:right="140"/>
              <w:spacing w:after="0"/>
              <w:rPr>
                <w:sz w:val="20"/>
                <w:szCs w:val="20"/>
                <w:color w:val="auto"/>
              </w:rPr>
            </w:pPr>
            <w:r>
              <w:rPr>
                <w:rFonts w:ascii="Arial" w:cs="Arial" w:eastAsia="Arial" w:hAnsi="Arial"/>
                <w:sz w:val="16"/>
                <w:szCs w:val="16"/>
                <w:b w:val="1"/>
                <w:bCs w:val="1"/>
                <w:color w:val="auto"/>
              </w:rPr>
              <w:t>$13.6</w:t>
            </w:r>
          </w:p>
        </w:tc>
        <w:tc>
          <w:tcPr>
            <w:tcW w:w="940" w:type="dxa"/>
            <w:vAlign w:val="bottom"/>
            <w:tcBorders>
              <w:bottom w:val="single" w:sz="8" w:color="AFAFAF"/>
            </w:tcBorders>
          </w:tcPr>
          <w:p>
            <w:pPr>
              <w:jc w:val="right"/>
              <w:ind w:right="240"/>
              <w:spacing w:after="0"/>
              <w:rPr>
                <w:sz w:val="20"/>
                <w:szCs w:val="20"/>
                <w:color w:val="auto"/>
              </w:rPr>
            </w:pPr>
            <w:r>
              <w:rPr>
                <w:rFonts w:ascii="Arial" w:cs="Arial" w:eastAsia="Arial" w:hAnsi="Arial"/>
                <w:sz w:val="16"/>
                <w:szCs w:val="16"/>
                <w:color w:val="auto"/>
              </w:rPr>
              <w:t>$13.4</w:t>
            </w:r>
          </w:p>
        </w:tc>
      </w:tr>
      <w:tr>
        <w:trPr>
          <w:trHeight w:val="234"/>
        </w:trPr>
        <w:tc>
          <w:tcPr>
            <w:tcW w:w="5720" w:type="dxa"/>
            <w:vAlign w:val="bottom"/>
            <w:tcBorders>
              <w:bottom w:val="single" w:sz="8" w:color="AFAFAF"/>
            </w:tcBorders>
          </w:tcPr>
          <w:p>
            <w:pPr>
              <w:spacing w:after="0"/>
              <w:rPr>
                <w:sz w:val="20"/>
                <w:szCs w:val="20"/>
                <w:color w:val="auto"/>
              </w:rPr>
            </w:pPr>
            <w:r>
              <w:rPr>
                <w:rFonts w:ascii="Arial" w:cs="Arial" w:eastAsia="Arial" w:hAnsi="Arial"/>
                <w:sz w:val="16"/>
                <w:szCs w:val="16"/>
                <w:b w:val="1"/>
                <w:bCs w:val="1"/>
                <w:color w:val="auto"/>
              </w:rPr>
              <w:t>  Audit-related fees</w:t>
            </w:r>
          </w:p>
        </w:tc>
        <w:tc>
          <w:tcPr>
            <w:tcW w:w="4260" w:type="dxa"/>
            <w:vAlign w:val="bottom"/>
            <w:tcBorders>
              <w:bottom w:val="single" w:sz="8" w:color="AFAFAF"/>
            </w:tcBorders>
          </w:tcPr>
          <w:p>
            <w:pPr>
              <w:jc w:val="right"/>
              <w:ind w:right="140"/>
              <w:spacing w:after="0"/>
              <w:rPr>
                <w:sz w:val="20"/>
                <w:szCs w:val="20"/>
                <w:color w:val="auto"/>
              </w:rPr>
            </w:pPr>
            <w:r>
              <w:rPr>
                <w:rFonts w:ascii="Arial" w:cs="Arial" w:eastAsia="Arial" w:hAnsi="Arial"/>
                <w:sz w:val="16"/>
                <w:szCs w:val="16"/>
                <w:b w:val="1"/>
                <w:bCs w:val="1"/>
                <w:color w:val="auto"/>
              </w:rPr>
              <w:t>0.8</w:t>
            </w:r>
          </w:p>
        </w:tc>
        <w:tc>
          <w:tcPr>
            <w:tcW w:w="940" w:type="dxa"/>
            <w:vAlign w:val="bottom"/>
            <w:tcBorders>
              <w:bottom w:val="single" w:sz="8" w:color="AFAFAF"/>
            </w:tcBorders>
          </w:tcPr>
          <w:p>
            <w:pPr>
              <w:jc w:val="right"/>
              <w:ind w:right="240"/>
              <w:spacing w:after="0"/>
              <w:rPr>
                <w:sz w:val="20"/>
                <w:szCs w:val="20"/>
                <w:color w:val="auto"/>
              </w:rPr>
            </w:pPr>
            <w:r>
              <w:rPr>
                <w:rFonts w:ascii="Arial" w:cs="Arial" w:eastAsia="Arial" w:hAnsi="Arial"/>
                <w:sz w:val="16"/>
                <w:szCs w:val="16"/>
                <w:color w:val="auto"/>
              </w:rPr>
              <w:t>1.1</w:t>
            </w:r>
          </w:p>
        </w:tc>
      </w:tr>
      <w:tr>
        <w:trPr>
          <w:trHeight w:val="234"/>
        </w:trPr>
        <w:tc>
          <w:tcPr>
            <w:tcW w:w="5720" w:type="dxa"/>
            <w:vAlign w:val="bottom"/>
            <w:tcBorders>
              <w:bottom w:val="single" w:sz="8" w:color="AFAFAF"/>
            </w:tcBorders>
          </w:tcPr>
          <w:p>
            <w:pPr>
              <w:spacing w:after="0"/>
              <w:rPr>
                <w:sz w:val="20"/>
                <w:szCs w:val="20"/>
                <w:color w:val="auto"/>
              </w:rPr>
            </w:pPr>
            <w:r>
              <w:rPr>
                <w:rFonts w:ascii="Arial" w:cs="Arial" w:eastAsia="Arial" w:hAnsi="Arial"/>
                <w:sz w:val="16"/>
                <w:szCs w:val="16"/>
                <w:b w:val="1"/>
                <w:bCs w:val="1"/>
                <w:color w:val="auto"/>
              </w:rPr>
              <w:t>  Tax fees</w:t>
            </w:r>
          </w:p>
        </w:tc>
        <w:tc>
          <w:tcPr>
            <w:tcW w:w="4260" w:type="dxa"/>
            <w:vAlign w:val="bottom"/>
            <w:tcBorders>
              <w:bottom w:val="single" w:sz="8" w:color="AFAFAF"/>
            </w:tcBorders>
          </w:tcPr>
          <w:p>
            <w:pPr>
              <w:jc w:val="right"/>
              <w:ind w:right="140"/>
              <w:spacing w:after="0"/>
              <w:rPr>
                <w:sz w:val="20"/>
                <w:szCs w:val="20"/>
                <w:color w:val="auto"/>
              </w:rPr>
            </w:pPr>
            <w:r>
              <w:rPr>
                <w:rFonts w:ascii="Arial" w:cs="Arial" w:eastAsia="Arial" w:hAnsi="Arial"/>
                <w:sz w:val="16"/>
                <w:szCs w:val="16"/>
                <w:b w:val="1"/>
                <w:bCs w:val="1"/>
                <w:color w:val="auto"/>
              </w:rPr>
              <w:t>0.4</w:t>
            </w:r>
          </w:p>
        </w:tc>
        <w:tc>
          <w:tcPr>
            <w:tcW w:w="940" w:type="dxa"/>
            <w:vAlign w:val="bottom"/>
            <w:tcBorders>
              <w:bottom w:val="single" w:sz="8" w:color="AFAFAF"/>
            </w:tcBorders>
          </w:tcPr>
          <w:p>
            <w:pPr>
              <w:jc w:val="right"/>
              <w:ind w:right="240"/>
              <w:spacing w:after="0"/>
              <w:rPr>
                <w:sz w:val="20"/>
                <w:szCs w:val="20"/>
                <w:color w:val="auto"/>
              </w:rPr>
            </w:pPr>
            <w:r>
              <w:rPr>
                <w:rFonts w:ascii="Arial" w:cs="Arial" w:eastAsia="Arial" w:hAnsi="Arial"/>
                <w:sz w:val="16"/>
                <w:szCs w:val="16"/>
                <w:color w:val="auto"/>
              </w:rPr>
              <w:t>0.7</w:t>
            </w:r>
          </w:p>
        </w:tc>
      </w:tr>
      <w:tr>
        <w:trPr>
          <w:trHeight w:val="241"/>
        </w:trPr>
        <w:tc>
          <w:tcPr>
            <w:tcW w:w="572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All other fees</w:t>
            </w:r>
          </w:p>
        </w:tc>
        <w:tc>
          <w:tcPr>
            <w:tcW w:w="4260" w:type="dxa"/>
            <w:vAlign w:val="bottom"/>
            <w:tcBorders>
              <w:bottom w:val="single" w:sz="8" w:color="D64000"/>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D64000"/>
            </w:tcBorders>
          </w:tcPr>
          <w:p>
            <w:pPr>
              <w:jc w:val="right"/>
              <w:ind w:right="240"/>
              <w:spacing w:after="0"/>
              <w:rPr>
                <w:sz w:val="20"/>
                <w:szCs w:val="20"/>
                <w:color w:val="auto"/>
              </w:rPr>
            </w:pPr>
            <w:r>
              <w:rPr>
                <w:rFonts w:ascii="Arial" w:cs="Arial" w:eastAsia="Arial" w:hAnsi="Arial"/>
                <w:sz w:val="16"/>
                <w:szCs w:val="16"/>
                <w:color w:val="auto"/>
              </w:rPr>
              <w:t>-</w:t>
            </w:r>
          </w:p>
        </w:tc>
      </w:tr>
      <w:tr>
        <w:trPr>
          <w:trHeight w:val="247"/>
        </w:trPr>
        <w:tc>
          <w:tcPr>
            <w:tcW w:w="572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Total</w:t>
            </w:r>
          </w:p>
        </w:tc>
        <w:tc>
          <w:tcPr>
            <w:tcW w:w="4260" w:type="dxa"/>
            <w:vAlign w:val="bottom"/>
            <w:tcBorders>
              <w:bottom w:val="single" w:sz="8" w:color="D64000"/>
            </w:tcBorders>
          </w:tcPr>
          <w:p>
            <w:pPr>
              <w:jc w:val="right"/>
              <w:ind w:right="140"/>
              <w:spacing w:after="0"/>
              <w:rPr>
                <w:sz w:val="20"/>
                <w:szCs w:val="20"/>
                <w:color w:val="auto"/>
              </w:rPr>
            </w:pPr>
            <w:r>
              <w:rPr>
                <w:rFonts w:ascii="Arial" w:cs="Arial" w:eastAsia="Arial" w:hAnsi="Arial"/>
                <w:sz w:val="16"/>
                <w:szCs w:val="16"/>
                <w:b w:val="1"/>
                <w:bCs w:val="1"/>
                <w:color w:val="auto"/>
              </w:rPr>
              <w:t>$14.8</w:t>
            </w:r>
          </w:p>
        </w:tc>
        <w:tc>
          <w:tcPr>
            <w:tcW w:w="940" w:type="dxa"/>
            <w:vAlign w:val="bottom"/>
            <w:tcBorders>
              <w:bottom w:val="single" w:sz="8" w:color="D64000"/>
            </w:tcBorders>
          </w:tcPr>
          <w:p>
            <w:pPr>
              <w:jc w:val="right"/>
              <w:ind w:right="240"/>
              <w:spacing w:after="0"/>
              <w:rPr>
                <w:sz w:val="20"/>
                <w:szCs w:val="20"/>
                <w:color w:val="auto"/>
              </w:rPr>
            </w:pPr>
            <w:r>
              <w:rPr>
                <w:rFonts w:ascii="Arial" w:cs="Arial" w:eastAsia="Arial" w:hAnsi="Arial"/>
                <w:sz w:val="16"/>
                <w:szCs w:val="16"/>
                <w:color w:val="auto"/>
              </w:rPr>
              <w:t>$15.2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descriptions of fees for services rendered by PricewaterhouseCoopers LLP in 2025 and 2024.</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Audit Fees</w:t>
      </w:r>
    </w:p>
    <w:p>
      <w:pPr>
        <w:spacing w:after="0" w:line="89"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These audit fees were for professional services rendered for the audits of consolidated financial statements, reviews of interim financial statements included in periodic reports, audits related to internal control over financial reporting, statutory audits and services that generally only the independent auditor can reasonably provide, such as comfort letters and consents.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Audit-related Fees</w:t>
      </w:r>
    </w:p>
    <w:p>
      <w:pPr>
        <w:spacing w:after="0" w:line="103"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These audit-related fees were for assurance and related services that are reasonably related to the performance of the audit or review of the financial statements and are not reported under the “audit fees” category above. These services included transaction due diligence, pre-post implementation reviews, other attestation engagements, audits of various employee benefit plans and agreed-upon procedures principally related to executive compensation reporting.</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Tax Fees</w:t>
      </w:r>
    </w:p>
    <w:p>
      <w:pPr>
        <w:spacing w:after="0" w:line="10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Tax fees were for tax compliance, tax advice and tax planning. These services included the preparation and review of corporate tax returns, assistance with tax audits and transfer pricing matters, advisory services relating to federal, state, provincial and international tax compliance, and restructurings, mergers and acquisitions and divestitures.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All Other Fees</w:t>
      </w:r>
    </w:p>
    <w:p>
      <w:pPr>
        <w:spacing w:after="0" w:line="89"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Fees disclosed in the tables above under the item “all other fees” were for services other than the audit fees, audit-related fees and tax fees described above.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Pre-approval Policies and Procedures</w:t>
      </w:r>
    </w:p>
    <w:p>
      <w:pPr>
        <w:spacing w:after="0" w:line="103"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Information regarding our policy regarding pre-approval of all audit and permissible non-audit services is set forth in the corporate governance disclosure included earlier in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51</w:t>
      </w:r>
    </w:p>
    <w:p>
      <w:pPr>
        <w:sectPr>
          <w:pgSz w:w="11900" w:h="16838" w:orient="portrait"/>
          <w:cols w:equalWidth="0" w:num="1">
            <w:col w:w="10920"/>
          </w:cols>
          <w:pgMar w:left="480" w:top="234" w:right="499" w:bottom="1440" w:gutter="0" w:footer="0" w:header="0"/>
        </w:sectPr>
      </w:pPr>
    </w:p>
    <w:bookmarkStart w:id="61" w:name="page62"/>
    <w:bookmarkEnd w:id="61"/>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92975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HIGHLIGHTS</w:t>
      </w:r>
    </w:p>
    <w:p>
      <w:pPr>
        <w:spacing w:after="0" w:line="102" w:lineRule="exact"/>
        <w:rPr>
          <w:sz w:val="20"/>
          <w:szCs w:val="20"/>
          <w:color w:val="auto"/>
        </w:rPr>
      </w:pPr>
    </w:p>
    <w:p>
      <w:pPr>
        <w:ind w:left="320" w:hanging="313"/>
        <w:spacing w:after="0"/>
        <w:tabs>
          <w:tab w:leader="none" w:pos="320" w:val="left"/>
        </w:tabs>
        <w:numPr>
          <w:ilvl w:val="0"/>
          <w:numId w:val="64"/>
        </w:numPr>
        <w:rPr>
          <w:rFonts w:ascii="Times New Roman" w:cs="Times New Roman" w:eastAsia="Times New Roman" w:hAnsi="Times New Roman"/>
          <w:sz w:val="25"/>
          <w:szCs w:val="25"/>
          <w:color w:val="FF4338"/>
        </w:rPr>
      </w:pPr>
      <w:r>
        <w:rPr>
          <w:rFonts w:ascii="Arial" w:cs="Arial" w:eastAsia="Arial" w:hAnsi="Arial"/>
          <w:sz w:val="25"/>
          <w:szCs w:val="25"/>
          <w:color w:val="auto"/>
        </w:rPr>
        <w:t>We actively engage with our stakeholders throughout the year</w:t>
      </w:r>
    </w:p>
    <w:p>
      <w:pPr>
        <w:spacing w:after="0" w:line="99" w:lineRule="exact"/>
        <w:rPr>
          <w:rFonts w:ascii="Times New Roman" w:cs="Times New Roman" w:eastAsia="Times New Roman" w:hAnsi="Times New Roman"/>
          <w:sz w:val="25"/>
          <w:szCs w:val="25"/>
          <w:color w:val="FF4338"/>
        </w:rPr>
      </w:pPr>
    </w:p>
    <w:p>
      <w:pPr>
        <w:ind w:left="320" w:hanging="313"/>
        <w:spacing w:after="0"/>
        <w:tabs>
          <w:tab w:leader="none" w:pos="320" w:val="left"/>
        </w:tabs>
        <w:numPr>
          <w:ilvl w:val="0"/>
          <w:numId w:val="64"/>
        </w:numPr>
        <w:rPr>
          <w:rFonts w:ascii="Times New Roman" w:cs="Times New Roman" w:eastAsia="Times New Roman" w:hAnsi="Times New Roman"/>
          <w:sz w:val="25"/>
          <w:szCs w:val="25"/>
          <w:color w:val="FF4338"/>
        </w:rPr>
      </w:pPr>
      <w:r>
        <w:rPr>
          <w:rFonts w:ascii="Arial" w:cs="Arial" w:eastAsia="Arial" w:hAnsi="Arial"/>
          <w:sz w:val="25"/>
          <w:szCs w:val="25"/>
          <w:color w:val="auto"/>
        </w:rPr>
        <w:t>We welcome feedback and input from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692975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Thomson Reuters actively engages with its stakeholders on a variety of topics, including:</w:t>
      </w:r>
    </w:p>
    <w:p>
      <w:pPr>
        <w:spacing w:after="0" w:line="85" w:lineRule="exact"/>
        <w:rPr>
          <w:sz w:val="20"/>
          <w:szCs w:val="20"/>
          <w:color w:val="auto"/>
        </w:rPr>
      </w:pPr>
    </w:p>
    <w:p>
      <w:pPr>
        <w:ind w:left="440" w:hanging="433"/>
        <w:spacing w:after="0"/>
        <w:tabs>
          <w:tab w:leader="none" w:pos="4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Financial performance</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Corporate/growth strategy</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Corporate governance</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Executive compensation</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Human capital management</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Other ESG-related topics (as discussed further on the next page of this circular)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2025, stakeholder engagement was conducted by different leaders and groups across our company, including:</w:t>
      </w:r>
    </w:p>
    <w:p>
      <w:pPr>
        <w:spacing w:after="0" w:line="85" w:lineRule="exact"/>
        <w:rPr>
          <w:sz w:val="20"/>
          <w:szCs w:val="20"/>
          <w:color w:val="auto"/>
        </w:rPr>
      </w:pPr>
    </w:p>
    <w:p>
      <w:pPr>
        <w:ind w:left="440" w:hanging="433"/>
        <w:spacing w:after="0"/>
        <w:tabs>
          <w:tab w:leader="none" w:pos="440" w:val="left"/>
        </w:tabs>
        <w:numPr>
          <w:ilvl w:val="0"/>
          <w:numId w:val="66"/>
        </w:numPr>
        <w:rPr>
          <w:rFonts w:ascii="Arial" w:cs="Arial" w:eastAsia="Arial" w:hAnsi="Arial"/>
          <w:sz w:val="17"/>
          <w:szCs w:val="17"/>
          <w:color w:val="D64000"/>
        </w:rPr>
      </w:pPr>
      <w:r>
        <w:rPr>
          <w:rFonts w:ascii="Arial" w:cs="Arial" w:eastAsia="Arial" w:hAnsi="Arial"/>
          <w:sz w:val="17"/>
          <w:szCs w:val="17"/>
          <w:color w:val="auto"/>
        </w:rPr>
        <w:t>Investor Relations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6"/>
        </w:numPr>
        <w:rPr>
          <w:rFonts w:ascii="Arial" w:cs="Arial" w:eastAsia="Arial" w:hAnsi="Arial"/>
          <w:sz w:val="17"/>
          <w:szCs w:val="17"/>
          <w:color w:val="D64000"/>
        </w:rPr>
      </w:pPr>
      <w:r>
        <w:rPr>
          <w:rFonts w:ascii="Arial" w:cs="Arial" w:eastAsia="Arial" w:hAnsi="Arial"/>
          <w:sz w:val="17"/>
          <w:szCs w:val="17"/>
          <w:color w:val="auto"/>
        </w:rPr>
        <w:t>Our CEO and CFO</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6"/>
        </w:numPr>
        <w:rPr>
          <w:rFonts w:ascii="Arial" w:cs="Arial" w:eastAsia="Arial" w:hAnsi="Arial"/>
          <w:sz w:val="17"/>
          <w:szCs w:val="17"/>
          <w:color w:val="D64000"/>
        </w:rPr>
      </w:pPr>
      <w:r>
        <w:rPr>
          <w:rFonts w:ascii="Arial" w:cs="Arial" w:eastAsia="Arial" w:hAnsi="Arial"/>
          <w:sz w:val="17"/>
          <w:szCs w:val="17"/>
          <w:color w:val="auto"/>
        </w:rPr>
        <w:t>Our Chief People Officer</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66"/>
        </w:numPr>
        <w:rPr>
          <w:rFonts w:ascii="Arial" w:cs="Arial" w:eastAsia="Arial" w:hAnsi="Arial"/>
          <w:sz w:val="17"/>
          <w:szCs w:val="17"/>
          <w:color w:val="D64000"/>
        </w:rPr>
      </w:pPr>
      <w:r>
        <w:rPr>
          <w:rFonts w:ascii="Arial" w:cs="Arial" w:eastAsia="Arial" w:hAnsi="Arial"/>
          <w:sz w:val="17"/>
          <w:szCs w:val="17"/>
          <w:color w:val="auto"/>
        </w:rPr>
        <w:t>Our Chief Legal Officer and Company Secretary</w:t>
      </w:r>
    </w:p>
    <w:p>
      <w:pPr>
        <w:spacing w:after="0" w:line="85"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On a day-to-day basis, inquiries or other communications from stakeholders to management are answered by our Investor Relations and other Corporate departments or are referred to another appropriate person in our company.</w:t>
      </w:r>
    </w:p>
    <w:p>
      <w:pPr>
        <w:spacing w:after="0" w:line="40"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Our earnings conference calls are broadcast live via webcast and are accessible to interested stakeholders, the media and members of the public.</w:t>
      </w:r>
    </w:p>
    <w:p>
      <w:pPr>
        <w:spacing w:after="0" w:line="2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At the annual meeting, shareholders are provided with an opportunity to ask questions to our Board, CEO, CFO and other members of senior management. Our company also has meetings throughout the year with shareholders and other stakeholders, shareholder advocacy groups and financial analysts.</w:t>
      </w:r>
    </w:p>
    <w:p>
      <w:pPr>
        <w:spacing w:after="0" w:line="5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Shareholders and other stakeholders with questions about our company are encouraged to contact our Investor Relations department by e-mail at </w:t>
      </w:r>
      <w:r>
        <w:rPr>
          <w:rFonts w:ascii="Arial" w:cs="Arial" w:eastAsia="Arial" w:hAnsi="Arial"/>
          <w:sz w:val="17"/>
          <w:szCs w:val="17"/>
          <w:b w:val="1"/>
          <w:bCs w:val="1"/>
          <w:color w:val="auto"/>
        </w:rPr>
        <w:t>investor.relations@thomsonreuters.com</w:t>
      </w:r>
      <w:r>
        <w:rPr>
          <w:rFonts w:ascii="Arial" w:cs="Arial" w:eastAsia="Arial" w:hAnsi="Arial"/>
          <w:sz w:val="17"/>
          <w:szCs w:val="17"/>
          <w:color w:val="auto"/>
        </w:rPr>
        <w:t xml:space="preserve"> or by phone at 1.332.219.1046.</w:t>
      </w:r>
    </w:p>
    <w:p>
      <w:pPr>
        <w:spacing w:after="0" w:line="23" w:lineRule="exact"/>
        <w:rPr>
          <w:sz w:val="20"/>
          <w:szCs w:val="20"/>
          <w:color w:val="auto"/>
        </w:rPr>
      </w:pPr>
    </w:p>
    <w:p>
      <w:pPr>
        <w:jc w:val="both"/>
        <w:ind w:right="300"/>
        <w:spacing w:after="0" w:line="246" w:lineRule="auto"/>
        <w:rPr>
          <w:sz w:val="20"/>
          <w:szCs w:val="20"/>
          <w:color w:val="auto"/>
        </w:rPr>
      </w:pPr>
      <w:r>
        <w:rPr>
          <w:rFonts w:ascii="Arial" w:cs="Arial" w:eastAsia="Arial" w:hAnsi="Arial"/>
          <w:sz w:val="17"/>
          <w:szCs w:val="17"/>
          <w:color w:val="auto"/>
        </w:rPr>
        <w:t xml:space="preserve">Shareholders and other interested parties may contact the Board or its non-management or independent directors as a group, or the directors who preside over their meetings, by e-mail at </w:t>
      </w:r>
      <w:r>
        <w:rPr>
          <w:rFonts w:ascii="Arial" w:cs="Arial" w:eastAsia="Arial" w:hAnsi="Arial"/>
          <w:sz w:val="17"/>
          <w:szCs w:val="17"/>
          <w:b w:val="1"/>
          <w:bCs w:val="1"/>
          <w:color w:val="auto"/>
        </w:rPr>
        <w:t>board@thomsonreuters.com</w:t>
      </w:r>
      <w:r>
        <w:rPr>
          <w:rFonts w:ascii="Arial" w:cs="Arial" w:eastAsia="Arial" w:hAnsi="Arial"/>
          <w:sz w:val="17"/>
          <w:szCs w:val="17"/>
          <w:color w:val="auto"/>
        </w:rPr>
        <w:t xml:space="preserve"> or by writing to them c/o Norie Campbell, Chief Legal Officer and Company Secretary, Thomson Reuters, 19 Duncan Street, Toronto, Ontario, M5H 3H1,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52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62" w:name="page63"/>
    <w:bookmarkEnd w:id="62"/>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9297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HIGHLIGHTS</w:t>
      </w:r>
    </w:p>
    <w:p>
      <w:pPr>
        <w:spacing w:after="0" w:line="76" w:lineRule="exact"/>
        <w:rPr>
          <w:sz w:val="20"/>
          <w:szCs w:val="20"/>
          <w:color w:val="auto"/>
        </w:rPr>
      </w:pPr>
    </w:p>
    <w:p>
      <w:pPr>
        <w:ind w:left="320" w:right="560" w:hanging="313"/>
        <w:spacing w:after="0" w:line="280" w:lineRule="auto"/>
        <w:tabs>
          <w:tab w:leader="none" w:pos="320" w:val="left"/>
        </w:tabs>
        <w:numPr>
          <w:ilvl w:val="0"/>
          <w:numId w:val="67"/>
        </w:numPr>
        <w:rPr>
          <w:rFonts w:ascii="Times New Roman" w:cs="Times New Roman" w:eastAsia="Times New Roman" w:hAnsi="Times New Roman"/>
          <w:sz w:val="25"/>
          <w:szCs w:val="25"/>
          <w:color w:val="FF4338"/>
        </w:rPr>
      </w:pPr>
      <w:r>
        <w:rPr>
          <w:rFonts w:ascii="Arial" w:cs="Arial" w:eastAsia="Arial" w:hAnsi="Arial"/>
          <w:sz w:val="25"/>
          <w:szCs w:val="25"/>
          <w:color w:val="auto"/>
        </w:rPr>
        <w:t>We manage our business for the long term and view programs that improve environmental, social and governance (ESG) through that lens</w:t>
      </w:r>
    </w:p>
    <w:p>
      <w:pPr>
        <w:spacing w:after="0" w:line="36" w:lineRule="exact"/>
        <w:rPr>
          <w:rFonts w:ascii="Times New Roman" w:cs="Times New Roman" w:eastAsia="Times New Roman" w:hAnsi="Times New Roman"/>
          <w:sz w:val="25"/>
          <w:szCs w:val="25"/>
          <w:color w:val="FF4338"/>
        </w:rPr>
      </w:pPr>
    </w:p>
    <w:p>
      <w:pPr>
        <w:ind w:left="320" w:right="840" w:hanging="313"/>
        <w:spacing w:after="0" w:line="280" w:lineRule="auto"/>
        <w:tabs>
          <w:tab w:leader="none" w:pos="320" w:val="left"/>
        </w:tabs>
        <w:numPr>
          <w:ilvl w:val="0"/>
          <w:numId w:val="67"/>
        </w:numPr>
        <w:rPr>
          <w:rFonts w:ascii="Times New Roman" w:cs="Times New Roman" w:eastAsia="Times New Roman" w:hAnsi="Times New Roman"/>
          <w:sz w:val="25"/>
          <w:szCs w:val="25"/>
          <w:color w:val="FF4338"/>
        </w:rPr>
      </w:pPr>
      <w:r>
        <w:rPr>
          <w:rFonts w:ascii="Arial" w:cs="Arial" w:eastAsia="Arial" w:hAnsi="Arial"/>
          <w:sz w:val="25"/>
          <w:szCs w:val="25"/>
          <w:color w:val="auto"/>
        </w:rPr>
        <w:t>We consider ESG one important mechanism for sustained value creation, reinforcing the underlying health of our company now and beyond the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company is dedicated to serving institutions and businesses that keep the wheels of commerce turning, uphold justice and taxation systems, fight fraud, support law enforcement and report on world events with impartiality, as an important source of unbiased news globally. We pursue ESG initiatives because they contribute to value creation for our customers, employees, shareholders and other stakeholders. The Board and its committees oversee different ESG-related areas that are of the greatest importance to the organization and our stakeholders to achieve our long-term strategic objectives. Ultimately, though, our ESG-related initiatives require employees who take on responsibility for them and are empowered to achieve them.</w:t>
      </w:r>
    </w:p>
    <w:p>
      <w:pPr>
        <w:spacing w:after="0" w:line="59"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Our ESG-related workstreams include sustainability, inclusion and belonging, community relations and volunteerism. ESG factors are considered in our Enterprise Risk Management (ERM) processes. Our financial support of the Thomson Reuters Foundation also contributes to our ongoing ESG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38010" cy="5689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38010" cy="568960"/>
                    </a:xfrm>
                    <a:prstGeom prst="rect">
                      <a:avLst/>
                    </a:prstGeom>
                    <a:noFill/>
                  </pic:spPr>
                </pic:pic>
              </a:graphicData>
            </a:graphic>
          </wp:anchor>
        </w:drawing>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 xml:space="preserve">We post a Social Impact &amp; ESG Report annually on our website, </w:t>
      </w:r>
      <w:r>
        <w:rPr>
          <w:rFonts w:ascii="Arial" w:cs="Arial" w:eastAsia="Arial" w:hAnsi="Arial"/>
          <w:sz w:val="17"/>
          <w:szCs w:val="17"/>
          <w:b w:val="1"/>
          <w:bCs w:val="1"/>
          <w:color w:val="auto"/>
        </w:rPr>
        <w:t>www.thomsonreuters.com/social-impact-report</w:t>
      </w:r>
      <w:r>
        <w:rPr>
          <w:rFonts w:ascii="Arial" w:cs="Arial" w:eastAsia="Arial" w:hAnsi="Arial"/>
          <w:sz w:val="17"/>
          <w:szCs w:val="17"/>
          <w:color w:val="auto"/>
        </w:rPr>
        <w:t>, which summarizes our</w:t>
      </w:r>
    </w:p>
    <w:p>
      <w:pPr>
        <w:spacing w:after="0" w:line="8" w:lineRule="exact"/>
        <w:rPr>
          <w:sz w:val="20"/>
          <w:szCs w:val="20"/>
          <w:color w:val="auto"/>
        </w:rPr>
      </w:pPr>
    </w:p>
    <w:p>
      <w:pPr>
        <w:jc w:val="center"/>
        <w:ind w:left="680" w:right="300"/>
        <w:spacing w:after="0" w:line="238" w:lineRule="auto"/>
        <w:rPr>
          <w:sz w:val="20"/>
          <w:szCs w:val="20"/>
          <w:color w:val="auto"/>
        </w:rPr>
      </w:pPr>
      <w:r>
        <w:rPr>
          <w:rFonts w:ascii="Arial" w:cs="Arial" w:eastAsia="Arial" w:hAnsi="Arial"/>
          <w:sz w:val="17"/>
          <w:szCs w:val="17"/>
          <w:color w:val="auto"/>
        </w:rPr>
        <w:t>strategy, includes stories of progress and tracks performance, tying our efforts to our business strategy and commercial expertise. We encourage you to review the Social Impact &amp; ESG Report to gain a better understanding of our accomplishments and practices in these areas.</w:t>
      </w:r>
    </w:p>
    <w:p>
      <w:pPr>
        <w:spacing w:after="0" w:line="125"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believe in the power of collaboration with the international business community, so we are signatories of the United Nations Global Compact (UNGC), a non-binding United Nations (U.N.) pact to encourage businesses and firms worldwide to adopt sustainable and socially responsible policies. We are also aligned with the United Nations Guiding Principles on Business and Human Rights (UNGPs), which augment our longstanding commitment to the UNGC, the U.N. Declaration on Human Rights, and other international standards.</w:t>
      </w:r>
    </w:p>
    <w:p>
      <w:pPr>
        <w:spacing w:after="0" w:line="5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2025, we updated our ESG double materiality assessment to ensure the continued alignment of our ESG initiatives with our business strategy and to comply with new global regulations. This assessment enables us to identify and prioritize the ESG issues that are most likely to impact our business and stakeholders in the short and long-term and establishes a robust foundation for our ongoing sustainability reporting and management processes. In 2025, we also completed our second company-wide human rights impact assessment (HRIA) of our global operations, products, and services. This assessment examined potential impacts across stakeholder groups and helped us to identify salient human rights risks which were then mapped against the expectations of the UNGPs and which now inform our human rights strategy and roadmap. Our commitment to respecting human rights throughout our operations will continue to guide our work and the recommendations from this comprehensive ESG assessment will continue to help us identify, assess, and proactively respond to salient and material risks across our enterprise. Finally, in March 2023, we released our human rights policy, which informs our colleagues, customers, shareholders and those in the communities where we operate and do business, of our commitment and approach to human rights. Our 2025 Social Impact &amp; ESG Report, which we anticipate publishing later in 2026, will contain more information about our ESG strategy and results and will be available on our website at thomsonreuters.com.</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Environmental Practices</w:t>
      </w:r>
    </w:p>
    <w:p>
      <w:pPr>
        <w:spacing w:after="0" w:line="10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aim to continue to reduce our environmental impact globally. We continue to source renewable energy for 100% of our operations. We have achieved this largely by purchasing renewable energy credits to match our electricity use. We are also working closely with our suppliers to drive lower emissions within our supply chain. We will continue to measure and manage our own emissions and environmental impacts and continue to find ways to further assess, monitor and improve our carbon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9297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53</w:t>
      </w:r>
    </w:p>
    <w:p>
      <w:pPr>
        <w:sectPr>
          <w:pgSz w:w="11900" w:h="16838" w:orient="portrait"/>
          <w:cols w:equalWidth="0" w:num="1">
            <w:col w:w="10920"/>
          </w:cols>
          <w:pgMar w:left="480" w:top="234" w:right="499" w:bottom="1440" w:gutter="0" w:footer="0" w:header="0"/>
        </w:sectPr>
      </w:pPr>
    </w:p>
    <w:bookmarkStart w:id="63" w:name="page64"/>
    <w:bookmarkEnd w:id="63"/>
    <w:p>
      <w:pPr>
        <w:spacing w:after="0"/>
        <w:rPr>
          <w:sz w:val="20"/>
          <w:szCs w:val="20"/>
          <w:color w:val="auto"/>
        </w:rPr>
      </w:pPr>
      <w:r>
        <w:rPr>
          <w:rFonts w:ascii="Arial" w:cs="Arial" w:eastAsia="Arial" w:hAnsi="Arial"/>
          <w:sz w:val="25"/>
          <w:szCs w:val="25"/>
          <w:b w:val="1"/>
          <w:bCs w:val="1"/>
          <w:i w:val="1"/>
          <w:i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Social Practices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values and culture</w:t>
      </w:r>
    </w:p>
    <w:p>
      <w:pPr>
        <w:spacing w:after="0" w:line="92"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At Thomson Reuters, our team is committed to solving big challenges for our customers and supporting skill building for colleagues to thrive in an AI-enabled future. In 2025, we introduced new company values that are rooted in our purpose to Inform the Way Forward and the Thomson Reuters Trust Principles. These values elevate us to a higher standard of customer excellence, product innovation, teamwork,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141605</wp:posOffset>
            </wp:positionV>
            <wp:extent cx="5112385" cy="2199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12385" cy="2199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Inclusion and Belonging</w:t>
      </w:r>
    </w:p>
    <w:p>
      <w:pPr>
        <w:spacing w:after="0" w:line="7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a global company with employees located around the world, inclusion and belonging are core to our purpose and values, fostering an inclusive workplace where people with varied backgrounds, perspectives, and experiences can grow and thrive. We believe this gives us access to the broadest talent pool, leads to better decision making, and fosters greater innovation.</w:t>
      </w:r>
    </w:p>
    <w:p>
      <w:pPr>
        <w:spacing w:after="0" w:line="5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recent years, we have made meaningful progress in recruiting and retaining an executive team comprised of the best global talent to help deliver against our strategy and serve our customers. When hiring for executive officer roles, we are focused on finding the best qualified candidates to fill those positions and each candidate’s overall talents and characteristics are an important consideration in their assessment. While we do not specifically consider a candidate’s gender or the representation of women on our executive team when hiring for executive officer roles, we continue to have strong representation of women on our executive team and all appointments are made on a non-discriminatory basis, consistent with applicable laws.</w:t>
      </w:r>
    </w:p>
    <w:p>
      <w:pPr>
        <w:spacing w:after="0" w:line="45"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Having achieved a significant level of representation of women on our executive team, we have determined not to adopt a target regarding women in executive officer positions, though we will continue to work to build an executive team that reflects our company’s core values and the composition of our employees, customers, and the communities in which we operate. As of April 13, 2026, four (4) of our current 10 (40%) executive officers self-identify as women, two (2) self-identify as Asian, and one (1) self identifies as both Black/African American and Hispanic/Latinx.</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Health and Wellbeing</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Our people remain our greatest asset, and we are steadfast in our commitment to fostering a supportive and empowering workplace environment.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We offer employee benefit plans, tools, resources, and workplace practices that promote mental, physical, financial, and social wellbeing.</w:t>
      </w:r>
    </w:p>
    <w:p>
      <w:pPr>
        <w:spacing w:after="0" w:line="6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Central to our employee experience is a strong focus on mental health and wellbeing. Our Mindful Leadership Training is a key component of our Managing at TR program, ensuring that all new managers are equipped to lead effectively. Additionally, we offer global resources such as employee assistance programs, meditation apps, and mindfulness discussions, highlighted during our May and October Mental Health campaigns.</w:t>
      </w:r>
    </w:p>
    <w:p>
      <w:pPr>
        <w:spacing w:after="0" w:line="44"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Thomson Reuters upholds its commitment to flexibility through our hybrid working policy and the “Flex My Way” initiative. These global flexible workplace policies enable employees to balance family and customer needs effectively. With offerings like Bereavement Leave, Caregiver Paid Time Off, Sabbatical Leave, Parental Leave, Work From Anywhere policy, and local paid and unpaid time off policies, we ensure our employees can take the time they need, when they need it. Together, these efforts underline our unwavering dedication to cultivating a physically, mentally, financially, and socially healthy workplace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54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6" w:right="49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Community and Social Impact</w:t>
      </w:r>
    </w:p>
    <w:p>
      <w:pPr>
        <w:spacing w:after="0" w:line="83"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Thomson Reuters annually provides 16 hours of paid volunteer time off (VTO) to every employee and provides an additional 20 hours of paid VTO to a subset of employees with law degrees to provide legal pro bono aid to not-for-profit organizations.</w:t>
      </w:r>
    </w:p>
    <w:p>
      <w:pPr>
        <w:spacing w:after="0" w:line="26"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In 2025, our employees logged a total of approximately 63,000 volunteer hours, including over 10,000 hours in total pro bono support to not-for-profit organizations around the world. In addition to VTO, Thomson Reuters offers a global Corporate Match program to match eligible employee donations as well as a Volunteer Rewards Program in which an employee earns corporate funding for reaching 20 hours of volunteering. In 2025, donations by our employees together with our corporate matching and rewards donations totaled approximately $2.2 million to over 1,900 not-for-profits in 26 countries.</w:t>
      </w:r>
    </w:p>
    <w:p>
      <w:pPr>
        <w:spacing w:after="0" w:line="6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Finally, we provide some of our products and services free of charge to various not-for-profit organizations to support their initiatives, including access to our Westlaw, Practical Law, HighQ, and CoCounsel products. For example, since 2010, Thomson Reuters has made our CLEAR product available to the National Center for Missing and Exploited Children. Additionally, through our AI for Justice legal aid initiative, not-for-profit legal organizations can utilize CoCounsel, our premier AI-powered legal assistant.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Thomson Reuters Foundation</w:t>
      </w:r>
    </w:p>
    <w:p>
      <w:pPr>
        <w:spacing w:after="0" w:line="83"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Thomson Reuters Foundation works to bolster the resilience of independent media, strengthen access to the law and promote responsible business practices. It leverages its unique combination of media and legal expertise, together with data intelligence, to inform, connect, and empower professionals and civil society to strengthen free, fair and informed societies. It delivers its work through capacity-building programs, legal support, research, news, data-driven products and events, including its flagship annual forum, the Trust Conference.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 information on the Foundation can be found at </w:t>
      </w:r>
      <w:r>
        <w:rPr>
          <w:rFonts w:ascii="Arial" w:cs="Arial" w:eastAsia="Arial" w:hAnsi="Arial"/>
          <w:sz w:val="17"/>
          <w:szCs w:val="17"/>
          <w:b w:val="1"/>
          <w:bCs w:val="1"/>
          <w:color w:val="auto"/>
        </w:rPr>
        <w:t>www.trust.org</w:t>
      </w:r>
      <w:r>
        <w:rPr>
          <w:rFonts w:ascii="Arial" w:cs="Arial" w:eastAsia="Arial" w:hAnsi="Arial"/>
          <w:sz w:val="17"/>
          <w:szCs w:val="17"/>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Governance Practices</w:t>
      </w:r>
    </w:p>
    <w:p>
      <w:pPr>
        <w:spacing w:after="0" w:line="70"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Our Board and its committees oversee ESG initiatives. The Corporate Governance Committee of the Board evaluates our ESG strategy and progress and is updated regularly by our management. We remain committed to our values and ethics through our governance practices, which include our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55</w:t>
      </w:r>
    </w:p>
    <w:p>
      <w:pPr>
        <w:sectPr>
          <w:pgSz w:w="11900" w:h="16838" w:orient="portrait"/>
          <w:cols w:equalWidth="0" w:num="1">
            <w:col w:w="10920"/>
          </w:cols>
          <w:pgMar w:left="480" w:top="267" w:right="499" w:bottom="1440" w:gutter="0" w:footer="0" w:header="0"/>
        </w:sectPr>
      </w:pPr>
    </w:p>
    <w:bookmarkStart w:id="65" w:name="page66"/>
    <w:bookmarkEnd w:id="65"/>
    <w:p>
      <w:pPr>
        <w:ind w:right="60"/>
        <w:spacing w:after="0" w:line="286" w:lineRule="auto"/>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Advisory Resolution on Executive Compensation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69297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HIGHLIGHTS</w:t>
      </w:r>
    </w:p>
    <w:p>
      <w:pPr>
        <w:spacing w:after="0" w:line="129" w:lineRule="exact"/>
        <w:rPr>
          <w:sz w:val="20"/>
          <w:szCs w:val="20"/>
          <w:color w:val="auto"/>
        </w:rPr>
      </w:pPr>
    </w:p>
    <w:p>
      <w:pPr>
        <w:ind w:left="320" w:right="1220" w:hanging="313"/>
        <w:spacing w:after="0" w:line="281" w:lineRule="auto"/>
        <w:tabs>
          <w:tab w:leader="none" w:pos="320" w:val="left"/>
        </w:tabs>
        <w:numPr>
          <w:ilvl w:val="0"/>
          <w:numId w:val="68"/>
        </w:numPr>
        <w:rPr>
          <w:rFonts w:ascii="Arial" w:cs="Arial" w:eastAsia="Arial" w:hAnsi="Arial"/>
          <w:sz w:val="25"/>
          <w:szCs w:val="25"/>
          <w:color w:val="D64000"/>
        </w:rPr>
      </w:pPr>
      <w:r>
        <w:rPr>
          <w:rFonts w:ascii="Arial" w:cs="Arial" w:eastAsia="Arial" w:hAnsi="Arial"/>
          <w:sz w:val="25"/>
          <w:szCs w:val="25"/>
          <w:color w:val="auto"/>
        </w:rPr>
        <w:t>We are proposing a non-binding advisory “say on pay” resolution related to executive compensation.</w:t>
      </w:r>
    </w:p>
    <w:p>
      <w:pPr>
        <w:spacing w:after="0" w:line="35" w:lineRule="exact"/>
        <w:rPr>
          <w:rFonts w:ascii="Arial" w:cs="Arial" w:eastAsia="Arial" w:hAnsi="Arial"/>
          <w:sz w:val="25"/>
          <w:szCs w:val="25"/>
          <w:color w:val="D64000"/>
        </w:rPr>
      </w:pPr>
    </w:p>
    <w:p>
      <w:pPr>
        <w:ind w:left="320" w:hanging="313"/>
        <w:spacing w:after="0"/>
        <w:tabs>
          <w:tab w:leader="none" w:pos="320" w:val="left"/>
        </w:tabs>
        <w:numPr>
          <w:ilvl w:val="0"/>
          <w:numId w:val="68"/>
        </w:numPr>
        <w:rPr>
          <w:rFonts w:ascii="Arial" w:cs="Arial" w:eastAsia="Arial" w:hAnsi="Arial"/>
          <w:sz w:val="25"/>
          <w:szCs w:val="25"/>
          <w:color w:val="D64000"/>
        </w:rPr>
      </w:pPr>
      <w:r>
        <w:rPr>
          <w:rFonts w:ascii="Arial" w:cs="Arial" w:eastAsia="Arial" w:hAnsi="Arial"/>
          <w:sz w:val="25"/>
          <w:szCs w:val="25"/>
          <w:color w:val="auto"/>
        </w:rPr>
        <w:t>This is a recommended best practice of the Canadian Coalition for Good Governance (CCGG).</w:t>
      </w:r>
    </w:p>
    <w:p>
      <w:pPr>
        <w:spacing w:after="0" w:line="127" w:lineRule="exact"/>
        <w:rPr>
          <w:rFonts w:ascii="Arial" w:cs="Arial" w:eastAsia="Arial" w:hAnsi="Arial"/>
          <w:sz w:val="25"/>
          <w:szCs w:val="25"/>
          <w:color w:val="D64000"/>
        </w:rPr>
      </w:pPr>
    </w:p>
    <w:p>
      <w:pPr>
        <w:ind w:left="320" w:hanging="313"/>
        <w:spacing w:after="0"/>
        <w:tabs>
          <w:tab w:leader="none" w:pos="320" w:val="left"/>
        </w:tabs>
        <w:numPr>
          <w:ilvl w:val="0"/>
          <w:numId w:val="68"/>
        </w:numPr>
        <w:rPr>
          <w:rFonts w:ascii="Arial" w:cs="Arial" w:eastAsia="Arial" w:hAnsi="Arial"/>
          <w:sz w:val="25"/>
          <w:szCs w:val="25"/>
          <w:color w:val="D64000"/>
        </w:rPr>
      </w:pPr>
      <w:r>
        <w:rPr>
          <w:rFonts w:ascii="Arial" w:cs="Arial" w:eastAsia="Arial" w:hAnsi="Arial"/>
          <w:sz w:val="25"/>
          <w:szCs w:val="25"/>
          <w:color w:val="auto"/>
        </w:rPr>
        <w:t>We plan to continue holding this advisory vote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929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Our overall philosophy regarding executive compensation is to pay for performance. We believe this drives our management team to achieve higher levels of results for the benefit of Thomson Reuters and our shareholders. In the “Compensation Discussion and Analysis” section of this circular, we explain our compensation principles, how we design our compensation program and why we pay each component of compensation.</w:t>
      </w:r>
    </w:p>
    <w:p>
      <w:pPr>
        <w:spacing w:after="0" w:line="23"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As part of our dialogue with shareholders about our executive compensation programs, we are once again proposing a “say on pay” advisory resolution for this year’s meeting (as we have done since 2008). An identical resolution was approved by approximately 99% of the votes cast at last year’s annual meeting of shareholders. Over the last five years, an average of approximately 98% of votes have been cast “for” our “say on pay” advisory resolutions.</w:t>
      </w:r>
    </w:p>
    <w:p>
      <w:pPr>
        <w:spacing w:after="0" w:line="5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As this is an advisory resolution, the results will not be binding upon the Board. However, the Board will take voting results into account, as appropriate, when considering future compensation policies, procedures and decisions and in determining whether there is a need to significantly increase its engagement with shareholders on compensation-related matters.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will disclose the results of the shareholder advisory resolution as part of our report on voting results for the meeting.</w:t>
      </w:r>
    </w:p>
    <w:p>
      <w:pPr>
        <w:spacing w:after="0" w:line="7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Our “named executive officers” for purposes of the “Compensation Discussion and Analysis” section of this circular are our CEO (Steve Hasker), our CFO (Mike Eastwood) and the three other most highly compensated executive officers as of December 31, 2025 (Kirsty Roth – Chief Operations and Technology Officer, David Wong – Chief Product Officer, and Paul Bascobert – President, Reuters News.)</w:t>
      </w:r>
    </w:p>
    <w:p>
      <w:pPr>
        <w:spacing w:after="0" w:line="54" w:lineRule="exact"/>
        <w:rPr>
          <w:sz w:val="20"/>
          <w:szCs w:val="20"/>
          <w:color w:val="auto"/>
        </w:rPr>
      </w:pPr>
    </w:p>
    <w:p>
      <w:pPr>
        <w:ind w:right="620"/>
        <w:spacing w:after="0" w:line="273" w:lineRule="auto"/>
        <w:rPr>
          <w:sz w:val="20"/>
          <w:szCs w:val="20"/>
          <w:color w:val="auto"/>
        </w:rPr>
      </w:pPr>
      <w:r>
        <w:rPr>
          <w:rFonts w:ascii="Arial" w:cs="Arial" w:eastAsia="Arial" w:hAnsi="Arial"/>
          <w:sz w:val="17"/>
          <w:szCs w:val="17"/>
          <w:color w:val="auto"/>
        </w:rPr>
        <w:t xml:space="preserve">Shareholders with questions about our compensation programs are encouraged to contact our Investor Relations department by e-mail at </w:t>
      </w:r>
      <w:r>
        <w:rPr>
          <w:rFonts w:ascii="Arial" w:cs="Arial" w:eastAsia="Arial" w:hAnsi="Arial"/>
          <w:sz w:val="17"/>
          <w:szCs w:val="17"/>
          <w:b w:val="1"/>
          <w:bCs w:val="1"/>
          <w:color w:val="auto"/>
        </w:rPr>
        <w:t xml:space="preserve">investor.relations@thomsonreuters.com </w:t>
      </w:r>
      <w:r>
        <w:rPr>
          <w:rFonts w:ascii="Arial" w:cs="Arial" w:eastAsia="Arial" w:hAnsi="Arial"/>
          <w:sz w:val="17"/>
          <w:szCs w:val="17"/>
          <w:color w:val="auto"/>
        </w:rPr>
        <w:t>or by phone at 1.332.219.1046.</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unanimously recommends that you vote FOR the following resolution:</w:t>
      </w:r>
    </w:p>
    <w:p>
      <w:pPr>
        <w:spacing w:after="0" w:line="7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“RESOLVED, on an advisory basis, and not to diminish the role and responsibilities of the Board of Directors, that the shareholders accept the approach to executive compensation as described in the 2026 management proxy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56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66" w:name="page67"/>
    <w:bookmarkEnd w:id="66"/>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gridSpan w:val="4"/>
            <w:vMerge w:val="restart"/>
          </w:tcPr>
          <w:p>
            <w:pPr>
              <w:spacing w:after="0"/>
              <w:rPr>
                <w:sz w:val="20"/>
                <w:szCs w:val="20"/>
                <w:color w:val="auto"/>
              </w:rPr>
            </w:pPr>
            <w:r>
              <w:rPr>
                <w:rFonts w:ascii="Arial" w:cs="Arial" w:eastAsia="Arial" w:hAnsi="Arial"/>
                <w:sz w:val="16"/>
                <w:szCs w:val="16"/>
                <w:b w:val="1"/>
                <w:bCs w:val="1"/>
                <w:color w:val="0000EE"/>
                <w:w w:val="99"/>
              </w:rPr>
              <w:t>Executive Summary</w:t>
            </w:r>
          </w:p>
        </w:tc>
        <w:tc>
          <w:tcPr>
            <w:tcW w:w="8980" w:type="dxa"/>
            <w:vAlign w:val="bottom"/>
            <w:gridSpan w:val="23"/>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45"/>
        </w:trPr>
        <w:tc>
          <w:tcPr>
            <w:tcW w:w="1540" w:type="dxa"/>
            <w:vAlign w:val="bottom"/>
            <w:tcBorders>
              <w:bottom w:val="single" w:sz="8" w:color="0000EE"/>
            </w:tcBorders>
            <w:gridSpan w:val="4"/>
            <w:vMerge w:val="continue"/>
          </w:tcPr>
          <w:p>
            <w:pPr>
              <w:spacing w:after="0"/>
              <w:rPr>
                <w:sz w:val="12"/>
                <w:szCs w:val="12"/>
                <w:color w:val="auto"/>
              </w:rPr>
            </w:pPr>
          </w:p>
        </w:tc>
        <w:tc>
          <w:tcPr>
            <w:tcW w:w="8980" w:type="dxa"/>
            <w:vAlign w:val="bottom"/>
            <w:gridSpan w:val="23"/>
            <w:vMerge w:val="continue"/>
          </w:tcPr>
          <w:p>
            <w:pPr>
              <w:spacing w:after="0"/>
              <w:rPr>
                <w:sz w:val="12"/>
                <w:szCs w:val="12"/>
                <w:color w:val="auto"/>
              </w:rPr>
            </w:pPr>
          </w:p>
        </w:tc>
        <w:tc>
          <w:tcPr>
            <w:tcW w:w="34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94"/>
        </w:trPr>
        <w:tc>
          <w:tcPr>
            <w:tcW w:w="414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b w:val="1"/>
                <w:bCs w:val="1"/>
                <w:color w:val="0000EE"/>
              </w:rPr>
              <w:t>Key 2026 Compensation Developments and Decisions</w:t>
            </w:r>
          </w:p>
        </w:tc>
        <w:tc>
          <w:tcPr>
            <w:tcW w:w="6380" w:type="dxa"/>
            <w:vAlign w:val="bottom"/>
            <w:gridSpan w:val="8"/>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81"/>
        </w:trPr>
        <w:tc>
          <w:tcPr>
            <w:tcW w:w="2560" w:type="dxa"/>
            <w:vAlign w:val="bottom"/>
            <w:tcBorders>
              <w:bottom w:val="single" w:sz="8" w:color="0000EE"/>
            </w:tcBorders>
            <w:gridSpan w:val="14"/>
          </w:tcPr>
          <w:p>
            <w:pPr>
              <w:spacing w:after="0" w:line="181" w:lineRule="exact"/>
              <w:rPr>
                <w:sz w:val="20"/>
                <w:szCs w:val="20"/>
                <w:color w:val="auto"/>
              </w:rPr>
            </w:pPr>
            <w:r>
              <w:rPr>
                <w:rFonts w:ascii="Arial" w:cs="Arial" w:eastAsia="Arial" w:hAnsi="Arial"/>
                <w:sz w:val="16"/>
                <w:szCs w:val="16"/>
                <w:b w:val="1"/>
                <w:bCs w:val="1"/>
                <w:color w:val="0000EE"/>
                <w:w w:val="99"/>
              </w:rPr>
              <w:t>Our 2025 Compensation Program</w:t>
            </w:r>
          </w:p>
        </w:tc>
        <w:tc>
          <w:tcPr>
            <w:tcW w:w="7960" w:type="dxa"/>
            <w:vAlign w:val="bottom"/>
            <w:gridSpan w:val="13"/>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181"/>
        </w:trPr>
        <w:tc>
          <w:tcPr>
            <w:tcW w:w="10520" w:type="dxa"/>
            <w:vAlign w:val="bottom"/>
            <w:gridSpan w:val="27"/>
          </w:tcPr>
          <w:p>
            <w:pPr>
              <w:spacing w:after="0" w:line="181" w:lineRule="exact"/>
              <w:rPr>
                <w:sz w:val="20"/>
                <w:szCs w:val="20"/>
                <w:color w:val="auto"/>
              </w:rPr>
            </w:pPr>
            <w:r>
              <w:rPr>
                <w:rFonts w:ascii="Arial" w:cs="Arial" w:eastAsia="Arial" w:hAnsi="Arial"/>
                <w:sz w:val="16"/>
                <w:szCs w:val="16"/>
                <w:b w:val="1"/>
                <w:bCs w:val="1"/>
                <w:color w:val="0000EE"/>
              </w:rPr>
              <w:t>Our Process for Designing and Determining Executive Compensation</w:t>
            </w:r>
          </w:p>
        </w:tc>
        <w:tc>
          <w:tcPr>
            <w:tcW w:w="3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62</w:t>
            </w:r>
          </w:p>
        </w:tc>
        <w:tc>
          <w:tcPr>
            <w:tcW w:w="0" w:type="dxa"/>
            <w:vAlign w:val="bottom"/>
          </w:tcPr>
          <w:p>
            <w:pPr>
              <w:spacing w:after="0"/>
              <w:rPr>
                <w:sz w:val="1"/>
                <w:szCs w:val="1"/>
                <w:color w:val="auto"/>
              </w:rPr>
            </w:pPr>
          </w:p>
        </w:tc>
      </w:tr>
      <w:tr>
        <w:trPr>
          <w:trHeight w:val="181"/>
        </w:trPr>
        <w:tc>
          <w:tcPr>
            <w:tcW w:w="5300" w:type="dxa"/>
            <w:vAlign w:val="bottom"/>
            <w:tcBorders>
              <w:top w:val="single" w:sz="8" w:color="0000EE"/>
            </w:tcBorders>
            <w:gridSpan w:val="21"/>
          </w:tcPr>
          <w:p>
            <w:pPr>
              <w:spacing w:after="0" w:line="181" w:lineRule="exact"/>
              <w:rPr>
                <w:sz w:val="20"/>
                <w:szCs w:val="20"/>
                <w:color w:val="auto"/>
              </w:rPr>
            </w:pPr>
            <w:r>
              <w:rPr>
                <w:rFonts w:ascii="Arial" w:cs="Arial" w:eastAsia="Arial" w:hAnsi="Arial"/>
                <w:sz w:val="16"/>
                <w:szCs w:val="16"/>
                <w:b w:val="1"/>
                <w:bCs w:val="1"/>
                <w:color w:val="0000EE"/>
              </w:rPr>
              <w:t>Our Key Compensation Principles</w:t>
            </w:r>
          </w:p>
        </w:tc>
        <w:tc>
          <w:tcPr>
            <w:tcW w:w="5220" w:type="dxa"/>
            <w:vAlign w:val="bottom"/>
            <w:gridSpan w:val="6"/>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63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Pay for performance is the foundation of our executive compensation program</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Incentive performance goals are linked to key measures of our company’s performance and strategy</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Our executives should accumulate and retain equity in our company to align their interests with our shareholders</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7980" w:type="dxa"/>
            <w:vAlign w:val="bottom"/>
            <w:tcBorders>
              <w:top w:val="single" w:sz="8" w:color="0000EE"/>
            </w:tcBorders>
            <w:gridSpan w:val="25"/>
          </w:tcPr>
          <w:p>
            <w:pPr>
              <w:spacing w:after="0" w:line="181" w:lineRule="exact"/>
              <w:rPr>
                <w:sz w:val="20"/>
                <w:szCs w:val="20"/>
                <w:color w:val="auto"/>
              </w:rPr>
            </w:pPr>
            <w:r>
              <w:rPr>
                <w:rFonts w:ascii="Arial" w:cs="Arial" w:eastAsia="Arial" w:hAnsi="Arial"/>
                <w:sz w:val="16"/>
                <w:szCs w:val="16"/>
                <w:i w:val="1"/>
                <w:iCs w:val="1"/>
                <w:color w:val="0000EE"/>
              </w:rPr>
              <w:t>We provide competitive compensation opportunities</w:t>
            </w:r>
          </w:p>
        </w:tc>
        <w:tc>
          <w:tcPr>
            <w:tcW w:w="2220" w:type="dxa"/>
            <w:vAlign w:val="bottom"/>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7860" w:type="dxa"/>
            <w:vAlign w:val="bottom"/>
            <w:tcBorders>
              <w:bottom w:val="single" w:sz="8" w:color="0000EE"/>
            </w:tcBorders>
            <w:gridSpan w:val="24"/>
          </w:tcPr>
          <w:p>
            <w:pPr>
              <w:spacing w:after="0" w:line="181" w:lineRule="exact"/>
              <w:rPr>
                <w:sz w:val="20"/>
                <w:szCs w:val="20"/>
                <w:color w:val="auto"/>
              </w:rPr>
            </w:pPr>
            <w:r>
              <w:rPr>
                <w:rFonts w:ascii="Arial" w:cs="Arial" w:eastAsia="Arial" w:hAnsi="Arial"/>
                <w:sz w:val="16"/>
                <w:szCs w:val="16"/>
                <w:i w:val="1"/>
                <w:iCs w:val="1"/>
                <w:color w:val="0000EE"/>
              </w:rPr>
              <w:t>Our compensation programs take risk into account and do not encourage unnecessary or excessive risk taking</w:t>
            </w:r>
          </w:p>
        </w:tc>
        <w:tc>
          <w:tcPr>
            <w:tcW w:w="2340" w:type="dxa"/>
            <w:vAlign w:val="bottom"/>
            <w:gridSpan w:val="2"/>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520" w:type="dxa"/>
            <w:vAlign w:val="bottom"/>
            <w:gridSpan w:val="27"/>
          </w:tcPr>
          <w:p>
            <w:pPr>
              <w:spacing w:after="0" w:line="181" w:lineRule="exact"/>
              <w:rPr>
                <w:sz w:val="20"/>
                <w:szCs w:val="20"/>
                <w:color w:val="auto"/>
              </w:rPr>
            </w:pPr>
            <w:r>
              <w:rPr>
                <w:rFonts w:ascii="Arial" w:cs="Arial" w:eastAsia="Arial" w:hAnsi="Arial"/>
                <w:sz w:val="16"/>
                <w:szCs w:val="16"/>
                <w:b w:val="1"/>
                <w:bCs w:val="1"/>
                <w:color w:val="0000EE"/>
              </w:rPr>
              <w:t>2025 Compensation</w:t>
            </w:r>
          </w:p>
        </w:tc>
        <w:tc>
          <w:tcPr>
            <w:tcW w:w="3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gridSpan w:val="2"/>
          </w:tcPr>
          <w:p>
            <w:pPr>
              <w:spacing w:after="0" w:line="181" w:lineRule="exact"/>
              <w:rPr>
                <w:sz w:val="20"/>
                <w:szCs w:val="20"/>
                <w:color w:val="auto"/>
              </w:rPr>
            </w:pPr>
            <w:r>
              <w:rPr>
                <w:rFonts w:ascii="Arial" w:cs="Arial" w:eastAsia="Arial" w:hAnsi="Arial"/>
                <w:sz w:val="16"/>
                <w:szCs w:val="16"/>
                <w:i w:val="1"/>
                <w:iCs w:val="1"/>
                <w:color w:val="0000EE"/>
              </w:rPr>
              <w:t>Base salary</w:t>
            </w:r>
          </w:p>
        </w:tc>
        <w:tc>
          <w:tcPr>
            <w:tcW w:w="9000" w:type="dxa"/>
            <w:vAlign w:val="bottom"/>
            <w:gridSpan w:val="24"/>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Annual incentive awards</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980" w:type="dxa"/>
            <w:vAlign w:val="bottom"/>
            <w:tcBorders>
              <w:bottom w:val="single" w:sz="8" w:color="0000EE"/>
            </w:tcBorders>
            <w:gridSpan w:val="11"/>
          </w:tcPr>
          <w:p>
            <w:pPr>
              <w:spacing w:after="0" w:line="181" w:lineRule="exact"/>
              <w:rPr>
                <w:sz w:val="20"/>
                <w:szCs w:val="20"/>
                <w:color w:val="auto"/>
              </w:rPr>
            </w:pPr>
            <w:r>
              <w:rPr>
                <w:rFonts w:ascii="Arial" w:cs="Arial" w:eastAsia="Arial" w:hAnsi="Arial"/>
                <w:sz w:val="16"/>
                <w:szCs w:val="16"/>
                <w:i w:val="1"/>
                <w:iCs w:val="1"/>
                <w:color w:val="0000EE"/>
                <w:w w:val="99"/>
              </w:rPr>
              <w:t>Long-term incentive awards</w:t>
            </w:r>
          </w:p>
        </w:tc>
        <w:tc>
          <w:tcPr>
            <w:tcW w:w="8220" w:type="dxa"/>
            <w:vAlign w:val="bottom"/>
            <w:gridSpan w:val="15"/>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60" w:type="dxa"/>
            <w:vAlign w:val="bottom"/>
            <w:tcBorders>
              <w:bottom w:val="single" w:sz="8" w:color="0000EE"/>
            </w:tcBorders>
            <w:gridSpan w:val="22"/>
          </w:tcPr>
          <w:p>
            <w:pPr>
              <w:spacing w:after="0" w:line="181" w:lineRule="exact"/>
              <w:rPr>
                <w:sz w:val="20"/>
                <w:szCs w:val="20"/>
                <w:color w:val="auto"/>
              </w:rPr>
            </w:pPr>
            <w:r>
              <w:rPr>
                <w:rFonts w:ascii="Arial" w:cs="Arial" w:eastAsia="Arial" w:hAnsi="Arial"/>
                <w:sz w:val="16"/>
                <w:szCs w:val="16"/>
                <w:b w:val="1"/>
                <w:bCs w:val="1"/>
                <w:color w:val="0000EE"/>
              </w:rPr>
              <w:t>2025 Named Executive Officer Compensation and Key Accomplishments</w:t>
            </w:r>
          </w:p>
        </w:tc>
        <w:tc>
          <w:tcPr>
            <w:tcW w:w="4960" w:type="dxa"/>
            <w:vAlign w:val="bottom"/>
            <w:gridSpan w:val="5"/>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181"/>
        </w:trPr>
        <w:tc>
          <w:tcPr>
            <w:tcW w:w="1720" w:type="dxa"/>
            <w:vAlign w:val="bottom"/>
            <w:tcBorders>
              <w:bottom w:val="single" w:sz="8" w:color="0000EE"/>
            </w:tcBorders>
            <w:gridSpan w:val="8"/>
          </w:tcPr>
          <w:p>
            <w:pPr>
              <w:spacing w:after="0" w:line="181" w:lineRule="exact"/>
              <w:rPr>
                <w:sz w:val="20"/>
                <w:szCs w:val="20"/>
                <w:color w:val="auto"/>
              </w:rPr>
            </w:pPr>
            <w:r>
              <w:rPr>
                <w:rFonts w:ascii="Arial" w:cs="Arial" w:eastAsia="Arial" w:hAnsi="Arial"/>
                <w:sz w:val="16"/>
                <w:szCs w:val="16"/>
                <w:b w:val="1"/>
                <w:bCs w:val="1"/>
                <w:color w:val="0000EE"/>
                <w:w w:val="99"/>
              </w:rPr>
              <w:t>Additional Information</w:t>
            </w:r>
          </w:p>
        </w:tc>
        <w:tc>
          <w:tcPr>
            <w:tcW w:w="8800" w:type="dxa"/>
            <w:vAlign w:val="bottom"/>
            <w:gridSpan w:val="19"/>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Retirement and other benefits</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2800" w:type="dxa"/>
            <w:vAlign w:val="bottom"/>
            <w:tcBorders>
              <w:bottom w:val="single" w:sz="8" w:color="0000EE"/>
            </w:tcBorders>
            <w:gridSpan w:val="15"/>
          </w:tcPr>
          <w:p>
            <w:pPr>
              <w:spacing w:after="0" w:line="181" w:lineRule="exact"/>
              <w:rPr>
                <w:sz w:val="20"/>
                <w:szCs w:val="20"/>
                <w:color w:val="auto"/>
              </w:rPr>
            </w:pPr>
            <w:r>
              <w:rPr>
                <w:rFonts w:ascii="Arial" w:cs="Arial" w:eastAsia="Arial" w:hAnsi="Arial"/>
                <w:sz w:val="16"/>
                <w:szCs w:val="16"/>
                <w:i w:val="1"/>
                <w:iCs w:val="1"/>
                <w:color w:val="0000EE"/>
              </w:rPr>
              <w:t>Perquisites and other personal benefits</w:t>
            </w:r>
          </w:p>
        </w:tc>
        <w:tc>
          <w:tcPr>
            <w:tcW w:w="7400" w:type="dxa"/>
            <w:vAlign w:val="bottom"/>
            <w:gridSpan w:val="11"/>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300" w:type="dxa"/>
            <w:vAlign w:val="bottom"/>
            <w:tcBorders>
              <w:bottom w:val="single" w:sz="8" w:color="0000EE"/>
            </w:tcBorders>
            <w:gridSpan w:val="5"/>
          </w:tcPr>
          <w:p>
            <w:pPr>
              <w:spacing w:after="0" w:line="181" w:lineRule="exact"/>
              <w:rPr>
                <w:sz w:val="20"/>
                <w:szCs w:val="20"/>
                <w:color w:val="auto"/>
              </w:rPr>
            </w:pPr>
            <w:r>
              <w:rPr>
                <w:rFonts w:ascii="Arial" w:cs="Arial" w:eastAsia="Arial" w:hAnsi="Arial"/>
                <w:sz w:val="16"/>
                <w:szCs w:val="16"/>
                <w:i w:val="1"/>
                <w:iCs w:val="1"/>
                <w:color w:val="0000EE"/>
                <w:w w:val="99"/>
              </w:rPr>
              <w:t>Insurance policies</w:t>
            </w:r>
          </w:p>
        </w:tc>
        <w:tc>
          <w:tcPr>
            <w:tcW w:w="8900" w:type="dxa"/>
            <w:vAlign w:val="bottom"/>
            <w:gridSpan w:val="21"/>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Termination benefits</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6"/>
          </w:tcPr>
          <w:p>
            <w:pPr>
              <w:spacing w:after="0" w:line="181" w:lineRule="exact"/>
              <w:rPr>
                <w:sz w:val="20"/>
                <w:szCs w:val="20"/>
                <w:color w:val="auto"/>
              </w:rPr>
            </w:pPr>
            <w:r>
              <w:rPr>
                <w:rFonts w:ascii="Arial" w:cs="Arial" w:eastAsia="Arial" w:hAnsi="Arial"/>
                <w:sz w:val="16"/>
                <w:szCs w:val="16"/>
                <w:i w:val="1"/>
                <w:iCs w:val="1"/>
                <w:color w:val="0000EE"/>
                <w:w w:val="99"/>
              </w:rPr>
              <w:t>Equity grant policy</w:t>
            </w:r>
          </w:p>
        </w:tc>
        <w:tc>
          <w:tcPr>
            <w:tcW w:w="120" w:type="dxa"/>
            <w:vAlign w:val="bottom"/>
            <w:tcBorders>
              <w:top w:val="single" w:sz="8" w:color="0000EE"/>
            </w:tcBorders>
            <w:gridSpan w:val="2"/>
          </w:tcPr>
          <w:p>
            <w:pPr>
              <w:spacing w:after="0"/>
              <w:rPr>
                <w:sz w:val="15"/>
                <w:szCs w:val="15"/>
                <w:color w:val="auto"/>
              </w:rPr>
            </w:pPr>
          </w:p>
        </w:tc>
        <w:tc>
          <w:tcPr>
            <w:tcW w:w="8760" w:type="dxa"/>
            <w:vAlign w:val="bottom"/>
            <w:gridSpan w:val="18"/>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Clawback policies</w:t>
            </w: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Insider trading policies/pledging and hedging restrictions</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4000" w:type="dxa"/>
            <w:vAlign w:val="bottom"/>
            <w:tcBorders>
              <w:top w:val="single" w:sz="8" w:color="0000EE"/>
            </w:tcBorders>
            <w:gridSpan w:val="19"/>
          </w:tcPr>
          <w:p>
            <w:pPr>
              <w:spacing w:after="0" w:line="181" w:lineRule="exact"/>
              <w:rPr>
                <w:sz w:val="20"/>
                <w:szCs w:val="20"/>
                <w:color w:val="auto"/>
              </w:rPr>
            </w:pPr>
            <w:r>
              <w:rPr>
                <w:rFonts w:ascii="Arial" w:cs="Arial" w:eastAsia="Arial" w:hAnsi="Arial"/>
                <w:sz w:val="16"/>
                <w:szCs w:val="16"/>
                <w:i w:val="1"/>
                <w:iCs w:val="1"/>
                <w:color w:val="0000EE"/>
              </w:rPr>
              <w:t>Performance graphs</w:t>
            </w:r>
          </w:p>
        </w:tc>
        <w:tc>
          <w:tcPr>
            <w:tcW w:w="6200" w:type="dxa"/>
            <w:vAlign w:val="bottom"/>
            <w:gridSpan w:val="7"/>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line="20" w:lineRule="exact"/>
              <w:rPr>
                <w:sz w:val="1"/>
                <w:szCs w:val="1"/>
                <w:color w:val="auto"/>
              </w:rPr>
            </w:pPr>
          </w:p>
        </w:tc>
      </w:tr>
      <w:tr>
        <w:trPr>
          <w:trHeight w:val="181"/>
        </w:trPr>
        <w:tc>
          <w:tcPr>
            <w:tcW w:w="320" w:type="dxa"/>
            <w:vAlign w:val="bottom"/>
          </w:tcPr>
          <w:p>
            <w:pPr>
              <w:spacing w:after="0"/>
              <w:rPr>
                <w:sz w:val="15"/>
                <w:szCs w:val="15"/>
                <w:color w:val="auto"/>
              </w:rPr>
            </w:pPr>
          </w:p>
        </w:tc>
        <w:tc>
          <w:tcPr>
            <w:tcW w:w="10200" w:type="dxa"/>
            <w:vAlign w:val="bottom"/>
            <w:gridSpan w:val="26"/>
          </w:tcPr>
          <w:p>
            <w:pPr>
              <w:spacing w:after="0" w:line="181" w:lineRule="exact"/>
              <w:rPr>
                <w:sz w:val="20"/>
                <w:szCs w:val="20"/>
                <w:color w:val="auto"/>
              </w:rPr>
            </w:pPr>
            <w:r>
              <w:rPr>
                <w:rFonts w:ascii="Arial" w:cs="Arial" w:eastAsia="Arial" w:hAnsi="Arial"/>
                <w:sz w:val="16"/>
                <w:szCs w:val="16"/>
                <w:i w:val="1"/>
                <w:iCs w:val="1"/>
                <w:color w:val="0000EE"/>
              </w:rPr>
              <w:t>Historic named executive officer compensation</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Summary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 for performance” is the foundation of our compensation philosophy for our named executive officers. Their compensation is primarily variable and performance-based, utilizing multiple and complementary financial measures that are aligned with our strategy to drive shareholder value. This section explains our compensation principles, how we design our compensation program, why we pay each component of compensation, how we performed and what we paid to our named executive officers in 2025. Our named executive officers for 2025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144780</wp:posOffset>
            </wp:positionV>
            <wp:extent cx="6607175" cy="10109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07175" cy="101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Steve Hasker</w:t>
            </w:r>
          </w:p>
        </w:tc>
        <w:tc>
          <w:tcPr>
            <w:tcW w:w="2120" w:type="dxa"/>
            <w:vAlign w:val="bottom"/>
          </w:tcPr>
          <w:p>
            <w:pPr>
              <w:jc w:val="center"/>
              <w:ind w:right="80"/>
              <w:spacing w:after="0"/>
              <w:rPr>
                <w:sz w:val="20"/>
                <w:szCs w:val="20"/>
                <w:color w:val="auto"/>
              </w:rPr>
            </w:pPr>
            <w:r>
              <w:rPr>
                <w:rFonts w:ascii="Arial" w:cs="Arial" w:eastAsia="Arial" w:hAnsi="Arial"/>
                <w:sz w:val="16"/>
                <w:szCs w:val="16"/>
                <w:b w:val="1"/>
                <w:bCs w:val="1"/>
                <w:color w:val="auto"/>
              </w:rPr>
              <w:t>Mike Eastwood</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9"/>
              </w:rPr>
              <w:t>Kirsty Roth</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9"/>
              </w:rPr>
              <w:t>David Wong</w:t>
            </w:r>
          </w:p>
        </w:tc>
        <w:tc>
          <w:tcPr>
            <w:tcW w:w="1620" w:type="dxa"/>
            <w:vAlign w:val="bottom"/>
          </w:tcPr>
          <w:p>
            <w:pPr>
              <w:jc w:val="center"/>
              <w:ind w:left="360"/>
              <w:spacing w:after="0"/>
              <w:rPr>
                <w:sz w:val="20"/>
                <w:szCs w:val="20"/>
                <w:color w:val="auto"/>
              </w:rPr>
            </w:pPr>
            <w:r>
              <w:rPr>
                <w:rFonts w:ascii="Arial" w:cs="Arial" w:eastAsia="Arial" w:hAnsi="Arial"/>
                <w:sz w:val="16"/>
                <w:szCs w:val="16"/>
                <w:b w:val="1"/>
                <w:bCs w:val="1"/>
                <w:color w:val="auto"/>
              </w:rPr>
              <w:t>Paul Bascobert</w:t>
            </w:r>
          </w:p>
        </w:tc>
      </w:tr>
      <w:tr>
        <w:trPr>
          <w:trHeight w:val="213"/>
        </w:trPr>
        <w:tc>
          <w:tcPr>
            <w:tcW w:w="2180" w:type="dxa"/>
            <w:vAlign w:val="bottom"/>
          </w:tcPr>
          <w:p>
            <w:pPr>
              <w:jc w:val="center"/>
              <w:ind w:right="100"/>
              <w:spacing w:after="0"/>
              <w:rPr>
                <w:sz w:val="20"/>
                <w:szCs w:val="20"/>
                <w:color w:val="auto"/>
              </w:rPr>
            </w:pPr>
            <w:r>
              <w:rPr>
                <w:rFonts w:ascii="Arial" w:cs="Arial" w:eastAsia="Arial" w:hAnsi="Arial"/>
                <w:sz w:val="16"/>
                <w:szCs w:val="16"/>
                <w:color w:val="auto"/>
              </w:rPr>
              <w:t>President &amp; Chief Executive</w:t>
            </w:r>
          </w:p>
        </w:tc>
        <w:tc>
          <w:tcPr>
            <w:tcW w:w="2120" w:type="dxa"/>
            <w:vAlign w:val="bottom"/>
          </w:tcPr>
          <w:p>
            <w:pPr>
              <w:jc w:val="center"/>
              <w:ind w:right="60"/>
              <w:spacing w:after="0"/>
              <w:rPr>
                <w:sz w:val="20"/>
                <w:szCs w:val="20"/>
                <w:color w:val="auto"/>
              </w:rPr>
            </w:pPr>
            <w:r>
              <w:rPr>
                <w:rFonts w:ascii="Arial" w:cs="Arial" w:eastAsia="Arial" w:hAnsi="Arial"/>
                <w:sz w:val="16"/>
                <w:szCs w:val="16"/>
                <w:color w:val="auto"/>
              </w:rPr>
              <w:t>Chief Financial Officer</w:t>
            </w:r>
          </w:p>
        </w:tc>
        <w:tc>
          <w:tcPr>
            <w:tcW w:w="2260" w:type="dxa"/>
            <w:vAlign w:val="bottom"/>
          </w:tcPr>
          <w:p>
            <w:pPr>
              <w:jc w:val="center"/>
              <w:spacing w:after="0"/>
              <w:rPr>
                <w:sz w:val="20"/>
                <w:szCs w:val="20"/>
                <w:color w:val="auto"/>
              </w:rPr>
            </w:pPr>
            <w:r>
              <w:rPr>
                <w:rFonts w:ascii="Arial" w:cs="Arial" w:eastAsia="Arial" w:hAnsi="Arial"/>
                <w:sz w:val="16"/>
                <w:szCs w:val="16"/>
                <w:color w:val="auto"/>
              </w:rPr>
              <w:t>Chief Operations and</w:t>
            </w:r>
          </w:p>
        </w:tc>
        <w:tc>
          <w:tcPr>
            <w:tcW w:w="2300" w:type="dxa"/>
            <w:vAlign w:val="bottom"/>
          </w:tcPr>
          <w:p>
            <w:pPr>
              <w:jc w:val="center"/>
              <w:spacing w:after="0"/>
              <w:rPr>
                <w:sz w:val="20"/>
                <w:szCs w:val="20"/>
                <w:color w:val="auto"/>
              </w:rPr>
            </w:pPr>
            <w:r>
              <w:rPr>
                <w:rFonts w:ascii="Arial" w:cs="Arial" w:eastAsia="Arial" w:hAnsi="Arial"/>
                <w:sz w:val="16"/>
                <w:szCs w:val="16"/>
                <w:color w:val="auto"/>
                <w:w w:val="99"/>
              </w:rPr>
              <w:t>Chief Product Officer</w:t>
            </w:r>
          </w:p>
        </w:tc>
        <w:tc>
          <w:tcPr>
            <w:tcW w:w="1620" w:type="dxa"/>
            <w:vAlign w:val="bottom"/>
          </w:tcPr>
          <w:p>
            <w:pPr>
              <w:jc w:val="center"/>
              <w:ind w:left="360"/>
              <w:spacing w:after="0"/>
              <w:rPr>
                <w:sz w:val="20"/>
                <w:szCs w:val="20"/>
                <w:color w:val="auto"/>
              </w:rPr>
            </w:pPr>
            <w:r>
              <w:rPr>
                <w:rFonts w:ascii="Arial" w:cs="Arial" w:eastAsia="Arial" w:hAnsi="Arial"/>
                <w:sz w:val="16"/>
                <w:szCs w:val="16"/>
                <w:color w:val="auto"/>
              </w:rPr>
              <w:t>President,</w:t>
            </w:r>
          </w:p>
        </w:tc>
      </w:tr>
      <w:tr>
        <w:trPr>
          <w:trHeight w:val="211"/>
        </w:trPr>
        <w:tc>
          <w:tcPr>
            <w:tcW w:w="2180" w:type="dxa"/>
            <w:vAlign w:val="bottom"/>
          </w:tcPr>
          <w:p>
            <w:pPr>
              <w:jc w:val="center"/>
              <w:ind w:right="100"/>
              <w:spacing w:after="0"/>
              <w:rPr>
                <w:sz w:val="20"/>
                <w:szCs w:val="20"/>
                <w:color w:val="auto"/>
              </w:rPr>
            </w:pPr>
            <w:r>
              <w:rPr>
                <w:rFonts w:ascii="Arial" w:cs="Arial" w:eastAsia="Arial" w:hAnsi="Arial"/>
                <w:sz w:val="16"/>
                <w:szCs w:val="16"/>
                <w:color w:val="auto"/>
              </w:rPr>
              <w:t>Officer</w:t>
            </w:r>
          </w:p>
        </w:tc>
        <w:tc>
          <w:tcPr>
            <w:tcW w:w="2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8"/>
              </w:rPr>
              <w:t>Technology Officer</w:t>
            </w:r>
          </w:p>
        </w:tc>
        <w:tc>
          <w:tcPr>
            <w:tcW w:w="2300" w:type="dxa"/>
            <w:vAlign w:val="bottom"/>
          </w:tcPr>
          <w:p>
            <w:pPr>
              <w:spacing w:after="0"/>
              <w:rPr>
                <w:sz w:val="18"/>
                <w:szCs w:val="18"/>
                <w:color w:val="auto"/>
              </w:rPr>
            </w:pPr>
          </w:p>
        </w:tc>
        <w:tc>
          <w:tcPr>
            <w:tcW w:w="1620" w:type="dxa"/>
            <w:vAlign w:val="bottom"/>
          </w:tcPr>
          <w:p>
            <w:pPr>
              <w:jc w:val="center"/>
              <w:ind w:left="360"/>
              <w:spacing w:after="0"/>
              <w:rPr>
                <w:sz w:val="20"/>
                <w:szCs w:val="20"/>
                <w:color w:val="auto"/>
              </w:rPr>
            </w:pPr>
            <w:r>
              <w:rPr>
                <w:rFonts w:ascii="Arial" w:cs="Arial" w:eastAsia="Arial" w:hAnsi="Arial"/>
                <w:sz w:val="16"/>
                <w:szCs w:val="16"/>
                <w:color w:val="auto"/>
              </w:rPr>
              <w:t>Reuters News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69297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57</w:t>
      </w:r>
    </w:p>
    <w:p>
      <w:pPr>
        <w:sectPr>
          <w:pgSz w:w="11900" w:h="16838" w:orient="portrait"/>
          <w:cols w:equalWidth="0" w:num="1">
            <w:col w:w="10920"/>
          </w:cols>
          <w:pgMar w:left="480" w:top="234" w:right="499" w:bottom="1440" w:gutter="0" w:footer="0" w:header="0"/>
        </w:sectPr>
      </w:pPr>
    </w:p>
    <w:bookmarkStart w:id="67" w:name="page68"/>
    <w:bookmarkEnd w:id="67"/>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2025 Performance Highlights</w:t>
      </w:r>
    </w:p>
    <w:p>
      <w:pPr>
        <w:spacing w:after="0" w:line="10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table below compares our actual performance (before currency) to our updated 2025 outlook, which we confirmed in November 2025. We met nearly all the metrics within our updated 2025 outlook, except for net interest expense, which was higher than our forecast primarily due to the pace of our share repurchase program that reduced cash balances faster than forecasted and declines in interest rates that led to lower interest income. Our updated full-year 2025 outlook included non-IFRS financial measures, assumed constant currency rates relative to 2024, and included the impact of closed acquisitions or dispositions. We believe this type of guidance provides useful insight into the performance of our businesses.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160" w:type="dxa"/>
            <w:vAlign w:val="bottom"/>
            <w:shd w:val="clear" w:color="auto" w:fill="1F473D"/>
          </w:tcPr>
          <w:p>
            <w:pPr>
              <w:spacing w:after="0"/>
              <w:rPr>
                <w:sz w:val="19"/>
                <w:szCs w:val="19"/>
                <w:color w:val="auto"/>
              </w:rPr>
            </w:pPr>
          </w:p>
        </w:tc>
        <w:tc>
          <w:tcPr>
            <w:tcW w:w="2040" w:type="dxa"/>
            <w:vAlign w:val="bottom"/>
            <w:shd w:val="clear" w:color="auto" w:fill="1F473D"/>
          </w:tcPr>
          <w:p>
            <w:pPr>
              <w:spacing w:after="0"/>
              <w:rPr>
                <w:sz w:val="19"/>
                <w:szCs w:val="19"/>
                <w:color w:val="auto"/>
              </w:rPr>
            </w:pPr>
          </w:p>
        </w:tc>
        <w:tc>
          <w:tcPr>
            <w:tcW w:w="380" w:type="dxa"/>
            <w:vAlign w:val="bottom"/>
            <w:shd w:val="clear" w:color="auto" w:fill="1F473D"/>
          </w:tcPr>
          <w:p>
            <w:pPr>
              <w:spacing w:after="0"/>
              <w:rPr>
                <w:sz w:val="19"/>
                <w:szCs w:val="19"/>
                <w:color w:val="auto"/>
              </w:rPr>
            </w:pPr>
          </w:p>
        </w:tc>
        <w:tc>
          <w:tcPr>
            <w:tcW w:w="2320" w:type="dxa"/>
            <w:vAlign w:val="bottom"/>
            <w:gridSpan w:val="2"/>
            <w:shd w:val="clear" w:color="auto" w:fill="1F473D"/>
          </w:tcPr>
          <w:p>
            <w:pPr>
              <w:jc w:val="center"/>
              <w:spacing w:after="0"/>
              <w:rPr>
                <w:sz w:val="20"/>
                <w:szCs w:val="20"/>
                <w:color w:val="auto"/>
              </w:rPr>
            </w:pPr>
            <w:r>
              <w:rPr>
                <w:rFonts w:ascii="Arial" w:cs="Arial" w:eastAsia="Arial" w:hAnsi="Arial"/>
                <w:sz w:val="16"/>
                <w:szCs w:val="16"/>
                <w:b w:val="1"/>
                <w:bCs w:val="1"/>
                <w:color w:val="FFFFFF"/>
              </w:rPr>
              <w:t>2025 Actual Performance</w:t>
            </w:r>
          </w:p>
        </w:tc>
      </w:tr>
      <w:tr>
        <w:trPr>
          <w:trHeight w:val="221"/>
        </w:trPr>
        <w:tc>
          <w:tcPr>
            <w:tcW w:w="20" w:type="dxa"/>
            <w:vAlign w:val="bottom"/>
          </w:tcPr>
          <w:p>
            <w:pPr>
              <w:spacing w:after="0"/>
              <w:rPr>
                <w:sz w:val="19"/>
                <w:szCs w:val="19"/>
                <w:color w:val="auto"/>
              </w:rPr>
            </w:pPr>
          </w:p>
        </w:tc>
        <w:tc>
          <w:tcPr>
            <w:tcW w:w="61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Total Thomson Reuters</w:t>
            </w:r>
          </w:p>
        </w:tc>
        <w:tc>
          <w:tcPr>
            <w:tcW w:w="2040" w:type="dxa"/>
            <w:vAlign w:val="bottom"/>
            <w:tcBorders>
              <w:bottom w:val="single" w:sz="8" w:color="D64000"/>
            </w:tcBorders>
            <w:shd w:val="clear" w:color="auto" w:fill="1F473D"/>
          </w:tcPr>
          <w:p>
            <w:pPr>
              <w:jc w:val="center"/>
              <w:ind w:left="22"/>
              <w:spacing w:after="0"/>
              <w:rPr>
                <w:sz w:val="20"/>
                <w:szCs w:val="20"/>
                <w:color w:val="auto"/>
              </w:rPr>
            </w:pPr>
            <w:r>
              <w:rPr>
                <w:rFonts w:ascii="Arial" w:cs="Arial" w:eastAsia="Arial" w:hAnsi="Arial"/>
                <w:sz w:val="16"/>
                <w:szCs w:val="16"/>
                <w:b w:val="1"/>
                <w:bCs w:val="1"/>
                <w:color w:val="FFFFFF"/>
              </w:rPr>
              <w:t>2025 Updated Outlook</w:t>
            </w:r>
          </w:p>
        </w:tc>
        <w:tc>
          <w:tcPr>
            <w:tcW w:w="380" w:type="dxa"/>
            <w:vAlign w:val="bottom"/>
            <w:tcBorders>
              <w:bottom w:val="single" w:sz="8" w:color="D64000"/>
            </w:tcBorders>
            <w:shd w:val="clear" w:color="auto" w:fill="1F473D"/>
          </w:tcPr>
          <w:p>
            <w:pPr>
              <w:spacing w:after="0"/>
              <w:rPr>
                <w:sz w:val="19"/>
                <w:szCs w:val="19"/>
                <w:color w:val="auto"/>
              </w:rPr>
            </w:pPr>
          </w:p>
        </w:tc>
        <w:tc>
          <w:tcPr>
            <w:tcW w:w="1940" w:type="dxa"/>
            <w:vAlign w:val="bottom"/>
            <w:tcBorders>
              <w:bottom w:val="single" w:sz="8" w:color="D64000"/>
            </w:tcBorders>
            <w:shd w:val="clear" w:color="auto" w:fill="1F473D"/>
          </w:tcPr>
          <w:p>
            <w:pPr>
              <w:jc w:val="center"/>
              <w:ind w:left="342"/>
              <w:spacing w:after="0" w:line="214" w:lineRule="exact"/>
              <w:rPr>
                <w:sz w:val="20"/>
                <w:szCs w:val="20"/>
                <w:color w:val="auto"/>
              </w:rPr>
            </w:pPr>
            <w:r>
              <w:rPr>
                <w:rFonts w:ascii="Arial" w:cs="Arial" w:eastAsia="Arial" w:hAnsi="Arial"/>
                <w:sz w:val="16"/>
                <w:szCs w:val="16"/>
                <w:b w:val="1"/>
                <w:bCs w:val="1"/>
                <w:color w:val="FFFFFF"/>
                <w:w w:val="96"/>
              </w:rPr>
              <w:t>(Before currency)</w:t>
            </w:r>
            <w:r>
              <w:rPr>
                <w:rFonts w:ascii="Arial" w:cs="Arial" w:eastAsia="Arial" w:hAnsi="Arial"/>
                <w:sz w:val="24"/>
                <w:szCs w:val="24"/>
                <w:b w:val="1"/>
                <w:bCs w:val="1"/>
                <w:color w:val="FFFFFF"/>
                <w:w w:val="96"/>
                <w:vertAlign w:val="superscript"/>
              </w:rPr>
              <w:t>(1)</w:t>
            </w:r>
          </w:p>
        </w:tc>
        <w:tc>
          <w:tcPr>
            <w:tcW w:w="380" w:type="dxa"/>
            <w:vAlign w:val="bottom"/>
            <w:tcBorders>
              <w:bottom w:val="single" w:sz="8" w:color="D64000"/>
            </w:tcBorders>
            <w:shd w:val="clear" w:color="auto" w:fill="1F473D"/>
          </w:tcPr>
          <w:p>
            <w:pPr>
              <w:spacing w:after="0"/>
              <w:rPr>
                <w:sz w:val="19"/>
                <w:szCs w:val="19"/>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line="147" w:lineRule="exact"/>
              <w:rPr>
                <w:sz w:val="20"/>
                <w:szCs w:val="20"/>
                <w:color w:val="auto"/>
              </w:rPr>
            </w:pPr>
            <w:r>
              <w:rPr>
                <w:rFonts w:ascii="Arial" w:cs="Arial" w:eastAsia="Arial" w:hAnsi="Arial"/>
                <w:sz w:val="16"/>
                <w:szCs w:val="16"/>
                <w:color w:val="auto"/>
              </w:rPr>
              <w:t>  Revenue growth</w:t>
            </w:r>
          </w:p>
        </w:tc>
        <w:tc>
          <w:tcPr>
            <w:tcW w:w="2040" w:type="dxa"/>
            <w:vAlign w:val="bottom"/>
          </w:tcPr>
          <w:p>
            <w:pPr>
              <w:jc w:val="center"/>
              <w:ind w:left="22"/>
              <w:spacing w:after="0" w:line="147" w:lineRule="exact"/>
              <w:rPr>
                <w:sz w:val="20"/>
                <w:szCs w:val="20"/>
                <w:color w:val="auto"/>
              </w:rPr>
            </w:pPr>
            <w:r>
              <w:rPr>
                <w:rFonts w:ascii="Arial" w:cs="Arial" w:eastAsia="Arial" w:hAnsi="Arial"/>
                <w:sz w:val="12"/>
                <w:szCs w:val="12"/>
                <w:color w:val="auto"/>
              </w:rPr>
              <w:t>3.0 - 3.5%</w:t>
            </w:r>
            <w:r>
              <w:rPr>
                <w:rFonts w:ascii="Arial" w:cs="Arial" w:eastAsia="Arial" w:hAnsi="Arial"/>
                <w:sz w:val="17"/>
                <w:szCs w:val="17"/>
                <w:color w:val="auto"/>
                <w:vertAlign w:val="superscript"/>
              </w:rPr>
              <w:t>(3)</w:t>
            </w:r>
          </w:p>
        </w:tc>
        <w:tc>
          <w:tcPr>
            <w:tcW w:w="380" w:type="dxa"/>
            <w:vAlign w:val="bottom"/>
          </w:tcPr>
          <w:p>
            <w:pPr>
              <w:spacing w:after="0"/>
              <w:rPr>
                <w:sz w:val="12"/>
                <w:szCs w:val="12"/>
                <w:color w:val="auto"/>
              </w:rPr>
            </w:pPr>
          </w:p>
        </w:tc>
        <w:tc>
          <w:tcPr>
            <w:tcW w:w="1940" w:type="dxa"/>
            <w:vAlign w:val="bottom"/>
          </w:tcPr>
          <w:p>
            <w:pPr>
              <w:jc w:val="center"/>
              <w:ind w:right="282"/>
              <w:spacing w:after="0" w:line="147" w:lineRule="exact"/>
              <w:rPr>
                <w:sz w:val="20"/>
                <w:szCs w:val="20"/>
                <w:color w:val="auto"/>
              </w:rPr>
            </w:pPr>
            <w:r>
              <w:rPr>
                <w:rFonts w:ascii="Arial" w:cs="Arial" w:eastAsia="Arial" w:hAnsi="Arial"/>
                <w:sz w:val="12"/>
                <w:szCs w:val="12"/>
                <w:color w:val="auto"/>
              </w:rPr>
              <w:t>3.0%</w:t>
            </w:r>
            <w:r>
              <w:rPr>
                <w:rFonts w:ascii="Arial" w:cs="Arial" w:eastAsia="Arial" w:hAnsi="Arial"/>
                <w:sz w:val="17"/>
                <w:szCs w:val="17"/>
                <w:color w:val="auto"/>
                <w:vertAlign w:val="superscript"/>
              </w:rPr>
              <w:t>(3)</w:t>
            </w:r>
          </w:p>
        </w:tc>
        <w:tc>
          <w:tcPr>
            <w:tcW w:w="380" w:type="dxa"/>
            <w:vAlign w:val="bottom"/>
          </w:tcPr>
          <w:p>
            <w:pPr>
              <w:spacing w:after="0" w:line="147" w:lineRule="exact"/>
              <w:rPr>
                <w:sz w:val="20"/>
                <w:szCs w:val="20"/>
                <w:color w:val="auto"/>
              </w:rPr>
            </w:pPr>
            <w:r>
              <w:rPr>
                <w:rFonts w:ascii="MS PGothic" w:cs="MS PGothic" w:eastAsia="MS PGothic" w:hAnsi="MS PGothic"/>
                <w:sz w:val="16"/>
                <w:szCs w:val="16"/>
                <w:color w:val="1F473D"/>
              </w:rPr>
              <w:t>✓</w:t>
            </w:r>
          </w:p>
        </w:tc>
      </w:tr>
      <w:tr>
        <w:trPr>
          <w:trHeight w:val="241"/>
        </w:trPr>
        <w:tc>
          <w:tcPr>
            <w:tcW w:w="20" w:type="dxa"/>
            <w:vAlign w:val="bottom"/>
          </w:tcPr>
          <w:p>
            <w:pPr>
              <w:spacing w:after="0"/>
              <w:rPr>
                <w:sz w:val="20"/>
                <w:szCs w:val="20"/>
                <w:color w:val="auto"/>
              </w:rPr>
            </w:pPr>
          </w:p>
        </w:tc>
        <w:tc>
          <w:tcPr>
            <w:tcW w:w="6160" w:type="dxa"/>
            <w:vAlign w:val="bottom"/>
            <w:tcBorders>
              <w:bottom w:val="single" w:sz="8" w:color="B2B2B2"/>
            </w:tcBorders>
          </w:tcPr>
          <w:p>
            <w:pPr>
              <w:ind w:left="140"/>
              <w:spacing w:after="0" w:line="241"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Organic revenue growth</w:t>
            </w:r>
            <w:r>
              <w:rPr>
                <w:rFonts w:ascii="Arial" w:cs="Arial" w:eastAsia="Arial" w:hAnsi="Arial"/>
                <w:sz w:val="24"/>
                <w:szCs w:val="24"/>
                <w:color w:val="auto"/>
                <w:vertAlign w:val="superscript"/>
              </w:rPr>
              <w:t>(2)</w:t>
            </w:r>
          </w:p>
        </w:tc>
        <w:tc>
          <w:tcPr>
            <w:tcW w:w="2040" w:type="dxa"/>
            <w:vAlign w:val="bottom"/>
            <w:tcBorders>
              <w:bottom w:val="single" w:sz="8" w:color="B2B2B2"/>
            </w:tcBorders>
          </w:tcPr>
          <w:p>
            <w:pPr>
              <w:jc w:val="center"/>
              <w:ind w:left="22"/>
              <w:spacing w:after="0"/>
              <w:rPr>
                <w:sz w:val="20"/>
                <w:szCs w:val="20"/>
                <w:color w:val="auto"/>
              </w:rPr>
            </w:pPr>
            <w:r>
              <w:rPr>
                <w:rFonts w:ascii="Arial" w:cs="Arial" w:eastAsia="Arial" w:hAnsi="Arial"/>
                <w:sz w:val="16"/>
                <w:szCs w:val="16"/>
                <w:i w:val="1"/>
                <w:iCs w:val="1"/>
                <w:color w:val="auto"/>
              </w:rPr>
              <w:t>7.0 - 7.5%</w:t>
            </w:r>
          </w:p>
        </w:tc>
        <w:tc>
          <w:tcPr>
            <w:tcW w:w="380" w:type="dxa"/>
            <w:vAlign w:val="bottom"/>
            <w:tcBorders>
              <w:bottom w:val="single" w:sz="8" w:color="B2B2B2"/>
            </w:tcBorders>
          </w:tcPr>
          <w:p>
            <w:pPr>
              <w:spacing w:after="0"/>
              <w:rPr>
                <w:sz w:val="20"/>
                <w:szCs w:val="20"/>
                <w:color w:val="auto"/>
              </w:rPr>
            </w:pPr>
          </w:p>
        </w:tc>
        <w:tc>
          <w:tcPr>
            <w:tcW w:w="1940" w:type="dxa"/>
            <w:vAlign w:val="bottom"/>
            <w:tcBorders>
              <w:bottom w:val="single" w:sz="8" w:color="B2B2B2"/>
            </w:tcBorders>
          </w:tcPr>
          <w:p>
            <w:pPr>
              <w:jc w:val="center"/>
              <w:ind w:right="282"/>
              <w:spacing w:after="0"/>
              <w:rPr>
                <w:sz w:val="20"/>
                <w:szCs w:val="20"/>
                <w:color w:val="auto"/>
              </w:rPr>
            </w:pPr>
            <w:r>
              <w:rPr>
                <w:rFonts w:ascii="Arial" w:cs="Arial" w:eastAsia="Arial" w:hAnsi="Arial"/>
                <w:sz w:val="16"/>
                <w:szCs w:val="16"/>
                <w:i w:val="1"/>
                <w:iCs w:val="1"/>
                <w:color w:val="auto"/>
              </w:rPr>
              <w:t>7.0%</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194"/>
        </w:trPr>
        <w:tc>
          <w:tcPr>
            <w:tcW w:w="20" w:type="dxa"/>
            <w:vAlign w:val="bottom"/>
            <w:tcBorders>
              <w:bottom w:val="single" w:sz="8" w:color="B2B2B2"/>
            </w:tcBorders>
          </w:tcPr>
          <w:p>
            <w:pPr>
              <w:spacing w:after="0"/>
              <w:rPr>
                <w:sz w:val="16"/>
                <w:szCs w:val="16"/>
                <w:color w:val="auto"/>
              </w:rPr>
            </w:pPr>
          </w:p>
        </w:tc>
        <w:tc>
          <w:tcPr>
            <w:tcW w:w="6160" w:type="dxa"/>
            <w:vAlign w:val="bottom"/>
            <w:tcBorders>
              <w:bottom w:val="single" w:sz="8" w:color="B2B2B2"/>
            </w:tcBorders>
          </w:tcPr>
          <w:p>
            <w:pPr>
              <w:spacing w:after="0" w:line="194" w:lineRule="exact"/>
              <w:rPr>
                <w:sz w:val="20"/>
                <w:szCs w:val="20"/>
                <w:color w:val="auto"/>
              </w:rPr>
            </w:pPr>
            <w:r>
              <w:rPr>
                <w:rFonts w:ascii="Arial" w:cs="Arial" w:eastAsia="Arial" w:hAnsi="Arial"/>
                <w:sz w:val="15"/>
                <w:szCs w:val="15"/>
                <w:color w:val="auto"/>
              </w:rPr>
              <w:t>  Adjusted EBITDA margin</w:t>
            </w:r>
            <w:r>
              <w:rPr>
                <w:rFonts w:ascii="Arial" w:cs="Arial" w:eastAsia="Arial" w:hAnsi="Arial"/>
                <w:sz w:val="22"/>
                <w:szCs w:val="22"/>
                <w:color w:val="auto"/>
                <w:vertAlign w:val="superscript"/>
              </w:rPr>
              <w:t>(2)</w:t>
            </w:r>
          </w:p>
        </w:tc>
        <w:tc>
          <w:tcPr>
            <w:tcW w:w="2040" w:type="dxa"/>
            <w:vAlign w:val="bottom"/>
            <w:tcBorders>
              <w:bottom w:val="single" w:sz="8" w:color="B2B2B2"/>
            </w:tcBorders>
          </w:tcPr>
          <w:p>
            <w:pPr>
              <w:jc w:val="center"/>
              <w:ind w:left="22"/>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B2B2B2"/>
            </w:tcBorders>
          </w:tcPr>
          <w:p>
            <w:pPr>
              <w:spacing w:after="0"/>
              <w:rPr>
                <w:sz w:val="16"/>
                <w:szCs w:val="16"/>
                <w:color w:val="auto"/>
              </w:rPr>
            </w:pPr>
          </w:p>
        </w:tc>
        <w:tc>
          <w:tcPr>
            <w:tcW w:w="1940" w:type="dxa"/>
            <w:vAlign w:val="bottom"/>
            <w:tcBorders>
              <w:bottom w:val="single" w:sz="8" w:color="B2B2B2"/>
            </w:tcBorders>
          </w:tcPr>
          <w:p>
            <w:pPr>
              <w:jc w:val="center"/>
              <w:ind w:right="282"/>
              <w:spacing w:after="0"/>
              <w:rPr>
                <w:sz w:val="20"/>
                <w:szCs w:val="20"/>
                <w:color w:val="auto"/>
              </w:rPr>
            </w:pPr>
            <w:r>
              <w:rPr>
                <w:rFonts w:ascii="Arial" w:cs="Arial" w:eastAsia="Arial" w:hAnsi="Arial"/>
                <w:sz w:val="16"/>
                <w:szCs w:val="16"/>
                <w:color w:val="auto"/>
              </w:rPr>
              <w:t>39.1%</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181"/>
        </w:trPr>
        <w:tc>
          <w:tcPr>
            <w:tcW w:w="6180" w:type="dxa"/>
            <w:vAlign w:val="bottom"/>
            <w:tcBorders>
              <w:bottom w:val="single" w:sz="8" w:color="B2B2B2"/>
            </w:tcBorders>
            <w:gridSpan w:val="2"/>
          </w:tcPr>
          <w:p>
            <w:pPr>
              <w:spacing w:after="0" w:line="181" w:lineRule="exact"/>
              <w:rPr>
                <w:sz w:val="20"/>
                <w:szCs w:val="20"/>
                <w:color w:val="auto"/>
              </w:rPr>
            </w:pPr>
            <w:r>
              <w:rPr>
                <w:rFonts w:ascii="Arial" w:cs="Arial" w:eastAsia="Arial" w:hAnsi="Arial"/>
                <w:sz w:val="16"/>
                <w:szCs w:val="16"/>
                <w:color w:val="auto"/>
              </w:rPr>
              <w:t>  Corporate costs</w:t>
            </w:r>
          </w:p>
        </w:tc>
        <w:tc>
          <w:tcPr>
            <w:tcW w:w="2040" w:type="dxa"/>
            <w:vAlign w:val="bottom"/>
            <w:tcBorders>
              <w:bottom w:val="single" w:sz="8" w:color="B2B2B2"/>
            </w:tcBorders>
          </w:tcPr>
          <w:p>
            <w:pPr>
              <w:jc w:val="center"/>
              <w:ind w:left="22"/>
              <w:spacing w:after="0" w:line="181" w:lineRule="exact"/>
              <w:rPr>
                <w:sz w:val="20"/>
                <w:szCs w:val="20"/>
                <w:color w:val="auto"/>
              </w:rPr>
            </w:pPr>
            <w:r>
              <w:rPr>
                <w:rFonts w:ascii="Arial" w:cs="Arial" w:eastAsia="Arial" w:hAnsi="Arial"/>
                <w:sz w:val="16"/>
                <w:szCs w:val="16"/>
                <w:color w:val="auto"/>
                <w:w w:val="99"/>
              </w:rPr>
              <w:t>$120 - $130 million</w:t>
            </w:r>
          </w:p>
        </w:tc>
        <w:tc>
          <w:tcPr>
            <w:tcW w:w="380" w:type="dxa"/>
            <w:vAlign w:val="bottom"/>
            <w:tcBorders>
              <w:bottom w:val="single" w:sz="8" w:color="B2B2B2"/>
            </w:tcBorders>
          </w:tcPr>
          <w:p>
            <w:pPr>
              <w:spacing w:after="0"/>
              <w:rPr>
                <w:sz w:val="15"/>
                <w:szCs w:val="15"/>
                <w:color w:val="auto"/>
              </w:rPr>
            </w:pPr>
          </w:p>
        </w:tc>
        <w:tc>
          <w:tcPr>
            <w:tcW w:w="1940" w:type="dxa"/>
            <w:vAlign w:val="bottom"/>
            <w:tcBorders>
              <w:bottom w:val="single" w:sz="8" w:color="B2B2B2"/>
            </w:tcBorders>
          </w:tcPr>
          <w:p>
            <w:pPr>
              <w:ind w:left="360"/>
              <w:spacing w:after="0" w:line="181" w:lineRule="exact"/>
              <w:rPr>
                <w:sz w:val="20"/>
                <w:szCs w:val="20"/>
                <w:color w:val="auto"/>
              </w:rPr>
            </w:pPr>
            <w:r>
              <w:rPr>
                <w:rFonts w:ascii="Arial" w:cs="Arial" w:eastAsia="Arial" w:hAnsi="Arial"/>
                <w:sz w:val="16"/>
                <w:szCs w:val="16"/>
                <w:color w:val="auto"/>
              </w:rPr>
              <w:t>$117 million</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181"/>
        </w:trPr>
        <w:tc>
          <w:tcPr>
            <w:tcW w:w="6180" w:type="dxa"/>
            <w:vAlign w:val="bottom"/>
            <w:tcBorders>
              <w:bottom w:val="single" w:sz="8" w:color="B2B2B2"/>
            </w:tcBorders>
            <w:gridSpan w:val="2"/>
          </w:tcPr>
          <w:p>
            <w:pPr>
              <w:spacing w:after="0" w:line="181" w:lineRule="exact"/>
              <w:rPr>
                <w:sz w:val="20"/>
                <w:szCs w:val="20"/>
                <w:color w:val="auto"/>
              </w:rPr>
            </w:pPr>
            <w:r>
              <w:rPr>
                <w:rFonts w:ascii="Arial" w:cs="Arial" w:eastAsia="Arial" w:hAnsi="Arial"/>
                <w:sz w:val="14"/>
                <w:szCs w:val="14"/>
                <w:color w:val="auto"/>
              </w:rPr>
              <w:t>  Free cash flow</w:t>
            </w:r>
            <w:r>
              <w:rPr>
                <w:rFonts w:ascii="Arial" w:cs="Arial" w:eastAsia="Arial" w:hAnsi="Arial"/>
                <w:sz w:val="20"/>
                <w:szCs w:val="20"/>
                <w:color w:val="auto"/>
                <w:vertAlign w:val="superscript"/>
              </w:rPr>
              <w:t>(2)</w:t>
            </w:r>
          </w:p>
        </w:tc>
        <w:tc>
          <w:tcPr>
            <w:tcW w:w="2040" w:type="dxa"/>
            <w:vAlign w:val="bottom"/>
            <w:tcBorders>
              <w:bottom w:val="single" w:sz="8" w:color="B2B2B2"/>
            </w:tcBorders>
          </w:tcPr>
          <w:p>
            <w:pPr>
              <w:jc w:val="center"/>
              <w:ind w:left="22"/>
              <w:spacing w:after="0" w:line="181" w:lineRule="exact"/>
              <w:rPr>
                <w:sz w:val="20"/>
                <w:szCs w:val="20"/>
                <w:color w:val="auto"/>
              </w:rPr>
            </w:pPr>
            <w:r>
              <w:rPr>
                <w:rFonts w:ascii="Arial" w:cs="Arial" w:eastAsia="Arial" w:hAnsi="Arial"/>
                <w:sz w:val="16"/>
                <w:szCs w:val="16"/>
                <w:color w:val="auto"/>
              </w:rPr>
              <w:t>~$1.9 billion</w:t>
            </w:r>
          </w:p>
        </w:tc>
        <w:tc>
          <w:tcPr>
            <w:tcW w:w="380" w:type="dxa"/>
            <w:vAlign w:val="bottom"/>
            <w:tcBorders>
              <w:bottom w:val="single" w:sz="8" w:color="B2B2B2"/>
            </w:tcBorders>
          </w:tcPr>
          <w:p>
            <w:pPr>
              <w:spacing w:after="0"/>
              <w:rPr>
                <w:sz w:val="15"/>
                <w:szCs w:val="15"/>
                <w:color w:val="auto"/>
              </w:rPr>
            </w:pPr>
          </w:p>
        </w:tc>
        <w:tc>
          <w:tcPr>
            <w:tcW w:w="1940" w:type="dxa"/>
            <w:vAlign w:val="bottom"/>
            <w:tcBorders>
              <w:bottom w:val="single" w:sz="8" w:color="B2B2B2"/>
            </w:tcBorders>
          </w:tcPr>
          <w:p>
            <w:pPr>
              <w:ind w:left="360"/>
              <w:spacing w:after="0" w:line="181" w:lineRule="exact"/>
              <w:rPr>
                <w:sz w:val="20"/>
                <w:szCs w:val="20"/>
                <w:color w:val="auto"/>
              </w:rPr>
            </w:pPr>
            <w:r>
              <w:rPr>
                <w:rFonts w:ascii="Arial" w:cs="Arial" w:eastAsia="Arial" w:hAnsi="Arial"/>
                <w:sz w:val="16"/>
                <w:szCs w:val="16"/>
                <w:color w:val="auto"/>
              </w:rPr>
              <w:t>$1.95 billion</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194"/>
        </w:trPr>
        <w:tc>
          <w:tcPr>
            <w:tcW w:w="6180" w:type="dxa"/>
            <w:vAlign w:val="bottom"/>
            <w:tcBorders>
              <w:bottom w:val="single" w:sz="8" w:color="B2B2B2"/>
            </w:tcBorders>
            <w:gridSpan w:val="2"/>
          </w:tcPr>
          <w:p>
            <w:pPr>
              <w:spacing w:after="0" w:line="194" w:lineRule="exact"/>
              <w:rPr>
                <w:sz w:val="20"/>
                <w:szCs w:val="20"/>
                <w:color w:val="auto"/>
              </w:rPr>
            </w:pPr>
            <w:r>
              <w:rPr>
                <w:rFonts w:ascii="Arial" w:cs="Arial" w:eastAsia="Arial" w:hAnsi="Arial"/>
                <w:sz w:val="15"/>
                <w:szCs w:val="15"/>
                <w:color w:val="auto"/>
              </w:rPr>
              <w:t>  Accrued capital expenditures as a percentage of revenues</w:t>
            </w:r>
            <w:r>
              <w:rPr>
                <w:rFonts w:ascii="Arial" w:cs="Arial" w:eastAsia="Arial" w:hAnsi="Arial"/>
                <w:sz w:val="22"/>
                <w:szCs w:val="22"/>
                <w:color w:val="auto"/>
                <w:vertAlign w:val="superscript"/>
              </w:rPr>
              <w:t>(2)</w:t>
            </w:r>
          </w:p>
        </w:tc>
        <w:tc>
          <w:tcPr>
            <w:tcW w:w="2040" w:type="dxa"/>
            <w:vAlign w:val="bottom"/>
            <w:tcBorders>
              <w:bottom w:val="single" w:sz="8" w:color="B2B2B2"/>
            </w:tcBorders>
          </w:tcPr>
          <w:p>
            <w:pPr>
              <w:jc w:val="center"/>
              <w:ind w:left="22"/>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B2B2B2"/>
            </w:tcBorders>
          </w:tcPr>
          <w:p>
            <w:pPr>
              <w:spacing w:after="0"/>
              <w:rPr>
                <w:sz w:val="16"/>
                <w:szCs w:val="16"/>
                <w:color w:val="auto"/>
              </w:rPr>
            </w:pPr>
          </w:p>
        </w:tc>
        <w:tc>
          <w:tcPr>
            <w:tcW w:w="1940" w:type="dxa"/>
            <w:vAlign w:val="bottom"/>
            <w:tcBorders>
              <w:bottom w:val="single" w:sz="8" w:color="B2B2B2"/>
            </w:tcBorders>
          </w:tcPr>
          <w:p>
            <w:pPr>
              <w:jc w:val="center"/>
              <w:ind w:right="282"/>
              <w:spacing w:after="0"/>
              <w:rPr>
                <w:sz w:val="20"/>
                <w:szCs w:val="20"/>
                <w:color w:val="auto"/>
              </w:rPr>
            </w:pPr>
            <w:r>
              <w:rPr>
                <w:rFonts w:ascii="Arial" w:cs="Arial" w:eastAsia="Arial" w:hAnsi="Arial"/>
                <w:sz w:val="16"/>
                <w:szCs w:val="16"/>
                <w:color w:val="auto"/>
              </w:rPr>
              <w:t>8.2%</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154"/>
        </w:trPr>
        <w:tc>
          <w:tcPr>
            <w:tcW w:w="6180" w:type="dxa"/>
            <w:vAlign w:val="bottom"/>
            <w:gridSpan w:val="2"/>
          </w:tcPr>
          <w:p>
            <w:pPr>
              <w:spacing w:after="0" w:line="154" w:lineRule="exact"/>
              <w:rPr>
                <w:sz w:val="20"/>
                <w:szCs w:val="20"/>
                <w:color w:val="auto"/>
              </w:rPr>
            </w:pPr>
            <w:r>
              <w:rPr>
                <w:rFonts w:ascii="Arial" w:cs="Arial" w:eastAsia="Arial" w:hAnsi="Arial"/>
                <w:sz w:val="16"/>
                <w:szCs w:val="16"/>
                <w:color w:val="auto"/>
              </w:rPr>
              <w:t>  Depreciation and amortization of software</w:t>
            </w:r>
          </w:p>
        </w:tc>
        <w:tc>
          <w:tcPr>
            <w:tcW w:w="2040" w:type="dxa"/>
            <w:vAlign w:val="bottom"/>
          </w:tcPr>
          <w:p>
            <w:pPr>
              <w:jc w:val="center"/>
              <w:ind w:left="22"/>
              <w:spacing w:after="0" w:line="154" w:lineRule="exact"/>
              <w:rPr>
                <w:sz w:val="20"/>
                <w:szCs w:val="20"/>
                <w:color w:val="auto"/>
              </w:rPr>
            </w:pPr>
            <w:r>
              <w:rPr>
                <w:rFonts w:ascii="Arial" w:cs="Arial" w:eastAsia="Arial" w:hAnsi="Arial"/>
                <w:sz w:val="16"/>
                <w:szCs w:val="16"/>
                <w:color w:val="auto"/>
                <w:w w:val="99"/>
              </w:rPr>
              <w:t>$825 - $835 million</w:t>
            </w:r>
          </w:p>
        </w:tc>
        <w:tc>
          <w:tcPr>
            <w:tcW w:w="380" w:type="dxa"/>
            <w:vAlign w:val="bottom"/>
          </w:tcPr>
          <w:p>
            <w:pPr>
              <w:spacing w:after="0"/>
              <w:rPr>
                <w:sz w:val="13"/>
                <w:szCs w:val="13"/>
                <w:color w:val="auto"/>
              </w:rPr>
            </w:pPr>
          </w:p>
        </w:tc>
        <w:tc>
          <w:tcPr>
            <w:tcW w:w="1940" w:type="dxa"/>
            <w:vAlign w:val="bottom"/>
          </w:tcPr>
          <w:p>
            <w:pPr>
              <w:ind w:left="360"/>
              <w:spacing w:after="0" w:line="154" w:lineRule="exact"/>
              <w:rPr>
                <w:sz w:val="20"/>
                <w:szCs w:val="20"/>
                <w:color w:val="auto"/>
              </w:rPr>
            </w:pPr>
            <w:r>
              <w:rPr>
                <w:rFonts w:ascii="Arial" w:cs="Arial" w:eastAsia="Arial" w:hAnsi="Arial"/>
                <w:sz w:val="16"/>
                <w:szCs w:val="16"/>
                <w:color w:val="auto"/>
              </w:rPr>
              <w:t>$827 million</w:t>
            </w:r>
          </w:p>
        </w:tc>
        <w:tc>
          <w:tcPr>
            <w:tcW w:w="380" w:type="dxa"/>
            <w:vAlign w:val="bottom"/>
          </w:tcPr>
          <w:p>
            <w:pPr>
              <w:spacing w:after="0" w:line="154" w:lineRule="exact"/>
              <w:rPr>
                <w:sz w:val="20"/>
                <w:szCs w:val="20"/>
                <w:color w:val="auto"/>
              </w:rPr>
            </w:pPr>
            <w:r>
              <w:rPr>
                <w:rFonts w:ascii="MS PGothic" w:cs="MS PGothic" w:eastAsia="MS PGothic" w:hAnsi="MS PGothic"/>
                <w:sz w:val="16"/>
                <w:szCs w:val="16"/>
                <w:color w:val="1F473D"/>
              </w:rPr>
              <w:t>✓</w:t>
            </w:r>
          </w:p>
        </w:tc>
      </w:tr>
      <w:tr>
        <w:trPr>
          <w:trHeight w:val="174"/>
        </w:trPr>
        <w:tc>
          <w:tcPr>
            <w:tcW w:w="20" w:type="dxa"/>
            <w:vAlign w:val="bottom"/>
          </w:tcPr>
          <w:p>
            <w:pPr>
              <w:spacing w:after="0"/>
              <w:rPr>
                <w:sz w:val="15"/>
                <w:szCs w:val="15"/>
                <w:color w:val="auto"/>
              </w:rPr>
            </w:pPr>
          </w:p>
        </w:tc>
        <w:tc>
          <w:tcPr>
            <w:tcW w:w="6160" w:type="dxa"/>
            <w:vAlign w:val="bottom"/>
          </w:tcPr>
          <w:p>
            <w:pPr>
              <w:ind w:left="140"/>
              <w:spacing w:after="0" w:line="174" w:lineRule="exact"/>
              <w:rPr>
                <w:sz w:val="20"/>
                <w:szCs w:val="20"/>
                <w:color w:val="auto"/>
              </w:rPr>
            </w:pPr>
            <w:r>
              <w:rPr>
                <w:rFonts w:ascii="Arial" w:cs="Arial" w:eastAsia="Arial" w:hAnsi="Arial"/>
                <w:sz w:val="16"/>
                <w:szCs w:val="16"/>
                <w:color w:val="auto"/>
              </w:rPr>
              <w:t>  Depreciation and amortization of internally developed software</w:t>
            </w:r>
          </w:p>
        </w:tc>
        <w:tc>
          <w:tcPr>
            <w:tcW w:w="2040" w:type="dxa"/>
            <w:vAlign w:val="bottom"/>
          </w:tcPr>
          <w:p>
            <w:pPr>
              <w:jc w:val="center"/>
              <w:ind w:left="22"/>
              <w:spacing w:after="0" w:line="174" w:lineRule="exact"/>
              <w:rPr>
                <w:sz w:val="20"/>
                <w:szCs w:val="20"/>
                <w:color w:val="auto"/>
              </w:rPr>
            </w:pPr>
            <w:r>
              <w:rPr>
                <w:rFonts w:ascii="Arial" w:cs="Arial" w:eastAsia="Arial" w:hAnsi="Arial"/>
                <w:sz w:val="16"/>
                <w:szCs w:val="16"/>
                <w:color w:val="auto"/>
                <w:w w:val="99"/>
              </w:rPr>
              <w:t>$625 - $635 million</w:t>
            </w:r>
          </w:p>
        </w:tc>
        <w:tc>
          <w:tcPr>
            <w:tcW w:w="380" w:type="dxa"/>
            <w:vAlign w:val="bottom"/>
          </w:tcPr>
          <w:p>
            <w:pPr>
              <w:spacing w:after="0"/>
              <w:rPr>
                <w:sz w:val="15"/>
                <w:szCs w:val="15"/>
                <w:color w:val="auto"/>
              </w:rPr>
            </w:pPr>
          </w:p>
        </w:tc>
        <w:tc>
          <w:tcPr>
            <w:tcW w:w="1940" w:type="dxa"/>
            <w:vAlign w:val="bottom"/>
          </w:tcPr>
          <w:p>
            <w:pPr>
              <w:ind w:left="360"/>
              <w:spacing w:after="0" w:line="174" w:lineRule="exact"/>
              <w:rPr>
                <w:sz w:val="20"/>
                <w:szCs w:val="20"/>
                <w:color w:val="auto"/>
              </w:rPr>
            </w:pPr>
            <w:r>
              <w:rPr>
                <w:rFonts w:ascii="Arial" w:cs="Arial" w:eastAsia="Arial" w:hAnsi="Arial"/>
                <w:sz w:val="16"/>
                <w:szCs w:val="16"/>
                <w:color w:val="auto"/>
              </w:rPr>
              <w:t>$626 million</w:t>
            </w:r>
          </w:p>
        </w:tc>
        <w:tc>
          <w:tcPr>
            <w:tcW w:w="380" w:type="dxa"/>
            <w:vAlign w:val="bottom"/>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241"/>
        </w:trPr>
        <w:tc>
          <w:tcPr>
            <w:tcW w:w="20" w:type="dxa"/>
            <w:vAlign w:val="bottom"/>
          </w:tcPr>
          <w:p>
            <w:pPr>
              <w:spacing w:after="0"/>
              <w:rPr>
                <w:sz w:val="20"/>
                <w:szCs w:val="20"/>
                <w:color w:val="auto"/>
              </w:rPr>
            </w:pPr>
          </w:p>
        </w:tc>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  Amortization of acquired software</w:t>
            </w:r>
          </w:p>
        </w:tc>
        <w:tc>
          <w:tcPr>
            <w:tcW w:w="2040" w:type="dxa"/>
            <w:vAlign w:val="bottom"/>
            <w:tcBorders>
              <w:bottom w:val="single" w:sz="8" w:color="B2B2B2"/>
            </w:tcBorders>
          </w:tcPr>
          <w:p>
            <w:pPr>
              <w:jc w:val="center"/>
              <w:ind w:left="22"/>
              <w:spacing w:after="0"/>
              <w:rPr>
                <w:sz w:val="20"/>
                <w:szCs w:val="20"/>
                <w:color w:val="auto"/>
              </w:rPr>
            </w:pPr>
            <w:r>
              <w:rPr>
                <w:rFonts w:ascii="Arial" w:cs="Arial" w:eastAsia="Arial" w:hAnsi="Arial"/>
                <w:sz w:val="16"/>
                <w:szCs w:val="16"/>
                <w:color w:val="auto"/>
                <w:w w:val="99"/>
              </w:rPr>
              <w:t>~$200 million</w:t>
            </w:r>
          </w:p>
        </w:tc>
        <w:tc>
          <w:tcPr>
            <w:tcW w:w="380" w:type="dxa"/>
            <w:vAlign w:val="bottom"/>
            <w:tcBorders>
              <w:bottom w:val="single" w:sz="8" w:color="B2B2B2"/>
            </w:tcBorders>
          </w:tcPr>
          <w:p>
            <w:pPr>
              <w:ind w:left="140"/>
              <w:spacing w:after="0"/>
              <w:rPr>
                <w:sz w:val="20"/>
                <w:szCs w:val="20"/>
                <w:color w:val="auto"/>
              </w:rPr>
            </w:pPr>
            <w:r>
              <w:rPr>
                <w:rFonts w:ascii="Arial" w:cs="Arial" w:eastAsia="Arial" w:hAnsi="Arial"/>
                <w:sz w:val="16"/>
                <w:szCs w:val="16"/>
                <w:color w:val="auto"/>
              </w:rPr>
              <w:t> </w:t>
            </w:r>
          </w:p>
        </w:tc>
        <w:tc>
          <w:tcPr>
            <w:tcW w:w="194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$201 million</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181"/>
        </w:trPr>
        <w:tc>
          <w:tcPr>
            <w:tcW w:w="20" w:type="dxa"/>
            <w:vAlign w:val="bottom"/>
            <w:tcBorders>
              <w:bottom w:val="single" w:sz="8" w:color="B2B2B2"/>
            </w:tcBorders>
          </w:tcPr>
          <w:p>
            <w:pPr>
              <w:spacing w:after="0"/>
              <w:rPr>
                <w:sz w:val="15"/>
                <w:szCs w:val="15"/>
                <w:color w:val="auto"/>
              </w:rPr>
            </w:pPr>
          </w:p>
        </w:tc>
        <w:tc>
          <w:tcPr>
            <w:tcW w:w="6160" w:type="dxa"/>
            <w:vAlign w:val="bottom"/>
            <w:tcBorders>
              <w:bottom w:val="single" w:sz="8" w:color="B2B2B2"/>
            </w:tcBorders>
          </w:tcPr>
          <w:p>
            <w:pPr>
              <w:spacing w:after="0" w:line="181" w:lineRule="exact"/>
              <w:rPr>
                <w:sz w:val="20"/>
                <w:szCs w:val="20"/>
                <w:color w:val="auto"/>
              </w:rPr>
            </w:pPr>
            <w:r>
              <w:rPr>
                <w:rFonts w:ascii="Arial" w:cs="Arial" w:eastAsia="Arial" w:hAnsi="Arial"/>
                <w:sz w:val="16"/>
                <w:szCs w:val="16"/>
                <w:color w:val="auto"/>
              </w:rPr>
              <w:t>  Net interest expense</w:t>
            </w:r>
          </w:p>
        </w:tc>
        <w:tc>
          <w:tcPr>
            <w:tcW w:w="2040" w:type="dxa"/>
            <w:vAlign w:val="bottom"/>
            <w:tcBorders>
              <w:bottom w:val="single" w:sz="8" w:color="B2B2B2"/>
            </w:tcBorders>
          </w:tcPr>
          <w:p>
            <w:pPr>
              <w:jc w:val="center"/>
              <w:ind w:left="22"/>
              <w:spacing w:after="0" w:line="181" w:lineRule="exact"/>
              <w:rPr>
                <w:sz w:val="20"/>
                <w:szCs w:val="20"/>
                <w:color w:val="auto"/>
              </w:rPr>
            </w:pPr>
            <w:r>
              <w:rPr>
                <w:rFonts w:ascii="Arial" w:cs="Arial" w:eastAsia="Arial" w:hAnsi="Arial"/>
                <w:sz w:val="16"/>
                <w:szCs w:val="16"/>
                <w:color w:val="auto"/>
                <w:w w:val="99"/>
              </w:rPr>
              <w:t>~$130 million</w:t>
            </w:r>
          </w:p>
        </w:tc>
        <w:tc>
          <w:tcPr>
            <w:tcW w:w="380" w:type="dxa"/>
            <w:vAlign w:val="bottom"/>
            <w:tcBorders>
              <w:bottom w:val="single" w:sz="8" w:color="B2B2B2"/>
            </w:tcBorders>
          </w:tcPr>
          <w:p>
            <w:pPr>
              <w:spacing w:after="0"/>
              <w:rPr>
                <w:sz w:val="15"/>
                <w:szCs w:val="15"/>
                <w:color w:val="auto"/>
              </w:rPr>
            </w:pPr>
          </w:p>
        </w:tc>
        <w:tc>
          <w:tcPr>
            <w:tcW w:w="1940" w:type="dxa"/>
            <w:vAlign w:val="bottom"/>
            <w:tcBorders>
              <w:bottom w:val="single" w:sz="8" w:color="B2B2B2"/>
            </w:tcBorders>
          </w:tcPr>
          <w:p>
            <w:pPr>
              <w:ind w:left="360"/>
              <w:spacing w:after="0" w:line="181" w:lineRule="exact"/>
              <w:rPr>
                <w:sz w:val="20"/>
                <w:szCs w:val="20"/>
                <w:color w:val="auto"/>
              </w:rPr>
            </w:pPr>
            <w:r>
              <w:rPr>
                <w:rFonts w:ascii="Arial" w:cs="Arial" w:eastAsia="Arial" w:hAnsi="Arial"/>
                <w:sz w:val="16"/>
                <w:szCs w:val="16"/>
                <w:color w:val="auto"/>
              </w:rPr>
              <w:t>$143 million</w:t>
            </w:r>
          </w:p>
        </w:tc>
        <w:tc>
          <w:tcPr>
            <w:tcW w:w="380" w:type="dxa"/>
            <w:vAlign w:val="bottom"/>
            <w:tcBorders>
              <w:bottom w:val="single" w:sz="8" w:color="B2B2B2"/>
            </w:tcBorders>
          </w:tcPr>
          <w:p>
            <w:pPr>
              <w:ind w:left="20"/>
              <w:spacing w:after="0" w:line="181" w:lineRule="exact"/>
              <w:rPr>
                <w:sz w:val="20"/>
                <w:szCs w:val="20"/>
                <w:color w:val="auto"/>
              </w:rPr>
            </w:pPr>
            <w:r>
              <w:rPr>
                <w:rFonts w:ascii="Arial" w:cs="Arial" w:eastAsia="Arial" w:hAnsi="Arial"/>
                <w:sz w:val="16"/>
                <w:szCs w:val="16"/>
                <w:b w:val="1"/>
                <w:bCs w:val="1"/>
                <w:color w:val="FF4338"/>
              </w:rPr>
              <w:t>X</w:t>
            </w:r>
          </w:p>
        </w:tc>
      </w:tr>
      <w:tr>
        <w:trPr>
          <w:trHeight w:val="181"/>
        </w:trPr>
        <w:tc>
          <w:tcPr>
            <w:tcW w:w="6180" w:type="dxa"/>
            <w:vAlign w:val="bottom"/>
            <w:gridSpan w:val="2"/>
          </w:tcPr>
          <w:p>
            <w:pPr>
              <w:spacing w:after="0" w:line="181" w:lineRule="exact"/>
              <w:rPr>
                <w:sz w:val="20"/>
                <w:szCs w:val="20"/>
                <w:color w:val="auto"/>
              </w:rPr>
            </w:pPr>
            <w:r>
              <w:rPr>
                <w:rFonts w:ascii="Arial" w:cs="Arial" w:eastAsia="Arial" w:hAnsi="Arial"/>
                <w:sz w:val="14"/>
                <w:szCs w:val="14"/>
                <w:color w:val="auto"/>
              </w:rPr>
              <w:t>  Effective tax rate on adjusted earnings</w:t>
            </w:r>
            <w:r>
              <w:rPr>
                <w:rFonts w:ascii="Arial" w:cs="Arial" w:eastAsia="Arial" w:hAnsi="Arial"/>
                <w:sz w:val="20"/>
                <w:szCs w:val="20"/>
                <w:color w:val="auto"/>
                <w:vertAlign w:val="superscript"/>
              </w:rPr>
              <w:t>(2)</w:t>
            </w:r>
          </w:p>
        </w:tc>
        <w:tc>
          <w:tcPr>
            <w:tcW w:w="2040" w:type="dxa"/>
            <w:vAlign w:val="bottom"/>
          </w:tcPr>
          <w:p>
            <w:pPr>
              <w:jc w:val="center"/>
              <w:ind w:left="22"/>
              <w:spacing w:after="0" w:line="181" w:lineRule="exact"/>
              <w:rPr>
                <w:sz w:val="20"/>
                <w:szCs w:val="20"/>
                <w:color w:val="auto"/>
              </w:rPr>
            </w:pPr>
            <w:r>
              <w:rPr>
                <w:rFonts w:ascii="Arial" w:cs="Arial" w:eastAsia="Arial" w:hAnsi="Arial"/>
                <w:sz w:val="16"/>
                <w:szCs w:val="16"/>
                <w:color w:val="auto"/>
              </w:rPr>
              <w:t>~19%</w:t>
            </w:r>
          </w:p>
        </w:tc>
        <w:tc>
          <w:tcPr>
            <w:tcW w:w="380" w:type="dxa"/>
            <w:vAlign w:val="bottom"/>
          </w:tcPr>
          <w:p>
            <w:pPr>
              <w:spacing w:after="0"/>
              <w:rPr>
                <w:sz w:val="15"/>
                <w:szCs w:val="15"/>
                <w:color w:val="auto"/>
              </w:rPr>
            </w:pPr>
          </w:p>
        </w:tc>
        <w:tc>
          <w:tcPr>
            <w:tcW w:w="1940" w:type="dxa"/>
            <w:vAlign w:val="bottom"/>
          </w:tcPr>
          <w:p>
            <w:pPr>
              <w:jc w:val="center"/>
              <w:ind w:right="282"/>
              <w:spacing w:after="0" w:line="181" w:lineRule="exact"/>
              <w:rPr>
                <w:sz w:val="20"/>
                <w:szCs w:val="20"/>
                <w:color w:val="auto"/>
              </w:rPr>
            </w:pPr>
            <w:r>
              <w:rPr>
                <w:rFonts w:ascii="Arial" w:cs="Arial" w:eastAsia="Arial" w:hAnsi="Arial"/>
                <w:sz w:val="16"/>
                <w:szCs w:val="16"/>
                <w:color w:val="auto"/>
              </w:rPr>
              <w:t>18.5%</w:t>
            </w:r>
          </w:p>
        </w:tc>
        <w:tc>
          <w:tcPr>
            <w:tcW w:w="380" w:type="dxa"/>
            <w:vAlign w:val="bottom"/>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240"/>
        </w:trPr>
        <w:tc>
          <w:tcPr>
            <w:tcW w:w="20" w:type="dxa"/>
            <w:vAlign w:val="bottom"/>
          </w:tcPr>
          <w:p>
            <w:pPr>
              <w:spacing w:after="0"/>
              <w:rPr>
                <w:sz w:val="20"/>
                <w:szCs w:val="20"/>
                <w:color w:val="auto"/>
              </w:rPr>
            </w:pPr>
          </w:p>
        </w:tc>
        <w:tc>
          <w:tcPr>
            <w:tcW w:w="6160" w:type="dxa"/>
            <w:vAlign w:val="bottom"/>
            <w:shd w:val="clear" w:color="auto" w:fill="1F473D"/>
          </w:tcPr>
          <w:p>
            <w:pPr>
              <w:spacing w:after="0"/>
              <w:rPr>
                <w:sz w:val="20"/>
                <w:szCs w:val="20"/>
                <w:color w:val="auto"/>
              </w:rPr>
            </w:pPr>
          </w:p>
        </w:tc>
        <w:tc>
          <w:tcPr>
            <w:tcW w:w="2040" w:type="dxa"/>
            <w:vAlign w:val="bottom"/>
            <w:shd w:val="clear" w:color="auto" w:fill="1F473D"/>
          </w:tcPr>
          <w:p>
            <w:pPr>
              <w:spacing w:after="0"/>
              <w:rPr>
                <w:sz w:val="20"/>
                <w:szCs w:val="20"/>
                <w:color w:val="auto"/>
              </w:rPr>
            </w:pPr>
          </w:p>
        </w:tc>
        <w:tc>
          <w:tcPr>
            <w:tcW w:w="380" w:type="dxa"/>
            <w:vAlign w:val="bottom"/>
            <w:shd w:val="clear" w:color="auto" w:fill="1F473D"/>
          </w:tcPr>
          <w:p>
            <w:pPr>
              <w:spacing w:after="0"/>
              <w:rPr>
                <w:sz w:val="20"/>
                <w:szCs w:val="20"/>
                <w:color w:val="auto"/>
              </w:rPr>
            </w:pPr>
          </w:p>
        </w:tc>
        <w:tc>
          <w:tcPr>
            <w:tcW w:w="2320" w:type="dxa"/>
            <w:vAlign w:val="bottom"/>
            <w:gridSpan w:val="2"/>
            <w:shd w:val="clear" w:color="auto" w:fill="1F473D"/>
          </w:tcPr>
          <w:p>
            <w:pPr>
              <w:jc w:val="center"/>
              <w:spacing w:after="0"/>
              <w:rPr>
                <w:sz w:val="20"/>
                <w:szCs w:val="20"/>
                <w:color w:val="auto"/>
              </w:rPr>
            </w:pPr>
            <w:r>
              <w:rPr>
                <w:rFonts w:ascii="Arial" w:cs="Arial" w:eastAsia="Arial" w:hAnsi="Arial"/>
                <w:sz w:val="16"/>
                <w:szCs w:val="16"/>
                <w:b w:val="1"/>
                <w:bCs w:val="1"/>
                <w:color w:val="FFFFFF"/>
              </w:rPr>
              <w:t>2025 Actual Performance</w:t>
            </w:r>
          </w:p>
        </w:tc>
      </w:tr>
      <w:tr>
        <w:trPr>
          <w:trHeight w:val="215"/>
        </w:trPr>
        <w:tc>
          <w:tcPr>
            <w:tcW w:w="20" w:type="dxa"/>
            <w:vAlign w:val="bottom"/>
          </w:tcPr>
          <w:p>
            <w:pPr>
              <w:spacing w:after="0"/>
              <w:rPr>
                <w:sz w:val="18"/>
                <w:szCs w:val="18"/>
                <w:color w:val="auto"/>
              </w:rPr>
            </w:pPr>
          </w:p>
        </w:tc>
        <w:tc>
          <w:tcPr>
            <w:tcW w:w="6160" w:type="dxa"/>
            <w:vAlign w:val="bottom"/>
            <w:shd w:val="clear" w:color="auto" w:fill="1F473D"/>
          </w:tcPr>
          <w:p>
            <w:pPr>
              <w:spacing w:after="0" w:line="214" w:lineRule="exact"/>
              <w:rPr>
                <w:sz w:val="20"/>
                <w:szCs w:val="20"/>
                <w:color w:val="auto"/>
              </w:rPr>
            </w:pPr>
            <w:r>
              <w:rPr>
                <w:rFonts w:ascii="Arial" w:cs="Arial" w:eastAsia="Arial" w:hAnsi="Arial"/>
                <w:sz w:val="16"/>
                <w:szCs w:val="16"/>
                <w:b w:val="1"/>
                <w:bCs w:val="1"/>
                <w:color w:val="FFFFFF"/>
              </w:rPr>
              <w:t>  “Big 3” Segments</w:t>
            </w:r>
            <w:r>
              <w:rPr>
                <w:rFonts w:ascii="Arial" w:cs="Arial" w:eastAsia="Arial" w:hAnsi="Arial"/>
                <w:sz w:val="24"/>
                <w:szCs w:val="24"/>
                <w:b w:val="1"/>
                <w:bCs w:val="1"/>
                <w:color w:val="FFFFFF"/>
                <w:vertAlign w:val="superscript"/>
              </w:rPr>
              <w:t>(2)</w:t>
            </w:r>
          </w:p>
        </w:tc>
        <w:tc>
          <w:tcPr>
            <w:tcW w:w="2040" w:type="dxa"/>
            <w:vAlign w:val="bottom"/>
            <w:shd w:val="clear" w:color="auto" w:fill="1F473D"/>
          </w:tcPr>
          <w:p>
            <w:pPr>
              <w:jc w:val="center"/>
              <w:ind w:left="22"/>
              <w:spacing w:after="0"/>
              <w:rPr>
                <w:sz w:val="20"/>
                <w:szCs w:val="20"/>
                <w:color w:val="auto"/>
              </w:rPr>
            </w:pPr>
            <w:r>
              <w:rPr>
                <w:rFonts w:ascii="Arial" w:cs="Arial" w:eastAsia="Arial" w:hAnsi="Arial"/>
                <w:sz w:val="16"/>
                <w:szCs w:val="16"/>
                <w:b w:val="1"/>
                <w:bCs w:val="1"/>
                <w:color w:val="FFFFFF"/>
              </w:rPr>
              <w:t>2025 Updated Outlook</w:t>
            </w:r>
          </w:p>
        </w:tc>
        <w:tc>
          <w:tcPr>
            <w:tcW w:w="380" w:type="dxa"/>
            <w:vAlign w:val="bottom"/>
            <w:shd w:val="clear" w:color="auto" w:fill="1F473D"/>
          </w:tcPr>
          <w:p>
            <w:pPr>
              <w:spacing w:after="0"/>
              <w:rPr>
                <w:sz w:val="18"/>
                <w:szCs w:val="18"/>
                <w:color w:val="auto"/>
              </w:rPr>
            </w:pPr>
          </w:p>
        </w:tc>
        <w:tc>
          <w:tcPr>
            <w:tcW w:w="1940" w:type="dxa"/>
            <w:vAlign w:val="bottom"/>
            <w:shd w:val="clear" w:color="auto" w:fill="1F473D"/>
          </w:tcPr>
          <w:p>
            <w:pPr>
              <w:jc w:val="center"/>
              <w:ind w:left="342"/>
              <w:spacing w:after="0" w:line="214" w:lineRule="exact"/>
              <w:rPr>
                <w:sz w:val="20"/>
                <w:szCs w:val="20"/>
                <w:color w:val="auto"/>
              </w:rPr>
            </w:pPr>
            <w:r>
              <w:rPr>
                <w:rFonts w:ascii="Arial" w:cs="Arial" w:eastAsia="Arial" w:hAnsi="Arial"/>
                <w:sz w:val="16"/>
                <w:szCs w:val="16"/>
                <w:b w:val="1"/>
                <w:bCs w:val="1"/>
                <w:color w:val="FFFFFF"/>
                <w:w w:val="96"/>
              </w:rPr>
              <w:t>(Before currency)</w:t>
            </w:r>
            <w:r>
              <w:rPr>
                <w:rFonts w:ascii="Arial" w:cs="Arial" w:eastAsia="Arial" w:hAnsi="Arial"/>
                <w:sz w:val="24"/>
                <w:szCs w:val="24"/>
                <w:b w:val="1"/>
                <w:bCs w:val="1"/>
                <w:color w:val="FFFFFF"/>
                <w:w w:val="96"/>
                <w:vertAlign w:val="superscript"/>
              </w:rPr>
              <w:t>(1)</w:t>
            </w:r>
          </w:p>
        </w:tc>
        <w:tc>
          <w:tcPr>
            <w:tcW w:w="380" w:type="dxa"/>
            <w:vAlign w:val="bottom"/>
            <w:shd w:val="clear" w:color="auto" w:fill="1F473D"/>
          </w:tcPr>
          <w:p>
            <w:pPr>
              <w:spacing w:after="0"/>
              <w:rPr>
                <w:sz w:val="18"/>
                <w:szCs w:val="18"/>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line="147" w:lineRule="exact"/>
              <w:rPr>
                <w:sz w:val="20"/>
                <w:szCs w:val="20"/>
                <w:color w:val="auto"/>
              </w:rPr>
            </w:pPr>
            <w:r>
              <w:rPr>
                <w:rFonts w:ascii="Arial" w:cs="Arial" w:eastAsia="Arial" w:hAnsi="Arial"/>
                <w:sz w:val="16"/>
                <w:szCs w:val="16"/>
                <w:color w:val="auto"/>
              </w:rPr>
              <w:t>  Revenue growth</w:t>
            </w:r>
          </w:p>
        </w:tc>
        <w:tc>
          <w:tcPr>
            <w:tcW w:w="2040" w:type="dxa"/>
            <w:vAlign w:val="bottom"/>
          </w:tcPr>
          <w:p>
            <w:pPr>
              <w:jc w:val="center"/>
              <w:ind w:left="22"/>
              <w:spacing w:after="0" w:line="147" w:lineRule="exact"/>
              <w:rPr>
                <w:sz w:val="20"/>
                <w:szCs w:val="20"/>
                <w:color w:val="auto"/>
              </w:rPr>
            </w:pPr>
            <w:r>
              <w:rPr>
                <w:rFonts w:ascii="Arial" w:cs="Arial" w:eastAsia="Arial" w:hAnsi="Arial"/>
                <w:sz w:val="12"/>
                <w:szCs w:val="12"/>
                <w:color w:val="auto"/>
              </w:rPr>
              <w:t>~4%</w:t>
            </w:r>
            <w:r>
              <w:rPr>
                <w:rFonts w:ascii="Arial" w:cs="Arial" w:eastAsia="Arial" w:hAnsi="Arial"/>
                <w:sz w:val="17"/>
                <w:szCs w:val="17"/>
                <w:color w:val="auto"/>
                <w:vertAlign w:val="superscript"/>
              </w:rPr>
              <w:t>(3)</w:t>
            </w:r>
          </w:p>
        </w:tc>
        <w:tc>
          <w:tcPr>
            <w:tcW w:w="380" w:type="dxa"/>
            <w:vAlign w:val="bottom"/>
          </w:tcPr>
          <w:p>
            <w:pPr>
              <w:spacing w:after="0"/>
              <w:rPr>
                <w:sz w:val="12"/>
                <w:szCs w:val="12"/>
                <w:color w:val="auto"/>
              </w:rPr>
            </w:pPr>
          </w:p>
        </w:tc>
        <w:tc>
          <w:tcPr>
            <w:tcW w:w="1940" w:type="dxa"/>
            <w:vAlign w:val="bottom"/>
          </w:tcPr>
          <w:p>
            <w:pPr>
              <w:jc w:val="center"/>
              <w:ind w:right="282"/>
              <w:spacing w:after="0" w:line="147" w:lineRule="exact"/>
              <w:rPr>
                <w:sz w:val="20"/>
                <w:szCs w:val="20"/>
                <w:color w:val="auto"/>
              </w:rPr>
            </w:pPr>
            <w:r>
              <w:rPr>
                <w:rFonts w:ascii="Arial" w:cs="Arial" w:eastAsia="Arial" w:hAnsi="Arial"/>
                <w:sz w:val="12"/>
                <w:szCs w:val="12"/>
                <w:color w:val="auto"/>
              </w:rPr>
              <w:t>3.9%</w:t>
            </w:r>
            <w:r>
              <w:rPr>
                <w:rFonts w:ascii="Arial" w:cs="Arial" w:eastAsia="Arial" w:hAnsi="Arial"/>
                <w:sz w:val="17"/>
                <w:szCs w:val="17"/>
                <w:color w:val="auto"/>
                <w:vertAlign w:val="superscript"/>
              </w:rPr>
              <w:t>(3)</w:t>
            </w:r>
          </w:p>
        </w:tc>
        <w:tc>
          <w:tcPr>
            <w:tcW w:w="380" w:type="dxa"/>
            <w:vAlign w:val="bottom"/>
          </w:tcPr>
          <w:p>
            <w:pPr>
              <w:spacing w:after="0" w:line="147" w:lineRule="exact"/>
              <w:rPr>
                <w:sz w:val="20"/>
                <w:szCs w:val="20"/>
                <w:color w:val="auto"/>
              </w:rPr>
            </w:pPr>
            <w:r>
              <w:rPr>
                <w:rFonts w:ascii="MS PGothic" w:cs="MS PGothic" w:eastAsia="MS PGothic" w:hAnsi="MS PGothic"/>
                <w:sz w:val="16"/>
                <w:szCs w:val="16"/>
                <w:color w:val="1F473D"/>
              </w:rPr>
              <w:t>✓</w:t>
            </w:r>
          </w:p>
        </w:tc>
      </w:tr>
      <w:tr>
        <w:trPr>
          <w:trHeight w:val="241"/>
        </w:trPr>
        <w:tc>
          <w:tcPr>
            <w:tcW w:w="20" w:type="dxa"/>
            <w:vAlign w:val="bottom"/>
          </w:tcPr>
          <w:p>
            <w:pPr>
              <w:spacing w:after="0"/>
              <w:rPr>
                <w:sz w:val="20"/>
                <w:szCs w:val="20"/>
                <w:color w:val="auto"/>
              </w:rPr>
            </w:pPr>
          </w:p>
        </w:tc>
        <w:tc>
          <w:tcPr>
            <w:tcW w:w="6160" w:type="dxa"/>
            <w:vAlign w:val="bottom"/>
            <w:tcBorders>
              <w:bottom w:val="single" w:sz="8" w:color="B2B2B2"/>
            </w:tcBorders>
          </w:tcPr>
          <w:p>
            <w:pPr>
              <w:ind w:left="140"/>
              <w:spacing w:after="0"/>
              <w:rPr>
                <w:sz w:val="20"/>
                <w:szCs w:val="20"/>
                <w:color w:val="auto"/>
              </w:rPr>
            </w:pPr>
            <w:r>
              <w:rPr>
                <w:rFonts w:ascii="Arial" w:cs="Arial" w:eastAsia="Arial" w:hAnsi="Arial"/>
                <w:sz w:val="16"/>
                <w:szCs w:val="16"/>
                <w:i w:val="1"/>
                <w:iCs w:val="1"/>
                <w:color w:val="auto"/>
              </w:rPr>
              <w:t>  Organic revenue growth</w:t>
            </w:r>
          </w:p>
        </w:tc>
        <w:tc>
          <w:tcPr>
            <w:tcW w:w="2040" w:type="dxa"/>
            <w:vAlign w:val="bottom"/>
            <w:tcBorders>
              <w:bottom w:val="single" w:sz="8" w:color="B2B2B2"/>
            </w:tcBorders>
          </w:tcPr>
          <w:p>
            <w:pPr>
              <w:jc w:val="center"/>
              <w:ind w:left="22"/>
              <w:spacing w:after="0"/>
              <w:rPr>
                <w:sz w:val="20"/>
                <w:szCs w:val="20"/>
                <w:color w:val="auto"/>
              </w:rPr>
            </w:pPr>
            <w:r>
              <w:rPr>
                <w:rFonts w:ascii="Arial" w:cs="Arial" w:eastAsia="Arial" w:hAnsi="Arial"/>
                <w:sz w:val="16"/>
                <w:szCs w:val="16"/>
                <w:i w:val="1"/>
                <w:iCs w:val="1"/>
                <w:color w:val="auto"/>
              </w:rPr>
              <w:t>~9%</w:t>
            </w:r>
          </w:p>
        </w:tc>
        <w:tc>
          <w:tcPr>
            <w:tcW w:w="380" w:type="dxa"/>
            <w:vAlign w:val="bottom"/>
            <w:tcBorders>
              <w:bottom w:val="single" w:sz="8" w:color="B2B2B2"/>
            </w:tcBorders>
          </w:tcPr>
          <w:p>
            <w:pPr>
              <w:spacing w:after="0"/>
              <w:rPr>
                <w:sz w:val="20"/>
                <w:szCs w:val="20"/>
                <w:color w:val="auto"/>
              </w:rPr>
            </w:pPr>
          </w:p>
        </w:tc>
        <w:tc>
          <w:tcPr>
            <w:tcW w:w="1940" w:type="dxa"/>
            <w:vAlign w:val="bottom"/>
            <w:tcBorders>
              <w:bottom w:val="single" w:sz="8" w:color="B2B2B2"/>
            </w:tcBorders>
          </w:tcPr>
          <w:p>
            <w:pPr>
              <w:jc w:val="center"/>
              <w:ind w:right="282"/>
              <w:spacing w:after="0"/>
              <w:rPr>
                <w:sz w:val="20"/>
                <w:szCs w:val="20"/>
                <w:color w:val="auto"/>
              </w:rPr>
            </w:pPr>
            <w:r>
              <w:rPr>
                <w:rFonts w:ascii="Arial" w:cs="Arial" w:eastAsia="Arial" w:hAnsi="Arial"/>
                <w:sz w:val="16"/>
                <w:szCs w:val="16"/>
                <w:i w:val="1"/>
                <w:iCs w:val="1"/>
                <w:color w:val="auto"/>
              </w:rPr>
              <w:t>9.0%</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181"/>
        </w:trPr>
        <w:tc>
          <w:tcPr>
            <w:tcW w:w="20" w:type="dxa"/>
            <w:vAlign w:val="bottom"/>
          </w:tcPr>
          <w:p>
            <w:pPr>
              <w:spacing w:after="0"/>
              <w:rPr>
                <w:sz w:val="15"/>
                <w:szCs w:val="15"/>
                <w:color w:val="auto"/>
              </w:rPr>
            </w:pPr>
          </w:p>
        </w:tc>
        <w:tc>
          <w:tcPr>
            <w:tcW w:w="6160" w:type="dxa"/>
            <w:vAlign w:val="bottom"/>
            <w:tcBorders>
              <w:bottom w:val="single" w:sz="8" w:color="B2B2B2"/>
            </w:tcBorders>
          </w:tcPr>
          <w:p>
            <w:pPr>
              <w:spacing w:after="0" w:line="181" w:lineRule="exact"/>
              <w:rPr>
                <w:sz w:val="20"/>
                <w:szCs w:val="20"/>
                <w:color w:val="auto"/>
              </w:rPr>
            </w:pPr>
            <w:r>
              <w:rPr>
                <w:rFonts w:ascii="Arial" w:cs="Arial" w:eastAsia="Arial" w:hAnsi="Arial"/>
                <w:sz w:val="16"/>
                <w:szCs w:val="16"/>
                <w:color w:val="auto"/>
              </w:rPr>
              <w:t>  Adjusted EBITDA margin</w:t>
            </w:r>
          </w:p>
        </w:tc>
        <w:tc>
          <w:tcPr>
            <w:tcW w:w="2040" w:type="dxa"/>
            <w:vAlign w:val="bottom"/>
            <w:tcBorders>
              <w:bottom w:val="single" w:sz="8" w:color="B2B2B2"/>
            </w:tcBorders>
          </w:tcPr>
          <w:p>
            <w:pPr>
              <w:jc w:val="center"/>
              <w:ind w:left="22"/>
              <w:spacing w:after="0" w:line="181" w:lineRule="exact"/>
              <w:rPr>
                <w:sz w:val="20"/>
                <w:szCs w:val="20"/>
                <w:color w:val="auto"/>
              </w:rPr>
            </w:pPr>
            <w:r>
              <w:rPr>
                <w:rFonts w:ascii="Arial" w:cs="Arial" w:eastAsia="Arial" w:hAnsi="Arial"/>
                <w:sz w:val="16"/>
                <w:szCs w:val="16"/>
                <w:color w:val="auto"/>
              </w:rPr>
              <w:t>~43%</w:t>
            </w:r>
          </w:p>
        </w:tc>
        <w:tc>
          <w:tcPr>
            <w:tcW w:w="380" w:type="dxa"/>
            <w:vAlign w:val="bottom"/>
            <w:tcBorders>
              <w:bottom w:val="single" w:sz="8" w:color="B2B2B2"/>
            </w:tcBorders>
          </w:tcPr>
          <w:p>
            <w:pPr>
              <w:spacing w:after="0"/>
              <w:rPr>
                <w:sz w:val="15"/>
                <w:szCs w:val="15"/>
                <w:color w:val="auto"/>
              </w:rPr>
            </w:pPr>
          </w:p>
        </w:tc>
        <w:tc>
          <w:tcPr>
            <w:tcW w:w="1940" w:type="dxa"/>
            <w:vAlign w:val="bottom"/>
            <w:tcBorders>
              <w:bottom w:val="single" w:sz="8" w:color="B2B2B2"/>
            </w:tcBorders>
          </w:tcPr>
          <w:p>
            <w:pPr>
              <w:jc w:val="center"/>
              <w:ind w:right="282"/>
              <w:spacing w:after="0" w:line="181" w:lineRule="exact"/>
              <w:rPr>
                <w:sz w:val="20"/>
                <w:szCs w:val="20"/>
                <w:color w:val="auto"/>
              </w:rPr>
            </w:pPr>
            <w:r>
              <w:rPr>
                <w:rFonts w:ascii="Arial" w:cs="Arial" w:eastAsia="Arial" w:hAnsi="Arial"/>
                <w:sz w:val="16"/>
                <w:szCs w:val="16"/>
                <w:color w:val="auto"/>
              </w:rPr>
              <w:t>43.5%</w:t>
            </w:r>
          </w:p>
        </w:tc>
        <w:tc>
          <w:tcPr>
            <w:tcW w:w="380" w:type="dxa"/>
            <w:vAlign w:val="bottom"/>
            <w:tcBorders>
              <w:bottom w:val="single" w:sz="8" w:color="B2B2B2"/>
            </w:tcBorders>
          </w:tcPr>
          <w:p>
            <w:pPr>
              <w:spacing w:after="0" w:line="161" w:lineRule="exact"/>
              <w:rPr>
                <w:sz w:val="20"/>
                <w:szCs w:val="20"/>
                <w:color w:val="auto"/>
              </w:rPr>
            </w:pPr>
            <w:r>
              <w:rPr>
                <w:rFonts w:ascii="MS PGothic" w:cs="MS PGothic" w:eastAsia="MS PGothic" w:hAnsi="MS PGothic"/>
                <w:sz w:val="16"/>
                <w:szCs w:val="16"/>
                <w:color w:val="1F473D"/>
              </w:rPr>
              <w:t>✓</w:t>
            </w:r>
          </w:p>
        </w:tc>
      </w:tr>
      <w:tr>
        <w:trPr>
          <w:trHeight w:val="47"/>
        </w:trPr>
        <w:tc>
          <w:tcPr>
            <w:tcW w:w="2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040" w:type="dxa"/>
            <w:vAlign w:val="bottom"/>
            <w:shd w:val="clear" w:color="auto" w:fill="1F473D"/>
          </w:tcPr>
          <w:p>
            <w:pPr>
              <w:spacing w:after="0"/>
              <w:rPr>
                <w:sz w:val="4"/>
                <w:szCs w:val="4"/>
                <w:color w:val="auto"/>
              </w:rPr>
            </w:pPr>
          </w:p>
        </w:tc>
        <w:tc>
          <w:tcPr>
            <w:tcW w:w="380" w:type="dxa"/>
            <w:vAlign w:val="bottom"/>
            <w:shd w:val="clear" w:color="auto" w:fill="1F473D"/>
          </w:tcPr>
          <w:p>
            <w:pPr>
              <w:spacing w:after="0"/>
              <w:rPr>
                <w:sz w:val="4"/>
                <w:szCs w:val="4"/>
                <w:color w:val="auto"/>
              </w:rPr>
            </w:pPr>
          </w:p>
        </w:tc>
        <w:tc>
          <w:tcPr>
            <w:tcW w:w="1940" w:type="dxa"/>
            <w:vAlign w:val="bottom"/>
            <w:shd w:val="clear" w:color="auto" w:fill="1F473D"/>
          </w:tcPr>
          <w:p>
            <w:pPr>
              <w:spacing w:after="0"/>
              <w:rPr>
                <w:sz w:val="4"/>
                <w:szCs w:val="4"/>
                <w:color w:val="auto"/>
              </w:rPr>
            </w:pPr>
          </w:p>
        </w:tc>
        <w:tc>
          <w:tcPr>
            <w:tcW w:w="380" w:type="dxa"/>
            <w:vAlign w:val="bottom"/>
            <w:shd w:val="clear" w:color="auto" w:fill="1F473D"/>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6929755" cy="161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161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FFFFFF"/>
        </w:rPr>
        <w:t>  Legend</w:t>
      </w:r>
    </w:p>
    <w:p>
      <w:pPr>
        <w:spacing w:after="0" w:line="1" w:lineRule="exact"/>
        <w:rPr>
          <w:sz w:val="20"/>
          <w:szCs w:val="20"/>
          <w:color w:val="auto"/>
        </w:rPr>
      </w:pPr>
    </w:p>
    <w:p>
      <w:pPr>
        <w:ind w:left="80" w:hanging="73"/>
        <w:spacing w:after="0" w:line="161" w:lineRule="exact"/>
        <w:tabs>
          <w:tab w:leader="none" w:pos="80" w:val="left"/>
        </w:tabs>
        <w:numPr>
          <w:ilvl w:val="0"/>
          <w:numId w:val="69"/>
        </w:numPr>
        <w:rPr>
          <w:rFonts w:ascii="Arial" w:cs="Arial" w:eastAsia="Arial" w:hAnsi="Arial"/>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 Achieved or exceeded updated outlook.</w:t>
      </w:r>
    </w:p>
    <w:p>
      <w:pPr>
        <w:spacing w:after="0" w:line="43" w:lineRule="exact"/>
        <w:rPr>
          <w:rFonts w:ascii="Arial" w:cs="Arial" w:eastAsia="Arial" w:hAnsi="Arial"/>
          <w:sz w:val="14"/>
          <w:szCs w:val="14"/>
          <w:color w:val="auto"/>
        </w:rPr>
      </w:pPr>
    </w:p>
    <w:p>
      <w:pPr>
        <w:ind w:left="80" w:hanging="73"/>
        <w:spacing w:after="0"/>
        <w:tabs>
          <w:tab w:leader="none" w:pos="80"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FF4338"/>
        </w:rPr>
        <w:t xml:space="preserve">X </w:t>
      </w:r>
      <w:r>
        <w:rPr>
          <w:rFonts w:ascii="Arial" w:cs="Arial" w:eastAsia="Arial" w:hAnsi="Arial"/>
          <w:sz w:val="14"/>
          <w:szCs w:val="14"/>
          <w:color w:val="000000"/>
        </w:rPr>
        <w:t>- Did not meet updated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-229870</wp:posOffset>
            </wp:positionV>
            <wp:extent cx="6929755" cy="2717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125" w:lineRule="exact"/>
        <w:rPr>
          <w:sz w:val="20"/>
          <w:szCs w:val="20"/>
          <w:color w:val="auto"/>
        </w:rPr>
      </w:pPr>
    </w:p>
    <w:p>
      <w:pPr>
        <w:ind w:left="220" w:hanging="213"/>
        <w:spacing w:after="0"/>
        <w:tabs>
          <w:tab w:leader="none" w:pos="2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Our 2025 performance (before currency) was measured in constant currency rates relative to 2024, except for free cash flow which was reflected at actual rates.</w:t>
      </w:r>
    </w:p>
    <w:p>
      <w:pPr>
        <w:spacing w:after="0" w:line="9" w:lineRule="exact"/>
        <w:rPr>
          <w:rFonts w:ascii="Arial" w:cs="Arial" w:eastAsia="Arial" w:hAnsi="Arial"/>
          <w:sz w:val="13"/>
          <w:szCs w:val="13"/>
          <w:color w:val="auto"/>
        </w:rPr>
      </w:pPr>
    </w:p>
    <w:p>
      <w:pPr>
        <w:ind w:left="220" w:right="40" w:hanging="213"/>
        <w:spacing w:after="0" w:line="236" w:lineRule="auto"/>
        <w:tabs>
          <w:tab w:leader="none" w:pos="2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Non-IFRS financial measures. Refer to Appendices A and B of our management’s discussion and analysis included in our annual report for additional information and reconciliations of our non-IFRS financial measures to the most directly comparable IFRS financial measures.</w:t>
      </w:r>
    </w:p>
    <w:p>
      <w:pPr>
        <w:ind w:left="220" w:hanging="213"/>
        <w:spacing w:after="0"/>
        <w:tabs>
          <w:tab w:leader="none" w:pos="2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Total revenue growth reflects the impact of the disposals of FindLaw and other non-core businesses in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9297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58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Our 2025 performance highlights also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2975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60" w:type="dxa"/>
            <w:vAlign w:val="bottom"/>
          </w:tcPr>
          <w:p>
            <w:pPr>
              <w:ind w:left="100"/>
              <w:spacing w:after="0"/>
              <w:rPr>
                <w:sz w:val="20"/>
                <w:szCs w:val="20"/>
                <w:color w:val="auto"/>
              </w:rPr>
            </w:pPr>
            <w:r>
              <w:rPr>
                <w:rFonts w:ascii="Arial" w:cs="Arial" w:eastAsia="Arial" w:hAnsi="Arial"/>
                <w:sz w:val="16"/>
                <w:szCs w:val="16"/>
                <w:b w:val="1"/>
                <w:bCs w:val="1"/>
                <w:color w:val="auto"/>
              </w:rPr>
              <w:t>Significant Investment in</w:t>
            </w:r>
          </w:p>
        </w:tc>
        <w:tc>
          <w:tcPr>
            <w:tcW w:w="8760" w:type="dxa"/>
            <w:vAlign w:val="bottom"/>
          </w:tcPr>
          <w:p>
            <w:pPr>
              <w:ind w:left="180"/>
              <w:spacing w:after="0"/>
              <w:rPr>
                <w:sz w:val="20"/>
                <w:szCs w:val="20"/>
                <w:color w:val="auto"/>
              </w:rPr>
            </w:pPr>
            <w:r>
              <w:rPr>
                <w:rFonts w:ascii="Arial" w:cs="Arial" w:eastAsia="Arial" w:hAnsi="Arial"/>
                <w:sz w:val="16"/>
                <w:szCs w:val="16"/>
                <w:color w:val="auto"/>
              </w:rPr>
              <w:t>In 2025, we continued to invest in innovation, both organically and through acquisitions. We launched innovative new</w:t>
            </w:r>
          </w:p>
        </w:tc>
      </w:tr>
      <w:tr>
        <w:trPr>
          <w:trHeight w:val="187"/>
        </w:trPr>
        <w:tc>
          <w:tcPr>
            <w:tcW w:w="2160" w:type="dxa"/>
            <w:vAlign w:val="bottom"/>
          </w:tcPr>
          <w:p>
            <w:pPr>
              <w:ind w:left="100"/>
              <w:spacing w:after="0"/>
              <w:rPr>
                <w:sz w:val="20"/>
                <w:szCs w:val="20"/>
                <w:color w:val="auto"/>
              </w:rPr>
            </w:pPr>
            <w:r>
              <w:rPr>
                <w:rFonts w:ascii="Arial" w:cs="Arial" w:eastAsia="Arial" w:hAnsi="Arial"/>
                <w:sz w:val="16"/>
                <w:szCs w:val="16"/>
                <w:b w:val="1"/>
                <w:bCs w:val="1"/>
                <w:color w:val="auto"/>
              </w:rPr>
              <w:t>Innovation</w:t>
            </w:r>
          </w:p>
        </w:tc>
        <w:tc>
          <w:tcPr>
            <w:tcW w:w="8760" w:type="dxa"/>
            <w:vAlign w:val="bottom"/>
          </w:tcPr>
          <w:p>
            <w:pPr>
              <w:ind w:left="180"/>
              <w:spacing w:after="0"/>
              <w:rPr>
                <w:sz w:val="20"/>
                <w:szCs w:val="20"/>
                <w:color w:val="auto"/>
              </w:rPr>
            </w:pPr>
            <w:r>
              <w:rPr>
                <w:rFonts w:ascii="Arial" w:cs="Arial" w:eastAsia="Arial" w:hAnsi="Arial"/>
                <w:sz w:val="16"/>
                <w:szCs w:val="16"/>
                <w:color w:val="auto"/>
              </w:rPr>
              <w:t>products, including Westlaw Advantage, CoCounsel Legal, CoCounsel for Tax &amp; Audit, Ready-to-Advise and</w:t>
            </w:r>
          </w:p>
        </w:tc>
      </w:tr>
      <w:tr>
        <w:trPr>
          <w:trHeight w:val="201"/>
        </w:trPr>
        <w:tc>
          <w:tcPr>
            <w:tcW w:w="2160" w:type="dxa"/>
            <w:vAlign w:val="bottom"/>
          </w:tcPr>
          <w:p>
            <w:pPr>
              <w:spacing w:after="0"/>
              <w:rPr>
                <w:sz w:val="17"/>
                <w:szCs w:val="17"/>
                <w:color w:val="auto"/>
              </w:rPr>
            </w:pPr>
          </w:p>
        </w:tc>
        <w:tc>
          <w:tcPr>
            <w:tcW w:w="8760" w:type="dxa"/>
            <w:vAlign w:val="bottom"/>
          </w:tcPr>
          <w:p>
            <w:pPr>
              <w:ind w:left="180"/>
              <w:spacing w:after="0"/>
              <w:rPr>
                <w:sz w:val="20"/>
                <w:szCs w:val="20"/>
                <w:color w:val="auto"/>
              </w:rPr>
            </w:pPr>
            <w:r>
              <w:rPr>
                <w:rFonts w:ascii="Arial" w:cs="Arial" w:eastAsia="Arial" w:hAnsi="Arial"/>
                <w:sz w:val="16"/>
                <w:szCs w:val="16"/>
                <w:color w:val="auto"/>
              </w:rPr>
              <w:t>Ready-to-Review. Our innovation efforts were bolstered by our acquisitions. In February 2025, we announced that we</w:t>
            </w:r>
          </w:p>
        </w:tc>
      </w:tr>
      <w:tr>
        <w:trPr>
          <w:trHeight w:val="211"/>
        </w:trPr>
        <w:tc>
          <w:tcPr>
            <w:tcW w:w="2160" w:type="dxa"/>
            <w:vAlign w:val="bottom"/>
          </w:tcPr>
          <w:p>
            <w:pPr>
              <w:spacing w:after="0"/>
              <w:rPr>
                <w:sz w:val="18"/>
                <w:szCs w:val="18"/>
                <w:color w:val="auto"/>
              </w:rPr>
            </w:pPr>
          </w:p>
        </w:tc>
        <w:tc>
          <w:tcPr>
            <w:tcW w:w="8760" w:type="dxa"/>
            <w:vAlign w:val="bottom"/>
          </w:tcPr>
          <w:p>
            <w:pPr>
              <w:ind w:left="180"/>
              <w:spacing w:after="0"/>
              <w:rPr>
                <w:sz w:val="20"/>
                <w:szCs w:val="20"/>
                <w:color w:val="auto"/>
              </w:rPr>
            </w:pPr>
            <w:r>
              <w:rPr>
                <w:rFonts w:ascii="Arial" w:cs="Arial" w:eastAsia="Arial" w:hAnsi="Arial"/>
                <w:sz w:val="16"/>
                <w:szCs w:val="16"/>
                <w:color w:val="auto"/>
              </w:rPr>
              <w:t>committed $150 million to a second Thomson Reuters Ventures fund.</w:t>
            </w:r>
          </w:p>
        </w:tc>
      </w:tr>
      <w:tr>
        <w:trPr>
          <w:trHeight w:val="70"/>
        </w:trPr>
        <w:tc>
          <w:tcPr>
            <w:tcW w:w="2160" w:type="dxa"/>
            <w:vAlign w:val="bottom"/>
            <w:tcBorders>
              <w:bottom w:val="single" w:sz="8" w:color="B2B2B2"/>
            </w:tcBorders>
          </w:tcPr>
          <w:p>
            <w:pPr>
              <w:spacing w:after="0"/>
              <w:rPr>
                <w:sz w:val="6"/>
                <w:szCs w:val="6"/>
                <w:color w:val="auto"/>
              </w:rPr>
            </w:pPr>
          </w:p>
        </w:tc>
        <w:tc>
          <w:tcPr>
            <w:tcW w:w="8760" w:type="dxa"/>
            <w:vAlign w:val="bottom"/>
            <w:tcBorders>
              <w:bottom w:val="single" w:sz="8" w:color="B2B2B2"/>
            </w:tcBorders>
          </w:tcPr>
          <w:p>
            <w:pPr>
              <w:spacing w:after="0"/>
              <w:rPr>
                <w:sz w:val="6"/>
                <w:szCs w:val="6"/>
                <w:color w:val="auto"/>
              </w:rPr>
            </w:pPr>
          </w:p>
        </w:tc>
      </w:tr>
      <w:tr>
        <w:trPr>
          <w:trHeight w:val="220"/>
        </w:trPr>
        <w:tc>
          <w:tcPr>
            <w:tcW w:w="2160" w:type="dxa"/>
            <w:vAlign w:val="bottom"/>
          </w:tcPr>
          <w:p>
            <w:pPr>
              <w:ind w:left="100"/>
              <w:spacing w:after="0"/>
              <w:rPr>
                <w:sz w:val="20"/>
                <w:szCs w:val="20"/>
                <w:color w:val="auto"/>
              </w:rPr>
            </w:pPr>
            <w:r>
              <w:rPr>
                <w:rFonts w:ascii="Arial" w:cs="Arial" w:eastAsia="Arial" w:hAnsi="Arial"/>
                <w:sz w:val="16"/>
                <w:szCs w:val="16"/>
                <w:b w:val="1"/>
                <w:bCs w:val="1"/>
                <w:color w:val="auto"/>
              </w:rPr>
              <w:t>Returns to Shareholders</w:t>
            </w:r>
          </w:p>
        </w:tc>
        <w:tc>
          <w:tcPr>
            <w:tcW w:w="8760" w:type="dxa"/>
            <w:vAlign w:val="bottom"/>
          </w:tcPr>
          <w:p>
            <w:pPr>
              <w:ind w:left="180"/>
              <w:spacing w:after="0"/>
              <w:rPr>
                <w:sz w:val="20"/>
                <w:szCs w:val="20"/>
                <w:color w:val="auto"/>
              </w:rPr>
            </w:pPr>
            <w:r>
              <w:rPr>
                <w:rFonts w:ascii="Arial" w:cs="Arial" w:eastAsia="Arial" w:hAnsi="Arial"/>
                <w:sz w:val="16"/>
                <w:szCs w:val="16"/>
                <w:color w:val="auto"/>
              </w:rPr>
              <w:t>In 2025, we returned $2.0 billion to shareholders in dividends and share repurchases. On February 5, 2026, we</w:t>
            </w:r>
          </w:p>
        </w:tc>
      </w:tr>
      <w:tr>
        <w:trPr>
          <w:trHeight w:val="187"/>
        </w:trPr>
        <w:tc>
          <w:tcPr>
            <w:tcW w:w="2160" w:type="dxa"/>
            <w:vAlign w:val="bottom"/>
          </w:tcPr>
          <w:p>
            <w:pPr>
              <w:ind w:left="100"/>
              <w:spacing w:after="0"/>
              <w:rPr>
                <w:sz w:val="20"/>
                <w:szCs w:val="20"/>
                <w:color w:val="auto"/>
              </w:rPr>
            </w:pPr>
            <w:r>
              <w:rPr>
                <w:rFonts w:ascii="Arial" w:cs="Arial" w:eastAsia="Arial" w:hAnsi="Arial"/>
                <w:sz w:val="16"/>
                <w:szCs w:val="16"/>
                <w:b w:val="1"/>
                <w:bCs w:val="1"/>
                <w:color w:val="auto"/>
              </w:rPr>
              <w:t>and Share Performance</w:t>
            </w:r>
          </w:p>
        </w:tc>
        <w:tc>
          <w:tcPr>
            <w:tcW w:w="8760" w:type="dxa"/>
            <w:vAlign w:val="bottom"/>
          </w:tcPr>
          <w:p>
            <w:pPr>
              <w:ind w:left="180"/>
              <w:spacing w:after="0"/>
              <w:rPr>
                <w:sz w:val="20"/>
                <w:szCs w:val="20"/>
                <w:color w:val="auto"/>
              </w:rPr>
            </w:pPr>
            <w:r>
              <w:rPr>
                <w:rFonts w:ascii="Arial" w:cs="Arial" w:eastAsia="Arial" w:hAnsi="Arial"/>
                <w:sz w:val="16"/>
                <w:szCs w:val="16"/>
                <w:color w:val="auto"/>
              </w:rPr>
              <w:t>announced a 10% or $0.24 per share annualized increase in the dividend to $2.62 per common share, representing the</w:t>
            </w:r>
          </w:p>
        </w:tc>
      </w:tr>
      <w:tr>
        <w:trPr>
          <w:trHeight w:val="211"/>
        </w:trPr>
        <w:tc>
          <w:tcPr>
            <w:tcW w:w="2160" w:type="dxa"/>
            <w:vAlign w:val="bottom"/>
          </w:tcPr>
          <w:p>
            <w:pPr>
              <w:spacing w:after="0"/>
              <w:rPr>
                <w:sz w:val="18"/>
                <w:szCs w:val="18"/>
                <w:color w:val="auto"/>
              </w:rPr>
            </w:pPr>
          </w:p>
        </w:tc>
        <w:tc>
          <w:tcPr>
            <w:tcW w:w="8760" w:type="dxa"/>
            <w:vAlign w:val="bottom"/>
          </w:tcPr>
          <w:p>
            <w:pPr>
              <w:ind w:left="180"/>
              <w:spacing w:after="0"/>
              <w:rPr>
                <w:sz w:val="20"/>
                <w:szCs w:val="20"/>
                <w:color w:val="auto"/>
              </w:rPr>
            </w:pPr>
            <w:r>
              <w:rPr>
                <w:rFonts w:ascii="Arial" w:cs="Arial" w:eastAsia="Arial" w:hAnsi="Arial"/>
                <w:sz w:val="16"/>
                <w:szCs w:val="16"/>
                <w:color w:val="auto"/>
              </w:rPr>
              <w:t>33rd consecutive year of dividend increases and the fifth consecutive 10% increase.</w:t>
            </w:r>
          </w:p>
        </w:tc>
      </w:tr>
      <w:tr>
        <w:trPr>
          <w:trHeight w:val="57"/>
        </w:trPr>
        <w:tc>
          <w:tcPr>
            <w:tcW w:w="2160" w:type="dxa"/>
            <w:vAlign w:val="bottom"/>
            <w:tcBorders>
              <w:bottom w:val="single" w:sz="8" w:color="B2B2B2"/>
            </w:tcBorders>
          </w:tcPr>
          <w:p>
            <w:pPr>
              <w:spacing w:after="0"/>
              <w:rPr>
                <w:sz w:val="4"/>
                <w:szCs w:val="4"/>
                <w:color w:val="auto"/>
              </w:rPr>
            </w:pPr>
          </w:p>
        </w:tc>
        <w:tc>
          <w:tcPr>
            <w:tcW w:w="8760" w:type="dxa"/>
            <w:vAlign w:val="bottom"/>
            <w:tcBorders>
              <w:bottom w:val="single" w:sz="8" w:color="B2B2B2"/>
            </w:tcBorders>
          </w:tcPr>
          <w:p>
            <w:pPr>
              <w:spacing w:after="0"/>
              <w:rPr>
                <w:sz w:val="4"/>
                <w:szCs w:val="4"/>
                <w:color w:val="auto"/>
              </w:rPr>
            </w:pPr>
          </w:p>
        </w:tc>
      </w:tr>
      <w:tr>
        <w:trPr>
          <w:trHeight w:val="220"/>
        </w:trPr>
        <w:tc>
          <w:tcPr>
            <w:tcW w:w="2160" w:type="dxa"/>
            <w:vAlign w:val="bottom"/>
          </w:tcPr>
          <w:p>
            <w:pPr>
              <w:ind w:left="100"/>
              <w:spacing w:after="0"/>
              <w:rPr>
                <w:sz w:val="20"/>
                <w:szCs w:val="20"/>
                <w:color w:val="auto"/>
              </w:rPr>
            </w:pPr>
            <w:r>
              <w:rPr>
                <w:rFonts w:ascii="Arial" w:cs="Arial" w:eastAsia="Arial" w:hAnsi="Arial"/>
                <w:sz w:val="16"/>
                <w:szCs w:val="16"/>
                <w:b w:val="1"/>
                <w:bCs w:val="1"/>
                <w:color w:val="auto"/>
              </w:rPr>
              <w:t>Acquisitions</w:t>
            </w:r>
          </w:p>
        </w:tc>
        <w:tc>
          <w:tcPr>
            <w:tcW w:w="8760" w:type="dxa"/>
            <w:vAlign w:val="bottom"/>
          </w:tcPr>
          <w:p>
            <w:pPr>
              <w:ind w:left="180"/>
              <w:spacing w:after="0"/>
              <w:rPr>
                <w:sz w:val="20"/>
                <w:szCs w:val="20"/>
                <w:color w:val="auto"/>
              </w:rPr>
            </w:pPr>
            <w:r>
              <w:rPr>
                <w:rFonts w:ascii="Arial" w:cs="Arial" w:eastAsia="Arial" w:hAnsi="Arial"/>
                <w:sz w:val="16"/>
                <w:szCs w:val="16"/>
                <w:color w:val="auto"/>
              </w:rPr>
              <w:t>We invested $843 million in strategic acquisitions in 2025 to deliver exciting new capabilities for our customers. In</w:t>
            </w:r>
          </w:p>
        </w:tc>
      </w:tr>
      <w:tr>
        <w:trPr>
          <w:trHeight w:val="187"/>
        </w:trPr>
        <w:tc>
          <w:tcPr>
            <w:tcW w:w="2160" w:type="dxa"/>
            <w:vAlign w:val="bottom"/>
          </w:tcPr>
          <w:p>
            <w:pPr>
              <w:spacing w:after="0"/>
              <w:rPr>
                <w:sz w:val="16"/>
                <w:szCs w:val="16"/>
                <w:color w:val="auto"/>
              </w:rPr>
            </w:pPr>
          </w:p>
        </w:tc>
        <w:tc>
          <w:tcPr>
            <w:tcW w:w="8760" w:type="dxa"/>
            <w:vAlign w:val="bottom"/>
          </w:tcPr>
          <w:p>
            <w:pPr>
              <w:ind w:left="180"/>
              <w:spacing w:after="0"/>
              <w:rPr>
                <w:sz w:val="20"/>
                <w:szCs w:val="20"/>
                <w:color w:val="auto"/>
              </w:rPr>
            </w:pPr>
            <w:r>
              <w:rPr>
                <w:rFonts w:ascii="Arial" w:cs="Arial" w:eastAsia="Arial" w:hAnsi="Arial"/>
                <w:sz w:val="16"/>
                <w:szCs w:val="16"/>
                <w:color w:val="auto"/>
              </w:rPr>
              <w:t>January 2025, we acquired SafeSend, which automates the “last-mile” of the tax return, including assembly, review,</w:t>
            </w:r>
          </w:p>
        </w:tc>
      </w:tr>
      <w:tr>
        <w:trPr>
          <w:trHeight w:val="187"/>
        </w:trPr>
        <w:tc>
          <w:tcPr>
            <w:tcW w:w="2160" w:type="dxa"/>
            <w:vAlign w:val="bottom"/>
          </w:tcPr>
          <w:p>
            <w:pPr>
              <w:spacing w:after="0"/>
              <w:rPr>
                <w:sz w:val="16"/>
                <w:szCs w:val="16"/>
                <w:color w:val="auto"/>
              </w:rPr>
            </w:pPr>
          </w:p>
        </w:tc>
        <w:tc>
          <w:tcPr>
            <w:tcW w:w="8760" w:type="dxa"/>
            <w:vAlign w:val="bottom"/>
          </w:tcPr>
          <w:p>
            <w:pPr>
              <w:ind w:left="180"/>
              <w:spacing w:after="0"/>
              <w:rPr>
                <w:sz w:val="20"/>
                <w:szCs w:val="20"/>
                <w:color w:val="auto"/>
              </w:rPr>
            </w:pPr>
            <w:r>
              <w:rPr>
                <w:rFonts w:ascii="Arial" w:cs="Arial" w:eastAsia="Arial" w:hAnsi="Arial"/>
                <w:sz w:val="16"/>
                <w:szCs w:val="16"/>
                <w:color w:val="auto"/>
              </w:rPr>
              <w:t>taxpayer e-signature, and delivery. In September 2025, we acquired Additive, which ingests and parses complex U.S.</w:t>
            </w:r>
          </w:p>
        </w:tc>
      </w:tr>
      <w:tr>
        <w:trPr>
          <w:trHeight w:val="211"/>
        </w:trPr>
        <w:tc>
          <w:tcPr>
            <w:tcW w:w="2160" w:type="dxa"/>
            <w:vAlign w:val="bottom"/>
          </w:tcPr>
          <w:p>
            <w:pPr>
              <w:spacing w:after="0"/>
              <w:rPr>
                <w:sz w:val="18"/>
                <w:szCs w:val="18"/>
                <w:color w:val="auto"/>
              </w:rPr>
            </w:pPr>
          </w:p>
        </w:tc>
        <w:tc>
          <w:tcPr>
            <w:tcW w:w="8760" w:type="dxa"/>
            <w:vAlign w:val="bottom"/>
          </w:tcPr>
          <w:p>
            <w:pPr>
              <w:ind w:left="180"/>
              <w:spacing w:after="0"/>
              <w:rPr>
                <w:sz w:val="20"/>
                <w:szCs w:val="20"/>
                <w:color w:val="auto"/>
              </w:rPr>
            </w:pPr>
            <w:r>
              <w:rPr>
                <w:rFonts w:ascii="Arial" w:cs="Arial" w:eastAsia="Arial" w:hAnsi="Arial"/>
                <w:sz w:val="16"/>
                <w:szCs w:val="16"/>
                <w:color w:val="auto"/>
              </w:rPr>
              <w:t>federal tax forms, including schedule K-1, during tax preparation.</w:t>
            </w:r>
          </w:p>
        </w:tc>
      </w:tr>
      <w:tr>
        <w:trPr>
          <w:trHeight w:val="64"/>
        </w:trPr>
        <w:tc>
          <w:tcPr>
            <w:tcW w:w="2160" w:type="dxa"/>
            <w:vAlign w:val="bottom"/>
            <w:tcBorders>
              <w:bottom w:val="single" w:sz="8" w:color="D64000"/>
            </w:tcBorders>
          </w:tcPr>
          <w:p>
            <w:pPr>
              <w:spacing w:after="0"/>
              <w:rPr>
                <w:sz w:val="5"/>
                <w:szCs w:val="5"/>
                <w:color w:val="auto"/>
              </w:rPr>
            </w:pPr>
          </w:p>
        </w:tc>
        <w:tc>
          <w:tcPr>
            <w:tcW w:w="8760" w:type="dxa"/>
            <w:vAlign w:val="bottom"/>
            <w:tcBorders>
              <w:bottom w:val="single" w:sz="8" w:color="D64000"/>
            </w:tcBorders>
          </w:tcPr>
          <w:p>
            <w:pPr>
              <w:spacing w:after="0"/>
              <w:rPr>
                <w:sz w:val="5"/>
                <w:szCs w:val="5"/>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compensation program is strongly connected to our ability to achieve success for Thomson Reuters.</w:t>
      </w:r>
    </w:p>
    <w:p>
      <w:pPr>
        <w:spacing w:after="0" w:line="85" w:lineRule="exact"/>
        <w:rPr>
          <w:sz w:val="20"/>
          <w:szCs w:val="20"/>
          <w:color w:val="auto"/>
        </w:rPr>
      </w:pPr>
    </w:p>
    <w:p>
      <w:pPr>
        <w:ind w:left="440" w:right="580" w:hanging="433"/>
        <w:spacing w:after="0" w:line="263" w:lineRule="auto"/>
        <w:tabs>
          <w:tab w:leader="none" w:pos="440" w:val="left"/>
        </w:tabs>
        <w:numPr>
          <w:ilvl w:val="0"/>
          <w:numId w:val="71"/>
        </w:numPr>
        <w:rPr>
          <w:rFonts w:ascii="MS PGothic" w:cs="MS PGothic" w:eastAsia="MS PGothic" w:hAnsi="MS PGothic"/>
          <w:sz w:val="17"/>
          <w:szCs w:val="17"/>
          <w:color w:val="0F3514"/>
        </w:rPr>
      </w:pPr>
      <w:r>
        <w:rPr>
          <w:rFonts w:ascii="Arial" w:cs="Arial" w:eastAsia="Arial" w:hAnsi="Arial"/>
          <w:sz w:val="17"/>
          <w:szCs w:val="17"/>
          <w:b w:val="1"/>
          <w:bCs w:val="1"/>
          <w:color w:val="0F3514"/>
        </w:rPr>
        <w:t xml:space="preserve">2025 compensation decisions were aligned with our strategic objectives – </w:t>
      </w:r>
      <w:r>
        <w:rPr>
          <w:rFonts w:ascii="Arial" w:cs="Arial" w:eastAsia="Arial" w:hAnsi="Arial"/>
          <w:sz w:val="17"/>
          <w:szCs w:val="17"/>
          <w:color w:val="000000"/>
        </w:rPr>
        <w:t>During 2025, the HR Committee actively engaged in</w:t>
      </w:r>
      <w:r>
        <w:rPr>
          <w:rFonts w:ascii="Arial" w:cs="Arial" w:eastAsia="Arial" w:hAnsi="Arial"/>
          <w:sz w:val="17"/>
          <w:szCs w:val="17"/>
          <w:b w:val="1"/>
          <w:bCs w:val="1"/>
          <w:color w:val="0F3514"/>
        </w:rPr>
        <w:t xml:space="preserve"> </w:t>
      </w:r>
      <w:r>
        <w:rPr>
          <w:rFonts w:ascii="Arial" w:cs="Arial" w:eastAsia="Arial" w:hAnsi="Arial"/>
          <w:sz w:val="17"/>
          <w:szCs w:val="17"/>
          <w:color w:val="000000"/>
        </w:rPr>
        <w:t>reviewing and discussing the design and approach to our compensation, talent and culture programs.</w:t>
      </w:r>
    </w:p>
    <w:p>
      <w:pPr>
        <w:spacing w:after="0" w:line="39" w:lineRule="exact"/>
        <w:rPr>
          <w:rFonts w:ascii="MS PGothic" w:cs="MS PGothic" w:eastAsia="MS PGothic" w:hAnsi="MS PGothic"/>
          <w:sz w:val="17"/>
          <w:szCs w:val="17"/>
          <w:color w:val="0F3514"/>
        </w:rPr>
      </w:pPr>
    </w:p>
    <w:p>
      <w:pPr>
        <w:ind w:left="860" w:right="60" w:hanging="425"/>
        <w:spacing w:after="0" w:line="236" w:lineRule="auto"/>
        <w:tabs>
          <w:tab w:leader="none" w:pos="8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2025, a significant portion of executive pay was at risk and linked to both operational performance and stock price. 90% of our CEO’s 2025 target compensation was variable and on average, approximately 81% of the other named executive officers’ 2025 target compensation was variable. In March 2025, the HR Committee evaluated the current market position of our named executive officers’ compensation and approved increases to the base salary and long-term incentive target for Steve Hasker and long-term incentive targets for Mike Eastwood and Kirsty Roth to better align their pay with the market. Other than these increases, there were no changes to the named executive officers’ 2025 base salaries or target annual and long-term incentive awards. The HR Committee’s independent advisor (FW Cook) was consulted in connection with this compensation evaluation.</w:t>
      </w:r>
    </w:p>
    <w:p>
      <w:pPr>
        <w:spacing w:after="0" w:line="58" w:lineRule="exact"/>
        <w:rPr>
          <w:rFonts w:ascii="Arial" w:cs="Arial" w:eastAsia="Arial" w:hAnsi="Arial"/>
          <w:sz w:val="17"/>
          <w:szCs w:val="17"/>
          <w:color w:val="auto"/>
        </w:rPr>
      </w:pPr>
    </w:p>
    <w:p>
      <w:pPr>
        <w:ind w:left="860" w:right="80" w:hanging="425"/>
        <w:spacing w:after="0" w:line="254" w:lineRule="auto"/>
        <w:tabs>
          <w:tab w:leader="none" w:pos="8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Our incentive plan goals reflected our published business outlook, operating plan and long-term strategy. Annual incentive awards focused on growth objectives for the year with metrics based on organic revenues, organic book of business and cash operating income (adjusted EBITDA less accrued capital expenditures). Our 2025 annual incentive plan awards were based 100% on Thomson Reuters’ consolidated results. 2025 annual incentive awards funded at approximately 101% of target based on overall financial performance that exceeded 2025 goals. Payout of our annual incentive awards was determined based on performance against the principles and targets approved at the start of the performance period and no discretionary adjustments to the payout were made.</w:t>
      </w:r>
    </w:p>
    <w:p>
      <w:pPr>
        <w:spacing w:after="0" w:line="48" w:lineRule="exact"/>
        <w:rPr>
          <w:rFonts w:ascii="Arial" w:cs="Arial" w:eastAsia="Arial" w:hAnsi="Arial"/>
          <w:sz w:val="16"/>
          <w:szCs w:val="16"/>
          <w:color w:val="auto"/>
        </w:rPr>
      </w:pPr>
    </w:p>
    <w:p>
      <w:pPr>
        <w:ind w:left="860" w:right="120" w:hanging="425"/>
        <w:spacing w:after="0" w:line="241" w:lineRule="auto"/>
        <w:tabs>
          <w:tab w:leader="none" w:pos="8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We continued to grant PRSUs as part of our long-term incentive awards. PRSUs for the 2023-2025 performance period had a payout of 120% of target, reflecting strong sustained operating performance over the three-year period and additional investments made to accelerate growth. Payout of those PRSUs was determined based on performance against the principles and targets approved at the start of the performance period and no discretionary adjustments to the payout were made.</w:t>
      </w:r>
    </w:p>
    <w:p>
      <w:pPr>
        <w:spacing w:after="0" w:line="57" w:lineRule="exact"/>
        <w:rPr>
          <w:rFonts w:ascii="Arial" w:cs="Arial" w:eastAsia="Arial" w:hAnsi="Arial"/>
          <w:sz w:val="17"/>
          <w:szCs w:val="17"/>
          <w:color w:val="auto"/>
        </w:rPr>
      </w:pPr>
    </w:p>
    <w:p>
      <w:pPr>
        <w:ind w:left="440" w:right="280" w:hanging="433"/>
        <w:spacing w:after="0" w:line="241" w:lineRule="auto"/>
        <w:tabs>
          <w:tab w:leader="none" w:pos="440" w:val="left"/>
        </w:tabs>
        <w:numPr>
          <w:ilvl w:val="0"/>
          <w:numId w:val="71"/>
        </w:numPr>
        <w:rPr>
          <w:rFonts w:ascii="MS PGothic" w:cs="MS PGothic" w:eastAsia="MS PGothic" w:hAnsi="MS PGothic"/>
          <w:sz w:val="17"/>
          <w:szCs w:val="17"/>
          <w:color w:val="0F3514"/>
        </w:rPr>
      </w:pPr>
      <w:r>
        <w:rPr>
          <w:rFonts w:ascii="Arial" w:cs="Arial" w:eastAsia="Arial" w:hAnsi="Arial"/>
          <w:sz w:val="17"/>
          <w:szCs w:val="17"/>
          <w:b w:val="1"/>
          <w:bCs w:val="1"/>
          <w:color w:val="0F3514"/>
        </w:rPr>
        <w:t xml:space="preserve">Our compensation program is strongly aligned with shareholder return and value </w:t>
      </w:r>
      <w:r>
        <w:rPr>
          <w:rFonts w:ascii="Arial" w:cs="Arial" w:eastAsia="Arial" w:hAnsi="Arial"/>
          <w:sz w:val="17"/>
          <w:szCs w:val="17"/>
          <w:b w:val="1"/>
          <w:bCs w:val="1"/>
          <w:color w:val="000000"/>
        </w:rPr>
        <w:t>–</w:t>
      </w:r>
      <w:r>
        <w:rPr>
          <w:rFonts w:ascii="Arial" w:cs="Arial" w:eastAsia="Arial" w:hAnsi="Arial"/>
          <w:sz w:val="17"/>
          <w:szCs w:val="17"/>
          <w:b w:val="1"/>
          <w:bCs w:val="1"/>
          <w:color w:val="0F3514"/>
        </w:rPr>
        <w:t xml:space="preserve"> </w:t>
      </w:r>
      <w:r>
        <w:rPr>
          <w:rFonts w:ascii="Arial" w:cs="Arial" w:eastAsia="Arial" w:hAnsi="Arial"/>
          <w:sz w:val="17"/>
          <w:szCs w:val="17"/>
          <w:color w:val="000000"/>
        </w:rPr>
        <w:t>In this compensation discussion and analysis</w:t>
      </w:r>
      <w:r>
        <w:rPr>
          <w:rFonts w:ascii="Arial" w:cs="Arial" w:eastAsia="Arial" w:hAnsi="Arial"/>
          <w:sz w:val="17"/>
          <w:szCs w:val="17"/>
          <w:b w:val="1"/>
          <w:bCs w:val="1"/>
          <w:color w:val="0F3514"/>
        </w:rPr>
        <w:t xml:space="preserve"> </w:t>
      </w:r>
      <w:r>
        <w:rPr>
          <w:rFonts w:ascii="Arial" w:cs="Arial" w:eastAsia="Arial" w:hAnsi="Arial"/>
          <w:sz w:val="17"/>
          <w:szCs w:val="17"/>
          <w:color w:val="000000"/>
        </w:rPr>
        <w:t>section, we provide graphs that show our executive officer compensation over the last five years has been aligned with total shareholder return. We also require our executive officers to maintain meaningful levels of share ownership that are multiples of their respective base salaries, creating a strong link to our shareholders and the long-term success of our company.</w:t>
      </w:r>
    </w:p>
    <w:p>
      <w:pPr>
        <w:spacing w:after="0" w:line="57" w:lineRule="exact"/>
        <w:rPr>
          <w:rFonts w:ascii="MS PGothic" w:cs="MS PGothic" w:eastAsia="MS PGothic" w:hAnsi="MS PGothic"/>
          <w:sz w:val="17"/>
          <w:szCs w:val="17"/>
          <w:color w:val="0F3514"/>
        </w:rPr>
      </w:pPr>
    </w:p>
    <w:p>
      <w:pPr>
        <w:ind w:left="440" w:right="40" w:hanging="433"/>
        <w:spacing w:after="0" w:line="235" w:lineRule="auto"/>
        <w:tabs>
          <w:tab w:leader="none" w:pos="440" w:val="left"/>
        </w:tabs>
        <w:numPr>
          <w:ilvl w:val="0"/>
          <w:numId w:val="71"/>
        </w:numPr>
        <w:rPr>
          <w:rFonts w:ascii="MS PGothic" w:cs="MS PGothic" w:eastAsia="MS PGothic" w:hAnsi="MS PGothic"/>
          <w:sz w:val="17"/>
          <w:szCs w:val="17"/>
          <w:color w:val="0F3514"/>
        </w:rPr>
      </w:pPr>
      <w:r>
        <w:rPr>
          <w:rFonts w:ascii="Arial" w:cs="Arial" w:eastAsia="Arial" w:hAnsi="Arial"/>
          <w:sz w:val="17"/>
          <w:szCs w:val="17"/>
          <w:b w:val="1"/>
          <w:bCs w:val="1"/>
          <w:color w:val="0F3514"/>
        </w:rPr>
        <w:t xml:space="preserve">We benchmark executive compensation and performance against global peer companies that we compete with for customers and talent </w:t>
      </w:r>
      <w:r>
        <w:rPr>
          <w:rFonts w:ascii="Arial" w:cs="Arial" w:eastAsia="Arial" w:hAnsi="Arial"/>
          <w:sz w:val="17"/>
          <w:szCs w:val="17"/>
          <w:b w:val="1"/>
          <w:bCs w:val="1"/>
          <w:color w:val="000000"/>
        </w:rPr>
        <w:t>–</w:t>
      </w:r>
      <w:r>
        <w:rPr>
          <w:rFonts w:ascii="Arial" w:cs="Arial" w:eastAsia="Arial" w:hAnsi="Arial"/>
          <w:sz w:val="17"/>
          <w:szCs w:val="17"/>
          <w:b w:val="1"/>
          <w:bCs w:val="1"/>
          <w:color w:val="0F3514"/>
        </w:rPr>
        <w:t xml:space="preserve"> </w:t>
      </w:r>
      <w:r>
        <w:rPr>
          <w:rFonts w:ascii="Arial" w:cs="Arial" w:eastAsia="Arial" w:hAnsi="Arial"/>
          <w:sz w:val="17"/>
          <w:szCs w:val="17"/>
          <w:color w:val="000000"/>
        </w:rPr>
        <w:t>In 2025, the HR Committee continued to utilize a global peer group for executive compensation purposes that reflects our</w:t>
      </w:r>
      <w:r>
        <w:rPr>
          <w:rFonts w:ascii="Arial" w:cs="Arial" w:eastAsia="Arial" w:hAnsi="Arial"/>
          <w:sz w:val="17"/>
          <w:szCs w:val="17"/>
          <w:b w:val="1"/>
          <w:bCs w:val="1"/>
          <w:color w:val="0F3514"/>
        </w:rPr>
        <w:t xml:space="preserve"> </w:t>
      </w:r>
      <w:r>
        <w:rPr>
          <w:rFonts w:ascii="Arial" w:cs="Arial" w:eastAsia="Arial" w:hAnsi="Arial"/>
          <w:sz w:val="17"/>
          <w:szCs w:val="17"/>
          <w:color w:val="000000"/>
        </w:rPr>
        <w:t>company’s size and industries in which we compete. Our global peer group only includes one Canadian company with a common Global Industry Classification System (GICS) code. While we acknowledge that proxy advisors focus on Canadian companies, we believe that they do not provide a fully meaningful or relevant comparison of our competitive market for talent given the particular executive talent pool from which we recruit and the significant differences in industries, businesses and operational strategy between our companies and other Canadian companies with a common GICS code. The HR Committee does, however, use a Canadian peer group for Toronto-based executive officers as a secondary reference point as part of executive compensation benchmarking.</w:t>
      </w:r>
    </w:p>
    <w:p>
      <w:pPr>
        <w:spacing w:after="0" w:line="60" w:lineRule="exact"/>
        <w:rPr>
          <w:rFonts w:ascii="MS PGothic" w:cs="MS PGothic" w:eastAsia="MS PGothic" w:hAnsi="MS PGothic"/>
          <w:sz w:val="17"/>
          <w:szCs w:val="17"/>
          <w:color w:val="0F3514"/>
        </w:rPr>
      </w:pPr>
    </w:p>
    <w:p>
      <w:pPr>
        <w:ind w:left="440" w:right="80" w:hanging="433"/>
        <w:spacing w:after="0"/>
        <w:tabs>
          <w:tab w:leader="none" w:pos="440" w:val="left"/>
        </w:tabs>
        <w:numPr>
          <w:ilvl w:val="0"/>
          <w:numId w:val="71"/>
        </w:numPr>
        <w:rPr>
          <w:rFonts w:ascii="MS PGothic" w:cs="MS PGothic" w:eastAsia="MS PGothic" w:hAnsi="MS PGothic"/>
          <w:sz w:val="17"/>
          <w:szCs w:val="17"/>
          <w:color w:val="0F3514"/>
        </w:rPr>
      </w:pPr>
      <w:r>
        <w:rPr>
          <w:rFonts w:ascii="Arial" w:cs="Arial" w:eastAsia="Arial" w:hAnsi="Arial"/>
          <w:sz w:val="17"/>
          <w:szCs w:val="17"/>
          <w:b w:val="1"/>
          <w:bCs w:val="1"/>
          <w:color w:val="0F3514"/>
        </w:rPr>
        <w:t xml:space="preserve">Our compensation program is aligned with good governance practices and has received strong shareholder support in recent years – </w:t>
      </w:r>
      <w:r>
        <w:rPr>
          <w:rFonts w:ascii="Arial" w:cs="Arial" w:eastAsia="Arial" w:hAnsi="Arial"/>
          <w:sz w:val="17"/>
          <w:szCs w:val="17"/>
          <w:color w:val="000000"/>
        </w:rPr>
        <w:t>Our plans and programs reflect strong governance principles. The HR Committee has an independent advisor for executive</w:t>
      </w:r>
      <w:r>
        <w:rPr>
          <w:rFonts w:ascii="Arial" w:cs="Arial" w:eastAsia="Arial" w:hAnsi="Arial"/>
          <w:sz w:val="17"/>
          <w:szCs w:val="17"/>
          <w:b w:val="1"/>
          <w:bCs w:val="1"/>
          <w:color w:val="0F3514"/>
        </w:rPr>
        <w:t xml:space="preserve"> </w:t>
      </w:r>
      <w:r>
        <w:rPr>
          <w:rFonts w:ascii="Arial" w:cs="Arial" w:eastAsia="Arial" w:hAnsi="Arial"/>
          <w:sz w:val="17"/>
          <w:szCs w:val="17"/>
          <w:color w:val="000000"/>
        </w:rPr>
        <w:t xml:space="preserve">compensation matters. We also engage with our shareholders on compensation matters during the year and we provide a “say on pay” resolution each year at our annual meeting of shareholders. </w:t>
      </w:r>
      <w:r>
        <w:rPr>
          <w:rFonts w:ascii="Arial" w:cs="Arial" w:eastAsia="Arial" w:hAnsi="Arial"/>
          <w:sz w:val="17"/>
          <w:szCs w:val="17"/>
          <w:b w:val="1"/>
          <w:bCs w:val="1"/>
          <w:color w:val="000000"/>
        </w:rPr>
        <w:t>Over the last five years, approximately 98% of votes have been cast “for”</w:t>
      </w:r>
      <w:r>
        <w:rPr>
          <w:rFonts w:ascii="Arial" w:cs="Arial" w:eastAsia="Arial" w:hAnsi="Arial"/>
          <w:sz w:val="17"/>
          <w:szCs w:val="17"/>
          <w:color w:val="000000"/>
        </w:rPr>
        <w:t xml:space="preserve"> </w:t>
      </w:r>
      <w:r>
        <w:rPr>
          <w:rFonts w:ascii="Arial" w:cs="Arial" w:eastAsia="Arial" w:hAnsi="Arial"/>
          <w:sz w:val="17"/>
          <w:szCs w:val="17"/>
          <w:b w:val="1"/>
          <w:bCs w:val="1"/>
          <w:color w:val="000000"/>
        </w:rPr>
        <w:t>our “say on pay” advisory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69297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3"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59</w:t>
      </w:r>
    </w:p>
    <w:p>
      <w:pPr>
        <w:sectPr>
          <w:pgSz w:w="11900" w:h="16838" w:orient="portrait"/>
          <w:cols w:equalWidth="0" w:num="1">
            <w:col w:w="10920"/>
          </w:cols>
          <w:pgMar w:left="480" w:top="265" w:right="499" w:bottom="1440" w:gutter="0" w:footer="0" w:header="0"/>
        </w:sectPr>
      </w:pPr>
    </w:p>
    <w:bookmarkStart w:id="69" w:name="page70"/>
    <w:bookmarkEnd w:id="69"/>
    <w:p>
      <w:pPr>
        <w:ind w:left="440" w:right="40" w:hanging="433"/>
        <w:spacing w:after="0" w:line="238" w:lineRule="auto"/>
        <w:tabs>
          <w:tab w:leader="none" w:pos="440" w:val="left"/>
        </w:tabs>
        <w:numPr>
          <w:ilvl w:val="0"/>
          <w:numId w:val="72"/>
        </w:numPr>
        <w:rPr>
          <w:rFonts w:ascii="MS PGothic" w:cs="MS PGothic" w:eastAsia="MS PGothic" w:hAnsi="MS PGothic"/>
          <w:sz w:val="17"/>
          <w:szCs w:val="17"/>
          <w:color w:val="auto"/>
        </w:rPr>
      </w:pPr>
      <w:r>
        <w:rPr>
          <w:rFonts w:ascii="Arial" w:cs="Arial" w:eastAsia="Arial" w:hAnsi="Arial"/>
          <w:sz w:val="17"/>
          <w:szCs w:val="17"/>
          <w:b w:val="1"/>
          <w:bCs w:val="1"/>
          <w:color w:val="0F3514"/>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We do not believe that we have any problematic pay practices and risk is taken into account in our compensation programs – </w:t>
      </w:r>
      <w:r>
        <w:rPr>
          <w:rFonts w:ascii="Arial" w:cs="Arial" w:eastAsia="Arial" w:hAnsi="Arial"/>
          <w:sz w:val="17"/>
          <w:szCs w:val="17"/>
          <w:color w:val="000000"/>
        </w:rPr>
        <w:t>The</w:t>
      </w:r>
      <w:r>
        <w:rPr>
          <w:rFonts w:ascii="Arial" w:cs="Arial" w:eastAsia="Arial" w:hAnsi="Arial"/>
          <w:sz w:val="17"/>
          <w:szCs w:val="17"/>
          <w:b w:val="1"/>
          <w:bCs w:val="1"/>
          <w:color w:val="0F3514"/>
        </w:rPr>
        <w:t xml:space="preserve"> </w:t>
      </w:r>
      <w:r>
        <w:rPr>
          <w:rFonts w:ascii="Arial" w:cs="Arial" w:eastAsia="Arial" w:hAnsi="Arial"/>
          <w:sz w:val="17"/>
          <w:szCs w:val="17"/>
          <w:color w:val="000000"/>
        </w:rPr>
        <w:t>HR Committee’s independent advisor reviews our compensation program to evaluate the degree to which it encourages risk taking in the context of our overall enterprise risk profile as well as recognized market best practices. Based on the independent advisor’s review, the HR Committee concluded that our programs appear unlikely to create incentives for excessive risk taking and include meaningful safeguards to mitigate compensation program risk.</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Key 2026 Compensation Developments and Decisions</w:t>
      </w:r>
    </w:p>
    <w:p>
      <w:pPr>
        <w:spacing w:after="0" w:line="103"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In March 2026, the HR Committee evaluated the current market position of our named executive officers and approved an increase in long-term incentive target for Steve Hasker (an increase of 12.2% in target total compensation) and an increase in base salary and long-term incentive target for Kirsty Roth (an increase of 7.1% in target total compensation), in each case to better align their pay with the market. In recognition of Ms. Roth’s critical role in executing the Company’s growth strategy, the HR Committee approved a one-time equity award in the form of stock options with a grant date fair value of $1.5 million, designed to align her long-term interests with those of shareholders and to incentivize her continued service to the Company. Other than these increases, there were no changes to the named executive officers’ 2026 base salaries or target annual and long-term incentive awards.</w:t>
      </w:r>
    </w:p>
    <w:p>
      <w:pPr>
        <w:spacing w:after="0" w:line="45"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No changes were made to financial performance metrics and weightings for 2026 annual and long-term incentive awards. The HR Committee established challenging performance goals for 2026 annual and long-term incentive awards in line with our annual and long-term objectives.</w:t>
      </w:r>
    </w:p>
    <w:p>
      <w:pPr>
        <w:spacing w:after="0" w:line="16"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2026 annual incentive awards for our named executive officers are weighted 1/3 each on organic revenue growth, organic book of business and adjusted EBITDA less accrued capital expenditures performance. All metrics are based on Thomson Reuters consolidated performance, which the HR Committee believes promotes teamwork and enables more enterprise collaboration. To further increase the link between pay and performance, we continue to embed strategic priorities into individual performance evaluations for 2026 awards to increase and formalize the linkage between participants’ impact on our strategic priorities and their award decisions. The CEO and his direct reports have the following strategic priorities embedded in their 2026 performance assessments:</w:t>
      </w:r>
    </w:p>
    <w:p>
      <w:pPr>
        <w:spacing w:after="0" w:line="59" w:lineRule="exact"/>
        <w:rPr>
          <w:sz w:val="20"/>
          <w:szCs w:val="20"/>
          <w:color w:val="auto"/>
        </w:rPr>
      </w:pPr>
    </w:p>
    <w:p>
      <w:pPr>
        <w:ind w:left="760" w:right="240" w:hanging="218"/>
        <w:spacing w:after="0" w:line="263" w:lineRule="auto"/>
        <w:tabs>
          <w:tab w:leader="none" w:pos="760"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AI Transformation goal </w:t>
      </w:r>
      <w:r>
        <w:rPr>
          <w:rFonts w:ascii="Arial" w:cs="Arial" w:eastAsia="Arial" w:hAnsi="Arial"/>
          <w:sz w:val="17"/>
          <w:szCs w:val="17"/>
          <w:color w:val="auto"/>
        </w:rPr>
        <w:t>– building AI capabilities, enhancing productivity and innovation, and supporting the Thomson Reuters growth</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for customers and colleagues;</w:t>
      </w:r>
    </w:p>
    <w:p>
      <w:pPr>
        <w:spacing w:after="0" w:line="39" w:lineRule="exact"/>
        <w:rPr>
          <w:rFonts w:ascii="Arial" w:cs="Arial" w:eastAsia="Arial" w:hAnsi="Arial"/>
          <w:sz w:val="17"/>
          <w:szCs w:val="17"/>
          <w:i w:val="1"/>
          <w:iCs w:val="1"/>
          <w:color w:val="auto"/>
        </w:rPr>
      </w:pPr>
    </w:p>
    <w:p>
      <w:pPr>
        <w:ind w:left="760" w:right="360" w:hanging="218"/>
        <w:spacing w:after="0" w:line="263" w:lineRule="auto"/>
        <w:tabs>
          <w:tab w:leader="none" w:pos="760"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Talent goals </w:t>
      </w:r>
      <w:r>
        <w:rPr>
          <w:rFonts w:ascii="Arial" w:cs="Arial" w:eastAsia="Arial" w:hAnsi="Arial"/>
          <w:sz w:val="17"/>
          <w:szCs w:val="17"/>
          <w:color w:val="auto"/>
        </w:rPr>
        <w:t>– building a world-class talent and a high performance, engaged culture in which team members understand their role,</w:t>
      </w:r>
      <w:r>
        <w:rPr>
          <w:rFonts w:ascii="Arial" w:cs="Arial" w:eastAsia="Arial" w:hAnsi="Arial"/>
          <w:sz w:val="17"/>
          <w:szCs w:val="17"/>
          <w:i w:val="1"/>
          <w:iCs w:val="1"/>
          <w:color w:val="auto"/>
        </w:rPr>
        <w:t xml:space="preserve"> </w:t>
      </w:r>
      <w:r>
        <w:rPr>
          <w:rFonts w:ascii="Arial" w:cs="Arial" w:eastAsia="Arial" w:hAnsi="Arial"/>
          <w:sz w:val="17"/>
          <w:szCs w:val="17"/>
          <w:color w:val="auto"/>
        </w:rPr>
        <w:t>know their performance and objectives deliver impact; and</w:t>
      </w:r>
    </w:p>
    <w:p>
      <w:pPr>
        <w:spacing w:after="0" w:line="39" w:lineRule="exact"/>
        <w:rPr>
          <w:rFonts w:ascii="Arial" w:cs="Arial" w:eastAsia="Arial" w:hAnsi="Arial"/>
          <w:sz w:val="17"/>
          <w:szCs w:val="17"/>
          <w:i w:val="1"/>
          <w:iCs w:val="1"/>
          <w:color w:val="auto"/>
        </w:rPr>
      </w:pPr>
    </w:p>
    <w:p>
      <w:pPr>
        <w:ind w:left="760" w:hanging="218"/>
        <w:spacing w:after="0"/>
        <w:tabs>
          <w:tab w:leader="none" w:pos="7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Contribution to specified shared priorities.</w:t>
      </w:r>
    </w:p>
    <w:p>
      <w:pPr>
        <w:spacing w:after="0" w:line="85"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2026 long-term incentive award for our CEO is split among 60% PRSUs and 40% stock options. For our other named executive officers, the 2026 long-term incentive awards are split among 50% PRSUs, 25% TRSUs and 25% stock options. PRSUs granted for the 2026-2028 performance period are weighted 50% each on average organic revenue growth and average free cash flow per share performance. The HR Committee believes that organic revenue growth over a multi-year period complements the same metric as reflected in 2026 annual incentive awards and aligns to the company’s strategic priorities. The HR Committee also believes that including a component of TRSUs in long-term awards balances the award mix and supports retention, while still promoting a performance culture in the organization.</w:t>
      </w:r>
    </w:p>
    <w:p>
      <w:pPr>
        <w:spacing w:after="0" w:line="45"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The HR Committee believes that the 2026 compensation program continues to align executive pay with the company’s annual and long-term strategic and financial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60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sectPr>
      </w:pPr>
    </w:p>
    <w:bookmarkStart w:id="70" w:name="page71"/>
    <w:bookmarkEnd w:id="70"/>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Our 2025 Compensation Program</w:t>
      </w:r>
    </w:p>
    <w:p>
      <w:pPr>
        <w:spacing w:after="0" w:line="111"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The HR Committee of the Board structured our 2025 compensation program in a way that was consistent with our strategic objectives. A named executive officer’s total compensation typically comprises the following components. We describe each of these components in more detail later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59690</wp:posOffset>
            </wp:positionV>
            <wp:extent cx="8255" cy="1955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59690</wp:posOffset>
            </wp:positionV>
            <wp:extent cx="8255" cy="195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59690</wp:posOffset>
            </wp:positionV>
            <wp:extent cx="8255" cy="1955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59690</wp:posOffset>
            </wp:positionV>
            <wp:extent cx="8255" cy="1955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59690</wp:posOffset>
            </wp:positionV>
            <wp:extent cx="8255" cy="1955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9558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320" w:type="dxa"/>
            <w:vAlign w:val="bottom"/>
            <w:tcBorders>
              <w:bottom w:val="single" w:sz="8" w:color="1F473D"/>
              <w:right w:val="single" w:sz="8" w:color="1F473D"/>
            </w:tcBorders>
            <w:shd w:val="clear" w:color="auto" w:fill="1F473D"/>
          </w:tcPr>
          <w:p>
            <w:pPr>
              <w:ind w:left="160"/>
              <w:spacing w:after="0"/>
              <w:rPr>
                <w:sz w:val="20"/>
                <w:szCs w:val="20"/>
                <w:color w:val="auto"/>
              </w:rPr>
            </w:pPr>
            <w:r>
              <w:rPr>
                <w:rFonts w:ascii="Arial" w:cs="Arial" w:eastAsia="Arial" w:hAnsi="Arial"/>
                <w:sz w:val="16"/>
                <w:szCs w:val="16"/>
                <w:b w:val="1"/>
                <w:bCs w:val="1"/>
                <w:color w:val="FFFFFF"/>
              </w:rPr>
              <w:t>Component</w:t>
            </w:r>
          </w:p>
        </w:tc>
        <w:tc>
          <w:tcPr>
            <w:tcW w:w="2680" w:type="dxa"/>
            <w:vAlign w:val="bottom"/>
            <w:tcBorders>
              <w:bottom w:val="single" w:sz="8" w:color="1F473D"/>
              <w:right w:val="single" w:sz="8" w:color="1F473D"/>
            </w:tcBorders>
            <w:shd w:val="clear" w:color="auto" w:fill="1F473D"/>
          </w:tcPr>
          <w:p>
            <w:pPr>
              <w:ind w:left="60"/>
              <w:spacing w:after="0"/>
              <w:rPr>
                <w:sz w:val="20"/>
                <w:szCs w:val="20"/>
                <w:color w:val="auto"/>
              </w:rPr>
            </w:pPr>
            <w:r>
              <w:rPr>
                <w:rFonts w:ascii="Arial" w:cs="Arial" w:eastAsia="Arial" w:hAnsi="Arial"/>
                <w:sz w:val="16"/>
                <w:szCs w:val="16"/>
                <w:b w:val="1"/>
                <w:bCs w:val="1"/>
                <w:color w:val="FFFFFF"/>
              </w:rPr>
              <w:t>Description</w:t>
            </w:r>
          </w:p>
        </w:tc>
        <w:tc>
          <w:tcPr>
            <w:tcW w:w="1400" w:type="dxa"/>
            <w:vAlign w:val="bottom"/>
            <w:tcBorders>
              <w:bottom w:val="single" w:sz="8" w:color="1F473D"/>
              <w:right w:val="single" w:sz="8" w:color="1F473D"/>
            </w:tcBorders>
            <w:shd w:val="clear" w:color="auto" w:fill="1F473D"/>
          </w:tcPr>
          <w:p>
            <w:pPr>
              <w:ind w:left="60"/>
              <w:spacing w:after="0"/>
              <w:rPr>
                <w:sz w:val="20"/>
                <w:szCs w:val="20"/>
                <w:color w:val="auto"/>
              </w:rPr>
            </w:pPr>
            <w:r>
              <w:rPr>
                <w:rFonts w:ascii="Arial" w:cs="Arial" w:eastAsia="Arial" w:hAnsi="Arial"/>
                <w:sz w:val="16"/>
                <w:szCs w:val="16"/>
                <w:b w:val="1"/>
                <w:bCs w:val="1"/>
                <w:color w:val="FFFFFF"/>
              </w:rPr>
              <w:t>Type</w:t>
            </w:r>
          </w:p>
        </w:tc>
        <w:tc>
          <w:tcPr>
            <w:tcW w:w="1600" w:type="dxa"/>
            <w:vAlign w:val="bottom"/>
            <w:tcBorders>
              <w:bottom w:val="single" w:sz="8" w:color="1F473D"/>
              <w:right w:val="single" w:sz="8" w:color="1F473D"/>
            </w:tcBorders>
            <w:shd w:val="clear" w:color="auto" w:fill="1F473D"/>
          </w:tcPr>
          <w:p>
            <w:pPr>
              <w:ind w:left="60"/>
              <w:spacing w:after="0"/>
              <w:rPr>
                <w:sz w:val="20"/>
                <w:szCs w:val="20"/>
                <w:color w:val="auto"/>
              </w:rPr>
            </w:pPr>
            <w:r>
              <w:rPr>
                <w:rFonts w:ascii="Arial" w:cs="Arial" w:eastAsia="Arial" w:hAnsi="Arial"/>
                <w:sz w:val="16"/>
                <w:szCs w:val="16"/>
                <w:b w:val="1"/>
                <w:bCs w:val="1"/>
                <w:color w:val="FFFFFF"/>
              </w:rPr>
              <w:t>2025 Measures</w:t>
            </w:r>
          </w:p>
        </w:tc>
        <w:tc>
          <w:tcPr>
            <w:tcW w:w="780" w:type="dxa"/>
            <w:vAlign w:val="bottom"/>
            <w:tcBorders>
              <w:bottom w:val="single" w:sz="8" w:color="1F473D"/>
              <w:right w:val="single" w:sz="8" w:color="1F473D"/>
            </w:tcBorders>
            <w:shd w:val="clear" w:color="auto" w:fill="1F473D"/>
          </w:tcPr>
          <w:p>
            <w:pPr>
              <w:ind w:left="60"/>
              <w:spacing w:after="0"/>
              <w:rPr>
                <w:sz w:val="20"/>
                <w:szCs w:val="20"/>
                <w:color w:val="auto"/>
              </w:rPr>
            </w:pPr>
            <w:r>
              <w:rPr>
                <w:rFonts w:ascii="Arial" w:cs="Arial" w:eastAsia="Arial" w:hAnsi="Arial"/>
                <w:sz w:val="16"/>
                <w:szCs w:val="16"/>
                <w:b w:val="1"/>
                <w:bCs w:val="1"/>
                <w:color w:val="FFFFFF"/>
              </w:rPr>
              <w:t>Form</w:t>
            </w:r>
          </w:p>
        </w:tc>
        <w:tc>
          <w:tcPr>
            <w:tcW w:w="2140" w:type="dxa"/>
            <w:vAlign w:val="bottom"/>
            <w:tcBorders>
              <w:bottom w:val="single" w:sz="8" w:color="1F473D"/>
            </w:tcBorders>
            <w:shd w:val="clear" w:color="auto" w:fill="1F473D"/>
          </w:tcPr>
          <w:p>
            <w:pPr>
              <w:ind w:left="60"/>
              <w:spacing w:after="0"/>
              <w:rPr>
                <w:sz w:val="20"/>
                <w:szCs w:val="20"/>
                <w:color w:val="auto"/>
              </w:rPr>
            </w:pPr>
            <w:r>
              <w:rPr>
                <w:rFonts w:ascii="Arial" w:cs="Arial" w:eastAsia="Arial" w:hAnsi="Arial"/>
                <w:sz w:val="16"/>
                <w:szCs w:val="16"/>
                <w:b w:val="1"/>
                <w:bCs w:val="1"/>
                <w:color w:val="FFFFFF"/>
              </w:rPr>
              <w:t>Purpose</w:t>
            </w:r>
          </w:p>
        </w:tc>
        <w:tc>
          <w:tcPr>
            <w:tcW w:w="0" w:type="dxa"/>
            <w:vAlign w:val="bottom"/>
          </w:tcPr>
          <w:p>
            <w:pPr>
              <w:spacing w:after="0"/>
              <w:rPr>
                <w:sz w:val="1"/>
                <w:szCs w:val="1"/>
                <w:color w:val="auto"/>
              </w:rPr>
            </w:pPr>
          </w:p>
        </w:tc>
      </w:tr>
      <w:tr>
        <w:trPr>
          <w:trHeight w:val="227"/>
        </w:trPr>
        <w:tc>
          <w:tcPr>
            <w:tcW w:w="232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b w:val="1"/>
                <w:bCs w:val="1"/>
                <w:color w:val="auto"/>
              </w:rPr>
              <w:t>Base salary</w:t>
            </w:r>
          </w:p>
        </w:tc>
        <w:tc>
          <w:tcPr>
            <w:tcW w:w="2680" w:type="dxa"/>
            <w:vAlign w:val="bottom"/>
            <w:tcBorders>
              <w:top w:val="single" w:sz="8" w:color="D64000"/>
              <w:right w:val="single" w:sz="8" w:color="B2B2B2"/>
            </w:tcBorders>
          </w:tcPr>
          <w:p>
            <w:pPr>
              <w:ind w:left="60"/>
              <w:spacing w:after="0"/>
              <w:rPr>
                <w:sz w:val="20"/>
                <w:szCs w:val="20"/>
                <w:color w:val="auto"/>
              </w:rPr>
            </w:pPr>
            <w:r>
              <w:rPr>
                <w:rFonts w:ascii="Arial" w:cs="Arial" w:eastAsia="Arial" w:hAnsi="Arial"/>
                <w:sz w:val="16"/>
                <w:szCs w:val="16"/>
                <w:color w:val="auto"/>
                <w:w w:val="99"/>
              </w:rPr>
              <w:t>Payments made throughout the year</w:t>
            </w:r>
          </w:p>
        </w:tc>
        <w:tc>
          <w:tcPr>
            <w:tcW w:w="1400" w:type="dxa"/>
            <w:vAlign w:val="bottom"/>
            <w:tcBorders>
              <w:top w:val="single" w:sz="8" w:color="D64000"/>
              <w:right w:val="single" w:sz="8" w:color="B2B2B2"/>
            </w:tcBorders>
          </w:tcPr>
          <w:p>
            <w:pPr>
              <w:ind w:left="60"/>
              <w:spacing w:after="0"/>
              <w:rPr>
                <w:sz w:val="20"/>
                <w:szCs w:val="20"/>
                <w:color w:val="auto"/>
              </w:rPr>
            </w:pPr>
            <w:r>
              <w:rPr>
                <w:rFonts w:ascii="Arial" w:cs="Arial" w:eastAsia="Arial" w:hAnsi="Arial"/>
                <w:sz w:val="16"/>
                <w:szCs w:val="16"/>
                <w:color w:val="auto"/>
              </w:rPr>
              <w:t>Fixed</w:t>
            </w:r>
          </w:p>
        </w:tc>
        <w:tc>
          <w:tcPr>
            <w:tcW w:w="1600" w:type="dxa"/>
            <w:vAlign w:val="bottom"/>
            <w:tcBorders>
              <w:top w:val="single" w:sz="8" w:color="D64000"/>
              <w:right w:val="single" w:sz="8" w:color="B2B2B2"/>
            </w:tcBorders>
          </w:tcPr>
          <w:p>
            <w:pPr>
              <w:ind w:left="60"/>
              <w:spacing w:after="0"/>
              <w:rPr>
                <w:sz w:val="20"/>
                <w:szCs w:val="20"/>
                <w:color w:val="auto"/>
              </w:rPr>
            </w:pPr>
            <w:r>
              <w:rPr>
                <w:rFonts w:ascii="Arial" w:cs="Arial" w:eastAsia="Arial" w:hAnsi="Arial"/>
                <w:sz w:val="16"/>
                <w:szCs w:val="16"/>
                <w:color w:val="auto"/>
              </w:rPr>
              <w:t>Individual</w:t>
            </w:r>
          </w:p>
        </w:tc>
        <w:tc>
          <w:tcPr>
            <w:tcW w:w="780" w:type="dxa"/>
            <w:vAlign w:val="bottom"/>
            <w:tcBorders>
              <w:top w:val="single" w:sz="8" w:color="D64000"/>
              <w:right w:val="single" w:sz="8" w:color="B2B2B2"/>
            </w:tcBorders>
          </w:tcPr>
          <w:p>
            <w:pPr>
              <w:ind w:left="60"/>
              <w:spacing w:after="0"/>
              <w:rPr>
                <w:sz w:val="20"/>
                <w:szCs w:val="20"/>
                <w:color w:val="auto"/>
              </w:rPr>
            </w:pPr>
            <w:r>
              <w:rPr>
                <w:rFonts w:ascii="Arial" w:cs="Arial" w:eastAsia="Arial" w:hAnsi="Arial"/>
                <w:sz w:val="16"/>
                <w:szCs w:val="16"/>
                <w:color w:val="auto"/>
              </w:rPr>
              <w:t>Cash</w:t>
            </w:r>
          </w:p>
        </w:tc>
        <w:tc>
          <w:tcPr>
            <w:tcW w:w="2140" w:type="dxa"/>
            <w:vAlign w:val="bottom"/>
            <w:tcBorders>
              <w:top w:val="single" w:sz="8" w:color="D64000"/>
            </w:tcBorders>
          </w:tcPr>
          <w:p>
            <w:pPr>
              <w:ind w:left="60"/>
              <w:spacing w:after="0"/>
              <w:rPr>
                <w:sz w:val="20"/>
                <w:szCs w:val="20"/>
                <w:color w:val="auto"/>
              </w:rPr>
            </w:pPr>
            <w:r>
              <w:rPr>
                <w:rFonts w:ascii="Arial" w:cs="Arial" w:eastAsia="Arial" w:hAnsi="Arial"/>
                <w:sz w:val="16"/>
                <w:szCs w:val="16"/>
                <w:color w:val="auto"/>
              </w:rPr>
              <w:t>Provides predictable amount</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at an established rate.</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performance, role,</w:t>
            </w: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w w:val="99"/>
              </w:rPr>
              <w:t>of fixed income as short-term</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responsibilities and</w:t>
            </w: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11"/>
        </w:trPr>
        <w:tc>
          <w:tcPr>
            <w:tcW w:w="2320" w:type="dxa"/>
            <w:vAlign w:val="bottom"/>
            <w:tcBorders>
              <w:right w:val="single" w:sz="8" w:color="B2B2B2"/>
            </w:tcBorders>
          </w:tcPr>
          <w:p>
            <w:pPr>
              <w:spacing w:after="0"/>
              <w:rPr>
                <w:sz w:val="18"/>
                <w:szCs w:val="18"/>
                <w:color w:val="auto"/>
              </w:rPr>
            </w:pPr>
          </w:p>
        </w:tc>
        <w:tc>
          <w:tcPr>
            <w:tcW w:w="2680" w:type="dxa"/>
            <w:vAlign w:val="bottom"/>
            <w:tcBorders>
              <w:right w:val="single" w:sz="8" w:color="B2B2B2"/>
            </w:tcBorders>
          </w:tcPr>
          <w:p>
            <w:pPr>
              <w:spacing w:after="0"/>
              <w:rPr>
                <w:sz w:val="18"/>
                <w:szCs w:val="18"/>
                <w:color w:val="auto"/>
              </w:rPr>
            </w:pPr>
          </w:p>
        </w:tc>
        <w:tc>
          <w:tcPr>
            <w:tcW w:w="1400" w:type="dxa"/>
            <w:vAlign w:val="bottom"/>
            <w:tcBorders>
              <w:right w:val="single" w:sz="8" w:color="B2B2B2"/>
            </w:tcBorders>
          </w:tcPr>
          <w:p>
            <w:pPr>
              <w:spacing w:after="0"/>
              <w:rPr>
                <w:sz w:val="18"/>
                <w:szCs w:val="18"/>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experience.</w:t>
            </w:r>
          </w:p>
        </w:tc>
        <w:tc>
          <w:tcPr>
            <w:tcW w:w="780" w:type="dxa"/>
            <w:vAlign w:val="bottom"/>
            <w:tcBorders>
              <w:right w:val="single" w:sz="8" w:color="B2B2B2"/>
            </w:tcBorders>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320" w:type="dxa"/>
            <w:vAlign w:val="bottom"/>
            <w:tcBorders>
              <w:bottom w:val="single" w:sz="8" w:color="B2B2B2"/>
              <w:right w:val="single" w:sz="8" w:color="B2B2B2"/>
            </w:tcBorders>
          </w:tcPr>
          <w:p>
            <w:pPr>
              <w:spacing w:after="0"/>
              <w:rPr>
                <w:sz w:val="3"/>
                <w:szCs w:val="3"/>
                <w:color w:val="auto"/>
              </w:rPr>
            </w:pPr>
          </w:p>
        </w:tc>
        <w:tc>
          <w:tcPr>
            <w:tcW w:w="2680" w:type="dxa"/>
            <w:vAlign w:val="bottom"/>
            <w:tcBorders>
              <w:bottom w:val="single" w:sz="8" w:color="B2B2B2"/>
              <w:right w:val="single" w:sz="8" w:color="B2B2B2"/>
            </w:tcBorders>
          </w:tcPr>
          <w:p>
            <w:pPr>
              <w:spacing w:after="0"/>
              <w:rPr>
                <w:sz w:val="3"/>
                <w:szCs w:val="3"/>
                <w:color w:val="auto"/>
              </w:rPr>
            </w:pPr>
          </w:p>
        </w:tc>
        <w:tc>
          <w:tcPr>
            <w:tcW w:w="1400" w:type="dxa"/>
            <w:vAlign w:val="bottom"/>
            <w:tcBorders>
              <w:bottom w:val="single" w:sz="8" w:color="B2B2B2"/>
              <w:right w:val="single" w:sz="8" w:color="B2B2B2"/>
            </w:tcBorders>
          </w:tcPr>
          <w:p>
            <w:pPr>
              <w:spacing w:after="0"/>
              <w:rPr>
                <w:sz w:val="3"/>
                <w:szCs w:val="3"/>
                <w:color w:val="auto"/>
              </w:rPr>
            </w:pPr>
          </w:p>
        </w:tc>
        <w:tc>
          <w:tcPr>
            <w:tcW w:w="1600" w:type="dxa"/>
            <w:vAlign w:val="bottom"/>
            <w:tcBorders>
              <w:bottom w:val="single" w:sz="8" w:color="B2B2B2"/>
              <w:right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21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Annual incentive award</w:t>
            </w: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Variable payment made in March</w:t>
            </w:r>
          </w:p>
        </w:tc>
        <w:tc>
          <w:tcPr>
            <w:tcW w:w="14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Organic revenue</w:t>
            </w:r>
          </w:p>
        </w:tc>
        <w:tc>
          <w:tcPr>
            <w:tcW w:w="7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Cash</w:t>
            </w:r>
          </w:p>
        </w:tc>
        <w:tc>
          <w:tcPr>
            <w:tcW w:w="2140" w:type="dxa"/>
            <w:vAlign w:val="bottom"/>
          </w:tcPr>
          <w:p>
            <w:pPr>
              <w:ind w:left="60"/>
              <w:spacing w:after="0"/>
              <w:rPr>
                <w:sz w:val="20"/>
                <w:szCs w:val="20"/>
                <w:color w:val="auto"/>
              </w:rPr>
            </w:pPr>
            <w:r>
              <w:rPr>
                <w:rFonts w:ascii="Arial" w:cs="Arial" w:eastAsia="Arial" w:hAnsi="Arial"/>
                <w:sz w:val="16"/>
                <w:szCs w:val="16"/>
                <w:color w:val="auto"/>
              </w:rPr>
              <w:t>Focuses executives on our</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after results for the previous year</w:t>
            </w:r>
          </w:p>
        </w:tc>
        <w:tc>
          <w:tcPr>
            <w:tcW w:w="14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based</w:t>
            </w: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growth (1/3).</w:t>
            </w: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financial goals and</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are available, and dependent on</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Adjusted EBITDA</w:t>
            </w: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objectives for the year.</w:t>
            </w: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company performance against</w:t>
            </w: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vMerge w:val="continue"/>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320" w:type="dxa"/>
            <w:vAlign w:val="bottom"/>
            <w:tcBorders>
              <w:right w:val="single" w:sz="8" w:color="B2B2B2"/>
            </w:tcBorders>
          </w:tcPr>
          <w:p>
            <w:pPr>
              <w:spacing w:after="0"/>
              <w:rPr>
                <w:sz w:val="10"/>
                <w:szCs w:val="10"/>
                <w:color w:val="auto"/>
              </w:rPr>
            </w:pPr>
          </w:p>
        </w:tc>
        <w:tc>
          <w:tcPr>
            <w:tcW w:w="2680" w:type="dxa"/>
            <w:vAlign w:val="bottom"/>
            <w:tcBorders>
              <w:right w:val="single" w:sz="8" w:color="B2B2B2"/>
            </w:tcBorders>
            <w:vMerge w:val="continue"/>
          </w:tcPr>
          <w:p>
            <w:pPr>
              <w:spacing w:after="0"/>
              <w:rPr>
                <w:sz w:val="10"/>
                <w:szCs w:val="10"/>
                <w:color w:val="auto"/>
              </w:rPr>
            </w:pPr>
          </w:p>
        </w:tc>
        <w:tc>
          <w:tcPr>
            <w:tcW w:w="1400" w:type="dxa"/>
            <w:vAlign w:val="bottom"/>
            <w:tcBorders>
              <w:right w:val="single" w:sz="8" w:color="B2B2B2"/>
            </w:tcBorders>
          </w:tcPr>
          <w:p>
            <w:pPr>
              <w:spacing w:after="0"/>
              <w:rPr>
                <w:sz w:val="10"/>
                <w:szCs w:val="10"/>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less accrued capital</w:t>
            </w:r>
          </w:p>
        </w:tc>
        <w:tc>
          <w:tcPr>
            <w:tcW w:w="780" w:type="dxa"/>
            <w:vAlign w:val="bottom"/>
            <w:tcBorders>
              <w:right w:val="single" w:sz="8" w:color="B2B2B2"/>
            </w:tcBorders>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objective financial targets</w:t>
            </w: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vMerge w:val="continue"/>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320" w:type="dxa"/>
            <w:vAlign w:val="bottom"/>
            <w:tcBorders>
              <w:right w:val="single" w:sz="8" w:color="B2B2B2"/>
            </w:tcBorders>
          </w:tcPr>
          <w:p>
            <w:pPr>
              <w:spacing w:after="0"/>
              <w:rPr>
                <w:sz w:val="10"/>
                <w:szCs w:val="10"/>
                <w:color w:val="auto"/>
              </w:rPr>
            </w:pPr>
          </w:p>
        </w:tc>
        <w:tc>
          <w:tcPr>
            <w:tcW w:w="2680" w:type="dxa"/>
            <w:vAlign w:val="bottom"/>
            <w:tcBorders>
              <w:right w:val="single" w:sz="8" w:color="B2B2B2"/>
            </w:tcBorders>
            <w:vMerge w:val="continue"/>
          </w:tcPr>
          <w:p>
            <w:pPr>
              <w:spacing w:after="0"/>
              <w:rPr>
                <w:sz w:val="10"/>
                <w:szCs w:val="10"/>
                <w:color w:val="auto"/>
              </w:rPr>
            </w:pPr>
          </w:p>
        </w:tc>
        <w:tc>
          <w:tcPr>
            <w:tcW w:w="1400" w:type="dxa"/>
            <w:vAlign w:val="bottom"/>
            <w:tcBorders>
              <w:right w:val="single" w:sz="8" w:color="B2B2B2"/>
            </w:tcBorders>
          </w:tcPr>
          <w:p>
            <w:pPr>
              <w:spacing w:after="0"/>
              <w:rPr>
                <w:sz w:val="10"/>
                <w:szCs w:val="10"/>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expenditures (1/3).</w:t>
            </w:r>
          </w:p>
        </w:tc>
        <w:tc>
          <w:tcPr>
            <w:tcW w:w="780" w:type="dxa"/>
            <w:vAlign w:val="bottom"/>
            <w:tcBorders>
              <w:right w:val="single" w:sz="8" w:color="B2B2B2"/>
            </w:tcBorders>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20" w:type="dxa"/>
            <w:vAlign w:val="bottom"/>
            <w:tcBorders>
              <w:right w:val="single" w:sz="8" w:color="B2B2B2"/>
            </w:tcBorders>
          </w:tcPr>
          <w:p>
            <w:pPr>
              <w:spacing w:after="0"/>
              <w:rPr>
                <w:sz w:val="7"/>
                <w:szCs w:val="7"/>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established at the beginning of the</w:t>
            </w:r>
          </w:p>
        </w:tc>
        <w:tc>
          <w:tcPr>
            <w:tcW w:w="1400" w:type="dxa"/>
            <w:vAlign w:val="bottom"/>
            <w:tcBorders>
              <w:right w:val="single" w:sz="8" w:color="B2B2B2"/>
            </w:tcBorders>
          </w:tcPr>
          <w:p>
            <w:pPr>
              <w:spacing w:after="0"/>
              <w:rPr>
                <w:sz w:val="7"/>
                <w:szCs w:val="7"/>
                <w:color w:val="auto"/>
              </w:rPr>
            </w:pPr>
          </w:p>
        </w:tc>
        <w:tc>
          <w:tcPr>
            <w:tcW w:w="1600" w:type="dxa"/>
            <w:vAlign w:val="bottom"/>
            <w:tcBorders>
              <w:right w:val="single" w:sz="8" w:color="B2B2B2"/>
            </w:tcBorders>
            <w:vMerge w:val="continue"/>
          </w:tcPr>
          <w:p>
            <w:pPr>
              <w:spacing w:after="0"/>
              <w:rPr>
                <w:sz w:val="7"/>
                <w:szCs w:val="7"/>
                <w:color w:val="auto"/>
              </w:rPr>
            </w:pPr>
          </w:p>
        </w:tc>
        <w:tc>
          <w:tcPr>
            <w:tcW w:w="780" w:type="dxa"/>
            <w:vAlign w:val="bottom"/>
            <w:tcBorders>
              <w:right w:val="single" w:sz="8" w:color="B2B2B2"/>
            </w:tcBorders>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320" w:type="dxa"/>
            <w:vAlign w:val="bottom"/>
            <w:tcBorders>
              <w:right w:val="single" w:sz="8" w:color="B2B2B2"/>
            </w:tcBorders>
          </w:tcPr>
          <w:p>
            <w:pPr>
              <w:spacing w:after="0"/>
              <w:rPr>
                <w:sz w:val="8"/>
                <w:szCs w:val="8"/>
                <w:color w:val="auto"/>
              </w:rPr>
            </w:pPr>
          </w:p>
        </w:tc>
        <w:tc>
          <w:tcPr>
            <w:tcW w:w="2680" w:type="dxa"/>
            <w:vAlign w:val="bottom"/>
            <w:tcBorders>
              <w:right w:val="single" w:sz="8" w:color="B2B2B2"/>
            </w:tcBorders>
            <w:vMerge w:val="continue"/>
          </w:tcPr>
          <w:p>
            <w:pPr>
              <w:spacing w:after="0"/>
              <w:rPr>
                <w:sz w:val="8"/>
                <w:szCs w:val="8"/>
                <w:color w:val="auto"/>
              </w:rPr>
            </w:pPr>
          </w:p>
        </w:tc>
        <w:tc>
          <w:tcPr>
            <w:tcW w:w="1400" w:type="dxa"/>
            <w:vAlign w:val="bottom"/>
            <w:tcBorders>
              <w:right w:val="single" w:sz="8" w:color="B2B2B2"/>
            </w:tcBorders>
          </w:tcPr>
          <w:p>
            <w:pPr>
              <w:spacing w:after="0"/>
              <w:rPr>
                <w:sz w:val="8"/>
                <w:szCs w:val="8"/>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Organic “book of</w:t>
            </w:r>
          </w:p>
        </w:tc>
        <w:tc>
          <w:tcPr>
            <w:tcW w:w="780" w:type="dxa"/>
            <w:vAlign w:val="bottom"/>
            <w:tcBorders>
              <w:right w:val="single" w:sz="8" w:color="B2B2B2"/>
            </w:tcBorders>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320" w:type="dxa"/>
            <w:vAlign w:val="bottom"/>
            <w:tcBorders>
              <w:right w:val="single" w:sz="8" w:color="B2B2B2"/>
            </w:tcBorders>
          </w:tcPr>
          <w:p>
            <w:pPr>
              <w:spacing w:after="0"/>
              <w:rPr>
                <w:sz w:val="11"/>
                <w:szCs w:val="11"/>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year and subject to adjustment</w:t>
            </w:r>
          </w:p>
        </w:tc>
        <w:tc>
          <w:tcPr>
            <w:tcW w:w="1400" w:type="dxa"/>
            <w:vAlign w:val="bottom"/>
            <w:tcBorders>
              <w:right w:val="single" w:sz="8" w:color="B2B2B2"/>
            </w:tcBorders>
          </w:tcPr>
          <w:p>
            <w:pPr>
              <w:spacing w:after="0"/>
              <w:rPr>
                <w:sz w:val="11"/>
                <w:szCs w:val="11"/>
                <w:color w:val="auto"/>
              </w:rPr>
            </w:pPr>
          </w:p>
        </w:tc>
        <w:tc>
          <w:tcPr>
            <w:tcW w:w="1600" w:type="dxa"/>
            <w:vAlign w:val="bottom"/>
            <w:tcBorders>
              <w:right w:val="single" w:sz="8" w:color="B2B2B2"/>
            </w:tcBorders>
            <w:vMerge w:val="continue"/>
          </w:tcPr>
          <w:p>
            <w:pPr>
              <w:spacing w:after="0"/>
              <w:rPr>
                <w:sz w:val="11"/>
                <w:szCs w:val="11"/>
                <w:color w:val="auto"/>
              </w:rPr>
            </w:pPr>
          </w:p>
        </w:tc>
        <w:tc>
          <w:tcPr>
            <w:tcW w:w="780" w:type="dxa"/>
            <w:vAlign w:val="bottom"/>
            <w:tcBorders>
              <w:right w:val="single" w:sz="8" w:color="B2B2B2"/>
            </w:tcBorders>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320" w:type="dxa"/>
            <w:vAlign w:val="bottom"/>
            <w:tcBorders>
              <w:right w:val="single" w:sz="8" w:color="B2B2B2"/>
            </w:tcBorders>
          </w:tcPr>
          <w:p>
            <w:pPr>
              <w:spacing w:after="0"/>
              <w:rPr>
                <w:sz w:val="4"/>
                <w:szCs w:val="4"/>
                <w:color w:val="auto"/>
              </w:rPr>
            </w:pPr>
          </w:p>
        </w:tc>
        <w:tc>
          <w:tcPr>
            <w:tcW w:w="2680" w:type="dxa"/>
            <w:vAlign w:val="bottom"/>
            <w:tcBorders>
              <w:right w:val="single" w:sz="8" w:color="B2B2B2"/>
            </w:tcBorders>
            <w:vMerge w:val="continue"/>
          </w:tcPr>
          <w:p>
            <w:pPr>
              <w:spacing w:after="0"/>
              <w:rPr>
                <w:sz w:val="4"/>
                <w:szCs w:val="4"/>
                <w:color w:val="auto"/>
              </w:rPr>
            </w:pPr>
          </w:p>
        </w:tc>
        <w:tc>
          <w:tcPr>
            <w:tcW w:w="1400" w:type="dxa"/>
            <w:vAlign w:val="bottom"/>
            <w:tcBorders>
              <w:right w:val="single" w:sz="8" w:color="B2B2B2"/>
            </w:tcBorders>
          </w:tcPr>
          <w:p>
            <w:pPr>
              <w:spacing w:after="0"/>
              <w:rPr>
                <w:sz w:val="4"/>
                <w:szCs w:val="4"/>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business” based on</w:t>
            </w:r>
          </w:p>
        </w:tc>
        <w:tc>
          <w:tcPr>
            <w:tcW w:w="780" w:type="dxa"/>
            <w:vAlign w:val="bottom"/>
            <w:tcBorders>
              <w:right w:val="single" w:sz="8" w:color="B2B2B2"/>
            </w:tcBorders>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320" w:type="dxa"/>
            <w:vAlign w:val="bottom"/>
            <w:tcBorders>
              <w:right w:val="single" w:sz="8" w:color="B2B2B2"/>
            </w:tcBorders>
          </w:tcPr>
          <w:p>
            <w:pPr>
              <w:spacing w:after="0"/>
              <w:rPr>
                <w:sz w:val="11"/>
                <w:szCs w:val="11"/>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based on individual performance.</w:t>
            </w:r>
          </w:p>
        </w:tc>
        <w:tc>
          <w:tcPr>
            <w:tcW w:w="1400" w:type="dxa"/>
            <w:vAlign w:val="bottom"/>
            <w:tcBorders>
              <w:right w:val="single" w:sz="8" w:color="B2B2B2"/>
            </w:tcBorders>
          </w:tcPr>
          <w:p>
            <w:pPr>
              <w:spacing w:after="0"/>
              <w:rPr>
                <w:sz w:val="11"/>
                <w:szCs w:val="11"/>
                <w:color w:val="auto"/>
              </w:rPr>
            </w:pPr>
          </w:p>
        </w:tc>
        <w:tc>
          <w:tcPr>
            <w:tcW w:w="1600" w:type="dxa"/>
            <w:vAlign w:val="bottom"/>
            <w:tcBorders>
              <w:right w:val="single" w:sz="8" w:color="B2B2B2"/>
            </w:tcBorders>
            <w:vMerge w:val="continue"/>
          </w:tcPr>
          <w:p>
            <w:pPr>
              <w:spacing w:after="0"/>
              <w:rPr>
                <w:sz w:val="11"/>
                <w:szCs w:val="11"/>
                <w:color w:val="auto"/>
              </w:rPr>
            </w:pPr>
          </w:p>
        </w:tc>
        <w:tc>
          <w:tcPr>
            <w:tcW w:w="780" w:type="dxa"/>
            <w:vAlign w:val="bottom"/>
            <w:tcBorders>
              <w:right w:val="single" w:sz="8" w:color="B2B2B2"/>
            </w:tcBorders>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320" w:type="dxa"/>
            <w:vAlign w:val="bottom"/>
            <w:tcBorders>
              <w:right w:val="single" w:sz="8" w:color="B2B2B2"/>
            </w:tcBorders>
          </w:tcPr>
          <w:p>
            <w:pPr>
              <w:spacing w:after="0"/>
              <w:rPr>
                <w:sz w:val="6"/>
                <w:szCs w:val="6"/>
                <w:color w:val="auto"/>
              </w:rPr>
            </w:pPr>
          </w:p>
        </w:tc>
        <w:tc>
          <w:tcPr>
            <w:tcW w:w="2680" w:type="dxa"/>
            <w:vAlign w:val="bottom"/>
            <w:tcBorders>
              <w:right w:val="single" w:sz="8" w:color="B2B2B2"/>
            </w:tcBorders>
            <w:vMerge w:val="continue"/>
          </w:tcPr>
          <w:p>
            <w:pPr>
              <w:spacing w:after="0"/>
              <w:rPr>
                <w:sz w:val="6"/>
                <w:szCs w:val="6"/>
                <w:color w:val="auto"/>
              </w:rPr>
            </w:pPr>
          </w:p>
        </w:tc>
        <w:tc>
          <w:tcPr>
            <w:tcW w:w="1400" w:type="dxa"/>
            <w:vAlign w:val="bottom"/>
            <w:tcBorders>
              <w:right w:val="single" w:sz="8" w:color="B2B2B2"/>
            </w:tcBorders>
          </w:tcPr>
          <w:p>
            <w:pPr>
              <w:spacing w:after="0"/>
              <w:rPr>
                <w:sz w:val="6"/>
                <w:szCs w:val="6"/>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annualized contract</w:t>
            </w:r>
          </w:p>
        </w:tc>
        <w:tc>
          <w:tcPr>
            <w:tcW w:w="780" w:type="dxa"/>
            <w:vAlign w:val="bottom"/>
            <w:tcBorders>
              <w:right w:val="single" w:sz="8" w:color="B2B2B2"/>
            </w:tcBorders>
          </w:tcPr>
          <w:p>
            <w:pPr>
              <w:spacing w:after="0"/>
              <w:rPr>
                <w:sz w:val="6"/>
                <w:szCs w:val="6"/>
                <w:color w:val="auto"/>
              </w:rPr>
            </w:pPr>
          </w:p>
        </w:tc>
        <w:tc>
          <w:tcPr>
            <w:tcW w:w="2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320" w:type="dxa"/>
            <w:vAlign w:val="bottom"/>
            <w:tcBorders>
              <w:right w:val="single" w:sz="8" w:color="B2B2B2"/>
            </w:tcBorders>
          </w:tcPr>
          <w:p>
            <w:pPr>
              <w:spacing w:after="0"/>
              <w:rPr>
                <w:sz w:val="9"/>
                <w:szCs w:val="9"/>
                <w:color w:val="auto"/>
              </w:rPr>
            </w:pPr>
          </w:p>
        </w:tc>
        <w:tc>
          <w:tcPr>
            <w:tcW w:w="2680" w:type="dxa"/>
            <w:vAlign w:val="bottom"/>
            <w:tcBorders>
              <w:right w:val="single" w:sz="8" w:color="B2B2B2"/>
            </w:tcBorders>
          </w:tcPr>
          <w:p>
            <w:pPr>
              <w:spacing w:after="0"/>
              <w:rPr>
                <w:sz w:val="9"/>
                <w:szCs w:val="9"/>
                <w:color w:val="auto"/>
              </w:rPr>
            </w:pPr>
          </w:p>
        </w:tc>
        <w:tc>
          <w:tcPr>
            <w:tcW w:w="1400" w:type="dxa"/>
            <w:vAlign w:val="bottom"/>
            <w:tcBorders>
              <w:right w:val="single" w:sz="8" w:color="B2B2B2"/>
            </w:tcBorders>
          </w:tcPr>
          <w:p>
            <w:pPr>
              <w:spacing w:after="0"/>
              <w:rPr>
                <w:sz w:val="9"/>
                <w:szCs w:val="9"/>
                <w:color w:val="auto"/>
              </w:rPr>
            </w:pPr>
          </w:p>
        </w:tc>
        <w:tc>
          <w:tcPr>
            <w:tcW w:w="1600" w:type="dxa"/>
            <w:vAlign w:val="bottom"/>
            <w:tcBorders>
              <w:right w:val="single" w:sz="8" w:color="B2B2B2"/>
            </w:tcBorders>
            <w:vMerge w:val="continue"/>
          </w:tcPr>
          <w:p>
            <w:pPr>
              <w:spacing w:after="0"/>
              <w:rPr>
                <w:sz w:val="9"/>
                <w:szCs w:val="9"/>
                <w:color w:val="auto"/>
              </w:rPr>
            </w:pPr>
          </w:p>
        </w:tc>
        <w:tc>
          <w:tcPr>
            <w:tcW w:w="780" w:type="dxa"/>
            <w:vAlign w:val="bottom"/>
            <w:tcBorders>
              <w:right w:val="single" w:sz="8" w:color="B2B2B2"/>
            </w:tcBorders>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320" w:type="dxa"/>
            <w:vAlign w:val="bottom"/>
            <w:tcBorders>
              <w:right w:val="single" w:sz="8" w:color="B2B2B2"/>
            </w:tcBorders>
          </w:tcPr>
          <w:p>
            <w:pPr>
              <w:spacing w:after="0"/>
              <w:rPr>
                <w:sz w:val="18"/>
                <w:szCs w:val="18"/>
                <w:color w:val="auto"/>
              </w:rPr>
            </w:pPr>
          </w:p>
        </w:tc>
        <w:tc>
          <w:tcPr>
            <w:tcW w:w="2680" w:type="dxa"/>
            <w:vAlign w:val="bottom"/>
            <w:tcBorders>
              <w:right w:val="single" w:sz="8" w:color="B2B2B2"/>
            </w:tcBorders>
          </w:tcPr>
          <w:p>
            <w:pPr>
              <w:spacing w:after="0"/>
              <w:rPr>
                <w:sz w:val="18"/>
                <w:szCs w:val="18"/>
                <w:color w:val="auto"/>
              </w:rPr>
            </w:pPr>
          </w:p>
        </w:tc>
        <w:tc>
          <w:tcPr>
            <w:tcW w:w="1400" w:type="dxa"/>
            <w:vAlign w:val="bottom"/>
            <w:tcBorders>
              <w:right w:val="single" w:sz="8" w:color="B2B2B2"/>
            </w:tcBorders>
          </w:tcPr>
          <w:p>
            <w:pPr>
              <w:spacing w:after="0"/>
              <w:rPr>
                <w:sz w:val="18"/>
                <w:szCs w:val="18"/>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value (ACV) (1/3).</w:t>
            </w:r>
          </w:p>
        </w:tc>
        <w:tc>
          <w:tcPr>
            <w:tcW w:w="780" w:type="dxa"/>
            <w:vAlign w:val="bottom"/>
            <w:tcBorders>
              <w:right w:val="single" w:sz="8" w:color="B2B2B2"/>
            </w:tcBorders>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right w:val="single" w:sz="8" w:color="B2B2B2"/>
            </w:tcBorders>
          </w:tcPr>
          <w:p>
            <w:pPr>
              <w:spacing w:after="0"/>
              <w:rPr>
                <w:sz w:val="20"/>
                <w:szCs w:val="20"/>
                <w:color w:val="auto"/>
              </w:rPr>
            </w:pPr>
          </w:p>
        </w:tc>
        <w:tc>
          <w:tcPr>
            <w:tcW w:w="2680" w:type="dxa"/>
            <w:vAlign w:val="bottom"/>
            <w:tcBorders>
              <w:right w:val="single" w:sz="8" w:color="B2B2B2"/>
            </w:tcBorders>
          </w:tcPr>
          <w:p>
            <w:pPr>
              <w:spacing w:after="0"/>
              <w:rPr>
                <w:sz w:val="20"/>
                <w:szCs w:val="20"/>
                <w:color w:val="auto"/>
              </w:rPr>
            </w:pPr>
          </w:p>
        </w:tc>
        <w:tc>
          <w:tcPr>
            <w:tcW w:w="1400" w:type="dxa"/>
            <w:vAlign w:val="bottom"/>
            <w:tcBorders>
              <w:right w:val="single" w:sz="8" w:color="B2B2B2"/>
            </w:tcBorders>
          </w:tcPr>
          <w:p>
            <w:pPr>
              <w:spacing w:after="0"/>
              <w:rPr>
                <w:sz w:val="20"/>
                <w:szCs w:val="20"/>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To drive further</w:t>
            </w:r>
          </w:p>
        </w:tc>
        <w:tc>
          <w:tcPr>
            <w:tcW w:w="780" w:type="dxa"/>
            <w:vAlign w:val="bottom"/>
            <w:tcBorders>
              <w:right w:val="single" w:sz="8" w:color="B2B2B2"/>
            </w:tcBorders>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differentiation for</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performance,</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improve leader</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accountability, and</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support simplicity</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and transparency,</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payouts may be</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adjusted based on</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individual</w:t>
            </w: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20" w:type="dxa"/>
            <w:vAlign w:val="bottom"/>
            <w:tcBorders>
              <w:right w:val="single" w:sz="8" w:color="B2B2B2"/>
            </w:tcBorders>
          </w:tcPr>
          <w:p>
            <w:pPr>
              <w:spacing w:after="0"/>
              <w:rPr>
                <w:sz w:val="18"/>
                <w:szCs w:val="18"/>
                <w:color w:val="auto"/>
              </w:rPr>
            </w:pPr>
          </w:p>
        </w:tc>
        <w:tc>
          <w:tcPr>
            <w:tcW w:w="2680" w:type="dxa"/>
            <w:vAlign w:val="bottom"/>
            <w:tcBorders>
              <w:right w:val="single" w:sz="8" w:color="B2B2B2"/>
            </w:tcBorders>
          </w:tcPr>
          <w:p>
            <w:pPr>
              <w:spacing w:after="0"/>
              <w:rPr>
                <w:sz w:val="18"/>
                <w:szCs w:val="18"/>
                <w:color w:val="auto"/>
              </w:rPr>
            </w:pPr>
          </w:p>
        </w:tc>
        <w:tc>
          <w:tcPr>
            <w:tcW w:w="1400" w:type="dxa"/>
            <w:vAlign w:val="bottom"/>
            <w:tcBorders>
              <w:right w:val="single" w:sz="8" w:color="B2B2B2"/>
            </w:tcBorders>
          </w:tcPr>
          <w:p>
            <w:pPr>
              <w:spacing w:after="0"/>
              <w:rPr>
                <w:sz w:val="18"/>
                <w:szCs w:val="18"/>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performance.</w:t>
            </w:r>
          </w:p>
        </w:tc>
        <w:tc>
          <w:tcPr>
            <w:tcW w:w="780" w:type="dxa"/>
            <w:vAlign w:val="bottom"/>
            <w:tcBorders>
              <w:right w:val="single" w:sz="8" w:color="B2B2B2"/>
            </w:tcBorders>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320" w:type="dxa"/>
            <w:vAlign w:val="bottom"/>
            <w:tcBorders>
              <w:bottom w:val="single" w:sz="8" w:color="B2B2B2"/>
              <w:right w:val="single" w:sz="8" w:color="B2B2B2"/>
            </w:tcBorders>
          </w:tcPr>
          <w:p>
            <w:pPr>
              <w:spacing w:after="0"/>
              <w:rPr>
                <w:sz w:val="4"/>
                <w:szCs w:val="4"/>
                <w:color w:val="auto"/>
              </w:rPr>
            </w:pPr>
          </w:p>
        </w:tc>
        <w:tc>
          <w:tcPr>
            <w:tcW w:w="2680" w:type="dxa"/>
            <w:vAlign w:val="bottom"/>
            <w:tcBorders>
              <w:bottom w:val="single" w:sz="8" w:color="B2B2B2"/>
              <w:right w:val="single" w:sz="8" w:color="B2B2B2"/>
            </w:tcBorders>
          </w:tcPr>
          <w:p>
            <w:pPr>
              <w:spacing w:after="0"/>
              <w:rPr>
                <w:sz w:val="4"/>
                <w:szCs w:val="4"/>
                <w:color w:val="auto"/>
              </w:rPr>
            </w:pPr>
          </w:p>
        </w:tc>
        <w:tc>
          <w:tcPr>
            <w:tcW w:w="1400" w:type="dxa"/>
            <w:vAlign w:val="bottom"/>
            <w:tcBorders>
              <w:bottom w:val="single" w:sz="8" w:color="B2B2B2"/>
              <w:right w:val="single" w:sz="8" w:color="B2B2B2"/>
            </w:tcBorders>
          </w:tcPr>
          <w:p>
            <w:pPr>
              <w:spacing w:after="0"/>
              <w:rPr>
                <w:sz w:val="4"/>
                <w:szCs w:val="4"/>
                <w:color w:val="auto"/>
              </w:rPr>
            </w:pPr>
          </w:p>
        </w:tc>
        <w:tc>
          <w:tcPr>
            <w:tcW w:w="1600" w:type="dxa"/>
            <w:vAlign w:val="bottom"/>
            <w:tcBorders>
              <w:bottom w:val="single" w:sz="8" w:color="B2B2B2"/>
              <w:right w:val="single" w:sz="8" w:color="B2B2B2"/>
            </w:tcBorders>
          </w:tcPr>
          <w:p>
            <w:pPr>
              <w:spacing w:after="0"/>
              <w:rPr>
                <w:sz w:val="4"/>
                <w:szCs w:val="4"/>
                <w:color w:val="auto"/>
              </w:rPr>
            </w:pPr>
          </w:p>
        </w:tc>
        <w:tc>
          <w:tcPr>
            <w:tcW w:w="780" w:type="dxa"/>
            <w:vAlign w:val="bottom"/>
            <w:tcBorders>
              <w:bottom w:val="single" w:sz="8" w:color="B2B2B2"/>
              <w:right w:val="single" w:sz="8" w:color="B2B2B2"/>
            </w:tcBorders>
          </w:tcPr>
          <w:p>
            <w:pPr>
              <w:spacing w:after="0"/>
              <w:rPr>
                <w:sz w:val="4"/>
                <w:szCs w:val="4"/>
                <w:color w:val="auto"/>
              </w:rPr>
            </w:pPr>
          </w:p>
        </w:tc>
        <w:tc>
          <w:tcPr>
            <w:tcW w:w="214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3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Long-term incentive award</w:t>
            </w: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Grants of:</w:t>
            </w:r>
          </w:p>
        </w:tc>
        <w:tc>
          <w:tcPr>
            <w:tcW w:w="14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Primarily</w:t>
            </w: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Organic revenue</w:t>
            </w:r>
          </w:p>
        </w:tc>
        <w:tc>
          <w:tcPr>
            <w:tcW w:w="7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Equity</w:t>
            </w:r>
          </w:p>
        </w:tc>
        <w:tc>
          <w:tcPr>
            <w:tcW w:w="2140" w:type="dxa"/>
            <w:vAlign w:val="bottom"/>
          </w:tcPr>
          <w:p>
            <w:pPr>
              <w:ind w:left="60"/>
              <w:spacing w:after="0"/>
              <w:rPr>
                <w:sz w:val="20"/>
                <w:szCs w:val="20"/>
                <w:color w:val="auto"/>
              </w:rPr>
            </w:pPr>
            <w:r>
              <w:rPr>
                <w:rFonts w:ascii="Arial" w:cs="Arial" w:eastAsia="Arial" w:hAnsi="Arial"/>
                <w:sz w:val="16"/>
                <w:szCs w:val="16"/>
                <w:color w:val="auto"/>
              </w:rPr>
              <w:t>Commits executives to</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PRSUs (50%) that vest after</w:t>
            </w:r>
          </w:p>
        </w:tc>
        <w:tc>
          <w:tcPr>
            <w:tcW w:w="14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growth (50% of</w:t>
            </w: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delivering on our financial</w:t>
            </w: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based</w:t>
            </w: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PRSU financial</w:t>
            </w: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goals over the long term.</w:t>
            </w:r>
          </w:p>
        </w:tc>
        <w:tc>
          <w:tcPr>
            <w:tcW w:w="0" w:type="dxa"/>
            <w:vAlign w:val="bottom"/>
          </w:tcPr>
          <w:p>
            <w:pPr>
              <w:spacing w:after="0"/>
              <w:rPr>
                <w:sz w:val="1"/>
                <w:szCs w:val="1"/>
                <w:color w:val="auto"/>
              </w:rPr>
            </w:pPr>
          </w:p>
        </w:tc>
      </w:tr>
      <w:tr>
        <w:trPr>
          <w:trHeight w:val="120"/>
        </w:trPr>
        <w:tc>
          <w:tcPr>
            <w:tcW w:w="2320" w:type="dxa"/>
            <w:vAlign w:val="bottom"/>
            <w:tcBorders>
              <w:right w:val="single" w:sz="8" w:color="B2B2B2"/>
            </w:tcBorders>
          </w:tcPr>
          <w:p>
            <w:pPr>
              <w:spacing w:after="0"/>
              <w:rPr>
                <w:sz w:val="10"/>
                <w:szCs w:val="10"/>
                <w:color w:val="auto"/>
              </w:rPr>
            </w:pPr>
          </w:p>
        </w:tc>
        <w:tc>
          <w:tcPr>
            <w:tcW w:w="2680" w:type="dxa"/>
            <w:vAlign w:val="bottom"/>
            <w:tcBorders>
              <w:right w:val="single" w:sz="8" w:color="B2B2B2"/>
            </w:tcBorders>
            <w:vMerge w:val="restart"/>
          </w:tcPr>
          <w:p>
            <w:pPr>
              <w:ind w:left="280"/>
              <w:spacing w:after="0"/>
              <w:rPr>
                <w:sz w:val="20"/>
                <w:szCs w:val="20"/>
                <w:color w:val="auto"/>
              </w:rPr>
            </w:pPr>
            <w:r>
              <w:rPr>
                <w:rFonts w:ascii="Arial" w:cs="Arial" w:eastAsia="Arial" w:hAnsi="Arial"/>
                <w:sz w:val="16"/>
                <w:szCs w:val="16"/>
                <w:color w:val="auto"/>
              </w:rPr>
              <w:t>completion of a three-year</w:t>
            </w:r>
          </w:p>
        </w:tc>
        <w:tc>
          <w:tcPr>
            <w:tcW w:w="1400" w:type="dxa"/>
            <w:vAlign w:val="bottom"/>
            <w:tcBorders>
              <w:right w:val="single" w:sz="8" w:color="B2B2B2"/>
            </w:tcBorders>
            <w:vMerge w:val="continue"/>
          </w:tcPr>
          <w:p>
            <w:pPr>
              <w:spacing w:after="0"/>
              <w:rPr>
                <w:sz w:val="10"/>
                <w:szCs w:val="10"/>
                <w:color w:val="auto"/>
              </w:rPr>
            </w:pPr>
          </w:p>
        </w:tc>
        <w:tc>
          <w:tcPr>
            <w:tcW w:w="1600" w:type="dxa"/>
            <w:vAlign w:val="bottom"/>
            <w:tcBorders>
              <w:right w:val="single" w:sz="8" w:color="B2B2B2"/>
            </w:tcBorders>
            <w:vMerge w:val="continue"/>
          </w:tcPr>
          <w:p>
            <w:pPr>
              <w:spacing w:after="0"/>
              <w:rPr>
                <w:sz w:val="10"/>
                <w:szCs w:val="10"/>
                <w:color w:val="auto"/>
              </w:rPr>
            </w:pPr>
          </w:p>
        </w:tc>
        <w:tc>
          <w:tcPr>
            <w:tcW w:w="780" w:type="dxa"/>
            <w:vAlign w:val="bottom"/>
            <w:tcBorders>
              <w:right w:val="single" w:sz="8" w:color="B2B2B2"/>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metrics).</w:t>
            </w: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w w:val="99"/>
              </w:rPr>
              <w:t>Strongly links their pay to our</w:t>
            </w:r>
          </w:p>
        </w:tc>
        <w:tc>
          <w:tcPr>
            <w:tcW w:w="0" w:type="dxa"/>
            <w:vAlign w:val="bottom"/>
          </w:tcPr>
          <w:p>
            <w:pPr>
              <w:spacing w:after="0"/>
              <w:rPr>
                <w:sz w:val="1"/>
                <w:szCs w:val="1"/>
                <w:color w:val="auto"/>
              </w:rPr>
            </w:pPr>
          </w:p>
        </w:tc>
      </w:tr>
      <w:tr>
        <w:trPr>
          <w:trHeight w:val="120"/>
        </w:trPr>
        <w:tc>
          <w:tcPr>
            <w:tcW w:w="2320" w:type="dxa"/>
            <w:vAlign w:val="bottom"/>
            <w:tcBorders>
              <w:right w:val="single" w:sz="8" w:color="B2B2B2"/>
            </w:tcBorders>
          </w:tcPr>
          <w:p>
            <w:pPr>
              <w:spacing w:after="0"/>
              <w:rPr>
                <w:sz w:val="10"/>
                <w:szCs w:val="10"/>
                <w:color w:val="auto"/>
              </w:rPr>
            </w:pPr>
          </w:p>
        </w:tc>
        <w:tc>
          <w:tcPr>
            <w:tcW w:w="2680" w:type="dxa"/>
            <w:vAlign w:val="bottom"/>
            <w:tcBorders>
              <w:right w:val="single" w:sz="8" w:color="B2B2B2"/>
            </w:tcBorders>
            <w:vMerge w:val="restart"/>
          </w:tcPr>
          <w:p>
            <w:pPr>
              <w:ind w:left="280"/>
              <w:spacing w:after="0"/>
              <w:rPr>
                <w:sz w:val="20"/>
                <w:szCs w:val="20"/>
                <w:color w:val="auto"/>
              </w:rPr>
            </w:pPr>
            <w:r>
              <w:rPr>
                <w:rFonts w:ascii="Arial" w:cs="Arial" w:eastAsia="Arial" w:hAnsi="Arial"/>
                <w:sz w:val="16"/>
                <w:szCs w:val="16"/>
                <w:color w:val="auto"/>
              </w:rPr>
              <w:t>period, dependent on company</w:t>
            </w:r>
          </w:p>
        </w:tc>
        <w:tc>
          <w:tcPr>
            <w:tcW w:w="1400" w:type="dxa"/>
            <w:vAlign w:val="bottom"/>
            <w:tcBorders>
              <w:right w:val="single" w:sz="8" w:color="B2B2B2"/>
            </w:tcBorders>
          </w:tcPr>
          <w:p>
            <w:pPr>
              <w:spacing w:after="0"/>
              <w:rPr>
                <w:sz w:val="10"/>
                <w:szCs w:val="10"/>
                <w:color w:val="auto"/>
              </w:rPr>
            </w:pPr>
          </w:p>
        </w:tc>
        <w:tc>
          <w:tcPr>
            <w:tcW w:w="1600" w:type="dxa"/>
            <w:vAlign w:val="bottom"/>
            <w:tcBorders>
              <w:right w:val="single" w:sz="8" w:color="B2B2B2"/>
            </w:tcBorders>
            <w:vMerge w:val="continue"/>
          </w:tcPr>
          <w:p>
            <w:pPr>
              <w:spacing w:after="0"/>
              <w:rPr>
                <w:sz w:val="10"/>
                <w:szCs w:val="10"/>
                <w:color w:val="auto"/>
              </w:rPr>
            </w:pPr>
          </w:p>
        </w:tc>
        <w:tc>
          <w:tcPr>
            <w:tcW w:w="780" w:type="dxa"/>
            <w:vAlign w:val="bottom"/>
            <w:tcBorders>
              <w:right w:val="single" w:sz="8" w:color="B2B2B2"/>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share price and supports</w:t>
            </w:r>
          </w:p>
        </w:tc>
        <w:tc>
          <w:tcPr>
            <w:tcW w:w="0" w:type="dxa"/>
            <w:vAlign w:val="bottom"/>
          </w:tcPr>
          <w:p>
            <w:pPr>
              <w:spacing w:after="0"/>
              <w:rPr>
                <w:sz w:val="1"/>
                <w:szCs w:val="1"/>
                <w:color w:val="auto"/>
              </w:rPr>
            </w:pPr>
          </w:p>
        </w:tc>
      </w:tr>
      <w:tr>
        <w:trPr>
          <w:trHeight w:val="120"/>
        </w:trPr>
        <w:tc>
          <w:tcPr>
            <w:tcW w:w="2320" w:type="dxa"/>
            <w:vAlign w:val="bottom"/>
            <w:tcBorders>
              <w:right w:val="single" w:sz="8" w:color="B2B2B2"/>
            </w:tcBorders>
          </w:tcPr>
          <w:p>
            <w:pPr>
              <w:spacing w:after="0"/>
              <w:rPr>
                <w:sz w:val="10"/>
                <w:szCs w:val="10"/>
                <w:color w:val="auto"/>
              </w:rPr>
            </w:pPr>
          </w:p>
        </w:tc>
        <w:tc>
          <w:tcPr>
            <w:tcW w:w="2680" w:type="dxa"/>
            <w:vAlign w:val="bottom"/>
            <w:tcBorders>
              <w:right w:val="single" w:sz="8" w:color="B2B2B2"/>
            </w:tcBorders>
            <w:vMerge w:val="restart"/>
          </w:tcPr>
          <w:p>
            <w:pPr>
              <w:ind w:left="280"/>
              <w:spacing w:after="0"/>
              <w:rPr>
                <w:sz w:val="20"/>
                <w:szCs w:val="20"/>
                <w:color w:val="auto"/>
              </w:rPr>
            </w:pPr>
            <w:r>
              <w:rPr>
                <w:rFonts w:ascii="Arial" w:cs="Arial" w:eastAsia="Arial" w:hAnsi="Arial"/>
                <w:sz w:val="16"/>
                <w:szCs w:val="16"/>
                <w:color w:val="auto"/>
              </w:rPr>
              <w:t>performance against multi-year</w:t>
            </w:r>
          </w:p>
        </w:tc>
        <w:tc>
          <w:tcPr>
            <w:tcW w:w="1400" w:type="dxa"/>
            <w:vAlign w:val="bottom"/>
            <w:tcBorders>
              <w:right w:val="single" w:sz="8" w:color="B2B2B2"/>
            </w:tcBorders>
          </w:tcPr>
          <w:p>
            <w:pPr>
              <w:spacing w:after="0"/>
              <w:rPr>
                <w:sz w:val="10"/>
                <w:szCs w:val="10"/>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Free cash flow per</w:t>
            </w:r>
          </w:p>
        </w:tc>
        <w:tc>
          <w:tcPr>
            <w:tcW w:w="780" w:type="dxa"/>
            <w:vAlign w:val="bottom"/>
            <w:tcBorders>
              <w:right w:val="single" w:sz="8" w:color="B2B2B2"/>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vMerge w:val="continue"/>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retention objectives.</w:t>
            </w:r>
          </w:p>
        </w:tc>
        <w:tc>
          <w:tcPr>
            <w:tcW w:w="0" w:type="dxa"/>
            <w:vAlign w:val="bottom"/>
          </w:tcPr>
          <w:p>
            <w:pPr>
              <w:spacing w:after="0"/>
              <w:rPr>
                <w:sz w:val="1"/>
                <w:szCs w:val="1"/>
                <w:color w:val="auto"/>
              </w:rPr>
            </w:pPr>
          </w:p>
        </w:tc>
      </w:tr>
      <w:tr>
        <w:trPr>
          <w:trHeight w:val="144"/>
        </w:trPr>
        <w:tc>
          <w:tcPr>
            <w:tcW w:w="2320" w:type="dxa"/>
            <w:vAlign w:val="bottom"/>
            <w:tcBorders>
              <w:right w:val="single" w:sz="8" w:color="B2B2B2"/>
            </w:tcBorders>
          </w:tcPr>
          <w:p>
            <w:pPr>
              <w:spacing w:after="0"/>
              <w:rPr>
                <w:sz w:val="12"/>
                <w:szCs w:val="12"/>
                <w:color w:val="auto"/>
              </w:rPr>
            </w:pPr>
          </w:p>
        </w:tc>
        <w:tc>
          <w:tcPr>
            <w:tcW w:w="2680" w:type="dxa"/>
            <w:vAlign w:val="bottom"/>
            <w:tcBorders>
              <w:right w:val="single" w:sz="8" w:color="B2B2B2"/>
            </w:tcBorders>
            <w:vMerge w:val="restart"/>
          </w:tcPr>
          <w:p>
            <w:pPr>
              <w:ind w:left="280"/>
              <w:spacing w:after="0"/>
              <w:rPr>
                <w:sz w:val="20"/>
                <w:szCs w:val="20"/>
                <w:color w:val="auto"/>
              </w:rPr>
            </w:pPr>
            <w:r>
              <w:rPr>
                <w:rFonts w:ascii="Arial" w:cs="Arial" w:eastAsia="Arial" w:hAnsi="Arial"/>
                <w:sz w:val="16"/>
                <w:szCs w:val="16"/>
                <w:color w:val="auto"/>
              </w:rPr>
              <w:t>objective financial targets;</w:t>
            </w:r>
          </w:p>
        </w:tc>
        <w:tc>
          <w:tcPr>
            <w:tcW w:w="1400" w:type="dxa"/>
            <w:vAlign w:val="bottom"/>
            <w:tcBorders>
              <w:right w:val="single" w:sz="8" w:color="B2B2B2"/>
            </w:tcBorders>
          </w:tcPr>
          <w:p>
            <w:pPr>
              <w:spacing w:after="0"/>
              <w:rPr>
                <w:sz w:val="12"/>
                <w:szCs w:val="12"/>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share (50% of PRSU</w:t>
            </w:r>
          </w:p>
        </w:tc>
        <w:tc>
          <w:tcPr>
            <w:tcW w:w="780" w:type="dxa"/>
            <w:vAlign w:val="bottom"/>
            <w:tcBorders>
              <w:right w:val="single" w:sz="8" w:color="B2B2B2"/>
            </w:tcBorders>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320" w:type="dxa"/>
            <w:vAlign w:val="bottom"/>
            <w:tcBorders>
              <w:right w:val="single" w:sz="8" w:color="B2B2B2"/>
            </w:tcBorders>
          </w:tcPr>
          <w:p>
            <w:pPr>
              <w:spacing w:after="0"/>
              <w:rPr>
                <w:sz w:val="3"/>
                <w:szCs w:val="3"/>
                <w:color w:val="auto"/>
              </w:rPr>
            </w:pPr>
          </w:p>
        </w:tc>
        <w:tc>
          <w:tcPr>
            <w:tcW w:w="2680" w:type="dxa"/>
            <w:vAlign w:val="bottom"/>
            <w:tcBorders>
              <w:right w:val="single" w:sz="8" w:color="B2B2B2"/>
            </w:tcBorders>
            <w:vMerge w:val="continue"/>
          </w:tcPr>
          <w:p>
            <w:pPr>
              <w:spacing w:after="0"/>
              <w:rPr>
                <w:sz w:val="3"/>
                <w:szCs w:val="3"/>
                <w:color w:val="auto"/>
              </w:rPr>
            </w:pPr>
          </w:p>
        </w:tc>
        <w:tc>
          <w:tcPr>
            <w:tcW w:w="1400" w:type="dxa"/>
            <w:vAlign w:val="bottom"/>
            <w:tcBorders>
              <w:right w:val="single" w:sz="8" w:color="B2B2B2"/>
            </w:tcBorders>
          </w:tcPr>
          <w:p>
            <w:pPr>
              <w:spacing w:after="0"/>
              <w:rPr>
                <w:sz w:val="3"/>
                <w:szCs w:val="3"/>
                <w:color w:val="auto"/>
              </w:rPr>
            </w:pPr>
          </w:p>
        </w:tc>
        <w:tc>
          <w:tcPr>
            <w:tcW w:w="1600" w:type="dxa"/>
            <w:vAlign w:val="bottom"/>
            <w:tcBorders>
              <w:right w:val="single" w:sz="8" w:color="B2B2B2"/>
            </w:tcBorders>
            <w:vMerge w:val="continue"/>
          </w:tcPr>
          <w:p>
            <w:pPr>
              <w:spacing w:after="0"/>
              <w:rPr>
                <w:sz w:val="3"/>
                <w:szCs w:val="3"/>
                <w:color w:val="auto"/>
              </w:rPr>
            </w:pPr>
          </w:p>
        </w:tc>
        <w:tc>
          <w:tcPr>
            <w:tcW w:w="780" w:type="dxa"/>
            <w:vAlign w:val="bottom"/>
            <w:tcBorders>
              <w:right w:val="single" w:sz="8" w:color="B2B2B2"/>
            </w:tcBorders>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TRSUs (25%) that vest at the</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financial metrics).</w:t>
            </w: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Helps retain critical talent</w:t>
            </w: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and recognize superior</w:t>
            </w:r>
          </w:p>
        </w:tc>
        <w:tc>
          <w:tcPr>
            <w:tcW w:w="0" w:type="dxa"/>
            <w:vAlign w:val="bottom"/>
          </w:tcPr>
          <w:p>
            <w:pPr>
              <w:spacing w:after="0"/>
              <w:rPr>
                <w:sz w:val="1"/>
                <w:szCs w:val="1"/>
                <w:color w:val="auto"/>
              </w:rPr>
            </w:pPr>
          </w:p>
        </w:tc>
      </w:tr>
      <w:tr>
        <w:trPr>
          <w:trHeight w:val="120"/>
        </w:trPr>
        <w:tc>
          <w:tcPr>
            <w:tcW w:w="2320" w:type="dxa"/>
            <w:vAlign w:val="bottom"/>
            <w:tcBorders>
              <w:right w:val="single" w:sz="8" w:color="B2B2B2"/>
            </w:tcBorders>
          </w:tcPr>
          <w:p>
            <w:pPr>
              <w:spacing w:after="0"/>
              <w:rPr>
                <w:sz w:val="10"/>
                <w:szCs w:val="10"/>
                <w:color w:val="auto"/>
              </w:rPr>
            </w:pPr>
          </w:p>
        </w:tc>
        <w:tc>
          <w:tcPr>
            <w:tcW w:w="2680" w:type="dxa"/>
            <w:vAlign w:val="bottom"/>
            <w:tcBorders>
              <w:right w:val="single" w:sz="8" w:color="B2B2B2"/>
            </w:tcBorders>
            <w:vMerge w:val="restart"/>
          </w:tcPr>
          <w:p>
            <w:pPr>
              <w:ind w:left="260"/>
              <w:spacing w:after="0"/>
              <w:rPr>
                <w:sz w:val="20"/>
                <w:szCs w:val="20"/>
                <w:color w:val="auto"/>
              </w:rPr>
            </w:pPr>
            <w:r>
              <w:rPr>
                <w:rFonts w:ascii="Arial" w:cs="Arial" w:eastAsia="Arial" w:hAnsi="Arial"/>
                <w:sz w:val="16"/>
                <w:szCs w:val="16"/>
                <w:color w:val="auto"/>
              </w:rPr>
              <w:t>same time as PRSUs; and</w:t>
            </w:r>
          </w:p>
        </w:tc>
        <w:tc>
          <w:tcPr>
            <w:tcW w:w="1400" w:type="dxa"/>
            <w:vAlign w:val="bottom"/>
            <w:tcBorders>
              <w:right w:val="single" w:sz="8" w:color="B2B2B2"/>
            </w:tcBorders>
          </w:tcPr>
          <w:p>
            <w:pPr>
              <w:spacing w:after="0"/>
              <w:rPr>
                <w:sz w:val="10"/>
                <w:szCs w:val="10"/>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Value tied to share</w:t>
            </w:r>
          </w:p>
        </w:tc>
        <w:tc>
          <w:tcPr>
            <w:tcW w:w="780" w:type="dxa"/>
            <w:vAlign w:val="bottom"/>
            <w:tcBorders>
              <w:right w:val="single" w:sz="8" w:color="B2B2B2"/>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vMerge w:val="continue"/>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44"/>
        </w:trPr>
        <w:tc>
          <w:tcPr>
            <w:tcW w:w="2320" w:type="dxa"/>
            <w:vAlign w:val="bottom"/>
            <w:tcBorders>
              <w:right w:val="single" w:sz="8" w:color="B2B2B2"/>
            </w:tcBorders>
          </w:tcPr>
          <w:p>
            <w:pPr>
              <w:spacing w:after="0"/>
              <w:rPr>
                <w:sz w:val="12"/>
                <w:szCs w:val="12"/>
                <w:color w:val="auto"/>
              </w:rPr>
            </w:pPr>
          </w:p>
        </w:tc>
        <w:tc>
          <w:tcPr>
            <w:tcW w:w="268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Stock options (25%) with an</w:t>
            </w:r>
          </w:p>
        </w:tc>
        <w:tc>
          <w:tcPr>
            <w:tcW w:w="1400" w:type="dxa"/>
            <w:vAlign w:val="bottom"/>
            <w:tcBorders>
              <w:right w:val="single" w:sz="8" w:color="B2B2B2"/>
            </w:tcBorders>
          </w:tcPr>
          <w:p>
            <w:pPr>
              <w:spacing w:after="0"/>
              <w:rPr>
                <w:sz w:val="12"/>
                <w:szCs w:val="12"/>
                <w:color w:val="auto"/>
              </w:rPr>
            </w:pPr>
          </w:p>
        </w:tc>
        <w:tc>
          <w:tcPr>
            <w:tcW w:w="1600" w:type="dxa"/>
            <w:vAlign w:val="bottom"/>
            <w:tcBorders>
              <w:right w:val="single" w:sz="8" w:color="B2B2B2"/>
            </w:tcBorders>
            <w:vMerge w:val="restart"/>
          </w:tcPr>
          <w:p>
            <w:pPr>
              <w:ind w:left="60"/>
              <w:spacing w:after="0"/>
              <w:rPr>
                <w:sz w:val="20"/>
                <w:szCs w:val="20"/>
                <w:color w:val="auto"/>
              </w:rPr>
            </w:pPr>
            <w:r>
              <w:rPr>
                <w:rFonts w:ascii="Arial" w:cs="Arial" w:eastAsia="Arial" w:hAnsi="Arial"/>
                <w:sz w:val="16"/>
                <w:szCs w:val="16"/>
                <w:color w:val="auto"/>
              </w:rPr>
              <w:t>price performance.</w:t>
            </w:r>
          </w:p>
        </w:tc>
        <w:tc>
          <w:tcPr>
            <w:tcW w:w="780" w:type="dxa"/>
            <w:vAlign w:val="bottom"/>
            <w:tcBorders>
              <w:right w:val="single" w:sz="8" w:color="B2B2B2"/>
            </w:tcBorders>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vMerge w:val="continue"/>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Aligns their interests to</w:t>
            </w:r>
          </w:p>
        </w:tc>
        <w:tc>
          <w:tcPr>
            <w:tcW w:w="0" w:type="dxa"/>
            <w:vAlign w:val="bottom"/>
          </w:tcPr>
          <w:p>
            <w:pPr>
              <w:spacing w:after="0"/>
              <w:rPr>
                <w:sz w:val="1"/>
                <w:szCs w:val="1"/>
                <w:color w:val="auto"/>
              </w:rPr>
            </w:pPr>
          </w:p>
        </w:tc>
      </w:tr>
      <w:tr>
        <w:trPr>
          <w:trHeight w:val="43"/>
        </w:trPr>
        <w:tc>
          <w:tcPr>
            <w:tcW w:w="2320" w:type="dxa"/>
            <w:vAlign w:val="bottom"/>
            <w:tcBorders>
              <w:right w:val="single" w:sz="8" w:color="B2B2B2"/>
            </w:tcBorders>
          </w:tcPr>
          <w:p>
            <w:pPr>
              <w:spacing w:after="0"/>
              <w:rPr>
                <w:sz w:val="3"/>
                <w:szCs w:val="3"/>
                <w:color w:val="auto"/>
              </w:rPr>
            </w:pPr>
          </w:p>
        </w:tc>
        <w:tc>
          <w:tcPr>
            <w:tcW w:w="2680" w:type="dxa"/>
            <w:vAlign w:val="bottom"/>
            <w:tcBorders>
              <w:right w:val="single" w:sz="8" w:color="B2B2B2"/>
            </w:tcBorders>
            <w:vMerge w:val="continue"/>
          </w:tcPr>
          <w:p>
            <w:pPr>
              <w:spacing w:after="0"/>
              <w:rPr>
                <w:sz w:val="3"/>
                <w:szCs w:val="3"/>
                <w:color w:val="auto"/>
              </w:rPr>
            </w:pPr>
          </w:p>
        </w:tc>
        <w:tc>
          <w:tcPr>
            <w:tcW w:w="1400" w:type="dxa"/>
            <w:vAlign w:val="bottom"/>
            <w:tcBorders>
              <w:right w:val="single" w:sz="8" w:color="B2B2B2"/>
            </w:tcBorders>
          </w:tcPr>
          <w:p>
            <w:pPr>
              <w:spacing w:after="0"/>
              <w:rPr>
                <w:sz w:val="3"/>
                <w:szCs w:val="3"/>
                <w:color w:val="auto"/>
              </w:rPr>
            </w:pPr>
          </w:p>
        </w:tc>
        <w:tc>
          <w:tcPr>
            <w:tcW w:w="1600" w:type="dxa"/>
            <w:vAlign w:val="bottom"/>
            <w:tcBorders>
              <w:right w:val="single" w:sz="8" w:color="B2B2B2"/>
            </w:tcBorders>
          </w:tcPr>
          <w:p>
            <w:pPr>
              <w:spacing w:after="0"/>
              <w:rPr>
                <w:sz w:val="3"/>
                <w:szCs w:val="3"/>
                <w:color w:val="auto"/>
              </w:rPr>
            </w:pPr>
          </w:p>
        </w:tc>
        <w:tc>
          <w:tcPr>
            <w:tcW w:w="780" w:type="dxa"/>
            <w:vAlign w:val="bottom"/>
            <w:tcBorders>
              <w:right w:val="single" w:sz="8" w:color="B2B2B2"/>
            </w:tcBorders>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320" w:type="dxa"/>
            <w:vAlign w:val="bottom"/>
            <w:tcBorders>
              <w:right w:val="single" w:sz="8" w:color="B2B2B2"/>
            </w:tcBorders>
          </w:tcPr>
          <w:p>
            <w:pPr>
              <w:spacing w:after="0"/>
              <w:rPr>
                <w:sz w:val="10"/>
                <w:szCs w:val="10"/>
                <w:color w:val="auto"/>
              </w:rPr>
            </w:pPr>
          </w:p>
        </w:tc>
        <w:tc>
          <w:tcPr>
            <w:tcW w:w="2680" w:type="dxa"/>
            <w:vAlign w:val="bottom"/>
            <w:tcBorders>
              <w:right w:val="single" w:sz="8" w:color="B2B2B2"/>
            </w:tcBorders>
            <w:vMerge w:val="restart"/>
          </w:tcPr>
          <w:p>
            <w:pPr>
              <w:ind w:left="260"/>
              <w:spacing w:after="0"/>
              <w:rPr>
                <w:sz w:val="20"/>
                <w:szCs w:val="20"/>
                <w:color w:val="auto"/>
              </w:rPr>
            </w:pPr>
            <w:r>
              <w:rPr>
                <w:rFonts w:ascii="Arial" w:cs="Arial" w:eastAsia="Arial" w:hAnsi="Arial"/>
                <w:sz w:val="16"/>
                <w:szCs w:val="16"/>
                <w:color w:val="auto"/>
              </w:rPr>
              <w:t>exercise price equal to the</w:t>
            </w:r>
          </w:p>
        </w:tc>
        <w:tc>
          <w:tcPr>
            <w:tcW w:w="1400" w:type="dxa"/>
            <w:vAlign w:val="bottom"/>
            <w:tcBorders>
              <w:right w:val="single" w:sz="8" w:color="B2B2B2"/>
            </w:tcBorders>
          </w:tcPr>
          <w:p>
            <w:pPr>
              <w:spacing w:after="0"/>
              <w:rPr>
                <w:sz w:val="10"/>
                <w:szCs w:val="10"/>
                <w:color w:val="auto"/>
              </w:rPr>
            </w:pPr>
          </w:p>
        </w:tc>
        <w:tc>
          <w:tcPr>
            <w:tcW w:w="1600" w:type="dxa"/>
            <w:vAlign w:val="bottom"/>
            <w:tcBorders>
              <w:right w:val="single" w:sz="8" w:color="B2B2B2"/>
            </w:tcBorders>
          </w:tcPr>
          <w:p>
            <w:pPr>
              <w:spacing w:after="0"/>
              <w:rPr>
                <w:sz w:val="10"/>
                <w:szCs w:val="10"/>
                <w:color w:val="auto"/>
              </w:rPr>
            </w:pPr>
          </w:p>
        </w:tc>
        <w:tc>
          <w:tcPr>
            <w:tcW w:w="780" w:type="dxa"/>
            <w:vAlign w:val="bottom"/>
            <w:tcBorders>
              <w:right w:val="single" w:sz="8" w:color="B2B2B2"/>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320" w:type="dxa"/>
            <w:vAlign w:val="bottom"/>
            <w:tcBorders>
              <w:right w:val="single" w:sz="8" w:color="B2B2B2"/>
            </w:tcBorders>
          </w:tcPr>
          <w:p>
            <w:pPr>
              <w:spacing w:after="0"/>
              <w:rPr>
                <w:sz w:val="5"/>
                <w:szCs w:val="5"/>
                <w:color w:val="auto"/>
              </w:rPr>
            </w:pPr>
          </w:p>
        </w:tc>
        <w:tc>
          <w:tcPr>
            <w:tcW w:w="2680" w:type="dxa"/>
            <w:vAlign w:val="bottom"/>
            <w:tcBorders>
              <w:right w:val="single" w:sz="8" w:color="B2B2B2"/>
            </w:tcBorders>
            <w:vMerge w:val="continue"/>
          </w:tcPr>
          <w:p>
            <w:pPr>
              <w:spacing w:after="0"/>
              <w:rPr>
                <w:sz w:val="5"/>
                <w:szCs w:val="5"/>
                <w:color w:val="auto"/>
              </w:rPr>
            </w:pPr>
          </w:p>
        </w:tc>
        <w:tc>
          <w:tcPr>
            <w:tcW w:w="1400" w:type="dxa"/>
            <w:vAlign w:val="bottom"/>
            <w:tcBorders>
              <w:right w:val="single" w:sz="8" w:color="B2B2B2"/>
            </w:tcBorders>
          </w:tcPr>
          <w:p>
            <w:pPr>
              <w:spacing w:after="0"/>
              <w:rPr>
                <w:sz w:val="5"/>
                <w:szCs w:val="5"/>
                <w:color w:val="auto"/>
              </w:rPr>
            </w:pPr>
          </w:p>
        </w:tc>
        <w:tc>
          <w:tcPr>
            <w:tcW w:w="1600" w:type="dxa"/>
            <w:vAlign w:val="bottom"/>
            <w:tcBorders>
              <w:right w:val="single" w:sz="8" w:color="B2B2B2"/>
            </w:tcBorders>
          </w:tcPr>
          <w:p>
            <w:pPr>
              <w:spacing w:after="0"/>
              <w:rPr>
                <w:sz w:val="5"/>
                <w:szCs w:val="5"/>
                <w:color w:val="auto"/>
              </w:rPr>
            </w:pPr>
          </w:p>
        </w:tc>
        <w:tc>
          <w:tcPr>
            <w:tcW w:w="780" w:type="dxa"/>
            <w:vAlign w:val="bottom"/>
            <w:tcBorders>
              <w:right w:val="single" w:sz="8" w:color="B2B2B2"/>
            </w:tcBorders>
          </w:tcPr>
          <w:p>
            <w:pPr>
              <w:spacing w:after="0"/>
              <w:rPr>
                <w:sz w:val="5"/>
                <w:szCs w:val="5"/>
                <w:color w:val="auto"/>
              </w:rPr>
            </w:pP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shareholder interests.</w:t>
            </w:r>
          </w:p>
        </w:tc>
        <w:tc>
          <w:tcPr>
            <w:tcW w:w="0" w:type="dxa"/>
            <w:vAlign w:val="bottom"/>
          </w:tcPr>
          <w:p>
            <w:pPr>
              <w:spacing w:after="0"/>
              <w:rPr>
                <w:sz w:val="1"/>
                <w:szCs w:val="1"/>
                <w:color w:val="auto"/>
              </w:rPr>
            </w:pPr>
          </w:p>
        </w:tc>
      </w:tr>
      <w:tr>
        <w:trPr>
          <w:trHeight w:val="144"/>
        </w:trPr>
        <w:tc>
          <w:tcPr>
            <w:tcW w:w="2320" w:type="dxa"/>
            <w:vAlign w:val="bottom"/>
            <w:tcBorders>
              <w:right w:val="single" w:sz="8" w:color="B2B2B2"/>
            </w:tcBorders>
          </w:tcPr>
          <w:p>
            <w:pPr>
              <w:spacing w:after="0"/>
              <w:rPr>
                <w:sz w:val="12"/>
                <w:szCs w:val="12"/>
                <w:color w:val="auto"/>
              </w:rPr>
            </w:pPr>
          </w:p>
        </w:tc>
        <w:tc>
          <w:tcPr>
            <w:tcW w:w="2680" w:type="dxa"/>
            <w:vAlign w:val="bottom"/>
            <w:tcBorders>
              <w:right w:val="single" w:sz="8" w:color="B2B2B2"/>
            </w:tcBorders>
            <w:vMerge w:val="restart"/>
          </w:tcPr>
          <w:p>
            <w:pPr>
              <w:ind w:left="260"/>
              <w:spacing w:after="0"/>
              <w:rPr>
                <w:sz w:val="20"/>
                <w:szCs w:val="20"/>
                <w:color w:val="auto"/>
              </w:rPr>
            </w:pPr>
            <w:r>
              <w:rPr>
                <w:rFonts w:ascii="Arial" w:cs="Arial" w:eastAsia="Arial" w:hAnsi="Arial"/>
                <w:sz w:val="16"/>
                <w:szCs w:val="16"/>
                <w:color w:val="auto"/>
              </w:rPr>
              <w:t>closing price of our shares on the</w:t>
            </w:r>
          </w:p>
        </w:tc>
        <w:tc>
          <w:tcPr>
            <w:tcW w:w="1400" w:type="dxa"/>
            <w:vAlign w:val="bottom"/>
            <w:tcBorders>
              <w:right w:val="single" w:sz="8" w:color="B2B2B2"/>
            </w:tcBorders>
          </w:tcPr>
          <w:p>
            <w:pPr>
              <w:spacing w:after="0"/>
              <w:rPr>
                <w:sz w:val="12"/>
                <w:szCs w:val="12"/>
                <w:color w:val="auto"/>
              </w:rPr>
            </w:pPr>
          </w:p>
        </w:tc>
        <w:tc>
          <w:tcPr>
            <w:tcW w:w="1600" w:type="dxa"/>
            <w:vAlign w:val="bottom"/>
            <w:tcBorders>
              <w:right w:val="single" w:sz="8" w:color="B2B2B2"/>
            </w:tcBorders>
          </w:tcPr>
          <w:p>
            <w:pPr>
              <w:spacing w:after="0"/>
              <w:rPr>
                <w:sz w:val="12"/>
                <w:szCs w:val="12"/>
                <w:color w:val="auto"/>
              </w:rPr>
            </w:pPr>
          </w:p>
        </w:tc>
        <w:tc>
          <w:tcPr>
            <w:tcW w:w="780" w:type="dxa"/>
            <w:vAlign w:val="bottom"/>
            <w:tcBorders>
              <w:right w:val="single" w:sz="8" w:color="B2B2B2"/>
            </w:tcBorders>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2320" w:type="dxa"/>
            <w:vAlign w:val="bottom"/>
            <w:tcBorders>
              <w:right w:val="single" w:sz="8" w:color="B2B2B2"/>
            </w:tcBorders>
          </w:tcPr>
          <w:p>
            <w:pPr>
              <w:spacing w:after="0"/>
              <w:rPr>
                <w:sz w:val="3"/>
                <w:szCs w:val="3"/>
                <w:color w:val="auto"/>
              </w:rPr>
            </w:pPr>
          </w:p>
        </w:tc>
        <w:tc>
          <w:tcPr>
            <w:tcW w:w="2680" w:type="dxa"/>
            <w:vAlign w:val="bottom"/>
            <w:tcBorders>
              <w:right w:val="single" w:sz="8" w:color="B2B2B2"/>
            </w:tcBorders>
            <w:vMerge w:val="continue"/>
          </w:tcPr>
          <w:p>
            <w:pPr>
              <w:spacing w:after="0"/>
              <w:rPr>
                <w:sz w:val="3"/>
                <w:szCs w:val="3"/>
                <w:color w:val="auto"/>
              </w:rPr>
            </w:pPr>
          </w:p>
        </w:tc>
        <w:tc>
          <w:tcPr>
            <w:tcW w:w="1400" w:type="dxa"/>
            <w:vAlign w:val="bottom"/>
            <w:tcBorders>
              <w:right w:val="single" w:sz="8" w:color="B2B2B2"/>
            </w:tcBorders>
          </w:tcPr>
          <w:p>
            <w:pPr>
              <w:spacing w:after="0"/>
              <w:rPr>
                <w:sz w:val="3"/>
                <w:szCs w:val="3"/>
                <w:color w:val="auto"/>
              </w:rPr>
            </w:pPr>
          </w:p>
        </w:tc>
        <w:tc>
          <w:tcPr>
            <w:tcW w:w="1600" w:type="dxa"/>
            <w:vAlign w:val="bottom"/>
            <w:tcBorders>
              <w:right w:val="single" w:sz="8" w:color="B2B2B2"/>
            </w:tcBorders>
          </w:tcPr>
          <w:p>
            <w:pPr>
              <w:spacing w:after="0"/>
              <w:rPr>
                <w:sz w:val="3"/>
                <w:szCs w:val="3"/>
                <w:color w:val="auto"/>
              </w:rPr>
            </w:pPr>
          </w:p>
        </w:tc>
        <w:tc>
          <w:tcPr>
            <w:tcW w:w="780" w:type="dxa"/>
            <w:vAlign w:val="bottom"/>
            <w:tcBorders>
              <w:right w:val="single" w:sz="8" w:color="B2B2B2"/>
            </w:tcBorders>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260"/>
              <w:spacing w:after="0"/>
              <w:rPr>
                <w:sz w:val="20"/>
                <w:szCs w:val="20"/>
                <w:color w:val="auto"/>
              </w:rPr>
            </w:pPr>
            <w:r>
              <w:rPr>
                <w:rFonts w:ascii="Arial" w:cs="Arial" w:eastAsia="Arial" w:hAnsi="Arial"/>
                <w:sz w:val="16"/>
                <w:szCs w:val="16"/>
                <w:color w:val="auto"/>
              </w:rPr>
              <w:t>Nasdaq on the trading day</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260"/>
              <w:spacing w:after="0"/>
              <w:rPr>
                <w:sz w:val="20"/>
                <w:szCs w:val="20"/>
                <w:color w:val="auto"/>
              </w:rPr>
            </w:pPr>
            <w:r>
              <w:rPr>
                <w:rFonts w:ascii="Arial" w:cs="Arial" w:eastAsia="Arial" w:hAnsi="Arial"/>
                <w:sz w:val="16"/>
                <w:szCs w:val="16"/>
                <w:color w:val="auto"/>
              </w:rPr>
              <w:t>immediately preceding the date</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260"/>
              <w:spacing w:after="0"/>
              <w:rPr>
                <w:sz w:val="20"/>
                <w:szCs w:val="20"/>
                <w:color w:val="auto"/>
              </w:rPr>
            </w:pPr>
            <w:r>
              <w:rPr>
                <w:rFonts w:ascii="Arial" w:cs="Arial" w:eastAsia="Arial" w:hAnsi="Arial"/>
                <w:sz w:val="16"/>
                <w:szCs w:val="16"/>
                <w:color w:val="auto"/>
              </w:rPr>
              <w:t>of the grant; options are subject</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20" w:type="dxa"/>
            <w:vAlign w:val="bottom"/>
            <w:tcBorders>
              <w:right w:val="single" w:sz="8" w:color="B2B2B2"/>
            </w:tcBorders>
          </w:tcPr>
          <w:p>
            <w:pPr>
              <w:spacing w:after="0"/>
              <w:rPr>
                <w:sz w:val="18"/>
                <w:szCs w:val="18"/>
                <w:color w:val="auto"/>
              </w:rPr>
            </w:pPr>
          </w:p>
        </w:tc>
        <w:tc>
          <w:tcPr>
            <w:tcW w:w="2680" w:type="dxa"/>
            <w:vAlign w:val="bottom"/>
            <w:tcBorders>
              <w:right w:val="single" w:sz="8" w:color="B2B2B2"/>
            </w:tcBorders>
          </w:tcPr>
          <w:p>
            <w:pPr>
              <w:ind w:left="260"/>
              <w:spacing w:after="0"/>
              <w:rPr>
                <w:sz w:val="20"/>
                <w:szCs w:val="20"/>
                <w:color w:val="auto"/>
              </w:rPr>
            </w:pPr>
            <w:r>
              <w:rPr>
                <w:rFonts w:ascii="Arial" w:cs="Arial" w:eastAsia="Arial" w:hAnsi="Arial"/>
                <w:sz w:val="16"/>
                <w:szCs w:val="16"/>
                <w:color w:val="auto"/>
              </w:rPr>
              <w:t>to time vesting conditions</w:t>
            </w:r>
          </w:p>
        </w:tc>
        <w:tc>
          <w:tcPr>
            <w:tcW w:w="1400" w:type="dxa"/>
            <w:vAlign w:val="bottom"/>
            <w:tcBorders>
              <w:right w:val="single" w:sz="8" w:color="B2B2B2"/>
            </w:tcBorders>
          </w:tcPr>
          <w:p>
            <w:pPr>
              <w:spacing w:after="0"/>
              <w:rPr>
                <w:sz w:val="18"/>
                <w:szCs w:val="18"/>
                <w:color w:val="auto"/>
              </w:rPr>
            </w:pPr>
          </w:p>
        </w:tc>
        <w:tc>
          <w:tcPr>
            <w:tcW w:w="16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320" w:type="dxa"/>
            <w:vAlign w:val="bottom"/>
            <w:tcBorders>
              <w:bottom w:val="single" w:sz="8" w:color="B2B2B2"/>
              <w:right w:val="single" w:sz="8" w:color="B2B2B2"/>
            </w:tcBorders>
          </w:tcPr>
          <w:p>
            <w:pPr>
              <w:spacing w:after="0"/>
              <w:rPr>
                <w:sz w:val="3"/>
                <w:szCs w:val="3"/>
                <w:color w:val="auto"/>
              </w:rPr>
            </w:pPr>
          </w:p>
        </w:tc>
        <w:tc>
          <w:tcPr>
            <w:tcW w:w="2680" w:type="dxa"/>
            <w:vAlign w:val="bottom"/>
            <w:tcBorders>
              <w:bottom w:val="single" w:sz="8" w:color="B2B2B2"/>
              <w:right w:val="single" w:sz="8" w:color="B2B2B2"/>
            </w:tcBorders>
          </w:tcPr>
          <w:p>
            <w:pPr>
              <w:spacing w:after="0"/>
              <w:rPr>
                <w:sz w:val="3"/>
                <w:szCs w:val="3"/>
                <w:color w:val="auto"/>
              </w:rPr>
            </w:pPr>
          </w:p>
        </w:tc>
        <w:tc>
          <w:tcPr>
            <w:tcW w:w="1400" w:type="dxa"/>
            <w:vAlign w:val="bottom"/>
            <w:tcBorders>
              <w:bottom w:val="single" w:sz="8" w:color="B2B2B2"/>
              <w:right w:val="single" w:sz="8" w:color="B2B2B2"/>
            </w:tcBorders>
          </w:tcPr>
          <w:p>
            <w:pPr>
              <w:spacing w:after="0"/>
              <w:rPr>
                <w:sz w:val="3"/>
                <w:szCs w:val="3"/>
                <w:color w:val="auto"/>
              </w:rPr>
            </w:pPr>
          </w:p>
        </w:tc>
        <w:tc>
          <w:tcPr>
            <w:tcW w:w="1600" w:type="dxa"/>
            <w:vAlign w:val="bottom"/>
            <w:tcBorders>
              <w:bottom w:val="single" w:sz="8" w:color="B2B2B2"/>
              <w:right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21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Retirement and health and</w:t>
            </w: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Savings and deferred compensation</w:t>
            </w:r>
          </w:p>
        </w:tc>
        <w:tc>
          <w:tcPr>
            <w:tcW w:w="1400" w:type="dxa"/>
            <w:vAlign w:val="bottom"/>
            <w:tcBorders>
              <w:right w:val="single" w:sz="8" w:color="B2B2B2"/>
            </w:tcBorders>
          </w:tcPr>
          <w:p>
            <w:pPr>
              <w:spacing w:after="0"/>
              <w:rPr>
                <w:sz w:val="19"/>
                <w:szCs w:val="19"/>
                <w:color w:val="auto"/>
              </w:rPr>
            </w:pPr>
          </w:p>
        </w:tc>
        <w:tc>
          <w:tcPr>
            <w:tcW w:w="1600" w:type="dxa"/>
            <w:vAlign w:val="bottom"/>
            <w:tcBorders>
              <w:right w:val="single" w:sz="8" w:color="B2B2B2"/>
            </w:tcBorders>
          </w:tcPr>
          <w:p>
            <w:pPr>
              <w:spacing w:after="0"/>
              <w:rPr>
                <w:sz w:val="19"/>
                <w:szCs w:val="19"/>
                <w:color w:val="auto"/>
              </w:rPr>
            </w:pPr>
          </w:p>
        </w:tc>
        <w:tc>
          <w:tcPr>
            <w:tcW w:w="7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Various</w:t>
            </w:r>
          </w:p>
        </w:tc>
        <w:tc>
          <w:tcPr>
            <w:tcW w:w="2140" w:type="dxa"/>
            <w:vAlign w:val="bottom"/>
          </w:tcPr>
          <w:p>
            <w:pPr>
              <w:ind w:left="60"/>
              <w:spacing w:after="0"/>
              <w:rPr>
                <w:sz w:val="20"/>
                <w:szCs w:val="20"/>
                <w:color w:val="auto"/>
              </w:rPr>
            </w:pPr>
            <w:r>
              <w:rPr>
                <w:rFonts w:ascii="Arial" w:cs="Arial" w:eastAsia="Arial" w:hAnsi="Arial"/>
                <w:sz w:val="16"/>
                <w:szCs w:val="16"/>
                <w:color w:val="auto"/>
              </w:rPr>
              <w:t>Most of these programs are</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welfare-related benefits</w:t>
            </w: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plans, life and disability insurance,</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broad-based employee</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group medical and dental.</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programs, consistent with</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customary market practice</w:t>
            </w:r>
          </w:p>
        </w:tc>
        <w:tc>
          <w:tcPr>
            <w:tcW w:w="0" w:type="dxa"/>
            <w:vAlign w:val="bottom"/>
          </w:tcPr>
          <w:p>
            <w:pPr>
              <w:spacing w:after="0"/>
              <w:rPr>
                <w:sz w:val="1"/>
                <w:szCs w:val="1"/>
                <w:color w:val="auto"/>
              </w:rPr>
            </w:pPr>
          </w:p>
        </w:tc>
      </w:tr>
      <w:tr>
        <w:trPr>
          <w:trHeight w:val="211"/>
        </w:trPr>
        <w:tc>
          <w:tcPr>
            <w:tcW w:w="2320" w:type="dxa"/>
            <w:vAlign w:val="bottom"/>
            <w:tcBorders>
              <w:right w:val="single" w:sz="8" w:color="B2B2B2"/>
            </w:tcBorders>
          </w:tcPr>
          <w:p>
            <w:pPr>
              <w:spacing w:after="0"/>
              <w:rPr>
                <w:sz w:val="18"/>
                <w:szCs w:val="18"/>
                <w:color w:val="auto"/>
              </w:rPr>
            </w:pPr>
          </w:p>
        </w:tc>
        <w:tc>
          <w:tcPr>
            <w:tcW w:w="2680" w:type="dxa"/>
            <w:vAlign w:val="bottom"/>
            <w:tcBorders>
              <w:right w:val="single" w:sz="8" w:color="B2B2B2"/>
            </w:tcBorders>
          </w:tcPr>
          <w:p>
            <w:pPr>
              <w:spacing w:after="0"/>
              <w:rPr>
                <w:sz w:val="18"/>
                <w:szCs w:val="18"/>
                <w:color w:val="auto"/>
              </w:rPr>
            </w:pPr>
          </w:p>
        </w:tc>
        <w:tc>
          <w:tcPr>
            <w:tcW w:w="1400" w:type="dxa"/>
            <w:vAlign w:val="bottom"/>
            <w:tcBorders>
              <w:right w:val="single" w:sz="8" w:color="B2B2B2"/>
            </w:tcBorders>
          </w:tcPr>
          <w:p>
            <w:pPr>
              <w:spacing w:after="0"/>
              <w:rPr>
                <w:sz w:val="18"/>
                <w:szCs w:val="18"/>
                <w:color w:val="auto"/>
              </w:rPr>
            </w:pPr>
          </w:p>
        </w:tc>
        <w:tc>
          <w:tcPr>
            <w:tcW w:w="1600" w:type="dxa"/>
            <w:vAlign w:val="bottom"/>
            <w:tcBorders>
              <w:right w:val="single" w:sz="8" w:color="B2B2B2"/>
            </w:tcBorders>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and competitive factors.</w:t>
            </w:r>
          </w:p>
        </w:tc>
        <w:tc>
          <w:tcPr>
            <w:tcW w:w="0" w:type="dxa"/>
            <w:vAlign w:val="bottom"/>
          </w:tcPr>
          <w:p>
            <w:pPr>
              <w:spacing w:after="0"/>
              <w:rPr>
                <w:sz w:val="1"/>
                <w:szCs w:val="1"/>
                <w:color w:val="auto"/>
              </w:rPr>
            </w:pPr>
          </w:p>
        </w:tc>
      </w:tr>
      <w:tr>
        <w:trPr>
          <w:trHeight w:val="44"/>
        </w:trPr>
        <w:tc>
          <w:tcPr>
            <w:tcW w:w="2320" w:type="dxa"/>
            <w:vAlign w:val="bottom"/>
            <w:tcBorders>
              <w:bottom w:val="single" w:sz="8" w:color="B2B2B2"/>
              <w:right w:val="single" w:sz="8" w:color="B2B2B2"/>
            </w:tcBorders>
          </w:tcPr>
          <w:p>
            <w:pPr>
              <w:spacing w:after="0"/>
              <w:rPr>
                <w:sz w:val="3"/>
                <w:szCs w:val="3"/>
                <w:color w:val="auto"/>
              </w:rPr>
            </w:pPr>
          </w:p>
        </w:tc>
        <w:tc>
          <w:tcPr>
            <w:tcW w:w="2680" w:type="dxa"/>
            <w:vAlign w:val="bottom"/>
            <w:tcBorders>
              <w:bottom w:val="single" w:sz="8" w:color="B2B2B2"/>
              <w:right w:val="single" w:sz="8" w:color="B2B2B2"/>
            </w:tcBorders>
          </w:tcPr>
          <w:p>
            <w:pPr>
              <w:spacing w:after="0"/>
              <w:rPr>
                <w:sz w:val="3"/>
                <w:szCs w:val="3"/>
                <w:color w:val="auto"/>
              </w:rPr>
            </w:pPr>
          </w:p>
        </w:tc>
        <w:tc>
          <w:tcPr>
            <w:tcW w:w="1400" w:type="dxa"/>
            <w:vAlign w:val="bottom"/>
            <w:tcBorders>
              <w:bottom w:val="single" w:sz="8" w:color="B2B2B2"/>
              <w:right w:val="single" w:sz="8" w:color="B2B2B2"/>
            </w:tcBorders>
          </w:tcPr>
          <w:p>
            <w:pPr>
              <w:spacing w:after="0"/>
              <w:rPr>
                <w:sz w:val="3"/>
                <w:szCs w:val="3"/>
                <w:color w:val="auto"/>
              </w:rPr>
            </w:pPr>
          </w:p>
        </w:tc>
        <w:tc>
          <w:tcPr>
            <w:tcW w:w="1600" w:type="dxa"/>
            <w:vAlign w:val="bottom"/>
            <w:tcBorders>
              <w:bottom w:val="single" w:sz="8" w:color="B2B2B2"/>
              <w:right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2140" w:type="dxa"/>
            <w:vAlign w:val="bottom"/>
            <w:tcBorders>
              <w:bottom w:val="single" w:sz="8" w:color="B2B2B2"/>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3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Perquisites and other</w:t>
            </w: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Limited and includes</w:t>
            </w:r>
          </w:p>
        </w:tc>
        <w:tc>
          <w:tcPr>
            <w:tcW w:w="1400" w:type="dxa"/>
            <w:vAlign w:val="bottom"/>
            <w:tcBorders>
              <w:right w:val="single" w:sz="8" w:color="B2B2B2"/>
            </w:tcBorders>
          </w:tcPr>
          <w:p>
            <w:pPr>
              <w:spacing w:after="0"/>
              <w:rPr>
                <w:sz w:val="19"/>
                <w:szCs w:val="19"/>
                <w:color w:val="auto"/>
              </w:rPr>
            </w:pPr>
          </w:p>
        </w:tc>
        <w:tc>
          <w:tcPr>
            <w:tcW w:w="1600" w:type="dxa"/>
            <w:vAlign w:val="bottom"/>
            <w:tcBorders>
              <w:right w:val="single" w:sz="8" w:color="B2B2B2"/>
            </w:tcBorders>
          </w:tcPr>
          <w:p>
            <w:pPr>
              <w:spacing w:after="0"/>
              <w:rPr>
                <w:sz w:val="19"/>
                <w:szCs w:val="19"/>
                <w:color w:val="auto"/>
              </w:rPr>
            </w:pPr>
          </w:p>
        </w:tc>
        <w:tc>
          <w:tcPr>
            <w:tcW w:w="7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Various</w:t>
            </w:r>
          </w:p>
        </w:tc>
        <w:tc>
          <w:tcPr>
            <w:tcW w:w="2140" w:type="dxa"/>
            <w:vAlign w:val="bottom"/>
          </w:tcPr>
          <w:p>
            <w:pPr>
              <w:ind w:left="60"/>
              <w:spacing w:after="0"/>
              <w:rPr>
                <w:sz w:val="20"/>
                <w:szCs w:val="20"/>
                <w:color w:val="auto"/>
              </w:rPr>
            </w:pPr>
            <w:r>
              <w:rPr>
                <w:rFonts w:ascii="Arial" w:cs="Arial" w:eastAsia="Arial" w:hAnsi="Arial"/>
                <w:sz w:val="16"/>
                <w:szCs w:val="16"/>
                <w:color w:val="auto"/>
              </w:rPr>
              <w:t>Encourages maintenance of</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personal benefits</w:t>
            </w: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executive physicals and tax and</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health and sound finances in</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financial planning assistance.</w:t>
            </w: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a cost effective manner for</w:t>
            </w:r>
          </w:p>
        </w:tc>
        <w:tc>
          <w:tcPr>
            <w:tcW w:w="0" w:type="dxa"/>
            <w:vAlign w:val="bottom"/>
          </w:tcPr>
          <w:p>
            <w:pPr>
              <w:spacing w:after="0"/>
              <w:rPr>
                <w:sz w:val="1"/>
                <w:szCs w:val="1"/>
                <w:color w:val="auto"/>
              </w:rPr>
            </w:pPr>
          </w:p>
        </w:tc>
      </w:tr>
      <w:tr>
        <w:trPr>
          <w:trHeight w:val="187"/>
        </w:trPr>
        <w:tc>
          <w:tcPr>
            <w:tcW w:w="2320" w:type="dxa"/>
            <w:vAlign w:val="bottom"/>
            <w:tcBorders>
              <w:right w:val="single" w:sz="8" w:color="B2B2B2"/>
            </w:tcBorders>
          </w:tcPr>
          <w:p>
            <w:pPr>
              <w:spacing w:after="0"/>
              <w:rPr>
                <w:sz w:val="16"/>
                <w:szCs w:val="16"/>
                <w:color w:val="auto"/>
              </w:rPr>
            </w:pPr>
          </w:p>
        </w:tc>
        <w:tc>
          <w:tcPr>
            <w:tcW w:w="2680" w:type="dxa"/>
            <w:vAlign w:val="bottom"/>
            <w:tcBorders>
              <w:right w:val="single" w:sz="8" w:color="B2B2B2"/>
            </w:tcBorders>
          </w:tcPr>
          <w:p>
            <w:pPr>
              <w:spacing w:after="0"/>
              <w:rPr>
                <w:sz w:val="16"/>
                <w:szCs w:val="16"/>
                <w:color w:val="auto"/>
              </w:rPr>
            </w:pPr>
          </w:p>
        </w:tc>
        <w:tc>
          <w:tcPr>
            <w:tcW w:w="1400" w:type="dxa"/>
            <w:vAlign w:val="bottom"/>
            <w:tcBorders>
              <w:right w:val="single" w:sz="8" w:color="B2B2B2"/>
            </w:tcBorders>
          </w:tcPr>
          <w:p>
            <w:pPr>
              <w:spacing w:after="0"/>
              <w:rPr>
                <w:sz w:val="16"/>
                <w:szCs w:val="16"/>
                <w:color w:val="auto"/>
              </w:rPr>
            </w:pPr>
          </w:p>
        </w:tc>
        <w:tc>
          <w:tcPr>
            <w:tcW w:w="1600" w:type="dxa"/>
            <w:vAlign w:val="bottom"/>
            <w:tcBorders>
              <w:right w:val="single" w:sz="8" w:color="B2B2B2"/>
            </w:tcBorders>
          </w:tcPr>
          <w:p>
            <w:pPr>
              <w:spacing w:after="0"/>
              <w:rPr>
                <w:sz w:val="16"/>
                <w:szCs w:val="16"/>
                <w:color w:val="auto"/>
              </w:rPr>
            </w:pPr>
          </w:p>
        </w:tc>
        <w:tc>
          <w:tcPr>
            <w:tcW w:w="780" w:type="dxa"/>
            <w:vAlign w:val="bottom"/>
            <w:tcBorders>
              <w:right w:val="single" w:sz="8" w:color="B2B2B2"/>
            </w:tcBorders>
          </w:tcPr>
          <w:p>
            <w:pPr>
              <w:spacing w:after="0"/>
              <w:rPr>
                <w:sz w:val="16"/>
                <w:szCs w:val="16"/>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our company, and minimizes</w:t>
            </w:r>
          </w:p>
        </w:tc>
        <w:tc>
          <w:tcPr>
            <w:tcW w:w="0" w:type="dxa"/>
            <w:vAlign w:val="bottom"/>
          </w:tcPr>
          <w:p>
            <w:pPr>
              <w:spacing w:after="0"/>
              <w:rPr>
                <w:sz w:val="1"/>
                <w:szCs w:val="1"/>
                <w:color w:val="auto"/>
              </w:rPr>
            </w:pPr>
          </w:p>
        </w:tc>
      </w:tr>
      <w:tr>
        <w:trPr>
          <w:trHeight w:val="262"/>
        </w:trPr>
        <w:tc>
          <w:tcPr>
            <w:tcW w:w="2320" w:type="dxa"/>
            <w:vAlign w:val="bottom"/>
            <w:tcBorders>
              <w:right w:val="single" w:sz="8" w:color="B2B2B2"/>
            </w:tcBorders>
          </w:tcPr>
          <w:p>
            <w:pPr>
              <w:spacing w:after="0"/>
              <w:rPr>
                <w:sz w:val="22"/>
                <w:szCs w:val="22"/>
                <w:color w:val="auto"/>
              </w:rPr>
            </w:pPr>
          </w:p>
        </w:tc>
        <w:tc>
          <w:tcPr>
            <w:tcW w:w="2680" w:type="dxa"/>
            <w:vAlign w:val="bottom"/>
            <w:tcBorders>
              <w:right w:val="single" w:sz="8" w:color="B2B2B2"/>
            </w:tcBorders>
          </w:tcPr>
          <w:p>
            <w:pPr>
              <w:spacing w:after="0"/>
              <w:rPr>
                <w:sz w:val="22"/>
                <w:szCs w:val="22"/>
                <w:color w:val="auto"/>
              </w:rPr>
            </w:pPr>
          </w:p>
        </w:tc>
        <w:tc>
          <w:tcPr>
            <w:tcW w:w="1400" w:type="dxa"/>
            <w:vAlign w:val="bottom"/>
            <w:tcBorders>
              <w:right w:val="single" w:sz="8" w:color="B2B2B2"/>
            </w:tcBorders>
          </w:tcPr>
          <w:p>
            <w:pPr>
              <w:spacing w:after="0"/>
              <w:rPr>
                <w:sz w:val="22"/>
                <w:szCs w:val="22"/>
                <w:color w:val="auto"/>
              </w:rPr>
            </w:pPr>
          </w:p>
        </w:tc>
        <w:tc>
          <w:tcPr>
            <w:tcW w:w="1600" w:type="dxa"/>
            <w:vAlign w:val="bottom"/>
            <w:tcBorders>
              <w:right w:val="single" w:sz="8" w:color="B2B2B2"/>
            </w:tcBorders>
          </w:tcPr>
          <w:p>
            <w:pPr>
              <w:spacing w:after="0"/>
              <w:rPr>
                <w:sz w:val="22"/>
                <w:szCs w:val="22"/>
                <w:color w:val="auto"/>
              </w:rPr>
            </w:pPr>
          </w:p>
        </w:tc>
        <w:tc>
          <w:tcPr>
            <w:tcW w:w="780" w:type="dxa"/>
            <w:vAlign w:val="bottom"/>
            <w:tcBorders>
              <w:right w:val="single" w:sz="8" w:color="B2B2B2"/>
            </w:tcBorders>
          </w:tcPr>
          <w:p>
            <w:pPr>
              <w:spacing w:after="0"/>
              <w:rPr>
                <w:sz w:val="22"/>
                <w:szCs w:val="22"/>
                <w:color w:val="auto"/>
              </w:rPr>
            </w:pPr>
          </w:p>
        </w:tc>
        <w:tc>
          <w:tcPr>
            <w:tcW w:w="2140" w:type="dxa"/>
            <w:vAlign w:val="bottom"/>
          </w:tcPr>
          <w:p>
            <w:pPr>
              <w:ind w:left="60"/>
              <w:spacing w:after="0"/>
              <w:rPr>
                <w:sz w:val="20"/>
                <w:szCs w:val="20"/>
                <w:color w:val="auto"/>
              </w:rPr>
            </w:pPr>
            <w:r>
              <w:rPr>
                <w:rFonts w:ascii="Arial" w:cs="Arial" w:eastAsia="Arial" w:hAnsi="Arial"/>
                <w:sz w:val="16"/>
                <w:szCs w:val="16"/>
                <w:color w:val="auto"/>
              </w:rPr>
              <w:t>distractions for executives.</w:t>
            </w:r>
          </w:p>
        </w:tc>
        <w:tc>
          <w:tcPr>
            <w:tcW w:w="0" w:type="dxa"/>
            <w:vAlign w:val="bottom"/>
          </w:tcPr>
          <w:p>
            <w:pPr>
              <w:spacing w:after="0"/>
              <w:rPr>
                <w:sz w:val="1"/>
                <w:szCs w:val="1"/>
                <w:color w:val="auto"/>
              </w:rPr>
            </w:pPr>
          </w:p>
        </w:tc>
      </w:tr>
      <w:tr>
        <w:trPr>
          <w:trHeight w:val="160"/>
        </w:trPr>
        <w:tc>
          <w:tcPr>
            <w:tcW w:w="6400" w:type="dxa"/>
            <w:vAlign w:val="bottom"/>
            <w:tcBorders>
              <w:top w:val="single" w:sz="8" w:color="D64000"/>
              <w:bottom w:val="single" w:sz="8" w:color="7F7F7F"/>
            </w:tcBorders>
            <w:gridSpan w:val="3"/>
          </w:tcPr>
          <w:p>
            <w:pPr>
              <w:spacing w:after="0"/>
              <w:rPr>
                <w:sz w:val="13"/>
                <w:szCs w:val="13"/>
                <w:color w:val="auto"/>
              </w:rPr>
            </w:pPr>
          </w:p>
        </w:tc>
        <w:tc>
          <w:tcPr>
            <w:tcW w:w="1600" w:type="dxa"/>
            <w:vAlign w:val="bottom"/>
            <w:tcBorders>
              <w:top w:val="single" w:sz="8" w:color="D64000"/>
              <w:bottom w:val="single" w:sz="8" w:color="7F7F7F"/>
            </w:tcBorders>
          </w:tcPr>
          <w:p>
            <w:pPr>
              <w:spacing w:after="0"/>
              <w:rPr>
                <w:sz w:val="13"/>
                <w:szCs w:val="13"/>
                <w:color w:val="auto"/>
              </w:rPr>
            </w:pPr>
          </w:p>
        </w:tc>
        <w:tc>
          <w:tcPr>
            <w:tcW w:w="780" w:type="dxa"/>
            <w:vAlign w:val="bottom"/>
            <w:tcBorders>
              <w:top w:val="single" w:sz="8" w:color="D64000"/>
              <w:bottom w:val="single" w:sz="8" w:color="7F7F7F"/>
            </w:tcBorders>
          </w:tcPr>
          <w:p>
            <w:pPr>
              <w:spacing w:after="0"/>
              <w:rPr>
                <w:sz w:val="13"/>
                <w:szCs w:val="13"/>
                <w:color w:val="auto"/>
              </w:rPr>
            </w:pPr>
          </w:p>
        </w:tc>
        <w:tc>
          <w:tcPr>
            <w:tcW w:w="2140" w:type="dxa"/>
            <w:vAlign w:val="bottom"/>
            <w:tcBorders>
              <w:top w:val="single" w:sz="8" w:color="D64000"/>
              <w:bottom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1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140" w:type="dxa"/>
            <w:vAlign w:val="bottom"/>
          </w:tcPr>
          <w:p>
            <w:pPr>
              <w:ind w:left="1520"/>
              <w:spacing w:after="0"/>
              <w:rPr>
                <w:sz w:val="20"/>
                <w:szCs w:val="20"/>
                <w:color w:val="auto"/>
              </w:rPr>
            </w:pPr>
            <w:r>
              <w:rPr>
                <w:rFonts w:ascii="Arial" w:cs="Arial" w:eastAsia="Arial" w:hAnsi="Arial"/>
                <w:sz w:val="17"/>
                <w:szCs w:val="17"/>
                <w:color w:val="auto"/>
                <w:w w:val="94"/>
              </w:rPr>
              <w:t>Page 61</w:t>
            </w:r>
          </w:p>
        </w:tc>
        <w:tc>
          <w:tcPr>
            <w:tcW w:w="0" w:type="dxa"/>
            <w:vAlign w:val="bottom"/>
          </w:tcPr>
          <w:p>
            <w:pPr>
              <w:spacing w:after="0"/>
              <w:rPr>
                <w:sz w:val="1"/>
                <w:szCs w:val="1"/>
                <w:color w:val="auto"/>
              </w:rPr>
            </w:pPr>
          </w:p>
        </w:tc>
      </w:tr>
    </w:tbl>
    <w:p>
      <w:pPr>
        <w:sectPr>
          <w:pgSz w:w="11900" w:h="16838" w:orient="portrait"/>
          <w:cols w:equalWidth="0" w:num="1">
            <w:col w:w="10920"/>
          </w:cols>
          <w:pgMar w:left="480" w:top="262" w:right="49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Our Process for Designing and 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172720</wp:posOffset>
            </wp:positionV>
            <wp:extent cx="5265420" cy="18853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65420" cy="188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HR Committee</w:t>
      </w:r>
    </w:p>
    <w:p>
      <w:pPr>
        <w:spacing w:after="0" w:line="103"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HR Committee’s responsibilities include establishing, implementing and overseeing our compensation policies and programs, executive talent review and succession planning processes. One of the HR Committee’s key responsibilities is approving compensation arrangements for the CEO and other executive officers. The Board recognizes the importance of appointing knowledgeable and experienced individuals to the HR Committee who have the necessary background in executive compensation to fulfill the HR Committee’s obligations to the Board and our shareholders. Each member of the HR Committee has direct experience as a senior leader that is relevant to his or her responsibilities in executive compensation. Additional information about the HR Committee is included earlier in this circular in our discussion of the Board and 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Management</w:t>
      </w:r>
    </w:p>
    <w:p>
      <w:pPr>
        <w:spacing w:after="0" w:line="89"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Our Chief People Officer and other members of the Human Resources department are responsible for overseeing the day-to-day design, implementation, administration and management of our various compensation and benefits policies and plans, including base salaries, annual and long-term incentives, retirement savings, health and welfare. The CEO, Chief People Officer and other senior executives in the Human Resources, Finance and Legal departments regularly attend HR Committee meetings. Throughout the year, management provides recommendations to the HR Committee on a wide range of compensation matters.</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Our Principal Shareholder</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recognize that executive compensation is a key area of interest for shareholders. Woodbridge, our principal shareholder, actively monitors this aspect of our governance given its importance to the achievement of our financial performance goals and long-term success. With its substantial equity investment in Thomson Reuters, Woodbridge considers that its interests as a shareholder are aligned with those of all other shareholders. A majority of the HR Committee’s members are independent directors and certain representatives of Woodbridge on the Board serve as non-independent directors or attend the meetings of the HR Committee as a guest from time to time.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Independent Advisors</w:t>
      </w:r>
    </w:p>
    <w:p>
      <w:pPr>
        <w:spacing w:after="0" w:line="103"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HR Committee has retained an outside consulting firm, Frederic W. Cook &amp; Co., Inc. (FW Cook), to serve as an independent advisor on matters relating to executive compensation since 1998. Representatives of FW Cook generally attend HR Committee meetings, including meeting privately, or “in-camera”, with the committee (when no members of management are present) and have discussions with the Chair and other members of the HR Committee from time to time outside of regularly scheduled meetings.</w:t>
      </w:r>
    </w:p>
    <w:p>
      <w:pPr>
        <w:spacing w:after="0" w:line="4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As part of its ongoing services to the HR Committee, FW Cook assists in evaluating the competitive positioning of senior executive compensation levels and provides guidance and analysis on plan design and market trends and practices to ensure that our program provides executives with competitive compensation opportunities, links compensation to performance and shareholder value creation, is efficient from accounting, tax and cash flow perspectives, and is reflective of emerging best practice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9297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62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72" w:name="page73"/>
    <w:bookmarkEnd w:id="72"/>
    <w:p>
      <w:pPr>
        <w:ind w:right="80"/>
        <w:spacing w:after="0" w:line="24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FW Cook does not provide any services to Thomson Reuters other than those provided directly to the HR Committee. Any use of FW Cook by Thomson Reuters management outside the scope of the HR Committee’s purview would require the HR Committee’s prior approval. In 2025 and 2024, we paid FW Cook the following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48260</wp:posOffset>
            </wp:positionV>
            <wp:extent cx="8255" cy="1955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9558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48260</wp:posOffset>
            </wp:positionV>
            <wp:extent cx="8255" cy="1955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19558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6560" w:type="dxa"/>
            <w:vAlign w:val="bottom"/>
            <w:tcBorders>
              <w:bottom w:val="single" w:sz="8" w:color="D64000"/>
              <w:right w:val="single" w:sz="8" w:color="B2B2B2"/>
            </w:tcBorders>
          </w:tcPr>
          <w:p>
            <w:pPr>
              <w:spacing w:after="0"/>
              <w:rPr>
                <w:sz w:val="24"/>
                <w:szCs w:val="24"/>
                <w:color w:val="auto"/>
              </w:rPr>
            </w:pPr>
          </w:p>
        </w:tc>
        <w:tc>
          <w:tcPr>
            <w:tcW w:w="220" w:type="dxa"/>
            <w:vAlign w:val="bottom"/>
            <w:tcBorders>
              <w:bottom w:val="single" w:sz="8" w:color="D64000"/>
            </w:tcBorders>
            <w:shd w:val="clear" w:color="auto" w:fill="1F473D"/>
          </w:tcPr>
          <w:p>
            <w:pPr>
              <w:spacing w:after="0"/>
              <w:rPr>
                <w:sz w:val="24"/>
                <w:szCs w:val="24"/>
                <w:color w:val="auto"/>
              </w:rPr>
            </w:pPr>
          </w:p>
        </w:tc>
        <w:tc>
          <w:tcPr>
            <w:tcW w:w="740" w:type="dxa"/>
            <w:vAlign w:val="bottom"/>
            <w:tcBorders>
              <w:bottom w:val="single" w:sz="8" w:color="D64000"/>
              <w:right w:val="single" w:sz="8" w:color="1F473D"/>
            </w:tcBorders>
            <w:shd w:val="clear" w:color="auto" w:fill="1F473D"/>
          </w:tcPr>
          <w:p>
            <w:pPr>
              <w:jc w:val="right"/>
              <w:ind w:right="200"/>
              <w:spacing w:after="0"/>
              <w:rPr>
                <w:sz w:val="20"/>
                <w:szCs w:val="20"/>
                <w:color w:val="auto"/>
              </w:rPr>
            </w:pPr>
            <w:r>
              <w:rPr>
                <w:rFonts w:ascii="Arial" w:cs="Arial" w:eastAsia="Arial" w:hAnsi="Arial"/>
                <w:sz w:val="16"/>
                <w:szCs w:val="16"/>
                <w:b w:val="1"/>
                <w:bCs w:val="1"/>
                <w:color w:val="FFFFFF"/>
              </w:rPr>
              <w:t>2025</w:t>
            </w:r>
          </w:p>
        </w:tc>
        <w:tc>
          <w:tcPr>
            <w:tcW w:w="320" w:type="dxa"/>
            <w:vAlign w:val="bottom"/>
            <w:tcBorders>
              <w:bottom w:val="single" w:sz="8" w:color="D64000"/>
            </w:tcBorders>
            <w:shd w:val="clear" w:color="auto" w:fill="1F473D"/>
          </w:tcPr>
          <w:p>
            <w:pPr>
              <w:spacing w:after="0"/>
              <w:rPr>
                <w:sz w:val="24"/>
                <w:szCs w:val="24"/>
                <w:color w:val="auto"/>
              </w:rPr>
            </w:pPr>
          </w:p>
        </w:tc>
        <w:tc>
          <w:tcPr>
            <w:tcW w:w="860" w:type="dxa"/>
            <w:vAlign w:val="bottom"/>
            <w:tcBorders>
              <w:bottom w:val="single" w:sz="8" w:color="D64000"/>
              <w:right w:val="single" w:sz="8" w:color="1F473D"/>
            </w:tcBorders>
            <w:shd w:val="clear" w:color="auto" w:fill="1F473D"/>
          </w:tcPr>
          <w:p>
            <w:pPr>
              <w:jc w:val="right"/>
              <w:ind w:right="300"/>
              <w:spacing w:after="0"/>
              <w:rPr>
                <w:sz w:val="20"/>
                <w:szCs w:val="20"/>
                <w:color w:val="auto"/>
              </w:rPr>
            </w:pPr>
            <w:r>
              <w:rPr>
                <w:rFonts w:ascii="Arial" w:cs="Arial" w:eastAsia="Arial" w:hAnsi="Arial"/>
                <w:sz w:val="16"/>
                <w:szCs w:val="16"/>
                <w:b w:val="1"/>
                <w:bCs w:val="1"/>
                <w:color w:val="FFFFFF"/>
              </w:rPr>
              <w:t>2024</w:t>
            </w:r>
          </w:p>
        </w:tc>
        <w:tc>
          <w:tcPr>
            <w:tcW w:w="2220" w:type="dxa"/>
            <w:vAlign w:val="bottom"/>
            <w:tcBorders>
              <w:bottom w:val="single" w:sz="8" w:color="D64000"/>
            </w:tcBorders>
            <w:shd w:val="clear" w:color="auto" w:fill="1F473D"/>
          </w:tcPr>
          <w:p>
            <w:pPr>
              <w:ind w:left="300"/>
              <w:spacing w:after="0"/>
              <w:rPr>
                <w:sz w:val="20"/>
                <w:szCs w:val="20"/>
                <w:color w:val="auto"/>
              </w:rPr>
            </w:pPr>
            <w:r>
              <w:rPr>
                <w:rFonts w:ascii="Arial" w:cs="Arial" w:eastAsia="Arial" w:hAnsi="Arial"/>
                <w:sz w:val="16"/>
                <w:szCs w:val="16"/>
                <w:b w:val="1"/>
                <w:bCs w:val="1"/>
                <w:color w:val="FFFFFF"/>
              </w:rPr>
              <w:t>Percentage of total fees</w:t>
            </w:r>
          </w:p>
        </w:tc>
      </w:tr>
      <w:tr>
        <w:trPr>
          <w:trHeight w:val="261"/>
        </w:trPr>
        <w:tc>
          <w:tcPr>
            <w:tcW w:w="65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Executive compensation-related fees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B2B2B2"/>
            </w:tcBorders>
          </w:tcPr>
          <w:p>
            <w:pPr>
              <w:jc w:val="right"/>
              <w:ind w:right="60"/>
              <w:spacing w:after="0"/>
              <w:rPr>
                <w:sz w:val="20"/>
                <w:szCs w:val="20"/>
                <w:color w:val="auto"/>
              </w:rPr>
            </w:pPr>
            <w:r>
              <w:rPr>
                <w:rFonts w:ascii="Arial" w:cs="Arial" w:eastAsia="Arial" w:hAnsi="Arial"/>
                <w:sz w:val="16"/>
                <w:szCs w:val="16"/>
                <w:color w:val="auto"/>
              </w:rPr>
              <w:t>263,604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219,410</w:t>
            </w:r>
          </w:p>
        </w:tc>
        <w:tc>
          <w:tcPr>
            <w:tcW w:w="2220" w:type="dxa"/>
            <w:vAlign w:val="bottom"/>
          </w:tcPr>
          <w:p>
            <w:pPr>
              <w:jc w:val="center"/>
              <w:ind w:left="100"/>
              <w:spacing w:after="0"/>
              <w:rPr>
                <w:sz w:val="20"/>
                <w:szCs w:val="20"/>
                <w:color w:val="auto"/>
              </w:rPr>
            </w:pPr>
            <w:r>
              <w:rPr>
                <w:rFonts w:ascii="Arial" w:cs="Arial" w:eastAsia="Arial" w:hAnsi="Arial"/>
                <w:sz w:val="16"/>
                <w:szCs w:val="16"/>
                <w:color w:val="auto"/>
                <w:w w:val="97"/>
              </w:rPr>
              <w:t>100%</w:t>
            </w:r>
          </w:p>
        </w:tc>
      </w:tr>
      <w:tr>
        <w:trPr>
          <w:trHeight w:val="34"/>
        </w:trPr>
        <w:tc>
          <w:tcPr>
            <w:tcW w:w="656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740" w:type="dxa"/>
            <w:vAlign w:val="bottom"/>
            <w:tcBorders>
              <w:bottom w:val="single" w:sz="8" w:color="B2B2B2"/>
              <w:right w:val="single" w:sz="8" w:color="B2B2B2"/>
            </w:tcBorders>
          </w:tcPr>
          <w:p>
            <w:pPr>
              <w:spacing w:after="0"/>
              <w:rPr>
                <w:sz w:val="2"/>
                <w:szCs w:val="2"/>
                <w:color w:val="auto"/>
              </w:rPr>
            </w:pPr>
          </w:p>
        </w:tc>
        <w:tc>
          <w:tcPr>
            <w:tcW w:w="320" w:type="dxa"/>
            <w:vAlign w:val="bottom"/>
            <w:tcBorders>
              <w:bottom w:val="single" w:sz="8" w:color="B2B2B2"/>
            </w:tcBorders>
          </w:tcPr>
          <w:p>
            <w:pPr>
              <w:spacing w:after="0"/>
              <w:rPr>
                <w:sz w:val="2"/>
                <w:szCs w:val="2"/>
                <w:color w:val="auto"/>
              </w:rPr>
            </w:pPr>
          </w:p>
        </w:tc>
        <w:tc>
          <w:tcPr>
            <w:tcW w:w="860" w:type="dxa"/>
            <w:vAlign w:val="bottom"/>
            <w:tcBorders>
              <w:bottom w:val="single" w:sz="8" w:color="B2B2B2"/>
              <w:right w:val="single" w:sz="8" w:color="B2B2B2"/>
            </w:tcBorders>
          </w:tcPr>
          <w:p>
            <w:pPr>
              <w:spacing w:after="0"/>
              <w:rPr>
                <w:sz w:val="2"/>
                <w:szCs w:val="2"/>
                <w:color w:val="auto"/>
              </w:rPr>
            </w:pPr>
          </w:p>
        </w:tc>
        <w:tc>
          <w:tcPr>
            <w:tcW w:w="2220" w:type="dxa"/>
            <w:vAlign w:val="bottom"/>
            <w:tcBorders>
              <w:bottom w:val="single" w:sz="8" w:color="B2B2B2"/>
            </w:tcBorders>
          </w:tcPr>
          <w:p>
            <w:pPr>
              <w:spacing w:after="0"/>
              <w:rPr>
                <w:sz w:val="2"/>
                <w:szCs w:val="2"/>
                <w:color w:val="auto"/>
              </w:rPr>
            </w:pPr>
          </w:p>
        </w:tc>
      </w:tr>
      <w:tr>
        <w:trPr>
          <w:trHeight w:val="254"/>
        </w:trPr>
        <w:tc>
          <w:tcPr>
            <w:tcW w:w="65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All other fees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B2B2B2"/>
            </w:tcBorders>
          </w:tcPr>
          <w:p>
            <w:pPr>
              <w:jc w:val="right"/>
              <w:ind w:right="80"/>
              <w:spacing w:after="0"/>
              <w:rPr>
                <w:sz w:val="20"/>
                <w:szCs w:val="20"/>
                <w:color w:val="auto"/>
              </w:rPr>
            </w:pPr>
            <w:r>
              <w:rPr>
                <w:rFonts w:ascii="Arial" w:cs="Arial" w:eastAsia="Arial" w:hAnsi="Arial"/>
                <w:sz w:val="16"/>
                <w:szCs w:val="16"/>
                <w:color w:val="auto"/>
              </w:rPr>
              <w:t xml:space="preserve">–    </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B2B2B2"/>
            </w:tcBorders>
          </w:tcPr>
          <w:p>
            <w:pPr>
              <w:jc w:val="right"/>
              <w:ind w:right="200"/>
              <w:spacing w:after="0"/>
              <w:rPr>
                <w:sz w:val="20"/>
                <w:szCs w:val="20"/>
                <w:color w:val="auto"/>
              </w:rPr>
            </w:pPr>
            <w:r>
              <w:rPr>
                <w:rFonts w:ascii="Arial" w:cs="Arial" w:eastAsia="Arial" w:hAnsi="Arial"/>
                <w:sz w:val="16"/>
                <w:szCs w:val="16"/>
                <w:color w:val="auto"/>
              </w:rPr>
              <w:t xml:space="preserve">–    </w:t>
            </w:r>
          </w:p>
        </w:tc>
        <w:tc>
          <w:tcPr>
            <w:tcW w:w="2220" w:type="dxa"/>
            <w:vAlign w:val="bottom"/>
          </w:tcPr>
          <w:p>
            <w:pPr>
              <w:jc w:val="center"/>
              <w:ind w:left="100"/>
              <w:spacing w:after="0"/>
              <w:rPr>
                <w:sz w:val="20"/>
                <w:szCs w:val="20"/>
                <w:color w:val="auto"/>
              </w:rPr>
            </w:pPr>
            <w:r>
              <w:rPr>
                <w:rFonts w:ascii="Arial" w:cs="Arial" w:eastAsia="Arial" w:hAnsi="Arial"/>
                <w:sz w:val="16"/>
                <w:szCs w:val="16"/>
                <w:color w:val="auto"/>
                <w:w w:val="89"/>
              </w:rPr>
              <w:t>–</w:t>
            </w:r>
          </w:p>
        </w:tc>
      </w:tr>
      <w:tr>
        <w:trPr>
          <w:trHeight w:val="34"/>
        </w:trPr>
        <w:tc>
          <w:tcPr>
            <w:tcW w:w="6560" w:type="dxa"/>
            <w:vAlign w:val="bottom"/>
            <w:tcBorders>
              <w:bottom w:val="single" w:sz="8" w:color="B2B2B2"/>
              <w:right w:val="single" w:sz="8" w:color="B2B2B2"/>
            </w:tcBorders>
          </w:tcPr>
          <w:p>
            <w:pPr>
              <w:spacing w:after="0"/>
              <w:rPr>
                <w:sz w:val="2"/>
                <w:szCs w:val="2"/>
                <w:color w:val="auto"/>
              </w:rPr>
            </w:pPr>
          </w:p>
        </w:tc>
        <w:tc>
          <w:tcPr>
            <w:tcW w:w="220" w:type="dxa"/>
            <w:vAlign w:val="bottom"/>
            <w:tcBorders>
              <w:bottom w:val="single" w:sz="8" w:color="B2B2B2"/>
            </w:tcBorders>
          </w:tcPr>
          <w:p>
            <w:pPr>
              <w:spacing w:after="0"/>
              <w:rPr>
                <w:sz w:val="2"/>
                <w:szCs w:val="2"/>
                <w:color w:val="auto"/>
              </w:rPr>
            </w:pPr>
          </w:p>
        </w:tc>
        <w:tc>
          <w:tcPr>
            <w:tcW w:w="740" w:type="dxa"/>
            <w:vAlign w:val="bottom"/>
            <w:tcBorders>
              <w:bottom w:val="single" w:sz="8" w:color="B2B2B2"/>
              <w:right w:val="single" w:sz="8" w:color="B2B2B2"/>
            </w:tcBorders>
          </w:tcPr>
          <w:p>
            <w:pPr>
              <w:spacing w:after="0"/>
              <w:rPr>
                <w:sz w:val="2"/>
                <w:szCs w:val="2"/>
                <w:color w:val="auto"/>
              </w:rPr>
            </w:pPr>
          </w:p>
        </w:tc>
        <w:tc>
          <w:tcPr>
            <w:tcW w:w="320" w:type="dxa"/>
            <w:vAlign w:val="bottom"/>
            <w:tcBorders>
              <w:bottom w:val="single" w:sz="8" w:color="B2B2B2"/>
            </w:tcBorders>
          </w:tcPr>
          <w:p>
            <w:pPr>
              <w:spacing w:after="0"/>
              <w:rPr>
                <w:sz w:val="2"/>
                <w:szCs w:val="2"/>
                <w:color w:val="auto"/>
              </w:rPr>
            </w:pPr>
          </w:p>
        </w:tc>
        <w:tc>
          <w:tcPr>
            <w:tcW w:w="860" w:type="dxa"/>
            <w:vAlign w:val="bottom"/>
            <w:tcBorders>
              <w:bottom w:val="single" w:sz="8" w:color="B2B2B2"/>
              <w:right w:val="single" w:sz="8" w:color="B2B2B2"/>
            </w:tcBorders>
          </w:tcPr>
          <w:p>
            <w:pPr>
              <w:spacing w:after="0"/>
              <w:rPr>
                <w:sz w:val="2"/>
                <w:szCs w:val="2"/>
                <w:color w:val="auto"/>
              </w:rPr>
            </w:pPr>
          </w:p>
        </w:tc>
        <w:tc>
          <w:tcPr>
            <w:tcW w:w="2220" w:type="dxa"/>
            <w:vAlign w:val="bottom"/>
            <w:tcBorders>
              <w:bottom w:val="single" w:sz="8" w:color="B2B2B2"/>
            </w:tcBorders>
          </w:tcPr>
          <w:p>
            <w:pPr>
              <w:spacing w:after="0"/>
              <w:rPr>
                <w:sz w:val="2"/>
                <w:szCs w:val="2"/>
                <w:color w:val="auto"/>
              </w:rPr>
            </w:pPr>
          </w:p>
        </w:tc>
      </w:tr>
      <w:tr>
        <w:trPr>
          <w:trHeight w:val="288"/>
        </w:trPr>
        <w:tc>
          <w:tcPr>
            <w:tcW w:w="65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Total annual fees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B2B2B2"/>
            </w:tcBorders>
          </w:tcPr>
          <w:p>
            <w:pPr>
              <w:jc w:val="right"/>
              <w:ind w:right="60"/>
              <w:spacing w:after="0"/>
              <w:rPr>
                <w:sz w:val="20"/>
                <w:szCs w:val="20"/>
                <w:color w:val="auto"/>
              </w:rPr>
            </w:pPr>
            <w:r>
              <w:rPr>
                <w:rFonts w:ascii="Arial" w:cs="Arial" w:eastAsia="Arial" w:hAnsi="Arial"/>
                <w:sz w:val="16"/>
                <w:szCs w:val="16"/>
                <w:color w:val="auto"/>
              </w:rPr>
              <w:t>263,604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219,410</w:t>
            </w:r>
          </w:p>
        </w:tc>
        <w:tc>
          <w:tcPr>
            <w:tcW w:w="2220" w:type="dxa"/>
            <w:vAlign w:val="bottom"/>
          </w:tcPr>
          <w:p>
            <w:pPr>
              <w:jc w:val="center"/>
              <w:ind w:left="100"/>
              <w:spacing w:after="0"/>
              <w:rPr>
                <w:sz w:val="20"/>
                <w:szCs w:val="20"/>
                <w:color w:val="auto"/>
              </w:rPr>
            </w:pPr>
            <w:r>
              <w:rPr>
                <w:rFonts w:ascii="Arial" w:cs="Arial" w:eastAsia="Arial" w:hAnsi="Arial"/>
                <w:sz w:val="16"/>
                <w:szCs w:val="16"/>
                <w:color w:val="auto"/>
                <w:w w:val="97"/>
              </w:rPr>
              <w:t>100%</w:t>
            </w:r>
          </w:p>
        </w:tc>
      </w:tr>
      <w:tr>
        <w:trPr>
          <w:trHeight w:val="27"/>
        </w:trPr>
        <w:tc>
          <w:tcPr>
            <w:tcW w:w="6560" w:type="dxa"/>
            <w:vAlign w:val="bottom"/>
            <w:tcBorders>
              <w:right w:val="single" w:sz="8" w:color="D64000"/>
            </w:tcBorders>
            <w:shd w:val="clear" w:color="auto" w:fill="D64000"/>
          </w:tcPr>
          <w:p>
            <w:pPr>
              <w:spacing w:after="0"/>
              <w:rPr>
                <w:sz w:val="2"/>
                <w:szCs w:val="2"/>
                <w:color w:val="auto"/>
              </w:rPr>
            </w:pPr>
          </w:p>
        </w:tc>
        <w:tc>
          <w:tcPr>
            <w:tcW w:w="220" w:type="dxa"/>
            <w:vAlign w:val="bottom"/>
            <w:shd w:val="clear" w:color="auto" w:fill="D64000"/>
          </w:tcPr>
          <w:p>
            <w:pPr>
              <w:spacing w:after="0"/>
              <w:rPr>
                <w:sz w:val="2"/>
                <w:szCs w:val="2"/>
                <w:color w:val="auto"/>
              </w:rPr>
            </w:pPr>
          </w:p>
        </w:tc>
        <w:tc>
          <w:tcPr>
            <w:tcW w:w="740" w:type="dxa"/>
            <w:vAlign w:val="bottom"/>
            <w:tcBorders>
              <w:right w:val="single" w:sz="8" w:color="D64000"/>
            </w:tcBorders>
            <w:shd w:val="clear" w:color="auto" w:fill="D64000"/>
          </w:tcPr>
          <w:p>
            <w:pPr>
              <w:spacing w:after="0"/>
              <w:rPr>
                <w:sz w:val="2"/>
                <w:szCs w:val="2"/>
                <w:color w:val="auto"/>
              </w:rPr>
            </w:pPr>
          </w:p>
        </w:tc>
        <w:tc>
          <w:tcPr>
            <w:tcW w:w="320" w:type="dxa"/>
            <w:vAlign w:val="bottom"/>
            <w:shd w:val="clear" w:color="auto" w:fill="D64000"/>
          </w:tcPr>
          <w:p>
            <w:pPr>
              <w:spacing w:after="0"/>
              <w:rPr>
                <w:sz w:val="2"/>
                <w:szCs w:val="2"/>
                <w:color w:val="auto"/>
              </w:rPr>
            </w:pPr>
          </w:p>
        </w:tc>
        <w:tc>
          <w:tcPr>
            <w:tcW w:w="860" w:type="dxa"/>
            <w:vAlign w:val="bottom"/>
            <w:tcBorders>
              <w:right w:val="single" w:sz="8" w:color="D64000"/>
            </w:tcBorders>
            <w:shd w:val="clear" w:color="auto" w:fill="D64000"/>
          </w:tcPr>
          <w:p>
            <w:pPr>
              <w:spacing w:after="0"/>
              <w:rPr>
                <w:sz w:val="2"/>
                <w:szCs w:val="2"/>
                <w:color w:val="auto"/>
              </w:rPr>
            </w:pPr>
          </w:p>
        </w:tc>
        <w:tc>
          <w:tcPr>
            <w:tcW w:w="2220" w:type="dxa"/>
            <w:vAlign w:val="bottom"/>
            <w:shd w:val="clear" w:color="auto" w:fill="D64000"/>
          </w:tcPr>
          <w:p>
            <w:pPr>
              <w:spacing w:after="0"/>
              <w:rPr>
                <w:sz w:val="2"/>
                <w:szCs w:val="2"/>
                <w:color w:val="auto"/>
              </w:rPr>
            </w:pPr>
          </w:p>
        </w:tc>
      </w:tr>
    </w:tbl>
    <w:p>
      <w:pPr>
        <w:spacing w:after="0" w:line="72"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HR Committee believes that it is important to receive objective recommendations and input from its outside compensation advisor. SEC and Nasdaq rules require the compensation committee of U.S. public companies to consider six independence-related factors when selecting their compensation advisor and determining whether certain conflicts of interest disclosures must be made. Although foreign private issuers such as Thomson Reuters are exempt from these rules, the HR Committee once again considered them in March 2026 in relation to FW Cook. The six factors considered by the HR Committee were:</w:t>
      </w:r>
    </w:p>
    <w:p>
      <w:pPr>
        <w:spacing w:after="0" w:line="61" w:lineRule="exact"/>
        <w:rPr>
          <w:sz w:val="20"/>
          <w:szCs w:val="20"/>
          <w:color w:val="auto"/>
        </w:rPr>
      </w:pPr>
    </w:p>
    <w:p>
      <w:pPr>
        <w:ind w:left="440" w:hanging="433"/>
        <w:spacing w:after="0"/>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provision of other services to Thomson Reuters by the firm;</w:t>
      </w:r>
    </w:p>
    <w:p>
      <w:pPr>
        <w:spacing w:after="0" w:line="85" w:lineRule="exact"/>
        <w:rPr>
          <w:rFonts w:ascii="Arial" w:cs="Arial" w:eastAsia="Arial" w:hAnsi="Arial"/>
          <w:sz w:val="17"/>
          <w:szCs w:val="17"/>
          <w:color w:val="auto"/>
        </w:rPr>
      </w:pPr>
    </w:p>
    <w:p>
      <w:pPr>
        <w:ind w:left="440" w:hanging="433"/>
        <w:spacing w:after="0"/>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 of fees received from Thomson Reuters by the firm as a percentage of the total revenue of the firm;</w:t>
      </w:r>
    </w:p>
    <w:p>
      <w:pPr>
        <w:spacing w:after="0" w:line="85" w:lineRule="exact"/>
        <w:rPr>
          <w:rFonts w:ascii="Arial" w:cs="Arial" w:eastAsia="Arial" w:hAnsi="Arial"/>
          <w:sz w:val="17"/>
          <w:szCs w:val="17"/>
          <w:color w:val="auto"/>
        </w:rPr>
      </w:pPr>
    </w:p>
    <w:p>
      <w:pPr>
        <w:ind w:left="440" w:hanging="433"/>
        <w:spacing w:after="0"/>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policies and procedures of the firm that are designed to prevent conflicts of interest;</w:t>
      </w:r>
    </w:p>
    <w:p>
      <w:pPr>
        <w:spacing w:after="0" w:line="85" w:lineRule="exact"/>
        <w:rPr>
          <w:rFonts w:ascii="Arial" w:cs="Arial" w:eastAsia="Arial" w:hAnsi="Arial"/>
          <w:sz w:val="17"/>
          <w:szCs w:val="17"/>
          <w:color w:val="auto"/>
        </w:rPr>
      </w:pPr>
    </w:p>
    <w:p>
      <w:pPr>
        <w:ind w:left="440" w:hanging="433"/>
        <w:spacing w:after="0"/>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business or personal relationship of the advisor with a member of the HR Committee;</w:t>
      </w:r>
    </w:p>
    <w:p>
      <w:pPr>
        <w:spacing w:after="0" w:line="85" w:lineRule="exact"/>
        <w:rPr>
          <w:rFonts w:ascii="Arial" w:cs="Arial" w:eastAsia="Arial" w:hAnsi="Arial"/>
          <w:sz w:val="17"/>
          <w:szCs w:val="17"/>
          <w:color w:val="auto"/>
        </w:rPr>
      </w:pPr>
    </w:p>
    <w:p>
      <w:pPr>
        <w:ind w:left="440" w:hanging="433"/>
        <w:spacing w:after="0"/>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stock of Thomson Reuters owned by the advisor; and</w:t>
      </w:r>
    </w:p>
    <w:p>
      <w:pPr>
        <w:spacing w:after="0" w:line="85" w:lineRule="exact"/>
        <w:rPr>
          <w:rFonts w:ascii="Arial" w:cs="Arial" w:eastAsia="Arial" w:hAnsi="Arial"/>
          <w:sz w:val="17"/>
          <w:szCs w:val="17"/>
          <w:color w:val="auto"/>
        </w:rPr>
      </w:pPr>
    </w:p>
    <w:p>
      <w:pPr>
        <w:ind w:left="440" w:hanging="433"/>
        <w:spacing w:after="0"/>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business or personal relationship of the advisor or firm with an executive officer of Thomson Reuters.</w:t>
      </w:r>
    </w:p>
    <w:p>
      <w:pPr>
        <w:spacing w:after="0" w:line="7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Based on disclosures provided to the HR Committee by FW Cook and in questionnaires provided by our directors and executive officers, the HR Committee views FW Cook as independent.</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Key Compensation Principles</w:t>
      </w:r>
    </w:p>
    <w:p>
      <w:pPr>
        <w:spacing w:after="0" w:line="103" w:lineRule="exact"/>
        <w:rPr>
          <w:sz w:val="20"/>
          <w:szCs w:val="20"/>
          <w:color w:val="auto"/>
        </w:rPr>
      </w:pPr>
    </w:p>
    <w:p>
      <w:pPr>
        <w:ind w:left="320" w:hanging="313"/>
        <w:spacing w:after="0"/>
        <w:tabs>
          <w:tab w:leader="none" w:pos="320" w:val="left"/>
        </w:tabs>
        <w:numPr>
          <w:ilvl w:val="0"/>
          <w:numId w:val="75"/>
        </w:numPr>
        <w:rPr>
          <w:rFonts w:ascii="Arial" w:cs="Arial" w:eastAsia="Arial" w:hAnsi="Arial"/>
          <w:sz w:val="17"/>
          <w:szCs w:val="17"/>
          <w:b w:val="1"/>
          <w:bCs w:val="1"/>
          <w:color w:val="D64000"/>
        </w:rPr>
      </w:pPr>
      <w:r>
        <w:rPr>
          <w:rFonts w:ascii="Arial" w:cs="Arial" w:eastAsia="Arial" w:hAnsi="Arial"/>
          <w:sz w:val="17"/>
          <w:szCs w:val="17"/>
          <w:b w:val="1"/>
          <w:bCs w:val="1"/>
          <w:color w:val="auto"/>
        </w:rPr>
        <w:t>Pay for performance is the foundation of our executive compensation program</w:t>
      </w:r>
    </w:p>
    <w:p>
      <w:pPr>
        <w:spacing w:after="0" w:line="85" w:lineRule="exact"/>
        <w:rPr>
          <w:rFonts w:ascii="Arial" w:cs="Arial" w:eastAsia="Arial" w:hAnsi="Arial"/>
          <w:sz w:val="17"/>
          <w:szCs w:val="17"/>
          <w:b w:val="1"/>
          <w:bCs w:val="1"/>
          <w:color w:val="D64000"/>
        </w:rPr>
      </w:pPr>
    </w:p>
    <w:p>
      <w:pPr>
        <w:ind w:left="320" w:hanging="313"/>
        <w:spacing w:after="0"/>
        <w:tabs>
          <w:tab w:leader="none" w:pos="320" w:val="left"/>
        </w:tabs>
        <w:numPr>
          <w:ilvl w:val="0"/>
          <w:numId w:val="75"/>
        </w:numPr>
        <w:rPr>
          <w:rFonts w:ascii="Arial" w:cs="Arial" w:eastAsia="Arial" w:hAnsi="Arial"/>
          <w:sz w:val="17"/>
          <w:szCs w:val="17"/>
          <w:b w:val="1"/>
          <w:bCs w:val="1"/>
          <w:color w:val="D64000"/>
        </w:rPr>
      </w:pPr>
      <w:r>
        <w:rPr>
          <w:rFonts w:ascii="Arial" w:cs="Arial" w:eastAsia="Arial" w:hAnsi="Arial"/>
          <w:sz w:val="17"/>
          <w:szCs w:val="17"/>
          <w:b w:val="1"/>
          <w:bCs w:val="1"/>
          <w:color w:val="auto"/>
        </w:rPr>
        <w:t>Incentive performance goals are linked to key measures of our company’s performance and strategy</w:t>
      </w:r>
    </w:p>
    <w:p>
      <w:pPr>
        <w:spacing w:after="0" w:line="85" w:lineRule="exact"/>
        <w:rPr>
          <w:rFonts w:ascii="Arial" w:cs="Arial" w:eastAsia="Arial" w:hAnsi="Arial"/>
          <w:sz w:val="17"/>
          <w:szCs w:val="17"/>
          <w:b w:val="1"/>
          <w:bCs w:val="1"/>
          <w:color w:val="D64000"/>
        </w:rPr>
      </w:pPr>
    </w:p>
    <w:p>
      <w:pPr>
        <w:ind w:left="320" w:hanging="313"/>
        <w:spacing w:after="0"/>
        <w:tabs>
          <w:tab w:leader="none" w:pos="320" w:val="left"/>
        </w:tabs>
        <w:numPr>
          <w:ilvl w:val="0"/>
          <w:numId w:val="75"/>
        </w:numPr>
        <w:rPr>
          <w:rFonts w:ascii="Arial" w:cs="Arial" w:eastAsia="Arial" w:hAnsi="Arial"/>
          <w:sz w:val="17"/>
          <w:szCs w:val="17"/>
          <w:b w:val="1"/>
          <w:bCs w:val="1"/>
          <w:color w:val="D64000"/>
        </w:rPr>
      </w:pPr>
      <w:r>
        <w:rPr>
          <w:rFonts w:ascii="Arial" w:cs="Arial" w:eastAsia="Arial" w:hAnsi="Arial"/>
          <w:sz w:val="17"/>
          <w:szCs w:val="17"/>
          <w:b w:val="1"/>
          <w:bCs w:val="1"/>
          <w:color w:val="auto"/>
        </w:rPr>
        <w:t>Our executives should accumulate and retain equity in our company to align their interests with our shareholders</w:t>
      </w:r>
    </w:p>
    <w:p>
      <w:pPr>
        <w:spacing w:after="0" w:line="85" w:lineRule="exact"/>
        <w:rPr>
          <w:rFonts w:ascii="Arial" w:cs="Arial" w:eastAsia="Arial" w:hAnsi="Arial"/>
          <w:sz w:val="17"/>
          <w:szCs w:val="17"/>
          <w:b w:val="1"/>
          <w:bCs w:val="1"/>
          <w:color w:val="D64000"/>
        </w:rPr>
      </w:pPr>
    </w:p>
    <w:p>
      <w:pPr>
        <w:ind w:left="320" w:hanging="313"/>
        <w:spacing w:after="0"/>
        <w:tabs>
          <w:tab w:leader="none" w:pos="320" w:val="left"/>
        </w:tabs>
        <w:numPr>
          <w:ilvl w:val="0"/>
          <w:numId w:val="75"/>
        </w:numPr>
        <w:rPr>
          <w:rFonts w:ascii="Arial" w:cs="Arial" w:eastAsia="Arial" w:hAnsi="Arial"/>
          <w:sz w:val="17"/>
          <w:szCs w:val="17"/>
          <w:b w:val="1"/>
          <w:bCs w:val="1"/>
          <w:color w:val="D64000"/>
        </w:rPr>
      </w:pPr>
      <w:r>
        <w:rPr>
          <w:rFonts w:ascii="Arial" w:cs="Arial" w:eastAsia="Arial" w:hAnsi="Arial"/>
          <w:sz w:val="17"/>
          <w:szCs w:val="17"/>
          <w:b w:val="1"/>
          <w:bCs w:val="1"/>
          <w:color w:val="auto"/>
        </w:rPr>
        <w:t>We provide competitive compensation opportunities</w:t>
      </w:r>
    </w:p>
    <w:p>
      <w:pPr>
        <w:spacing w:after="0" w:line="85" w:lineRule="exact"/>
        <w:rPr>
          <w:rFonts w:ascii="Arial" w:cs="Arial" w:eastAsia="Arial" w:hAnsi="Arial"/>
          <w:sz w:val="17"/>
          <w:szCs w:val="17"/>
          <w:b w:val="1"/>
          <w:bCs w:val="1"/>
          <w:color w:val="D64000"/>
        </w:rPr>
      </w:pPr>
    </w:p>
    <w:p>
      <w:pPr>
        <w:ind w:left="320" w:hanging="313"/>
        <w:spacing w:after="0"/>
        <w:tabs>
          <w:tab w:leader="none" w:pos="320" w:val="left"/>
        </w:tabs>
        <w:numPr>
          <w:ilvl w:val="0"/>
          <w:numId w:val="75"/>
        </w:numPr>
        <w:rPr>
          <w:rFonts w:ascii="Arial" w:cs="Arial" w:eastAsia="Arial" w:hAnsi="Arial"/>
          <w:sz w:val="17"/>
          <w:szCs w:val="17"/>
          <w:b w:val="1"/>
          <w:bCs w:val="1"/>
          <w:color w:val="D64000"/>
        </w:rPr>
      </w:pPr>
      <w:r>
        <w:rPr>
          <w:rFonts w:ascii="Arial" w:cs="Arial" w:eastAsia="Arial" w:hAnsi="Arial"/>
          <w:sz w:val="17"/>
          <w:szCs w:val="17"/>
          <w:b w:val="1"/>
          <w:bCs w:val="1"/>
          <w:color w:val="auto"/>
        </w:rPr>
        <w:t>Our compensation programs take risk into account and do not encourage unnecessary or excessive risk taking</w:t>
      </w:r>
    </w:p>
    <w:p>
      <w:pPr>
        <w:spacing w:after="0" w:line="8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Below, we describe how each of these key compensation principles drives our executive management team to achieve higher levels of results for the benefit of Thomson Reuters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63</w:t>
      </w:r>
    </w:p>
    <w:p>
      <w:pPr>
        <w:sectPr>
          <w:pgSz w:w="11900" w:h="16838" w:orient="portrait"/>
          <w:cols w:equalWidth="0" w:num="1">
            <w:col w:w="10920"/>
          </w:cols>
          <w:pgMar w:left="480" w:top="265" w:right="499" w:bottom="1440" w:gutter="0" w:footer="0" w:header="0"/>
        </w:sectPr>
      </w:pPr>
    </w:p>
    <w:bookmarkStart w:id="73" w:name="page74"/>
    <w:bookmarkEnd w:id="73"/>
    <w:p>
      <w:pPr>
        <w:ind w:right="380"/>
        <w:spacing w:after="0" w:line="285" w:lineRule="auto"/>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“PAY FOR PERFORMANCE” IS THE FOUNDATION OF OUR EXECUTIVE COMPENSATION PROGRAM</w:t>
      </w:r>
    </w:p>
    <w:p>
      <w:pPr>
        <w:spacing w:after="0" w:line="2"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We believe that tying a significant component of pay to our company’s achievement of specific financial performance goals and changes in our share price motivates our executives to achieve exceptional performance and focus on the goals and objectives that are of the most value to Thomson Reuters.</w:t>
      </w:r>
    </w:p>
    <w:p>
      <w:pPr>
        <w:spacing w:after="0" w:line="4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As shown below, approximately 90% of Steve Hasker’s 2025 target annualized compensation was variable, which included approximately 71% awarded as long-term incentive grants in the form of PRSUs, TRSUs and stock options. On average, approximately 81% of the 2025 target annualized compensation for our other named executives was variable, which included approximately 56% awarded as long-term incentive grants in the form of PRSUs, TRSUs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144145</wp:posOffset>
            </wp:positionV>
            <wp:extent cx="4857750" cy="1426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857750" cy="142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part of its review of executive compensation, the HR Committee reviews targeted values for each component of compensation for each named executive officer. In determining the mix and relative weighting of cash (base salary and annual incentive awards) versus equity-based incentives, the HR Committee considers the appropriate proportion of compensation that should be variable based on the executive’s ability to affect and influence our annual and long-term results and advance the interests of shareholders as well as the compensation mix for similar positions at comparable companies. In general, the proportion of total pay delivered through variable short-term and long-term performance-based compensation increases directly with an executive’s level of operational/financial responsibility. The HR Committee believes this mix and weighting aligns the interests of executives with those of shareholders, provides significant performance incentives and assists in keeping us competitive in the market for high-quality executives.</w:t>
      </w:r>
    </w:p>
    <w:p>
      <w:pPr>
        <w:spacing w:after="0" w:line="178" w:lineRule="exact"/>
        <w:rPr>
          <w:sz w:val="20"/>
          <w:szCs w:val="20"/>
          <w:color w:val="auto"/>
        </w:rPr>
      </w:pPr>
    </w:p>
    <w:p>
      <w:pPr>
        <w:ind w:right="1500"/>
        <w:spacing w:after="0" w:line="279" w:lineRule="auto"/>
        <w:rPr>
          <w:sz w:val="20"/>
          <w:szCs w:val="20"/>
          <w:color w:val="auto"/>
        </w:rPr>
      </w:pPr>
      <w:r>
        <w:rPr>
          <w:rFonts w:ascii="Arial" w:cs="Arial" w:eastAsia="Arial" w:hAnsi="Arial"/>
          <w:sz w:val="25"/>
          <w:szCs w:val="25"/>
          <w:b w:val="1"/>
          <w:bCs w:val="1"/>
          <w:color w:val="D64000"/>
        </w:rPr>
        <w:t>INCENTIVE PERFORMANCE GOALS ARE LINKED TO KEY MEASURES OF OUR COMPANY’S PERFORMANCE AND STRATEGY</w:t>
      </w:r>
    </w:p>
    <w:p>
      <w:pPr>
        <w:spacing w:after="0"/>
        <w:rPr>
          <w:sz w:val="20"/>
          <w:szCs w:val="20"/>
          <w:color w:val="auto"/>
        </w:rPr>
      </w:pPr>
      <w:r>
        <w:rPr>
          <w:rFonts w:ascii="Arial" w:cs="Arial" w:eastAsia="Arial" w:hAnsi="Arial"/>
          <w:sz w:val="25"/>
          <w:szCs w:val="25"/>
          <w:b w:val="1"/>
          <w:bCs w:val="1"/>
          <w:color w:val="D64000"/>
        </w:rPr>
        <w:t>Annual incentive awards</w:t>
      </w:r>
    </w:p>
    <w:p>
      <w:pPr>
        <w:spacing w:after="0" w:line="103"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HR Committee sets performance goals for our annual incentive awards that focus on superior performance, considering current market conditions. The financial performance goals set by the HR Committee reflect our published business outlook, operating plan and long-term strategy. Annual incentive awards are designed to incentivize individual performance and drive accountability for results. An executive’s annual incentive award opportunity is expressed as a percentage of base salary.</w:t>
      </w:r>
    </w:p>
    <w:p>
      <w:pPr>
        <w:spacing w:after="0" w:line="57" w:lineRule="exact"/>
        <w:rPr>
          <w:sz w:val="20"/>
          <w:szCs w:val="20"/>
          <w:color w:val="auto"/>
        </w:rPr>
      </w:pPr>
    </w:p>
    <w:p>
      <w:pPr>
        <w:jc w:val="both"/>
        <w:ind w:right="200"/>
        <w:spacing w:after="0" w:line="241" w:lineRule="auto"/>
        <w:rPr>
          <w:sz w:val="20"/>
          <w:szCs w:val="20"/>
          <w:color w:val="auto"/>
        </w:rPr>
      </w:pPr>
      <w:r>
        <w:rPr>
          <w:rFonts w:ascii="Arial" w:cs="Arial" w:eastAsia="Arial" w:hAnsi="Arial"/>
          <w:sz w:val="17"/>
          <w:szCs w:val="17"/>
          <w:color w:val="auto"/>
        </w:rPr>
        <w:t>The following table sets forth annual incentive award payouts as a percentage of target for the years indicated. Payout percentages below have been rounded to the nearest whole percentage. Additional information about 2025 annual incentive award targets and performance is provided later in this compensation discussion and analysis. We also discuss each named executive officer’s actual 2025 annual incentive award payout later in this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6929755" cy="129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9755" cy="129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64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74" w:name="page75"/>
    <w:bookmarkEnd w:id="74"/>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Long-term incentive awards</w:t>
      </w:r>
    </w:p>
    <w:p>
      <w:pPr>
        <w:spacing w:after="0" w:line="10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An executive’s long-term incentive award opportunity is also expressed as a percentage of base salary, and an executive’s actual long-term award may be higher or lower for a particular year based on future potential and past performance. In addition, our long-term incentive awards are designed to optimally balance alignment with key drivers of total shareholder return, accountability for longer-term results and overall executive retention. Financial performance measures reflected in PRSUs granted as long-term incentive awards complement measures in annual incentive awards.</w:t>
      </w:r>
    </w:p>
    <w:p>
      <w:pPr>
        <w:spacing w:after="0" w:line="47"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The following table sets forth payouts for our PRSU awards as a percentage of target for the years indicated. Payout percentages below have been rounded to the nearest whole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1576070</wp:posOffset>
            </wp:positionH>
            <wp:positionV relativeFrom="paragraph">
              <wp:posOffset>132715</wp:posOffset>
            </wp:positionV>
            <wp:extent cx="3787775" cy="16986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787775" cy="169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Discretionary adjustment authority</w:t>
      </w:r>
    </w:p>
    <w:p>
      <w:pPr>
        <w:spacing w:after="0" w:line="103"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For both annual incentive awards and PRSUs granted as part of long-term incentive awards, the HR Committee is authorized to make discretionary adjustments (outside of the design principles discussed above, which operate mechanically without discretion) to deal with extraordinary, non-recurring or unanticipated business conditions that materially affected our results (positively and negatively), the fairness of the performance targets, or the impact of external changes which have unduly influenced our ability to meet the targets.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 2025, no discretionary adjustments were made in determining 2025 annual incentive awards or to any outstanding PRSU awards.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Non-IFRS financial measures</w:t>
      </w:r>
    </w:p>
    <w:p>
      <w:pPr>
        <w:spacing w:after="0" w:line="10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Most of the financial metrics that we use in our annual and long-term incentive awards described in this circular are non-IFRS financial measures. Later in this section, we discuss our annual and long-term incentive awards in more detail, and we explain why we use these metrics as part of our performance goals. Please also see the “Additional Information – Non-IFRS Financial Measures” section of this circular for more information about our non-IFRS financial measures.</w:t>
      </w:r>
    </w:p>
    <w:p>
      <w:pPr>
        <w:spacing w:after="0" w:line="172" w:lineRule="exact"/>
        <w:rPr>
          <w:sz w:val="20"/>
          <w:szCs w:val="20"/>
          <w:color w:val="auto"/>
        </w:rPr>
      </w:pPr>
    </w:p>
    <w:p>
      <w:pPr>
        <w:ind w:right="500"/>
        <w:spacing w:after="0" w:line="285" w:lineRule="auto"/>
        <w:rPr>
          <w:sz w:val="20"/>
          <w:szCs w:val="20"/>
          <w:color w:val="auto"/>
        </w:rPr>
      </w:pPr>
      <w:r>
        <w:rPr>
          <w:rFonts w:ascii="Arial" w:cs="Arial" w:eastAsia="Arial" w:hAnsi="Arial"/>
          <w:sz w:val="25"/>
          <w:szCs w:val="25"/>
          <w:b w:val="1"/>
          <w:bCs w:val="1"/>
          <w:color w:val="D64000"/>
        </w:rPr>
        <w:t>OUR EXECUTIVES SHOULD ACCUMULATE AND RETAIN EQUITY IN OUR COMPANY TO ALIGN THEIR INTERESTS WITH OUR SHAREHOLDERS</w:t>
      </w:r>
    </w:p>
    <w:p>
      <w:pPr>
        <w:spacing w:after="0" w:line="2"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long-term incentive awards are all equity-based and, together with our share ownership guidelines, align the interests of our executives with those of our shareholders and enable our executives to share in our long-term growth and success. Executives are aligned with shareholders because this part of their compensation is tied directly to the long-term performance of our shares.</w:t>
      </w:r>
    </w:p>
    <w:p>
      <w:pPr>
        <w:spacing w:after="0" w:line="4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PRSUs, TRSUs and stock options are designed to reward executives for increases in shareholder value and thereby foster strong alignment between management and shareholders. They also support important management retention objectives through the vesting requirements, which are over a period of years. From time to time, we also grant off-cycle equity awards on a highly selective basis to high-performing executives in connection with promotions and for retention and recognition of high potential, superior performance and contributions to the company.</w:t>
      </w:r>
    </w:p>
    <w:p>
      <w:pPr>
        <w:spacing w:after="0" w:line="4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Through our share ownership guidelines, our CEO (Steve Hasker) and other executive officers are required to acquire and maintain an equity interest in Thomson Reuters with a value equal to a multiple of their base salary. Until the guideline is met, executive officers must retain a specified percentage of the shares that they acquire (after applicable tax withholdings) through option exercises and the vesting of PRSUs and TRSUs. Unvested PRSUs and TRSUs and vested/unvested stock options do not count toward the guidelines. Share prices of all public companies are subject to market volatility. As a result, executive share ownership guidelines reflect a “once met, always met” standard. This means that if an executive has met his or her applicable ownership guideline multiple and a subsequent decline in the Thomson Reuters share price causes the value of his or her ownership to fall below the applicable threshold, the executive will be considered to be in compliance with the guidelines so long as he or she continues to hold the number of shares that were owned at the time when he or she achieved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9297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65</w:t>
      </w:r>
    </w:p>
    <w:p>
      <w:pPr>
        <w:sectPr>
          <w:pgSz w:w="11900" w:h="16838" w:orient="portrait"/>
          <w:cols w:equalWidth="0" w:num="1">
            <w:col w:w="10920"/>
          </w:cols>
          <w:pgMar w:left="480" w:top="262" w:right="499" w:bottom="1440" w:gutter="0" w:footer="0" w:header="0"/>
        </w:sectPr>
      </w:pPr>
    </w:p>
    <w:bookmarkStart w:id="75" w:name="page76"/>
    <w:bookmarkEnd w:id="75"/>
    <w:p>
      <w:pPr>
        <w:ind w:right="160"/>
        <w:spacing w:after="0" w:line="23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Steve Hasker and Mike Eastwood each became subject to share ownership guidelines in March 2020. Kirsty Roth became subject to share ownership guidelines in August 2020, David Wong in July 2020 and Paul Bascobert in September 2022. The following table shows the share ownership guidelines for our named executive officers, as well as their actual share ownership, based on the closing price of our shares on the Nasdaq on April 13, 2026. The table also shows the value of actual ownership and unvested RSUs. While unvested RSUs do not count towards the guidelines, they are reflective of awards that are scheduled to vest in the next few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146050</wp:posOffset>
            </wp:positionV>
            <wp:extent cx="4619625" cy="17665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61962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WE PROVIDE COMPETITIVE COMPENSATION OPPORTUNITIES</w:t>
      </w:r>
    </w:p>
    <w:p>
      <w:pPr>
        <w:spacing w:after="0" w:line="103"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The HR Committee utilizes independent market surveys and peer group data to provide an appropriate benchmark for competitive comparisons of executive pay levels and design structure, company performance and aggregate equity practices. The HR Committee refers to these benchmarks, either wholly or in part, when establishing individual components and overall compensation of our executives to assess the differences between our compensation program and those of the market and the peer group.</w:t>
      </w:r>
    </w:p>
    <w:p>
      <w:pPr>
        <w:spacing w:after="0" w:line="5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 an annual basis, the HR Committee evaluates each named executive officer’s compensation and compares each element (e.g., base salary, annual incentive and long-term incentive) and their total direct compensation (TDC), which consists of base salary, target annual incentive award value, target long-term incentive award value and the annualized value of any special grants that are outstanding. This TDC is compared for each named executive officer against compensation peer group data, as discussed below, to both understand the competitive level of an individual’s pay as well as to make decisions on each person’s appropriate competitive compensation position.</w:t>
      </w:r>
    </w:p>
    <w:p>
      <w:pPr>
        <w:spacing w:after="0" w:line="4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Market data is one of several data points used by the HR Committee for setting compensation. While the HR Committee does not target a specific competitive level of pay, the HR Committee does consider the overall competitive market as well as the experience, skills, contribution, historical and expected performance of each executive in its decision making. The HR Committee also considers differences between the scope and criticality of the role at Thomson Reuters and at peers, internal equity and retention risk.</w:t>
      </w:r>
    </w:p>
    <w:p>
      <w:pPr>
        <w:spacing w:after="0" w:line="5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March 2025, the HR Committee evaluated the current market position of our named executive officers’ compensation and approved increases to the base salary and long-term incentive target for Steve Hasker and long-term incentive targets for Mike Eastwood and Kirsty Roth to better align their pay with the market. FW Cook was consulted in connection with this compensation evaluation. Other than these increases, there were no changes to the named executive officers’ base salaries or target annual and long-term incentive awards.</w:t>
      </w:r>
    </w:p>
    <w:p>
      <w:pPr>
        <w:spacing w:after="0" w:line="5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HR Committee conducts periodic review of our peer groups to ensure they continue to reflect Thomson Reuters’ business strategy. The companies in our current global peer group are publicly traded and have similar business models or strategies which are focused on information development and electronic delivery. Our global peer group is a primary reference point considering the global nature of our business and the global market for executive talent. Although we believe our company is somewhat unique in terms of its business operations serving professionals across legal, tax, audit, accounting, compliance, government, and media, a number of these companies are considered by analysts and shareholders to be our closest public company comparables. Many of these other companies, like Thomson Reuters, also have significant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69297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66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5" w:right="499" w:bottom="1440" w:gutter="0" w:footer="0" w:header="0"/>
        </w:sectPr>
      </w:pPr>
    </w:p>
    <w:bookmarkStart w:id="76" w:name="page77"/>
    <w:bookmarkEnd w:id="76"/>
    <w:p>
      <w:pPr>
        <w:ind w:right="260"/>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When the global peer group was updated in 2024, companies in that peer group had revenues in their last four quarters ranging from approximately $5.3 billion at the 25</w:t>
      </w:r>
      <w:r>
        <w:rPr>
          <w:rFonts w:ascii="Arial" w:cs="Arial" w:eastAsia="Arial" w:hAnsi="Arial"/>
          <w:sz w:val="11"/>
          <w:szCs w:val="11"/>
          <w:color w:val="auto"/>
        </w:rPr>
        <w:t>th</w:t>
      </w:r>
      <w:r>
        <w:rPr>
          <w:rFonts w:ascii="Arial" w:cs="Arial" w:eastAsia="Arial" w:hAnsi="Arial"/>
          <w:sz w:val="16"/>
          <w:szCs w:val="16"/>
          <w:color w:val="auto"/>
        </w:rPr>
        <w:t xml:space="preserve"> percentile to approximately $11.7 billion at the 75</w:t>
      </w:r>
      <w:r>
        <w:rPr>
          <w:rFonts w:ascii="Arial" w:cs="Arial" w:eastAsia="Arial" w:hAnsi="Arial"/>
          <w:sz w:val="11"/>
          <w:szCs w:val="11"/>
          <w:color w:val="auto"/>
        </w:rPr>
        <w:t>th</w:t>
      </w:r>
      <w:r>
        <w:rPr>
          <w:rFonts w:ascii="Arial" w:cs="Arial" w:eastAsia="Arial" w:hAnsi="Arial"/>
          <w:sz w:val="16"/>
          <w:szCs w:val="16"/>
          <w:color w:val="auto"/>
        </w:rPr>
        <w:t xml:space="preserve"> percentile, with a median of approximately $6.8 billion, compared to Thomson Reuters’ 2023 revenues of approximately $6.8 billion. Compared to the updated global peer group, Thomson Reuters’ revenues were at the median and market cap was at the 75</w:t>
      </w:r>
      <w:r>
        <w:rPr>
          <w:rFonts w:ascii="Arial" w:cs="Arial" w:eastAsia="Arial" w:hAnsi="Arial"/>
          <w:sz w:val="11"/>
          <w:szCs w:val="11"/>
          <w:color w:val="auto"/>
        </w:rPr>
        <w:t>th</w:t>
      </w:r>
      <w:r>
        <w:rPr>
          <w:rFonts w:ascii="Arial" w:cs="Arial" w:eastAsia="Arial" w:hAnsi="Arial"/>
          <w:sz w:val="16"/>
          <w:szCs w:val="16"/>
          <w:color w:val="auto"/>
        </w:rPr>
        <w:t xml:space="preserve"> percentile. The 16 companies in our current global peer group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692975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20"/>
                <w:szCs w:val="20"/>
                <w:color w:val="auto"/>
              </w:rPr>
            </w:pPr>
            <w:r>
              <w:rPr>
                <w:rFonts w:ascii="Arial" w:cs="Arial" w:eastAsia="Arial" w:hAnsi="Arial"/>
                <w:sz w:val="17"/>
                <w:szCs w:val="17"/>
                <w:color w:val="auto"/>
              </w:rPr>
              <w:t>Automatic Data Processing Inc.</w:t>
            </w:r>
          </w:p>
        </w:tc>
        <w:tc>
          <w:tcPr>
            <w:tcW w:w="3300" w:type="dxa"/>
            <w:vAlign w:val="bottom"/>
          </w:tcPr>
          <w:p>
            <w:pPr>
              <w:ind w:left="660"/>
              <w:spacing w:after="0"/>
              <w:rPr>
                <w:sz w:val="20"/>
                <w:szCs w:val="20"/>
                <w:color w:val="auto"/>
              </w:rPr>
            </w:pPr>
            <w:r>
              <w:rPr>
                <w:rFonts w:ascii="Arial" w:cs="Arial" w:eastAsia="Arial" w:hAnsi="Arial"/>
                <w:sz w:val="17"/>
                <w:szCs w:val="17"/>
                <w:color w:val="auto"/>
              </w:rPr>
              <w:t>Gartner Inc.</w:t>
            </w:r>
          </w:p>
        </w:tc>
        <w:tc>
          <w:tcPr>
            <w:tcW w:w="4560" w:type="dxa"/>
            <w:vAlign w:val="bottom"/>
          </w:tcPr>
          <w:p>
            <w:pPr>
              <w:ind w:left="1080"/>
              <w:spacing w:after="0"/>
              <w:rPr>
                <w:sz w:val="20"/>
                <w:szCs w:val="20"/>
                <w:color w:val="auto"/>
              </w:rPr>
            </w:pPr>
            <w:r>
              <w:rPr>
                <w:rFonts w:ascii="Arial" w:cs="Arial" w:eastAsia="Arial" w:hAnsi="Arial"/>
                <w:sz w:val="17"/>
                <w:szCs w:val="17"/>
                <w:color w:val="auto"/>
              </w:rPr>
              <w:t>RELX PLC</w:t>
            </w:r>
          </w:p>
        </w:tc>
      </w:tr>
      <w:tr>
        <w:trPr>
          <w:trHeight w:val="227"/>
        </w:trPr>
        <w:tc>
          <w:tcPr>
            <w:tcW w:w="3060" w:type="dxa"/>
            <w:vAlign w:val="bottom"/>
          </w:tcPr>
          <w:p>
            <w:pPr>
              <w:spacing w:after="0"/>
              <w:rPr>
                <w:sz w:val="20"/>
                <w:szCs w:val="20"/>
                <w:color w:val="auto"/>
              </w:rPr>
            </w:pPr>
            <w:r>
              <w:rPr>
                <w:rFonts w:ascii="Arial" w:cs="Arial" w:eastAsia="Arial" w:hAnsi="Arial"/>
                <w:sz w:val="17"/>
                <w:szCs w:val="17"/>
                <w:color w:val="auto"/>
              </w:rPr>
              <w:t>CGI Group Inc.</w:t>
            </w:r>
          </w:p>
        </w:tc>
        <w:tc>
          <w:tcPr>
            <w:tcW w:w="3300" w:type="dxa"/>
            <w:vAlign w:val="bottom"/>
          </w:tcPr>
          <w:p>
            <w:pPr>
              <w:ind w:left="660"/>
              <w:spacing w:after="0"/>
              <w:rPr>
                <w:sz w:val="20"/>
                <w:szCs w:val="20"/>
                <w:color w:val="auto"/>
              </w:rPr>
            </w:pPr>
            <w:r>
              <w:rPr>
                <w:rFonts w:ascii="Arial" w:cs="Arial" w:eastAsia="Arial" w:hAnsi="Arial"/>
                <w:sz w:val="17"/>
                <w:szCs w:val="17"/>
                <w:color w:val="auto"/>
              </w:rPr>
              <w:t>Intuit Inc.</w:t>
            </w:r>
          </w:p>
        </w:tc>
        <w:tc>
          <w:tcPr>
            <w:tcW w:w="4560" w:type="dxa"/>
            <w:vAlign w:val="bottom"/>
          </w:tcPr>
          <w:p>
            <w:pPr>
              <w:ind w:left="1080"/>
              <w:spacing w:after="0"/>
              <w:rPr>
                <w:sz w:val="20"/>
                <w:szCs w:val="20"/>
                <w:color w:val="auto"/>
              </w:rPr>
            </w:pPr>
            <w:r>
              <w:rPr>
                <w:rFonts w:ascii="Arial" w:cs="Arial" w:eastAsia="Arial" w:hAnsi="Arial"/>
                <w:sz w:val="17"/>
                <w:szCs w:val="17"/>
                <w:color w:val="auto"/>
              </w:rPr>
              <w:t>S&amp;P Global Inc.</w:t>
            </w:r>
          </w:p>
        </w:tc>
      </w:tr>
      <w:tr>
        <w:trPr>
          <w:trHeight w:val="227"/>
        </w:trPr>
        <w:tc>
          <w:tcPr>
            <w:tcW w:w="3060" w:type="dxa"/>
            <w:vAlign w:val="bottom"/>
          </w:tcPr>
          <w:p>
            <w:pPr>
              <w:spacing w:after="0"/>
              <w:rPr>
                <w:sz w:val="20"/>
                <w:szCs w:val="20"/>
                <w:color w:val="auto"/>
              </w:rPr>
            </w:pPr>
            <w:r>
              <w:rPr>
                <w:rFonts w:ascii="Arial" w:cs="Arial" w:eastAsia="Arial" w:hAnsi="Arial"/>
                <w:sz w:val="17"/>
                <w:szCs w:val="17"/>
                <w:color w:val="auto"/>
              </w:rPr>
              <w:t>eBay Inc.</w:t>
            </w:r>
          </w:p>
        </w:tc>
        <w:tc>
          <w:tcPr>
            <w:tcW w:w="3300" w:type="dxa"/>
            <w:vAlign w:val="bottom"/>
          </w:tcPr>
          <w:p>
            <w:pPr>
              <w:ind w:left="660"/>
              <w:spacing w:after="0"/>
              <w:rPr>
                <w:sz w:val="20"/>
                <w:szCs w:val="20"/>
                <w:color w:val="auto"/>
              </w:rPr>
            </w:pPr>
            <w:r>
              <w:rPr>
                <w:rFonts w:ascii="Arial" w:cs="Arial" w:eastAsia="Arial" w:hAnsi="Arial"/>
                <w:sz w:val="17"/>
                <w:szCs w:val="17"/>
                <w:color w:val="auto"/>
              </w:rPr>
              <w:t>Moody’s Corp.</w:t>
            </w:r>
          </w:p>
        </w:tc>
        <w:tc>
          <w:tcPr>
            <w:tcW w:w="4560" w:type="dxa"/>
            <w:vAlign w:val="bottom"/>
          </w:tcPr>
          <w:p>
            <w:pPr>
              <w:ind w:left="1080"/>
              <w:spacing w:after="0"/>
              <w:rPr>
                <w:sz w:val="20"/>
                <w:szCs w:val="20"/>
                <w:color w:val="auto"/>
              </w:rPr>
            </w:pPr>
            <w:r>
              <w:rPr>
                <w:rFonts w:ascii="Arial" w:cs="Arial" w:eastAsia="Arial" w:hAnsi="Arial"/>
                <w:sz w:val="17"/>
                <w:szCs w:val="17"/>
                <w:color w:val="auto"/>
              </w:rPr>
              <w:t>TransUnion LLC</w:t>
            </w:r>
          </w:p>
        </w:tc>
      </w:tr>
      <w:tr>
        <w:trPr>
          <w:trHeight w:val="227"/>
        </w:trPr>
        <w:tc>
          <w:tcPr>
            <w:tcW w:w="3060" w:type="dxa"/>
            <w:vAlign w:val="bottom"/>
          </w:tcPr>
          <w:p>
            <w:pPr>
              <w:spacing w:after="0"/>
              <w:rPr>
                <w:sz w:val="20"/>
                <w:szCs w:val="20"/>
                <w:color w:val="auto"/>
              </w:rPr>
            </w:pPr>
            <w:r>
              <w:rPr>
                <w:rFonts w:ascii="Arial" w:cs="Arial" w:eastAsia="Arial" w:hAnsi="Arial"/>
                <w:sz w:val="17"/>
                <w:szCs w:val="17"/>
                <w:color w:val="auto"/>
              </w:rPr>
              <w:t>Equifax Inc.</w:t>
            </w:r>
          </w:p>
        </w:tc>
        <w:tc>
          <w:tcPr>
            <w:tcW w:w="3300" w:type="dxa"/>
            <w:vAlign w:val="bottom"/>
          </w:tcPr>
          <w:p>
            <w:pPr>
              <w:ind w:left="660"/>
              <w:spacing w:after="0"/>
              <w:rPr>
                <w:sz w:val="20"/>
                <w:szCs w:val="20"/>
                <w:color w:val="auto"/>
              </w:rPr>
            </w:pPr>
            <w:r>
              <w:rPr>
                <w:rFonts w:ascii="Arial" w:cs="Arial" w:eastAsia="Arial" w:hAnsi="Arial"/>
                <w:sz w:val="17"/>
                <w:szCs w:val="17"/>
                <w:color w:val="auto"/>
              </w:rPr>
              <w:t>MSCI Inc.</w:t>
            </w:r>
          </w:p>
        </w:tc>
        <w:tc>
          <w:tcPr>
            <w:tcW w:w="4560" w:type="dxa"/>
            <w:vAlign w:val="bottom"/>
          </w:tcPr>
          <w:p>
            <w:pPr>
              <w:ind w:left="1080"/>
              <w:spacing w:after="0"/>
              <w:rPr>
                <w:sz w:val="20"/>
                <w:szCs w:val="20"/>
                <w:color w:val="auto"/>
              </w:rPr>
            </w:pPr>
            <w:r>
              <w:rPr>
                <w:rFonts w:ascii="Arial" w:cs="Arial" w:eastAsia="Arial" w:hAnsi="Arial"/>
                <w:sz w:val="17"/>
                <w:szCs w:val="17"/>
                <w:color w:val="auto"/>
              </w:rPr>
              <w:t>Verisk Analytics, Inc.</w:t>
            </w:r>
          </w:p>
        </w:tc>
      </w:tr>
      <w:tr>
        <w:trPr>
          <w:trHeight w:val="227"/>
        </w:trPr>
        <w:tc>
          <w:tcPr>
            <w:tcW w:w="3060" w:type="dxa"/>
            <w:vAlign w:val="bottom"/>
          </w:tcPr>
          <w:p>
            <w:pPr>
              <w:spacing w:after="0"/>
              <w:rPr>
                <w:sz w:val="20"/>
                <w:szCs w:val="20"/>
                <w:color w:val="auto"/>
              </w:rPr>
            </w:pPr>
            <w:r>
              <w:rPr>
                <w:rFonts w:ascii="Arial" w:cs="Arial" w:eastAsia="Arial" w:hAnsi="Arial"/>
                <w:sz w:val="17"/>
                <w:szCs w:val="17"/>
                <w:color w:val="auto"/>
              </w:rPr>
              <w:t>Experian Plc</w:t>
            </w:r>
          </w:p>
        </w:tc>
        <w:tc>
          <w:tcPr>
            <w:tcW w:w="3300" w:type="dxa"/>
            <w:vAlign w:val="bottom"/>
          </w:tcPr>
          <w:p>
            <w:pPr>
              <w:ind w:left="660"/>
              <w:spacing w:after="0"/>
              <w:rPr>
                <w:sz w:val="20"/>
                <w:szCs w:val="20"/>
                <w:color w:val="auto"/>
              </w:rPr>
            </w:pPr>
            <w:r>
              <w:rPr>
                <w:rFonts w:ascii="Arial" w:cs="Arial" w:eastAsia="Arial" w:hAnsi="Arial"/>
                <w:sz w:val="17"/>
                <w:szCs w:val="17"/>
                <w:color w:val="auto"/>
              </w:rPr>
              <w:t>Omnicom Group Inc.</w:t>
            </w:r>
          </w:p>
        </w:tc>
        <w:tc>
          <w:tcPr>
            <w:tcW w:w="4560" w:type="dxa"/>
            <w:vAlign w:val="bottom"/>
          </w:tcPr>
          <w:p>
            <w:pPr>
              <w:ind w:left="1080"/>
              <w:spacing w:after="0"/>
              <w:rPr>
                <w:sz w:val="20"/>
                <w:szCs w:val="20"/>
                <w:color w:val="auto"/>
              </w:rPr>
            </w:pPr>
            <w:r>
              <w:rPr>
                <w:rFonts w:ascii="Arial" w:cs="Arial" w:eastAsia="Arial" w:hAnsi="Arial"/>
                <w:sz w:val="17"/>
                <w:szCs w:val="17"/>
                <w:color w:val="auto"/>
              </w:rPr>
              <w:t>Wolters Kluwer NV</w:t>
            </w:r>
          </w:p>
        </w:tc>
      </w:tr>
      <w:tr>
        <w:trPr>
          <w:trHeight w:val="227"/>
        </w:trPr>
        <w:tc>
          <w:tcPr>
            <w:tcW w:w="3060" w:type="dxa"/>
            <w:vAlign w:val="bottom"/>
          </w:tcPr>
          <w:p>
            <w:pPr>
              <w:spacing w:after="0"/>
              <w:rPr>
                <w:sz w:val="20"/>
                <w:szCs w:val="20"/>
                <w:color w:val="auto"/>
              </w:rPr>
            </w:pPr>
            <w:r>
              <w:rPr>
                <w:rFonts w:ascii="Arial" w:cs="Arial" w:eastAsia="Arial" w:hAnsi="Arial"/>
                <w:sz w:val="17"/>
                <w:szCs w:val="17"/>
                <w:color w:val="auto"/>
              </w:rPr>
              <w:t>FactSet Research Systems Inc.</w:t>
            </w:r>
          </w:p>
        </w:tc>
        <w:tc>
          <w:tcPr>
            <w:tcW w:w="33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60"/>
        </w:trPr>
        <w:tc>
          <w:tcPr>
            <w:tcW w:w="3060" w:type="dxa"/>
            <w:vAlign w:val="bottom"/>
            <w:tcBorders>
              <w:bottom w:val="single" w:sz="8" w:color="D64000"/>
            </w:tcBorders>
          </w:tcPr>
          <w:p>
            <w:pPr>
              <w:spacing w:after="0"/>
              <w:rPr>
                <w:sz w:val="5"/>
                <w:szCs w:val="5"/>
                <w:color w:val="auto"/>
              </w:rPr>
            </w:pPr>
          </w:p>
        </w:tc>
        <w:tc>
          <w:tcPr>
            <w:tcW w:w="3300" w:type="dxa"/>
            <w:vAlign w:val="bottom"/>
            <w:tcBorders>
              <w:bottom w:val="single" w:sz="8" w:color="D64000"/>
            </w:tcBorders>
          </w:tcPr>
          <w:p>
            <w:pPr>
              <w:spacing w:after="0"/>
              <w:rPr>
                <w:sz w:val="5"/>
                <w:szCs w:val="5"/>
                <w:color w:val="auto"/>
              </w:rPr>
            </w:pPr>
          </w:p>
        </w:tc>
        <w:tc>
          <w:tcPr>
            <w:tcW w:w="4560" w:type="dxa"/>
            <w:vAlign w:val="bottom"/>
            <w:tcBorders>
              <w:bottom w:val="single" w:sz="8" w:color="D64000"/>
            </w:tcBorders>
          </w:tcPr>
          <w:p>
            <w:pPr>
              <w:spacing w:after="0"/>
              <w:rPr>
                <w:sz w:val="5"/>
                <w:szCs w:val="5"/>
                <w:color w:val="auto"/>
              </w:rPr>
            </w:pPr>
          </w:p>
        </w:tc>
      </w:tr>
    </w:tbl>
    <w:p>
      <w:pPr>
        <w:spacing w:after="0" w:line="7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For compensation benchmarking of the CEO, CFO and other executive officers based in Toronto, the HR Committee also utilizes a separate Canadian peer group as a secondary reference point. When the Canadian peer group was reviewed in June 2024, companies in that peer group had revenues in their last four quarters ranging from approximately $7.1 billion at the 25</w:t>
      </w:r>
      <w:r>
        <w:rPr>
          <w:rFonts w:ascii="Arial" w:cs="Arial" w:eastAsia="Arial" w:hAnsi="Arial"/>
          <w:sz w:val="12"/>
          <w:szCs w:val="12"/>
          <w:color w:val="auto"/>
        </w:rPr>
        <w:t>th</w:t>
      </w:r>
      <w:r>
        <w:rPr>
          <w:rFonts w:ascii="Arial" w:cs="Arial" w:eastAsia="Arial" w:hAnsi="Arial"/>
          <w:sz w:val="17"/>
          <w:szCs w:val="17"/>
          <w:color w:val="auto"/>
        </w:rPr>
        <w:t xml:space="preserve"> percentile to approximately $21.7 billion at the 75</w:t>
      </w:r>
      <w:r>
        <w:rPr>
          <w:rFonts w:ascii="Arial" w:cs="Arial" w:eastAsia="Arial" w:hAnsi="Arial"/>
          <w:sz w:val="12"/>
          <w:szCs w:val="12"/>
          <w:color w:val="auto"/>
        </w:rPr>
        <w:t>th</w:t>
      </w:r>
      <w:r>
        <w:rPr>
          <w:rFonts w:ascii="Arial" w:cs="Arial" w:eastAsia="Arial" w:hAnsi="Arial"/>
          <w:sz w:val="17"/>
          <w:szCs w:val="17"/>
          <w:color w:val="auto"/>
        </w:rPr>
        <w:t xml:space="preserve"> percentile, with a median of approximately $14.6 billion. Compared to the Canadian peer group, Thomson Reuters ranked near the 25</w:t>
      </w:r>
      <w:r>
        <w:rPr>
          <w:rFonts w:ascii="Arial" w:cs="Arial" w:eastAsia="Arial" w:hAnsi="Arial"/>
          <w:sz w:val="12"/>
          <w:szCs w:val="12"/>
          <w:color w:val="auto"/>
        </w:rPr>
        <w:t>th</w:t>
      </w:r>
      <w:r>
        <w:rPr>
          <w:rFonts w:ascii="Arial" w:cs="Arial" w:eastAsia="Arial" w:hAnsi="Arial"/>
          <w:sz w:val="17"/>
          <w:szCs w:val="17"/>
          <w:color w:val="auto"/>
        </w:rPr>
        <w:t xml:space="preserve"> percentile in revenue and near the 75</w:t>
      </w:r>
      <w:r>
        <w:rPr>
          <w:rFonts w:ascii="Arial" w:cs="Arial" w:eastAsia="Arial" w:hAnsi="Arial"/>
          <w:sz w:val="12"/>
          <w:szCs w:val="12"/>
          <w:color w:val="auto"/>
        </w:rPr>
        <w:t>th</w:t>
      </w:r>
      <w:r>
        <w:rPr>
          <w:rFonts w:ascii="Arial" w:cs="Arial" w:eastAsia="Arial" w:hAnsi="Arial"/>
          <w:sz w:val="17"/>
          <w:szCs w:val="17"/>
          <w:color w:val="auto"/>
        </w:rPr>
        <w:t xml:space="preserve"> percentile in market capitalization. The 17 companies in our Canadian peer group include Bank of Montreal, The Bank of Nova Scotia, BCE Inc., Canadian Imperial Bank of Commerce, CGI Group Inc., Cogeco Communications Inc., Constellation Software Inc., Intact Financial Corporation, National Bank of Canada, Open Text Corporation, Quebecor Inc., Rogers Communications Inc., Royal Bank of Canada, Shopify Inc., Stantec Inc., TELUS Communications Inc. and The Toronto-Dominion Bank.</w:t>
      </w:r>
    </w:p>
    <w:p>
      <w:pPr>
        <w:spacing w:after="0" w:line="47"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HR Committee also reviews compensation for executive officers based in the United States and Switzerland with data from their relevant local talent market.</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25"/>
          <w:szCs w:val="25"/>
          <w:b w:val="1"/>
          <w:bCs w:val="1"/>
          <w:color w:val="D64000"/>
        </w:rPr>
        <w:t>OUR COMPENSATION PROGRAMS TAKE RISK INTO ACCOUNT AND DO NOT ENCOURAGE UNNECESSARY OR EXCESSIVE RISK TAKING</w:t>
      </w:r>
    </w:p>
    <w:p>
      <w:pPr>
        <w:ind w:right="200"/>
        <w:spacing w:after="0" w:line="254" w:lineRule="auto"/>
        <w:rPr>
          <w:sz w:val="20"/>
          <w:szCs w:val="20"/>
          <w:color w:val="auto"/>
        </w:rPr>
      </w:pPr>
      <w:r>
        <w:rPr>
          <w:rFonts w:ascii="Arial" w:cs="Arial" w:eastAsia="Arial" w:hAnsi="Arial"/>
          <w:sz w:val="17"/>
          <w:szCs w:val="17"/>
          <w:color w:val="auto"/>
        </w:rPr>
        <w:t>We have designed our compensation programs to provide an appropriate balance of risk and reward in relation to our company’s overall business strategy. The HR Committee assesses compensation risk on an annual basis as part of its oversight of our executive compensation program to determine if it creates a potential material risk for Thomson Reuters. In February 2026, FW Cook provided the HR Committee with a risk assessment of the Thomson Reuters compensation program for executive officers. As part of its assessment, FW Cook reviewed our compensation structure and key attributes of our compensation program for executive officers for the purpose of identifying potential sources of risk. Based on its review, FW Cook was of the view that our compensation program appears unlikely to create incentives for excessive risk taking and includes meaningful safeguards to mitigate compensation program risk.</w:t>
      </w:r>
    </w:p>
    <w:p>
      <w:pPr>
        <w:spacing w:after="0" w:line="50"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HR Committee and management believe that our senior executive compensation programs do not incentivize our executives to take unnecessary or excessive risks for the reasons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What we do</w:t>
      </w:r>
    </w:p>
    <w:p>
      <w:pPr>
        <w:spacing w:after="0" w:line="79" w:lineRule="exact"/>
        <w:rPr>
          <w:sz w:val="20"/>
          <w:szCs w:val="20"/>
          <w:color w:val="auto"/>
        </w:rPr>
      </w:pPr>
    </w:p>
    <w:p>
      <w:pPr>
        <w:ind w:left="440" w:right="900" w:hanging="433"/>
        <w:spacing w:after="0" w:line="272" w:lineRule="auto"/>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The HR Committee is comprised of a majority of </w:t>
      </w:r>
      <w:r>
        <w:rPr>
          <w:rFonts w:ascii="Arial" w:cs="Arial" w:eastAsia="Arial" w:hAnsi="Arial"/>
          <w:sz w:val="17"/>
          <w:szCs w:val="17"/>
          <w:b w:val="1"/>
          <w:bCs w:val="1"/>
          <w:color w:val="auto"/>
        </w:rPr>
        <w:t>independent directors</w:t>
      </w:r>
      <w:r>
        <w:rPr>
          <w:rFonts w:ascii="Arial" w:cs="Arial" w:eastAsia="Arial" w:hAnsi="Arial"/>
          <w:sz w:val="17"/>
          <w:szCs w:val="17"/>
          <w:color w:val="auto"/>
        </w:rPr>
        <w:t xml:space="preserve"> and it uses an </w:t>
      </w:r>
      <w:r>
        <w:rPr>
          <w:rFonts w:ascii="Arial" w:cs="Arial" w:eastAsia="Arial" w:hAnsi="Arial"/>
          <w:sz w:val="17"/>
          <w:szCs w:val="17"/>
          <w:b w:val="1"/>
          <w:bCs w:val="1"/>
          <w:color w:val="auto"/>
        </w:rPr>
        <w:t>independent executive compensation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consultant </w:t>
      </w:r>
      <w:r>
        <w:rPr>
          <w:rFonts w:ascii="Arial" w:cs="Arial" w:eastAsia="Arial" w:hAnsi="Arial"/>
          <w:sz w:val="17"/>
          <w:szCs w:val="17"/>
          <w:color w:val="auto"/>
        </w:rPr>
        <w:t>to assess our executive compensation programs;</w:t>
      </w:r>
    </w:p>
    <w:p>
      <w:pPr>
        <w:spacing w:after="0" w:line="25" w:lineRule="exact"/>
        <w:rPr>
          <w:rFonts w:ascii="MS PGothic" w:cs="MS PGothic" w:eastAsia="MS PGothic" w:hAnsi="MS PGothic"/>
          <w:sz w:val="17"/>
          <w:szCs w:val="17"/>
          <w:color w:val="1F473D"/>
        </w:rPr>
      </w:pPr>
    </w:p>
    <w:p>
      <w:pPr>
        <w:ind w:left="440" w:right="660" w:hanging="433"/>
        <w:spacing w:after="0" w:line="263" w:lineRule="auto"/>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Most of an executive’s compensation is comprised of </w:t>
      </w:r>
      <w:r>
        <w:rPr>
          <w:rFonts w:ascii="Arial" w:cs="Arial" w:eastAsia="Arial" w:hAnsi="Arial"/>
          <w:sz w:val="17"/>
          <w:szCs w:val="17"/>
          <w:b w:val="1"/>
          <w:bCs w:val="1"/>
          <w:color w:val="auto"/>
        </w:rPr>
        <w:t>longer-term performance opportunities</w:t>
      </w:r>
      <w:r>
        <w:rPr>
          <w:rFonts w:ascii="Arial" w:cs="Arial" w:eastAsia="Arial" w:hAnsi="Arial"/>
          <w:sz w:val="17"/>
          <w:szCs w:val="17"/>
          <w:color w:val="auto"/>
        </w:rPr>
        <w:t xml:space="preserve"> with less emphasis on shorter-term performance opportunities;</w:t>
      </w:r>
    </w:p>
    <w:p>
      <w:pPr>
        <w:spacing w:after="0" w:line="39" w:lineRule="exact"/>
        <w:rPr>
          <w:rFonts w:ascii="MS PGothic" w:cs="MS PGothic" w:eastAsia="MS PGothic" w:hAnsi="MS PGothic"/>
          <w:sz w:val="17"/>
          <w:szCs w:val="17"/>
          <w:color w:val="1F473D"/>
        </w:rPr>
      </w:pPr>
    </w:p>
    <w:p>
      <w:pPr>
        <w:ind w:left="440" w:hanging="433"/>
        <w:spacing w:after="0"/>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base salary</w:t>
      </w:r>
      <w:r>
        <w:rPr>
          <w:rFonts w:ascii="Arial" w:cs="Arial" w:eastAsia="Arial" w:hAnsi="Arial"/>
          <w:sz w:val="17"/>
          <w:szCs w:val="17"/>
          <w:color w:val="auto"/>
        </w:rPr>
        <w:t xml:space="preserve"> component of each executive’s compensation is </w:t>
      </w:r>
      <w:r>
        <w:rPr>
          <w:rFonts w:ascii="Arial" w:cs="Arial" w:eastAsia="Arial" w:hAnsi="Arial"/>
          <w:sz w:val="17"/>
          <w:szCs w:val="17"/>
          <w:b w:val="1"/>
          <w:bCs w:val="1"/>
          <w:color w:val="auto"/>
        </w:rPr>
        <w:t>fixed</w:t>
      </w:r>
      <w:r>
        <w:rPr>
          <w:rFonts w:ascii="Arial" w:cs="Arial" w:eastAsia="Arial" w:hAnsi="Arial"/>
          <w:sz w:val="17"/>
          <w:szCs w:val="17"/>
          <w:color w:val="auto"/>
        </w:rPr>
        <w:t>;</w:t>
      </w:r>
    </w:p>
    <w:p>
      <w:pPr>
        <w:spacing w:after="0" w:line="112" w:lineRule="exact"/>
        <w:rPr>
          <w:rFonts w:ascii="MS PGothic" w:cs="MS PGothic" w:eastAsia="MS PGothic" w:hAnsi="MS PGothic"/>
          <w:sz w:val="17"/>
          <w:szCs w:val="17"/>
          <w:color w:val="1F473D"/>
        </w:rPr>
      </w:pPr>
    </w:p>
    <w:p>
      <w:pPr>
        <w:ind w:left="440" w:right="300" w:hanging="433"/>
        <w:spacing w:after="0" w:line="263" w:lineRule="auto"/>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HR Committee annually reviews and determines award design</w:t>
      </w:r>
      <w:r>
        <w:rPr>
          <w:rFonts w:ascii="Arial" w:cs="Arial" w:eastAsia="Arial" w:hAnsi="Arial"/>
          <w:sz w:val="17"/>
          <w:szCs w:val="17"/>
          <w:color w:val="auto"/>
        </w:rPr>
        <w:t xml:space="preserve"> and there are </w:t>
      </w:r>
      <w:r>
        <w:rPr>
          <w:rFonts w:ascii="Arial" w:cs="Arial" w:eastAsia="Arial" w:hAnsi="Arial"/>
          <w:sz w:val="17"/>
          <w:szCs w:val="17"/>
          <w:b w:val="1"/>
          <w:bCs w:val="1"/>
          <w:color w:val="auto"/>
        </w:rPr>
        <w:t>principles and processes with management</w:t>
      </w:r>
      <w:r>
        <w:rPr>
          <w:rFonts w:ascii="Arial" w:cs="Arial" w:eastAsia="Arial" w:hAnsi="Arial"/>
          <w:sz w:val="17"/>
          <w:szCs w:val="17"/>
          <w:color w:val="auto"/>
        </w:rPr>
        <w:t xml:space="preserve"> for approving design changes and performance goals;</w:t>
      </w:r>
    </w:p>
    <w:p>
      <w:pPr>
        <w:spacing w:after="0" w:line="39" w:lineRule="exact"/>
        <w:rPr>
          <w:rFonts w:ascii="MS PGothic" w:cs="MS PGothic" w:eastAsia="MS PGothic" w:hAnsi="MS PGothic"/>
          <w:sz w:val="17"/>
          <w:szCs w:val="17"/>
          <w:color w:val="1F473D"/>
        </w:rPr>
      </w:pPr>
    </w:p>
    <w:p>
      <w:pPr>
        <w:ind w:left="440" w:right="140" w:hanging="433"/>
        <w:spacing w:after="0" w:line="246" w:lineRule="auto"/>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The HR Committee reviews </w:t>
      </w:r>
      <w:r>
        <w:rPr>
          <w:rFonts w:ascii="Arial" w:cs="Arial" w:eastAsia="Arial" w:hAnsi="Arial"/>
          <w:sz w:val="17"/>
          <w:szCs w:val="17"/>
          <w:b w:val="1"/>
          <w:bCs w:val="1"/>
          <w:color w:val="auto"/>
        </w:rPr>
        <w:t>performance criteria</w:t>
      </w:r>
      <w:r>
        <w:rPr>
          <w:rFonts w:ascii="Arial" w:cs="Arial" w:eastAsia="Arial" w:hAnsi="Arial"/>
          <w:sz w:val="17"/>
          <w:szCs w:val="17"/>
          <w:color w:val="auto"/>
        </w:rPr>
        <w:t xml:space="preserve"> for financial metrics used in our incentive awards, including threshold, target and maximum amounts, to ensure that they are challenging, but achievable. Performance criteria are in alignment with the company’s strategic objectives;</w:t>
      </w:r>
    </w:p>
    <w:p>
      <w:pPr>
        <w:spacing w:after="0" w:line="54" w:lineRule="exact"/>
        <w:rPr>
          <w:rFonts w:ascii="MS PGothic" w:cs="MS PGothic" w:eastAsia="MS PGothic" w:hAnsi="MS PGothic"/>
          <w:sz w:val="17"/>
          <w:szCs w:val="17"/>
          <w:color w:val="1F473D"/>
        </w:rPr>
      </w:pPr>
    </w:p>
    <w:p>
      <w:pPr>
        <w:ind w:left="440" w:right="100" w:hanging="433"/>
        <w:spacing w:after="0" w:line="263" w:lineRule="auto"/>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Our incentive awards utilize a number of </w:t>
      </w:r>
      <w:r>
        <w:rPr>
          <w:rFonts w:ascii="Arial" w:cs="Arial" w:eastAsia="Arial" w:hAnsi="Arial"/>
          <w:sz w:val="17"/>
          <w:szCs w:val="17"/>
          <w:b w:val="1"/>
          <w:bCs w:val="1"/>
          <w:color w:val="auto"/>
        </w:rPr>
        <w:t>different financial performance measures</w:t>
      </w:r>
      <w:r>
        <w:rPr>
          <w:rFonts w:ascii="Arial" w:cs="Arial" w:eastAsia="Arial" w:hAnsi="Arial"/>
          <w:sz w:val="17"/>
          <w:szCs w:val="17"/>
          <w:color w:val="auto"/>
        </w:rPr>
        <w:t xml:space="preserve"> and do not rely on a single metric. Each metric has a threshold, target and maximum performance target with pre-defined payout amounts;</w:t>
      </w:r>
    </w:p>
    <w:p>
      <w:pPr>
        <w:spacing w:after="0" w:line="39" w:lineRule="exact"/>
        <w:rPr>
          <w:rFonts w:ascii="MS PGothic" w:cs="MS PGothic" w:eastAsia="MS PGothic" w:hAnsi="MS PGothic"/>
          <w:sz w:val="17"/>
          <w:szCs w:val="17"/>
          <w:color w:val="1F473D"/>
        </w:rPr>
      </w:pPr>
    </w:p>
    <w:p>
      <w:pPr>
        <w:ind w:left="440" w:hanging="433"/>
        <w:spacing w:after="0"/>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Our annual incentive awards and PRSUs issued as part of long-term incentive awards have </w:t>
      </w:r>
      <w:r>
        <w:rPr>
          <w:rFonts w:ascii="Arial" w:cs="Arial" w:eastAsia="Arial" w:hAnsi="Arial"/>
          <w:sz w:val="17"/>
          <w:szCs w:val="17"/>
          <w:b w:val="1"/>
          <w:bCs w:val="1"/>
          <w:color w:val="auto"/>
        </w:rPr>
        <w:t>caps for the maximum potential payouts</w:t>
      </w:r>
      <w:r>
        <w:rPr>
          <w:rFonts w:ascii="Arial" w:cs="Arial" w:eastAsia="Arial" w:hAnsi="Arial"/>
          <w:sz w:val="17"/>
          <w:szCs w:val="17"/>
          <w:color w:val="auto"/>
        </w:rPr>
        <w:t>;</w:t>
      </w:r>
    </w:p>
    <w:p>
      <w:pPr>
        <w:spacing w:after="0" w:line="112" w:lineRule="exact"/>
        <w:rPr>
          <w:rFonts w:ascii="MS PGothic" w:cs="MS PGothic" w:eastAsia="MS PGothic" w:hAnsi="MS PGothic"/>
          <w:sz w:val="17"/>
          <w:szCs w:val="17"/>
          <w:color w:val="1F473D"/>
        </w:rPr>
      </w:pPr>
    </w:p>
    <w:p>
      <w:pPr>
        <w:ind w:left="440" w:right="280" w:hanging="433"/>
        <w:spacing w:after="0" w:line="263" w:lineRule="auto"/>
        <w:tabs>
          <w:tab w:leader="none" w:pos="440" w:val="left"/>
        </w:tabs>
        <w:numPr>
          <w:ilvl w:val="0"/>
          <w:numId w:val="76"/>
        </w:numPr>
        <w:rPr>
          <w:rFonts w:ascii="MS PGothic" w:cs="MS PGothic" w:eastAsia="MS PGothic" w:hAnsi="MS PGothic"/>
          <w:sz w:val="17"/>
          <w:szCs w:val="17"/>
          <w:color w:val="1F473D"/>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HR Committee has authority</w:t>
      </w:r>
      <w:r>
        <w:rPr>
          <w:rFonts w:ascii="Arial" w:cs="Arial" w:eastAsia="Arial" w:hAnsi="Arial"/>
          <w:sz w:val="17"/>
          <w:szCs w:val="17"/>
          <w:color w:val="auto"/>
        </w:rPr>
        <w:t xml:space="preserve"> to make fairness-related and other adjustments to performance award opportunities that it may deem appropriate to reflect the quality of results;</w:t>
      </w:r>
    </w:p>
    <w:p>
      <w:pPr>
        <w:spacing w:after="0" w:line="42" w:lineRule="exact"/>
        <w:rPr>
          <w:rFonts w:ascii="MS PGothic" w:cs="MS PGothic" w:eastAsia="MS PGothic" w:hAnsi="MS PGothic"/>
          <w:sz w:val="17"/>
          <w:szCs w:val="17"/>
          <w:color w:val="1F473D"/>
        </w:rPr>
      </w:pPr>
    </w:p>
    <w:p>
      <w:pPr>
        <w:ind w:left="440" w:right="60" w:hanging="433"/>
        <w:spacing w:after="0" w:line="265" w:lineRule="auto"/>
        <w:tabs>
          <w:tab w:leader="none" w:pos="440" w:val="left"/>
        </w:tabs>
        <w:numPr>
          <w:ilvl w:val="0"/>
          <w:numId w:val="76"/>
        </w:numPr>
        <w:rPr>
          <w:rFonts w:ascii="MS PGothic" w:cs="MS PGothic" w:eastAsia="MS PGothic" w:hAnsi="MS PGothic"/>
          <w:sz w:val="18"/>
          <w:szCs w:val="18"/>
          <w:color w:val="1F473D"/>
        </w:rPr>
      </w:pPr>
      <w:r>
        <w:rPr>
          <w:rFonts w:ascii="Arial" w:cs="Arial" w:eastAsia="Arial" w:hAnsi="Arial"/>
          <w:sz w:val="18"/>
          <w:szCs w:val="18"/>
          <w:color w:val="auto"/>
        </w:rPr>
        <w:t xml:space="preserve">We have robust </w:t>
      </w:r>
      <w:r>
        <w:rPr>
          <w:rFonts w:ascii="Arial" w:cs="Arial" w:eastAsia="Arial" w:hAnsi="Arial"/>
          <w:sz w:val="18"/>
          <w:szCs w:val="18"/>
          <w:b w:val="1"/>
          <w:bCs w:val="1"/>
          <w:color w:val="auto"/>
        </w:rPr>
        <w:t>share ownership guidelines</w:t>
      </w:r>
      <w:r>
        <w:rPr>
          <w:rFonts w:ascii="Arial" w:cs="Arial" w:eastAsia="Arial" w:hAnsi="Arial"/>
          <w:sz w:val="18"/>
          <w:szCs w:val="18"/>
          <w:color w:val="auto"/>
        </w:rPr>
        <w:t xml:space="preserve"> for our executive officers which further ties their interests to those of our shareholders over the long-term;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5"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67</w:t>
      </w:r>
    </w:p>
    <w:p>
      <w:pPr>
        <w:sectPr>
          <w:pgSz w:w="11900" w:h="16838" w:orient="portrait"/>
          <w:cols w:equalWidth="0" w:num="1">
            <w:col w:w="10920"/>
          </w:cols>
          <w:pgMar w:left="480" w:top="264" w:right="499" w:bottom="1440" w:gutter="0" w:footer="0" w:header="0"/>
        </w:sectPr>
      </w:pPr>
    </w:p>
    <w:bookmarkStart w:id="77" w:name="page78"/>
    <w:bookmarkEnd w:id="77"/>
    <w:p>
      <w:pPr>
        <w:ind w:left="440" w:right="900" w:hanging="433"/>
        <w:spacing w:after="0" w:line="263" w:lineRule="auto"/>
        <w:tabs>
          <w:tab w:leader="none" w:pos="440" w:val="left"/>
        </w:tabs>
        <w:numPr>
          <w:ilvl w:val="0"/>
          <w:numId w:val="77"/>
        </w:numPr>
        <w:rPr>
          <w:rFonts w:ascii="MS PGothic" w:cs="MS PGothic" w:eastAsia="MS PGothic" w:hAnsi="MS PGothic"/>
          <w:sz w:val="17"/>
          <w:szCs w:val="17"/>
          <w:color w:val="1F473D"/>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We have two </w:t>
      </w:r>
      <w:r>
        <w:rPr>
          <w:rFonts w:ascii="Arial" w:cs="Arial" w:eastAsia="Arial" w:hAnsi="Arial"/>
          <w:sz w:val="17"/>
          <w:szCs w:val="17"/>
          <w:b w:val="1"/>
          <w:bCs w:val="1"/>
          <w:color w:val="auto"/>
        </w:rPr>
        <w:t>clawback policies</w:t>
      </w:r>
      <w:r>
        <w:rPr>
          <w:rFonts w:ascii="Arial" w:cs="Arial" w:eastAsia="Arial" w:hAnsi="Arial"/>
          <w:sz w:val="17"/>
          <w:szCs w:val="17"/>
          <w:color w:val="auto"/>
        </w:rPr>
        <w:t xml:space="preserve"> which permit us to seek reimbursement from the CEO and all other executive officers in certain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What we don’t do</w:t>
      </w:r>
    </w:p>
    <w:p>
      <w:pPr>
        <w:spacing w:after="0" w:line="79" w:lineRule="exact"/>
        <w:rPr>
          <w:sz w:val="20"/>
          <w:szCs w:val="20"/>
          <w:color w:val="auto"/>
        </w:rPr>
      </w:pPr>
    </w:p>
    <w:p>
      <w:pPr>
        <w:ind w:left="440" w:right="60" w:hanging="433"/>
        <w:spacing w:after="0" w:line="263" w:lineRule="auto"/>
        <w:tabs>
          <w:tab w:leader="none" w:pos="440" w:val="left"/>
        </w:tabs>
        <w:numPr>
          <w:ilvl w:val="0"/>
          <w:numId w:val="78"/>
        </w:numPr>
        <w:rPr>
          <w:rFonts w:ascii="Arial" w:cs="Arial" w:eastAsia="Arial" w:hAnsi="Arial"/>
          <w:sz w:val="17"/>
          <w:szCs w:val="17"/>
          <w:color w:val="D64000"/>
        </w:rPr>
      </w:pPr>
      <w:r>
        <w:rPr>
          <w:rFonts w:ascii="Arial" w:cs="Arial" w:eastAsia="Arial" w:hAnsi="Arial"/>
          <w:sz w:val="17"/>
          <w:szCs w:val="17"/>
          <w:b w:val="1"/>
          <w:bCs w:val="1"/>
          <w:color w:val="auto"/>
        </w:rPr>
        <w:t xml:space="preserve">Executive officers are prohibited from hedging or pledging </w:t>
      </w:r>
      <w:r>
        <w:rPr>
          <w:rFonts w:ascii="Arial" w:cs="Arial" w:eastAsia="Arial" w:hAnsi="Arial"/>
          <w:sz w:val="17"/>
          <w:szCs w:val="17"/>
          <w:color w:val="auto"/>
        </w:rPr>
        <w:t>company shares (as further discussed later in this compensation discussion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analysis section);</w:t>
      </w:r>
    </w:p>
    <w:p>
      <w:pPr>
        <w:spacing w:after="0" w:line="39" w:lineRule="exact"/>
        <w:rPr>
          <w:rFonts w:ascii="Arial" w:cs="Arial" w:eastAsia="Arial" w:hAnsi="Arial"/>
          <w:sz w:val="17"/>
          <w:szCs w:val="17"/>
          <w:color w:val="D64000"/>
        </w:rPr>
      </w:pPr>
    </w:p>
    <w:p>
      <w:pPr>
        <w:ind w:left="440" w:hanging="433"/>
        <w:spacing w:after="0"/>
        <w:tabs>
          <w:tab w:leader="none" w:pos="440" w:val="left"/>
        </w:tabs>
        <w:numPr>
          <w:ilvl w:val="0"/>
          <w:numId w:val="78"/>
        </w:numPr>
        <w:rPr>
          <w:rFonts w:ascii="Arial" w:cs="Arial" w:eastAsia="Arial" w:hAnsi="Arial"/>
          <w:sz w:val="17"/>
          <w:szCs w:val="17"/>
          <w:color w:val="D64000"/>
        </w:rPr>
      </w:pPr>
      <w:r>
        <w:rPr>
          <w:rFonts w:ascii="Arial" w:cs="Arial" w:eastAsia="Arial" w:hAnsi="Arial"/>
          <w:sz w:val="17"/>
          <w:szCs w:val="17"/>
          <w:b w:val="1"/>
          <w:bCs w:val="1"/>
          <w:color w:val="auto"/>
        </w:rPr>
        <w:t>We don’t offer single trigger change of control rights or excise tax gross-up payments;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78"/>
        </w:numPr>
        <w:rPr>
          <w:rFonts w:ascii="Arial" w:cs="Arial" w:eastAsia="Arial" w:hAnsi="Arial"/>
          <w:sz w:val="17"/>
          <w:szCs w:val="17"/>
          <w:color w:val="D64000"/>
        </w:rPr>
      </w:pPr>
      <w:r>
        <w:rPr>
          <w:rFonts w:ascii="Arial" w:cs="Arial" w:eastAsia="Arial" w:hAnsi="Arial"/>
          <w:sz w:val="17"/>
          <w:szCs w:val="17"/>
          <w:b w:val="1"/>
          <w:bCs w:val="1"/>
          <w:color w:val="auto"/>
        </w:rPr>
        <w:t>We don’t guarantee minimum payout levels in our incentive plans or minimum vesting for equity awards;</w:t>
      </w:r>
    </w:p>
    <w:p>
      <w:pPr>
        <w:spacing w:after="0" w:line="85" w:lineRule="exact"/>
        <w:rPr>
          <w:rFonts w:ascii="Arial" w:cs="Arial" w:eastAsia="Arial" w:hAnsi="Arial"/>
          <w:sz w:val="17"/>
          <w:szCs w:val="17"/>
          <w:color w:val="D64000"/>
        </w:rPr>
      </w:pPr>
    </w:p>
    <w:p>
      <w:pPr>
        <w:ind w:left="440" w:hanging="433"/>
        <w:spacing w:after="0"/>
        <w:tabs>
          <w:tab w:leader="none" w:pos="440" w:val="left"/>
        </w:tabs>
        <w:numPr>
          <w:ilvl w:val="0"/>
          <w:numId w:val="78"/>
        </w:numPr>
        <w:rPr>
          <w:rFonts w:ascii="Arial" w:cs="Arial" w:eastAsia="Arial" w:hAnsi="Arial"/>
          <w:sz w:val="17"/>
          <w:szCs w:val="17"/>
          <w:color w:val="D64000"/>
        </w:rPr>
      </w:pPr>
      <w:r>
        <w:rPr>
          <w:rFonts w:ascii="Arial" w:cs="Arial" w:eastAsia="Arial" w:hAnsi="Arial"/>
          <w:sz w:val="17"/>
          <w:szCs w:val="17"/>
          <w:b w:val="1"/>
          <w:bCs w:val="1"/>
          <w:color w:val="auto"/>
        </w:rPr>
        <w:t>We don’t guarantee increases to base salaries or target incentive award opportunities;</w:t>
      </w:r>
    </w:p>
    <w:p>
      <w:pPr>
        <w:spacing w:after="0" w:line="85" w:lineRule="exact"/>
        <w:rPr>
          <w:rFonts w:ascii="Arial" w:cs="Arial" w:eastAsia="Arial" w:hAnsi="Arial"/>
          <w:sz w:val="17"/>
          <w:szCs w:val="17"/>
          <w:color w:val="D64000"/>
        </w:rPr>
      </w:pPr>
    </w:p>
    <w:p>
      <w:pPr>
        <w:ind w:left="440" w:right="100" w:hanging="433"/>
        <w:spacing w:after="0" w:line="273" w:lineRule="auto"/>
        <w:tabs>
          <w:tab w:leader="none" w:pos="440" w:val="left"/>
        </w:tabs>
        <w:numPr>
          <w:ilvl w:val="0"/>
          <w:numId w:val="78"/>
        </w:numPr>
        <w:rPr>
          <w:rFonts w:ascii="Arial" w:cs="Arial" w:eastAsia="Arial" w:hAnsi="Arial"/>
          <w:sz w:val="17"/>
          <w:szCs w:val="17"/>
          <w:color w:val="D64000"/>
        </w:rPr>
      </w:pPr>
      <w:r>
        <w:rPr>
          <w:rFonts w:ascii="Arial" w:cs="Arial" w:eastAsia="Arial" w:hAnsi="Arial"/>
          <w:sz w:val="17"/>
          <w:szCs w:val="17"/>
          <w:b w:val="1"/>
          <w:bCs w:val="1"/>
          <w:color w:val="auto"/>
        </w:rPr>
        <w:t>We don’t reprice stock options, grant reload stock options or “spring load” equity awards to enable recipients to benefit from the release of confidential information;</w:t>
      </w:r>
    </w:p>
    <w:p>
      <w:pPr>
        <w:spacing w:after="0" w:line="23" w:lineRule="exact"/>
        <w:rPr>
          <w:rFonts w:ascii="Arial" w:cs="Arial" w:eastAsia="Arial" w:hAnsi="Arial"/>
          <w:sz w:val="17"/>
          <w:szCs w:val="17"/>
          <w:color w:val="D64000"/>
        </w:rPr>
      </w:pPr>
    </w:p>
    <w:p>
      <w:pPr>
        <w:ind w:left="440" w:right="200" w:hanging="433"/>
        <w:spacing w:after="0" w:line="273" w:lineRule="auto"/>
        <w:tabs>
          <w:tab w:leader="none" w:pos="440" w:val="left"/>
        </w:tabs>
        <w:numPr>
          <w:ilvl w:val="0"/>
          <w:numId w:val="78"/>
        </w:numPr>
        <w:rPr>
          <w:rFonts w:ascii="Arial" w:cs="Arial" w:eastAsia="Arial" w:hAnsi="Arial"/>
          <w:sz w:val="17"/>
          <w:szCs w:val="17"/>
          <w:color w:val="D64000"/>
        </w:rPr>
      </w:pPr>
      <w:r>
        <w:rPr>
          <w:rFonts w:ascii="Arial" w:cs="Arial" w:eastAsia="Arial" w:hAnsi="Arial"/>
          <w:sz w:val="17"/>
          <w:szCs w:val="17"/>
          <w:b w:val="1"/>
          <w:bCs w:val="1"/>
          <w:color w:val="auto"/>
        </w:rPr>
        <w:t>We don’t include unvested TRSUs or PRSUs or vested/unvested stock options in the calculation of share ownership guidelines; and</w:t>
      </w:r>
    </w:p>
    <w:p>
      <w:pPr>
        <w:spacing w:after="0" w:line="23" w:lineRule="exact"/>
        <w:rPr>
          <w:rFonts w:ascii="Arial" w:cs="Arial" w:eastAsia="Arial" w:hAnsi="Arial"/>
          <w:sz w:val="17"/>
          <w:szCs w:val="17"/>
          <w:color w:val="D64000"/>
        </w:rPr>
      </w:pPr>
    </w:p>
    <w:p>
      <w:pPr>
        <w:ind w:left="440" w:hanging="433"/>
        <w:spacing w:after="0"/>
        <w:tabs>
          <w:tab w:leader="none" w:pos="440" w:val="left"/>
        </w:tabs>
        <w:numPr>
          <w:ilvl w:val="0"/>
          <w:numId w:val="78"/>
        </w:numPr>
        <w:rPr>
          <w:rFonts w:ascii="Arial" w:cs="Arial" w:eastAsia="Arial" w:hAnsi="Arial"/>
          <w:sz w:val="17"/>
          <w:szCs w:val="17"/>
          <w:color w:val="D64000"/>
        </w:rPr>
      </w:pPr>
      <w:r>
        <w:rPr>
          <w:rFonts w:ascii="Arial" w:cs="Arial" w:eastAsia="Arial" w:hAnsi="Arial"/>
          <w:sz w:val="17"/>
          <w:szCs w:val="17"/>
          <w:b w:val="1"/>
          <w:bCs w:val="1"/>
          <w:color w:val="auto"/>
        </w:rPr>
        <w:t>We don’t offer excessive perquisites.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HR Committee assesses compensation risk on an annual basis as part of its oversight of executive compensation.</w:t>
      </w:r>
    </w:p>
    <w:p>
      <w:pPr>
        <w:spacing w:after="0" w:line="7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 xml:space="preserve">For more information about risks that we believe are material to our company, please see the “Risk Factors” section of our 2025 annual report, which is available on our website at </w:t>
      </w:r>
      <w:r>
        <w:rPr>
          <w:rFonts w:ascii="Arial" w:cs="Arial" w:eastAsia="Arial" w:hAnsi="Arial"/>
          <w:sz w:val="17"/>
          <w:szCs w:val="17"/>
          <w:b w:val="1"/>
          <w:bCs w:val="1"/>
          <w:color w:val="auto"/>
        </w:rPr>
        <w:t>www.thomsonreuters.com</w:t>
      </w:r>
      <w:r>
        <w:rPr>
          <w:rFonts w:ascii="Arial" w:cs="Arial" w:eastAsia="Arial" w:hAnsi="Arial"/>
          <w:sz w:val="17"/>
          <w:szCs w:val="17"/>
          <w:color w:val="auto"/>
        </w:rPr>
        <w:t xml:space="preserve">, as well as on </w:t>
      </w:r>
      <w:r>
        <w:rPr>
          <w:rFonts w:ascii="Arial" w:cs="Arial" w:eastAsia="Arial" w:hAnsi="Arial"/>
          <w:sz w:val="17"/>
          <w:szCs w:val="17"/>
          <w:b w:val="1"/>
          <w:bCs w:val="1"/>
          <w:color w:val="auto"/>
        </w:rPr>
        <w:t>www.sedarplus.ca</w:t>
      </w:r>
      <w:r>
        <w:rPr>
          <w:rFonts w:ascii="Arial" w:cs="Arial" w:eastAsia="Arial" w:hAnsi="Arial"/>
          <w:sz w:val="17"/>
          <w:szCs w:val="17"/>
          <w:color w:val="auto"/>
        </w:rPr>
        <w:t xml:space="preserve"> and </w:t>
      </w:r>
      <w:r>
        <w:rPr>
          <w:rFonts w:ascii="Arial" w:cs="Arial" w:eastAsia="Arial" w:hAnsi="Arial"/>
          <w:sz w:val="17"/>
          <w:szCs w:val="17"/>
          <w:b w:val="1"/>
          <w:bCs w:val="1"/>
          <w:color w:val="auto"/>
        </w:rPr>
        <w:t>www.sec.gov</w:t>
      </w:r>
      <w:r>
        <w:rPr>
          <w:rFonts w:ascii="Arial" w:cs="Arial" w:eastAsia="Arial" w:hAnsi="Arial"/>
          <w:sz w:val="17"/>
          <w:szCs w:val="17"/>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 2025, the HR Committee reviewed and approved the compensation for our named executive officers.</w:t>
      </w:r>
    </w:p>
    <w:p>
      <w:pPr>
        <w:spacing w:after="0" w:line="85" w:lineRule="exact"/>
        <w:rPr>
          <w:sz w:val="20"/>
          <w:szCs w:val="20"/>
          <w:color w:val="auto"/>
        </w:rPr>
      </w:pPr>
    </w:p>
    <w:p>
      <w:pPr>
        <w:ind w:left="320" w:right="220" w:hanging="313"/>
        <w:spacing w:after="0" w:line="263" w:lineRule="auto"/>
        <w:tabs>
          <w:tab w:leader="none" w:pos="320" w:val="left"/>
        </w:tabs>
        <w:numPr>
          <w:ilvl w:val="0"/>
          <w:numId w:val="79"/>
        </w:numPr>
        <w:rPr>
          <w:rFonts w:ascii="Arial" w:cs="Arial" w:eastAsia="Arial" w:hAnsi="Arial"/>
          <w:sz w:val="17"/>
          <w:szCs w:val="17"/>
          <w:color w:val="D64000"/>
        </w:rPr>
      </w:pPr>
      <w:r>
        <w:rPr>
          <w:rFonts w:ascii="Arial" w:cs="Arial" w:eastAsia="Arial" w:hAnsi="Arial"/>
          <w:sz w:val="17"/>
          <w:szCs w:val="17"/>
          <w:color w:val="auto"/>
        </w:rPr>
        <w:t>In connection with determining 2025 compensation packages for our CEO and CFO, the Chair of the HR Committee consulted with the HR Committee’s independent compensation consultant and our Chief People Officer at that time.</w:t>
      </w:r>
    </w:p>
    <w:p>
      <w:pPr>
        <w:spacing w:after="0" w:line="39" w:lineRule="exact"/>
        <w:rPr>
          <w:rFonts w:ascii="Arial" w:cs="Arial" w:eastAsia="Arial" w:hAnsi="Arial"/>
          <w:sz w:val="17"/>
          <w:szCs w:val="17"/>
          <w:color w:val="D64000"/>
        </w:rPr>
      </w:pPr>
    </w:p>
    <w:p>
      <w:pPr>
        <w:ind w:left="320" w:right="20" w:hanging="313"/>
        <w:spacing w:after="0" w:line="237" w:lineRule="auto"/>
        <w:tabs>
          <w:tab w:leader="none" w:pos="320" w:val="left"/>
        </w:tabs>
        <w:numPr>
          <w:ilvl w:val="0"/>
          <w:numId w:val="79"/>
        </w:numPr>
        <w:rPr>
          <w:rFonts w:ascii="Arial" w:cs="Arial" w:eastAsia="Arial" w:hAnsi="Arial"/>
          <w:sz w:val="17"/>
          <w:szCs w:val="17"/>
          <w:color w:val="D64000"/>
        </w:rPr>
      </w:pPr>
      <w:r>
        <w:rPr>
          <w:rFonts w:ascii="Arial" w:cs="Arial" w:eastAsia="Arial" w:hAnsi="Arial"/>
          <w:sz w:val="17"/>
          <w:szCs w:val="17"/>
          <w:color w:val="auto"/>
        </w:rPr>
        <w:t>Our CEO initially made recommendations to the HR Committee regarding the proposed 2025 compensation arrangements for our executive officers (other than the CEO). Steve Hasker and Mary Alice Vuicic considered each individual’s actual performance during the prior year, the competitiveness of each individual’s compensation, and external compensation trends and developments. Management also provided the HR Committee with its recommendations for structuring 2025 annual and long-term incentive awards. In making recommendations to the HR Committee, management proposed a compensation program that supports our pay for performance philosophy without encouraging unnecessary or excessive risk taking by management.</w:t>
      </w:r>
    </w:p>
    <w:p>
      <w:pPr>
        <w:spacing w:after="0" w:line="58" w:lineRule="exact"/>
        <w:rPr>
          <w:rFonts w:ascii="Arial" w:cs="Arial" w:eastAsia="Arial" w:hAnsi="Arial"/>
          <w:sz w:val="17"/>
          <w:szCs w:val="17"/>
          <w:color w:val="D64000"/>
        </w:rPr>
      </w:pPr>
    </w:p>
    <w:p>
      <w:pPr>
        <w:ind w:left="320" w:right="180" w:hanging="313"/>
        <w:spacing w:after="0" w:line="241" w:lineRule="auto"/>
        <w:tabs>
          <w:tab w:leader="none" w:pos="320" w:val="left"/>
        </w:tabs>
        <w:numPr>
          <w:ilvl w:val="0"/>
          <w:numId w:val="79"/>
        </w:numPr>
        <w:rPr>
          <w:rFonts w:ascii="Arial" w:cs="Arial" w:eastAsia="Arial" w:hAnsi="Arial"/>
          <w:sz w:val="17"/>
          <w:szCs w:val="17"/>
          <w:color w:val="D64000"/>
        </w:rPr>
      </w:pPr>
      <w:r>
        <w:rPr>
          <w:rFonts w:ascii="Arial" w:cs="Arial" w:eastAsia="Arial" w:hAnsi="Arial"/>
          <w:sz w:val="17"/>
          <w:szCs w:val="17"/>
          <w:color w:val="auto"/>
        </w:rPr>
        <w:t>As part of its analysis and decision-making process, the HR Committee received a summary of performance assessments for our named executive officers. The HR Committee also received executive pay comparisons to assess proposed arrangements between individual executives and against applicable market position. This information included base salary, annual incentive award (target as a percentage of salary), long-term incentive award (target as a percentage of salary) and target total direct compensation for each individual.</w:t>
      </w:r>
    </w:p>
    <w:p>
      <w:pPr>
        <w:spacing w:after="0" w:line="57" w:lineRule="exact"/>
        <w:rPr>
          <w:rFonts w:ascii="Arial" w:cs="Arial" w:eastAsia="Arial" w:hAnsi="Arial"/>
          <w:sz w:val="17"/>
          <w:szCs w:val="17"/>
          <w:color w:val="D64000"/>
        </w:rPr>
      </w:pPr>
    </w:p>
    <w:p>
      <w:pPr>
        <w:ind w:left="320" w:right="180" w:hanging="313"/>
        <w:spacing w:after="0" w:line="263" w:lineRule="auto"/>
        <w:tabs>
          <w:tab w:leader="none" w:pos="320" w:val="left"/>
        </w:tabs>
        <w:numPr>
          <w:ilvl w:val="0"/>
          <w:numId w:val="79"/>
        </w:numPr>
        <w:rPr>
          <w:rFonts w:ascii="Arial" w:cs="Arial" w:eastAsia="Arial" w:hAnsi="Arial"/>
          <w:sz w:val="17"/>
          <w:szCs w:val="17"/>
          <w:color w:val="D64000"/>
        </w:rPr>
      </w:pPr>
      <w:r>
        <w:rPr>
          <w:rFonts w:ascii="Arial" w:cs="Arial" w:eastAsia="Arial" w:hAnsi="Arial"/>
          <w:sz w:val="17"/>
          <w:szCs w:val="17"/>
          <w:color w:val="auto"/>
        </w:rPr>
        <w:t>Following its review of the information mentioned above and using its own judgment, the HR Committee recommended 2025 compensation arrangements for each executive officer to the Board, which made the final approval decisions for these arrangements.</w:t>
      </w:r>
    </w:p>
    <w:p>
      <w:pPr>
        <w:spacing w:after="0" w:line="40"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Additional information about each named executive officer’s individual 2025 compensation arrangement and individual performance during the year is provided later in this section.</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Base Salary</w:t>
      </w:r>
    </w:p>
    <w:p>
      <w:pPr>
        <w:spacing w:after="0" w:line="103"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Base salary is typically determined annually by reference to an executive’s individual performance and experience and our company’s financial performance, as well as competitive considerations, such as salaries prevailing in the relevant market. Base salaries are also evaluated in connection with promotions and other changes in job responsibilities.</w:t>
      </w:r>
    </w:p>
    <w:p>
      <w:pPr>
        <w:spacing w:after="0" w:line="4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HR Committee establishes the CEO’s base salary and considers any increases to the base salaries of our other named executive officers based on the CEO’s recommendations for each individual. In addition to the considerations described above, the HR Committee also reviews any applicable merit increase guidelines established for our employees.</w:t>
      </w:r>
    </w:p>
    <w:p>
      <w:pPr>
        <w:spacing w:after="0" w:line="5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In March 2025, the HR Committee evaluated the current market position of our named executive officers’ compensation and approved an increase to Steve Hasker’s base salary to align his pay with the market. There were no changes for the other named executive officers’ 2025 base salaries. Base salaries for each of our named executive officers are described later in this section of the circular. FW Cook was consulted in connection with this compensation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9297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68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sectPr>
      </w:pPr>
    </w:p>
    <w:bookmarkStart w:id="78" w:name="page79"/>
    <w:bookmarkEnd w:id="78"/>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Annual Incentive Awards</w:t>
      </w:r>
    </w:p>
    <w:p>
      <w:pPr>
        <w:spacing w:after="0" w:line="10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We provide an annual, cash-based incentive award opportunity to each of our named executive officers which is based on our company’s actual financial performance compared to our annual operating plan for the year and an assessment of individual performance against key strategic objectives.</w:t>
      </w:r>
    </w:p>
    <w:p>
      <w:pPr>
        <w:spacing w:after="0" w:line="41" w:lineRule="exact"/>
        <w:rPr>
          <w:sz w:val="20"/>
          <w:szCs w:val="20"/>
          <w:color w:val="auto"/>
        </w:rPr>
      </w:pPr>
    </w:p>
    <w:p>
      <w:pPr>
        <w:ind w:right="480"/>
        <w:spacing w:after="0" w:line="246" w:lineRule="auto"/>
        <w:rPr>
          <w:sz w:val="20"/>
          <w:szCs w:val="20"/>
          <w:color w:val="auto"/>
        </w:rPr>
      </w:pPr>
      <w:r>
        <w:rPr>
          <w:rFonts w:ascii="Arial" w:cs="Arial" w:eastAsia="Arial" w:hAnsi="Arial"/>
          <w:sz w:val="17"/>
          <w:szCs w:val="17"/>
          <w:color w:val="auto"/>
        </w:rPr>
        <w:t>Each named executive officer’s annual incentive award has a target that is expressed as a percentage of base salary. In setting target percentages, the HR Committee considers factors such as an executive’s position and responsibilities as well as competitive considerations identified through compensation benchmarking.</w:t>
      </w:r>
    </w:p>
    <w:p>
      <w:pPr>
        <w:spacing w:after="0" w:line="54"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In the fourth quarter of 2024, senior executives from our businesses met with our CEO, CFO and other corporate executives to discuss the 2025 operating plan, including specific objectives and targets for the plan. In developing our operating plan, management considered various factors related to our operations, products/services, competition, and economic and market conditions in the countries where we operate. Our Board of Directors then met with senior management in the first quarter of 2025 to review, discuss and approve the final version of the plan.</w:t>
      </w:r>
    </w:p>
    <w:p>
      <w:pPr>
        <w:spacing w:after="0" w:line="5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After meeting with management in the first quarter of 2025, the HR Committee decided that 2025 annual incentive awards for our named executive officers would continue to be weighted as follows based 100% on Thomson Reuters’ consolidated results. We believe that a bonus pool funded based on total Thomson Reuters performance promotes teamwork and enables enterprise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6929755" cy="2209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114" w:lineRule="exact"/>
        <w:rPr>
          <w:sz w:val="20"/>
          <w:szCs w:val="20"/>
          <w:color w:val="auto"/>
        </w:rPr>
      </w:pPr>
    </w:p>
    <w:p>
      <w:pPr>
        <w:ind w:left="7180"/>
        <w:spacing w:after="0"/>
        <w:rPr>
          <w:sz w:val="20"/>
          <w:szCs w:val="20"/>
          <w:color w:val="auto"/>
        </w:rPr>
      </w:pPr>
      <w:r>
        <w:rPr>
          <w:rFonts w:ascii="Arial" w:cs="Arial" w:eastAsia="Arial" w:hAnsi="Arial"/>
          <w:sz w:val="17"/>
          <w:szCs w:val="17"/>
          <w:color w:val="FFFFFF"/>
        </w:rPr>
        <w:t>Rationale for financial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59690</wp:posOffset>
            </wp:positionV>
            <wp:extent cx="3456305" cy="32353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56305" cy="3235325"/>
                    </a:xfrm>
                    <a:prstGeom prst="rect">
                      <a:avLst/>
                    </a:prstGeom>
                    <a:noFill/>
                  </pic:spPr>
                </pic:pic>
              </a:graphicData>
            </a:graphic>
          </wp:anchor>
        </w:drawing>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 xml:space="preserve">3 </w:t>
      </w:r>
      <w:r>
        <w:rPr>
          <w:rFonts w:ascii="Arial" w:cs="Arial" w:eastAsia="Arial" w:hAnsi="Arial"/>
          <w:sz w:val="16"/>
          <w:szCs w:val="16"/>
          <w:b w:val="1"/>
          <w:bCs w:val="1"/>
          <w:color w:val="auto"/>
        </w:rPr>
        <w:t>organic revenue growth</w:t>
      </w:r>
    </w:p>
    <w:p>
      <w:pPr>
        <w:spacing w:after="0" w:line="19" w:lineRule="exact"/>
        <w:rPr>
          <w:sz w:val="20"/>
          <w:szCs w:val="20"/>
          <w:color w:val="auto"/>
        </w:rPr>
      </w:pPr>
    </w:p>
    <w:p>
      <w:pPr>
        <w:ind w:left="5580"/>
        <w:spacing w:after="0" w:line="232" w:lineRule="auto"/>
        <w:rPr>
          <w:sz w:val="20"/>
          <w:szCs w:val="20"/>
          <w:color w:val="auto"/>
        </w:rPr>
      </w:pPr>
      <w:r>
        <w:rPr>
          <w:rFonts w:ascii="Arial" w:cs="Arial" w:eastAsia="Arial" w:hAnsi="Arial"/>
          <w:sz w:val="17"/>
          <w:szCs w:val="17"/>
          <w:color w:val="auto"/>
        </w:rPr>
        <w:t>We use organic revenues because it measures growth of our existing businesses at constant currency (or excluding the effects of currency) and excludes the distortive impacts of acquisitions and dispositions from not owning a business in both comparable periods. Organic revenues are generated from the sale of products and services, including recurring revenues (subscriptions), transactions revenues (volume-based fees, software licenses, and professional service fees), and Print revenues. This performance metric is important to us because it serves as a measure of our ability to grow our business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-770890</wp:posOffset>
            </wp:positionV>
            <wp:extent cx="2505075" cy="1791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05075" cy="179197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 xml:space="preserve">3 </w:t>
      </w:r>
      <w:r>
        <w:rPr>
          <w:rFonts w:ascii="Arial" w:cs="Arial" w:eastAsia="Arial" w:hAnsi="Arial"/>
          <w:sz w:val="16"/>
          <w:szCs w:val="16"/>
          <w:b w:val="1"/>
          <w:bCs w:val="1"/>
          <w:color w:val="auto"/>
        </w:rPr>
        <w:t>adjusted EBITDA less accrued capital expenditures</w:t>
      </w:r>
    </w:p>
    <w:p>
      <w:pPr>
        <w:spacing w:after="0" w:line="10" w:lineRule="exact"/>
        <w:rPr>
          <w:sz w:val="20"/>
          <w:szCs w:val="20"/>
          <w:color w:val="auto"/>
        </w:rPr>
      </w:pPr>
    </w:p>
    <w:p>
      <w:pPr>
        <w:ind w:left="5580" w:right="20"/>
        <w:spacing w:after="0" w:line="233" w:lineRule="auto"/>
        <w:rPr>
          <w:sz w:val="20"/>
          <w:szCs w:val="20"/>
          <w:color w:val="auto"/>
        </w:rPr>
      </w:pPr>
      <w:r>
        <w:rPr>
          <w:rFonts w:ascii="Arial" w:cs="Arial" w:eastAsia="Arial" w:hAnsi="Arial"/>
          <w:sz w:val="17"/>
          <w:szCs w:val="17"/>
          <w:color w:val="auto"/>
        </w:rPr>
        <w:t>We use adjusted EBITDA less accrued capital expenditures (referred to internally as “cash OI”) because it provides a basis for evaluating the operating profitability and capital intensity of our business in a single measure. This measure captures investments regardless of whether they are expensed or capitalized. This performance metric is important to us because we focus on spending and investing in ways that are designed to enable our long-term growth potential.</w:t>
      </w:r>
    </w:p>
    <w:p>
      <w:pPr>
        <w:spacing w:after="0" w:line="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 xml:space="preserve">3 </w:t>
      </w:r>
      <w:r>
        <w:rPr>
          <w:rFonts w:ascii="Arial" w:cs="Arial" w:eastAsia="Arial" w:hAnsi="Arial"/>
          <w:sz w:val="16"/>
          <w:szCs w:val="16"/>
          <w:b w:val="1"/>
          <w:bCs w:val="1"/>
          <w:color w:val="auto"/>
        </w:rPr>
        <w:t>organic “book of business” or ACV</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We use organic book of business because it is focused on recurring or</w:t>
      </w:r>
    </w:p>
    <w:p>
      <w:pPr>
        <w:ind w:left="5580"/>
        <w:spacing w:after="0" w:line="229" w:lineRule="auto"/>
        <w:rPr>
          <w:sz w:val="20"/>
          <w:szCs w:val="20"/>
          <w:color w:val="auto"/>
        </w:rPr>
      </w:pPr>
      <w:r>
        <w:rPr>
          <w:rFonts w:ascii="Arial" w:cs="Arial" w:eastAsia="Arial" w:hAnsi="Arial"/>
          <w:sz w:val="17"/>
          <w:szCs w:val="17"/>
          <w:color w:val="auto"/>
        </w:rPr>
        <w:t>subscription-based revenue that customers have contractually agreed</w:t>
      </w:r>
    </w:p>
    <w:p>
      <w:pPr>
        <w:ind w:left="5580"/>
        <w:spacing w:after="0" w:line="230" w:lineRule="auto"/>
        <w:rPr>
          <w:sz w:val="20"/>
          <w:szCs w:val="20"/>
          <w:color w:val="auto"/>
        </w:rPr>
      </w:pPr>
      <w:r>
        <w:rPr>
          <w:rFonts w:ascii="Arial" w:cs="Arial" w:eastAsia="Arial" w:hAnsi="Arial"/>
          <w:sz w:val="17"/>
          <w:szCs w:val="17"/>
          <w:color w:val="auto"/>
        </w:rPr>
        <w:t>to for a period of time, generally 12 consecutive months. This</w:t>
      </w:r>
    </w:p>
    <w:p>
      <w:pPr>
        <w:ind w:left="5580"/>
        <w:spacing w:after="0" w:line="230" w:lineRule="auto"/>
        <w:rPr>
          <w:sz w:val="20"/>
          <w:szCs w:val="20"/>
          <w:color w:val="auto"/>
        </w:rPr>
      </w:pPr>
      <w:r>
        <w:rPr>
          <w:rFonts w:ascii="Arial" w:cs="Arial" w:eastAsia="Arial" w:hAnsi="Arial"/>
          <w:sz w:val="17"/>
          <w:szCs w:val="17"/>
          <w:color w:val="auto"/>
        </w:rPr>
        <w:t>performance metric is important to us because increasing customer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relationships that generate recurring revenue and maximizing customer</w:t>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retention are key strategic goals for driving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692975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3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HR Committee believes that these shorter term financial metrics complement metrics reflected in long-term incentive awards and that the addition of an individual performance adjustment tied to strategic objectives provides the appropriate balance between delivering financial results and focusing on key business and functional priorities that position the organization for long-term success.</w:t>
      </w:r>
    </w:p>
    <w:p>
      <w:pPr>
        <w:spacing w:after="0" w:line="5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Potential payouts for 2025 annual incentive awards ranged from 0% to 200% of the target award depending on financial performance against the goals set by the HR Committee at the beginning of the year.</w:t>
      </w:r>
    </w:p>
    <w:p>
      <w:pPr>
        <w:spacing w:after="0" w:line="40" w:lineRule="exact"/>
        <w:rPr>
          <w:sz w:val="20"/>
          <w:szCs w:val="20"/>
          <w:color w:val="auto"/>
        </w:rPr>
      </w:pPr>
    </w:p>
    <w:p>
      <w:pPr>
        <w:ind w:right="540"/>
        <w:spacing w:after="0" w:line="246" w:lineRule="auto"/>
        <w:rPr>
          <w:sz w:val="20"/>
          <w:szCs w:val="20"/>
          <w:color w:val="auto"/>
        </w:rPr>
      </w:pPr>
      <w:r>
        <w:rPr>
          <w:rFonts w:ascii="Arial" w:cs="Arial" w:eastAsia="Arial" w:hAnsi="Arial"/>
          <w:sz w:val="17"/>
          <w:szCs w:val="17"/>
          <w:color w:val="auto"/>
        </w:rPr>
        <w:t>As part of the HR Committee’s design principles for 2025 annual incentive awards, targets and actual results were evaluated on a constant currency basis. In addition, in determining performance, guiding principles approved by the HR Committee for annual incentive awards contemplated adjustments for:</w:t>
      </w:r>
    </w:p>
    <w:p>
      <w:pPr>
        <w:spacing w:after="0" w:line="54" w:lineRule="exact"/>
        <w:rPr>
          <w:sz w:val="20"/>
          <w:szCs w:val="20"/>
          <w:color w:val="auto"/>
        </w:rPr>
      </w:pPr>
    </w:p>
    <w:p>
      <w:pPr>
        <w:ind w:left="860" w:hanging="425"/>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Acquisitions and disposals not in our company’s 2025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69</w:t>
      </w:r>
    </w:p>
    <w:p>
      <w:pPr>
        <w:sectPr>
          <w:pgSz w:w="11900" w:h="16838" w:orient="portrait"/>
          <w:cols w:equalWidth="0" w:num="1">
            <w:col w:w="10920"/>
          </w:cols>
          <w:pgMar w:left="480" w:top="262" w:right="499" w:bottom="1440" w:gutter="0" w:footer="0" w:header="0"/>
        </w:sectPr>
      </w:pPr>
    </w:p>
    <w:bookmarkStart w:id="79" w:name="page80"/>
    <w:bookmarkEnd w:id="79"/>
    <w:p>
      <w:pPr>
        <w:ind w:left="860" w:right="400" w:hanging="425"/>
        <w:spacing w:after="0" w:line="263" w:lineRule="auto"/>
        <w:tabs>
          <w:tab w:leader="none" w:pos="860" w:val="left"/>
        </w:tabs>
        <w:numPr>
          <w:ilvl w:val="0"/>
          <w:numId w:val="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One-time charges (above a specified financial threshold) that were not foreseen in the 2025 operating plan and where the related savings are outside of the plan period;</w:t>
      </w:r>
    </w:p>
    <w:p>
      <w:pPr>
        <w:spacing w:after="0" w:line="39" w:lineRule="exact"/>
        <w:rPr>
          <w:rFonts w:ascii="Arial" w:cs="Arial" w:eastAsia="Arial" w:hAnsi="Arial"/>
          <w:sz w:val="17"/>
          <w:szCs w:val="17"/>
          <w:color w:val="auto"/>
        </w:rPr>
      </w:pPr>
    </w:p>
    <w:p>
      <w:pPr>
        <w:ind w:left="860" w:right="540" w:hanging="425"/>
        <w:spacing w:after="0" w:line="263" w:lineRule="auto"/>
        <w:tabs>
          <w:tab w:leader="none" w:pos="8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Extraordinary events which were outside of management’s control to the extent that the actual impact differed from original plan assumptions (i.e., the regulatory/tax environment and significant one-time transactions); and</w:t>
      </w:r>
    </w:p>
    <w:p>
      <w:pPr>
        <w:spacing w:after="0" w:line="39" w:lineRule="exact"/>
        <w:rPr>
          <w:rFonts w:ascii="Arial" w:cs="Arial" w:eastAsia="Arial" w:hAnsi="Arial"/>
          <w:sz w:val="17"/>
          <w:szCs w:val="17"/>
          <w:color w:val="auto"/>
        </w:rPr>
      </w:pPr>
    </w:p>
    <w:p>
      <w:pPr>
        <w:ind w:left="860" w:hanging="425"/>
        <w:spacing w:after="0"/>
        <w:tabs>
          <w:tab w:leader="none" w:pos="8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Changes in accounting practices to make figures comparable to the original 2025 operating plan.</w:t>
      </w:r>
    </w:p>
    <w:p>
      <w:pPr>
        <w:spacing w:after="0" w:line="8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In January 2026, the HR Committee determined the extent to which our 2025 annual performance targets were met by comparing our unaudited financial results to our performance goals. 2025 results were evaluated using foreign currency exchange rates that were used to prepare our 2025 annual operating plan. This has been a longstanding policy that has consistently been applied to our annual incentive awards.</w:t>
      </w:r>
    </w:p>
    <w:p>
      <w:pPr>
        <w:spacing w:after="0" w:line="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following table sets forth information regarding our 2025 minimum, target, maximum and actual performance for the three financial metrics reflected in annual incentive awards granted to our named executive officers, which had a payout of approximately 101% of target. After factoring in the 2025 payout, our five-year average payout is 124% of target.</w:t>
      </w:r>
    </w:p>
    <w:p>
      <w:pPr>
        <w:spacing w:after="0" w:line="5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Full-year 2025 actual results for organic revenue and organic book of business were slightly lower than 2025 target. Full-year 2025 actual result for adjusted EBITDA less accrued capital expenditures was slightly higher than 2025 target. For 2025 awards, performance for organic revenue growth and adjusted EBITDA less accrued capital expenditures had to be above minimum performance in order for participants to earn a payout. In addition, if organic revenues or adjusted EBITDA less accrued capital expenditures results did not achieve an applicable minimum growth hurdle, payout for the other metric was capped at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146050</wp:posOffset>
            </wp:positionV>
            <wp:extent cx="5248275" cy="12484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4827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2025, Thomson Reuters achieved 7% organic revenue growth. Organic revenue growth benefited from recurring and transactions revenues. The actual performance results indicated in the table above are not directly comparable to similar financial measures that we disclose in our 2025 annual report because they are based on our internal operating plan.</w:t>
      </w:r>
    </w:p>
    <w:p>
      <w:pPr>
        <w:spacing w:after="0" w:line="5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believe that annual incentive awards are most effective when they are meaningful and clearly differentiate based on individual contributions to business results. As a result, annual incentive award payouts for our named executive officers (other than the CEO) are subject to adjustment based on individual performance and their payouts may be higher or lower than the funded percentage based on an assessment of their individual financial and strategic results and demonstration of Thomson Reuters mindsets and behaviors. To further increase the link between pay for performance, the HR Committee embedded strategic priorities into individual performance evaluations for 2025 awards to increase and formalize the linkage between participants’ impact on our strategic priorities and their award decisions.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CEO and his direct reports had the following strategic priorities embedded in their 2025 performance assessments:</w:t>
      </w:r>
    </w:p>
    <w:p>
      <w:pPr>
        <w:spacing w:after="0" w:line="85" w:lineRule="exact"/>
        <w:rPr>
          <w:sz w:val="20"/>
          <w:szCs w:val="20"/>
          <w:color w:val="auto"/>
        </w:rPr>
      </w:pPr>
    </w:p>
    <w:p>
      <w:pPr>
        <w:ind w:left="860" w:right="500" w:hanging="425"/>
        <w:spacing w:after="0" w:line="263" w:lineRule="auto"/>
        <w:tabs>
          <w:tab w:leader="none" w:pos="860"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AI Transformation </w:t>
      </w:r>
      <w:r>
        <w:rPr>
          <w:rFonts w:ascii="Arial" w:cs="Arial" w:eastAsia="Arial" w:hAnsi="Arial"/>
          <w:sz w:val="17"/>
          <w:szCs w:val="17"/>
          <w:color w:val="auto"/>
        </w:rPr>
        <w:t>– building AI capabilities, enhancing productivity and innovation, and supporting the Thomson Reuters growth</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for customers and colleagues;</w:t>
      </w:r>
    </w:p>
    <w:p>
      <w:pPr>
        <w:spacing w:after="0" w:line="39" w:lineRule="exact"/>
        <w:rPr>
          <w:rFonts w:ascii="Arial" w:cs="Arial" w:eastAsia="Arial" w:hAnsi="Arial"/>
          <w:sz w:val="17"/>
          <w:szCs w:val="17"/>
          <w:i w:val="1"/>
          <w:iCs w:val="1"/>
          <w:color w:val="auto"/>
        </w:rPr>
      </w:pPr>
    </w:p>
    <w:p>
      <w:pPr>
        <w:ind w:left="860" w:right="260" w:hanging="425"/>
        <w:spacing w:after="0" w:line="263" w:lineRule="auto"/>
        <w:tabs>
          <w:tab w:leader="none" w:pos="860"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Talent goals </w:t>
      </w:r>
      <w:r>
        <w:rPr>
          <w:rFonts w:ascii="Arial" w:cs="Arial" w:eastAsia="Arial" w:hAnsi="Arial"/>
          <w:sz w:val="17"/>
          <w:szCs w:val="17"/>
          <w:color w:val="auto"/>
        </w:rPr>
        <w:t>– building a world-class talent and a high performance, engaged culture in which team members understand their role,</w:t>
      </w:r>
      <w:r>
        <w:rPr>
          <w:rFonts w:ascii="Arial" w:cs="Arial" w:eastAsia="Arial" w:hAnsi="Arial"/>
          <w:sz w:val="17"/>
          <w:szCs w:val="17"/>
          <w:i w:val="1"/>
          <w:iCs w:val="1"/>
          <w:color w:val="auto"/>
        </w:rPr>
        <w:t xml:space="preserve"> </w:t>
      </w:r>
      <w:r>
        <w:rPr>
          <w:rFonts w:ascii="Arial" w:cs="Arial" w:eastAsia="Arial" w:hAnsi="Arial"/>
          <w:sz w:val="17"/>
          <w:szCs w:val="17"/>
          <w:color w:val="auto"/>
        </w:rPr>
        <w:t>know their performance and objectives deliver impact; and</w:t>
      </w:r>
    </w:p>
    <w:p>
      <w:pPr>
        <w:spacing w:after="0" w:line="39" w:lineRule="exact"/>
        <w:rPr>
          <w:rFonts w:ascii="Arial" w:cs="Arial" w:eastAsia="Arial" w:hAnsi="Arial"/>
          <w:sz w:val="17"/>
          <w:szCs w:val="17"/>
          <w:i w:val="1"/>
          <w:iCs w:val="1"/>
          <w:color w:val="auto"/>
        </w:rPr>
      </w:pPr>
    </w:p>
    <w:p>
      <w:pPr>
        <w:ind w:left="860" w:hanging="425"/>
        <w:spacing w:after="0"/>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Contribution to specified shared priorities.</w:t>
      </w:r>
    </w:p>
    <w:p>
      <w:pPr>
        <w:spacing w:after="0" w:line="7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For 2025 annual incentive award payouts to the named executive officers (other than the CEO), Steve Hasker initially assessed each individual’s performance and provided recommendations to the HR Committee. In March 2026, the HR Committee approved individual annual incentive award payouts to each of our named executive officers, which are discussed later in this compensation discussion and analysis.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Long-term Incentive Awards</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Each named executive officer’s long-term incentive award has a target that is expressed as a percentage of base salary. In setting target percentages, the HR Committee considers factors such as an executive’s position and responsibilities as well as competitive considerations. The HR Committee may decide to increase or decrease an executive officer’s target from year to year based on an assessment of the executive’s prior-year performance and expected contribution to future financial and strategic results. In March 2025, the HR Committee evaluated the current market position of our named executive officers’ compensation and approved an increase to Steve Hasker’s long-term incentive target, Mike Eastwood’s long-term incentive target and Kirsty Roth’s long-term incentive target to better align their pay with the market. There were no changes to the other named executive officers’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70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sectPr>
      </w:pPr>
    </w:p>
    <w:bookmarkStart w:id="80" w:name="page81"/>
    <w:bookmarkEnd w:id="80"/>
    <w:p>
      <w:pPr>
        <w:spacing w:after="0" w:line="24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2025, we divided long-term incentive award values for our named executive officers among 50% PRSUs, 25% TRSUs and 25% stock options. This blend was intended to create balance in our long-term incentive awards by ensuring that the program is aligned to shareholder interests, is financially efficient, strongly drives executive outcomes with the company’s strategic and business objectives and promotes retention of key talent. The value of PRSUs, TRSUs and stock options is dependent on our company’s share price.</w:t>
      </w:r>
    </w:p>
    <w:p>
      <w:pPr>
        <w:spacing w:after="0" w:line="57"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table below sets forth information regarding long-term incentive awards that recently vested in March 2026 and long-term incentive awards that are outstanding as of the date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5830570</wp:posOffset>
            </wp:positionH>
            <wp:positionV relativeFrom="paragraph">
              <wp:posOffset>132715</wp:posOffset>
            </wp:positionV>
            <wp:extent cx="8255" cy="3225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32258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132715</wp:posOffset>
            </wp:positionV>
            <wp:extent cx="8255" cy="3225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322580"/>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132715</wp:posOffset>
            </wp:positionV>
            <wp:extent cx="8255" cy="3225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32258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340" w:type="dxa"/>
            <w:vAlign w:val="bottom"/>
            <w:tcBorders>
              <w:right w:val="single" w:sz="8" w:color="1F473D"/>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Performance Period</w:t>
            </w:r>
          </w:p>
        </w:tc>
        <w:tc>
          <w:tcPr>
            <w:tcW w:w="5120" w:type="dxa"/>
            <w:vAlign w:val="bottom"/>
            <w:tcBorders>
              <w:right w:val="single" w:sz="8" w:color="1F473D"/>
            </w:tcBorders>
            <w:shd w:val="clear" w:color="auto" w:fill="1F473D"/>
          </w:tcPr>
          <w:p>
            <w:pPr>
              <w:ind w:left="80"/>
              <w:spacing w:after="0"/>
              <w:rPr>
                <w:sz w:val="20"/>
                <w:szCs w:val="20"/>
                <w:color w:val="auto"/>
              </w:rPr>
            </w:pPr>
            <w:r>
              <w:rPr>
                <w:rFonts w:ascii="Arial" w:cs="Arial" w:eastAsia="Arial" w:hAnsi="Arial"/>
                <w:sz w:val="16"/>
                <w:szCs w:val="16"/>
                <w:b w:val="1"/>
                <w:bCs w:val="1"/>
                <w:color w:val="FFFFFF"/>
              </w:rPr>
              <w:t>Long-Term Incentive Awards – Executive Officers</w:t>
            </w:r>
          </w:p>
        </w:tc>
        <w:tc>
          <w:tcPr>
            <w:tcW w:w="1740" w:type="dxa"/>
            <w:vAlign w:val="bottom"/>
            <w:tcBorders>
              <w:right w:val="single" w:sz="8" w:color="1F473D"/>
            </w:tcBorders>
            <w:shd w:val="clear" w:color="auto" w:fill="1F473D"/>
          </w:tcPr>
          <w:p>
            <w:pPr>
              <w:jc w:val="center"/>
              <w:ind w:left="100"/>
              <w:spacing w:after="0"/>
              <w:rPr>
                <w:sz w:val="20"/>
                <w:szCs w:val="20"/>
                <w:color w:val="auto"/>
              </w:rPr>
            </w:pPr>
            <w:r>
              <w:rPr>
                <w:rFonts w:ascii="Arial" w:cs="Arial" w:eastAsia="Arial" w:hAnsi="Arial"/>
                <w:sz w:val="16"/>
                <w:szCs w:val="16"/>
                <w:b w:val="1"/>
                <w:bCs w:val="1"/>
                <w:color w:val="FFFFFF"/>
                <w:w w:val="99"/>
              </w:rPr>
              <w:t>Vesting Date</w:t>
            </w:r>
          </w:p>
        </w:tc>
        <w:tc>
          <w:tcPr>
            <w:tcW w:w="1720" w:type="dxa"/>
            <w:vAlign w:val="bottom"/>
            <w:shd w:val="clear" w:color="auto" w:fill="1F473D"/>
          </w:tcPr>
          <w:p>
            <w:pPr>
              <w:jc w:val="center"/>
              <w:ind w:left="100"/>
              <w:spacing w:after="0"/>
              <w:rPr>
                <w:sz w:val="20"/>
                <w:szCs w:val="20"/>
                <w:color w:val="auto"/>
              </w:rPr>
            </w:pPr>
            <w:r>
              <w:rPr>
                <w:rFonts w:ascii="Arial" w:cs="Arial" w:eastAsia="Arial" w:hAnsi="Arial"/>
                <w:sz w:val="16"/>
                <w:szCs w:val="16"/>
                <w:b w:val="1"/>
                <w:bCs w:val="1"/>
                <w:color w:val="FFFFFF"/>
              </w:rPr>
              <w:t>Expiration Date</w:t>
            </w:r>
          </w:p>
        </w:tc>
        <w:tc>
          <w:tcPr>
            <w:tcW w:w="0" w:type="dxa"/>
            <w:vAlign w:val="bottom"/>
          </w:tcPr>
          <w:p>
            <w:pPr>
              <w:spacing w:after="0"/>
              <w:rPr>
                <w:sz w:val="1"/>
                <w:szCs w:val="1"/>
                <w:color w:val="auto"/>
              </w:rPr>
            </w:pPr>
          </w:p>
        </w:tc>
      </w:tr>
      <w:tr>
        <w:trPr>
          <w:trHeight w:val="280"/>
        </w:trPr>
        <w:tc>
          <w:tcPr>
            <w:tcW w:w="2340" w:type="dxa"/>
            <w:vAlign w:val="bottom"/>
            <w:tcBorders>
              <w:bottom w:val="single" w:sz="8" w:color="1F473D"/>
              <w:right w:val="single" w:sz="8" w:color="1F473D"/>
            </w:tcBorders>
            <w:shd w:val="clear" w:color="auto" w:fill="1F473D"/>
          </w:tcPr>
          <w:p>
            <w:pPr>
              <w:spacing w:after="0"/>
              <w:rPr>
                <w:sz w:val="23"/>
                <w:szCs w:val="23"/>
                <w:color w:val="auto"/>
              </w:rPr>
            </w:pPr>
          </w:p>
        </w:tc>
        <w:tc>
          <w:tcPr>
            <w:tcW w:w="5120" w:type="dxa"/>
            <w:vAlign w:val="bottom"/>
            <w:tcBorders>
              <w:bottom w:val="single" w:sz="8" w:color="1F473D"/>
              <w:right w:val="single" w:sz="8" w:color="1F473D"/>
            </w:tcBorders>
            <w:shd w:val="clear" w:color="auto" w:fill="1F473D"/>
          </w:tcPr>
          <w:p>
            <w:pPr>
              <w:spacing w:after="0"/>
              <w:rPr>
                <w:sz w:val="23"/>
                <w:szCs w:val="23"/>
                <w:color w:val="auto"/>
              </w:rPr>
            </w:pPr>
          </w:p>
        </w:tc>
        <w:tc>
          <w:tcPr>
            <w:tcW w:w="1740" w:type="dxa"/>
            <w:vAlign w:val="bottom"/>
            <w:tcBorders>
              <w:bottom w:val="single" w:sz="8" w:color="1F473D"/>
              <w:right w:val="single" w:sz="8" w:color="1F473D"/>
            </w:tcBorders>
            <w:shd w:val="clear" w:color="auto" w:fill="1F473D"/>
          </w:tcPr>
          <w:p>
            <w:pPr>
              <w:jc w:val="center"/>
              <w:ind w:left="100"/>
              <w:spacing w:after="0"/>
              <w:rPr>
                <w:sz w:val="20"/>
                <w:szCs w:val="20"/>
                <w:color w:val="auto"/>
              </w:rPr>
            </w:pPr>
            <w:r>
              <w:rPr>
                <w:rFonts w:ascii="Arial" w:cs="Arial" w:eastAsia="Arial" w:hAnsi="Arial"/>
                <w:sz w:val="16"/>
                <w:szCs w:val="16"/>
                <w:b w:val="1"/>
                <w:bCs w:val="1"/>
                <w:color w:val="FFFFFF"/>
                <w:w w:val="97"/>
              </w:rPr>
              <w:t>(RSUs)</w:t>
            </w:r>
          </w:p>
        </w:tc>
        <w:tc>
          <w:tcPr>
            <w:tcW w:w="1720" w:type="dxa"/>
            <w:vAlign w:val="bottom"/>
            <w:tcBorders>
              <w:bottom w:val="single" w:sz="8" w:color="1F473D"/>
            </w:tcBorders>
            <w:shd w:val="clear" w:color="auto" w:fill="1F473D"/>
          </w:tcPr>
          <w:p>
            <w:pPr>
              <w:jc w:val="center"/>
              <w:ind w:left="120"/>
              <w:spacing w:after="0"/>
              <w:rPr>
                <w:sz w:val="20"/>
                <w:szCs w:val="20"/>
                <w:color w:val="auto"/>
              </w:rPr>
            </w:pPr>
            <w:r>
              <w:rPr>
                <w:rFonts w:ascii="Arial" w:cs="Arial" w:eastAsia="Arial" w:hAnsi="Arial"/>
                <w:sz w:val="16"/>
                <w:szCs w:val="16"/>
                <w:b w:val="1"/>
                <w:bCs w:val="1"/>
                <w:color w:val="FFFFFF"/>
              </w:rPr>
              <w:t>(stock options)</w:t>
            </w:r>
          </w:p>
        </w:tc>
        <w:tc>
          <w:tcPr>
            <w:tcW w:w="0" w:type="dxa"/>
            <w:vAlign w:val="bottom"/>
          </w:tcPr>
          <w:p>
            <w:pPr>
              <w:spacing w:after="0"/>
              <w:rPr>
                <w:sz w:val="1"/>
                <w:szCs w:val="1"/>
                <w:color w:val="auto"/>
              </w:rPr>
            </w:pPr>
          </w:p>
        </w:tc>
      </w:tr>
      <w:tr>
        <w:trPr>
          <w:trHeight w:val="261"/>
        </w:trPr>
        <w:tc>
          <w:tcPr>
            <w:tcW w:w="2340" w:type="dxa"/>
            <w:vAlign w:val="bottom"/>
            <w:tcBorders>
              <w:top w:val="single" w:sz="8" w:color="D64000"/>
              <w:right w:val="single" w:sz="8" w:color="B2B2B2"/>
            </w:tcBorders>
          </w:tcPr>
          <w:p>
            <w:pPr>
              <w:jc w:val="center"/>
              <w:spacing w:after="0"/>
              <w:rPr>
                <w:sz w:val="20"/>
                <w:szCs w:val="20"/>
                <w:color w:val="auto"/>
              </w:rPr>
            </w:pPr>
            <w:r>
              <w:rPr>
                <w:rFonts w:ascii="Arial" w:cs="Arial" w:eastAsia="Arial" w:hAnsi="Arial"/>
                <w:sz w:val="16"/>
                <w:szCs w:val="16"/>
                <w:b w:val="1"/>
                <w:bCs w:val="1"/>
                <w:color w:val="auto"/>
                <w:w w:val="99"/>
              </w:rPr>
              <w:t>2023-2025</w:t>
            </w:r>
          </w:p>
        </w:tc>
        <w:tc>
          <w:tcPr>
            <w:tcW w:w="5120" w:type="dxa"/>
            <w:vAlign w:val="bottom"/>
            <w:tcBorders>
              <w:top w:val="single" w:sz="8" w:color="D64000"/>
              <w:right w:val="single" w:sz="8" w:color="B2B2B2"/>
            </w:tcBorders>
          </w:tcPr>
          <w:p>
            <w:pPr>
              <w:ind w:left="80"/>
              <w:spacing w:after="0"/>
              <w:rPr>
                <w:sz w:val="20"/>
                <w:szCs w:val="20"/>
                <w:color w:val="auto"/>
              </w:rPr>
            </w:pPr>
            <w:r>
              <w:rPr>
                <w:rFonts w:ascii="Arial" w:cs="Arial" w:eastAsia="Arial" w:hAnsi="Arial"/>
                <w:sz w:val="16"/>
                <w:szCs w:val="16"/>
                <w:color w:val="auto"/>
              </w:rPr>
              <w:t>50% PRSUs, 25% TRSUs, 25% stock options</w:t>
            </w:r>
          </w:p>
        </w:tc>
        <w:tc>
          <w:tcPr>
            <w:tcW w:w="1740" w:type="dxa"/>
            <w:vAlign w:val="bottom"/>
            <w:tcBorders>
              <w:top w:val="single" w:sz="8" w:color="D64000"/>
              <w:right w:val="single" w:sz="8" w:color="B2B2B2"/>
            </w:tcBorders>
          </w:tcPr>
          <w:p>
            <w:pPr>
              <w:jc w:val="center"/>
              <w:ind w:left="100"/>
              <w:spacing w:after="0"/>
              <w:rPr>
                <w:sz w:val="20"/>
                <w:szCs w:val="20"/>
                <w:color w:val="auto"/>
              </w:rPr>
            </w:pPr>
            <w:r>
              <w:rPr>
                <w:rFonts w:ascii="Arial" w:cs="Arial" w:eastAsia="Arial" w:hAnsi="Arial"/>
                <w:sz w:val="16"/>
                <w:szCs w:val="16"/>
                <w:color w:val="auto"/>
                <w:w w:val="99"/>
              </w:rPr>
              <w:t>March 2026</w:t>
            </w:r>
          </w:p>
        </w:tc>
        <w:tc>
          <w:tcPr>
            <w:tcW w:w="1720" w:type="dxa"/>
            <w:vAlign w:val="bottom"/>
            <w:tcBorders>
              <w:top w:val="single" w:sz="8" w:color="D64000"/>
            </w:tcBorders>
          </w:tcPr>
          <w:p>
            <w:pPr>
              <w:jc w:val="center"/>
              <w:ind w:left="120"/>
              <w:spacing w:after="0"/>
              <w:rPr>
                <w:sz w:val="20"/>
                <w:szCs w:val="20"/>
                <w:color w:val="auto"/>
              </w:rPr>
            </w:pPr>
            <w:r>
              <w:rPr>
                <w:rFonts w:ascii="Arial" w:cs="Arial" w:eastAsia="Arial" w:hAnsi="Arial"/>
                <w:sz w:val="16"/>
                <w:szCs w:val="16"/>
                <w:color w:val="auto"/>
                <w:w w:val="99"/>
              </w:rPr>
              <w:t>March 2033</w:t>
            </w:r>
          </w:p>
        </w:tc>
        <w:tc>
          <w:tcPr>
            <w:tcW w:w="0" w:type="dxa"/>
            <w:vAlign w:val="bottom"/>
          </w:tcPr>
          <w:p>
            <w:pPr>
              <w:spacing w:after="0"/>
              <w:rPr>
                <w:sz w:val="1"/>
                <w:szCs w:val="1"/>
                <w:color w:val="auto"/>
              </w:rPr>
            </w:pPr>
          </w:p>
        </w:tc>
      </w:tr>
      <w:tr>
        <w:trPr>
          <w:trHeight w:val="34"/>
        </w:trPr>
        <w:tc>
          <w:tcPr>
            <w:tcW w:w="2340" w:type="dxa"/>
            <w:vAlign w:val="bottom"/>
            <w:tcBorders>
              <w:bottom w:val="single" w:sz="8" w:color="B2B2B2"/>
              <w:right w:val="single" w:sz="8" w:color="B2B2B2"/>
            </w:tcBorders>
          </w:tcPr>
          <w:p>
            <w:pPr>
              <w:spacing w:after="0"/>
              <w:rPr>
                <w:sz w:val="2"/>
                <w:szCs w:val="2"/>
                <w:color w:val="auto"/>
              </w:rPr>
            </w:pPr>
          </w:p>
        </w:tc>
        <w:tc>
          <w:tcPr>
            <w:tcW w:w="5120" w:type="dxa"/>
            <w:vAlign w:val="bottom"/>
            <w:tcBorders>
              <w:bottom w:val="single" w:sz="8" w:color="B2B2B2"/>
              <w:right w:val="single" w:sz="8" w:color="B2B2B2"/>
            </w:tcBorders>
          </w:tcPr>
          <w:p>
            <w:pPr>
              <w:spacing w:after="0"/>
              <w:rPr>
                <w:sz w:val="2"/>
                <w:szCs w:val="2"/>
                <w:color w:val="auto"/>
              </w:rPr>
            </w:pPr>
          </w:p>
        </w:tc>
        <w:tc>
          <w:tcPr>
            <w:tcW w:w="1740" w:type="dxa"/>
            <w:vAlign w:val="bottom"/>
            <w:tcBorders>
              <w:bottom w:val="single" w:sz="8" w:color="B2B2B2"/>
              <w:right w:val="single" w:sz="8" w:color="B2B2B2"/>
            </w:tcBorders>
          </w:tcPr>
          <w:p>
            <w:pPr>
              <w:spacing w:after="0"/>
              <w:rPr>
                <w:sz w:val="2"/>
                <w:szCs w:val="2"/>
                <w:color w:val="auto"/>
              </w:rPr>
            </w:pPr>
          </w:p>
        </w:tc>
        <w:tc>
          <w:tcPr>
            <w:tcW w:w="17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340" w:type="dxa"/>
            <w:vAlign w:val="bottom"/>
            <w:tcBorders>
              <w:right w:val="single" w:sz="8" w:color="B2B2B2"/>
            </w:tcBorders>
          </w:tcPr>
          <w:p>
            <w:pPr>
              <w:jc w:val="center"/>
              <w:spacing w:after="0"/>
              <w:rPr>
                <w:sz w:val="20"/>
                <w:szCs w:val="20"/>
                <w:color w:val="auto"/>
              </w:rPr>
            </w:pPr>
            <w:r>
              <w:rPr>
                <w:rFonts w:ascii="Arial" w:cs="Arial" w:eastAsia="Arial" w:hAnsi="Arial"/>
                <w:sz w:val="16"/>
                <w:szCs w:val="16"/>
                <w:b w:val="1"/>
                <w:bCs w:val="1"/>
                <w:color w:val="auto"/>
                <w:w w:val="99"/>
              </w:rPr>
              <w:t>2024-2026</w:t>
            </w:r>
          </w:p>
        </w:tc>
        <w:tc>
          <w:tcPr>
            <w:tcW w:w="51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50% PRSUs, 25% TRSUs, 25% stock options</w:t>
            </w:r>
          </w:p>
        </w:tc>
        <w:tc>
          <w:tcPr>
            <w:tcW w:w="1740" w:type="dxa"/>
            <w:vAlign w:val="bottom"/>
            <w:tcBorders>
              <w:right w:val="single" w:sz="8" w:color="B2B2B2"/>
            </w:tcBorders>
          </w:tcPr>
          <w:p>
            <w:pPr>
              <w:jc w:val="center"/>
              <w:ind w:left="100"/>
              <w:spacing w:after="0"/>
              <w:rPr>
                <w:sz w:val="20"/>
                <w:szCs w:val="20"/>
                <w:color w:val="auto"/>
              </w:rPr>
            </w:pPr>
            <w:r>
              <w:rPr>
                <w:rFonts w:ascii="Arial" w:cs="Arial" w:eastAsia="Arial" w:hAnsi="Arial"/>
                <w:sz w:val="16"/>
                <w:szCs w:val="16"/>
                <w:color w:val="auto"/>
                <w:w w:val="99"/>
              </w:rPr>
              <w:t>March 2027</w:t>
            </w:r>
          </w:p>
        </w:tc>
        <w:tc>
          <w:tcPr>
            <w:tcW w:w="1720" w:type="dxa"/>
            <w:vAlign w:val="bottom"/>
          </w:tcPr>
          <w:p>
            <w:pPr>
              <w:jc w:val="center"/>
              <w:ind w:left="120"/>
              <w:spacing w:after="0"/>
              <w:rPr>
                <w:sz w:val="20"/>
                <w:szCs w:val="20"/>
                <w:color w:val="auto"/>
              </w:rPr>
            </w:pPr>
            <w:r>
              <w:rPr>
                <w:rFonts w:ascii="Arial" w:cs="Arial" w:eastAsia="Arial" w:hAnsi="Arial"/>
                <w:sz w:val="16"/>
                <w:szCs w:val="16"/>
                <w:color w:val="auto"/>
                <w:w w:val="99"/>
              </w:rPr>
              <w:t>March 2034</w:t>
            </w:r>
          </w:p>
        </w:tc>
        <w:tc>
          <w:tcPr>
            <w:tcW w:w="0" w:type="dxa"/>
            <w:vAlign w:val="bottom"/>
          </w:tcPr>
          <w:p>
            <w:pPr>
              <w:spacing w:after="0"/>
              <w:rPr>
                <w:sz w:val="1"/>
                <w:szCs w:val="1"/>
                <w:color w:val="auto"/>
              </w:rPr>
            </w:pPr>
          </w:p>
        </w:tc>
      </w:tr>
      <w:tr>
        <w:trPr>
          <w:trHeight w:val="34"/>
        </w:trPr>
        <w:tc>
          <w:tcPr>
            <w:tcW w:w="2340" w:type="dxa"/>
            <w:vAlign w:val="bottom"/>
            <w:tcBorders>
              <w:bottom w:val="single" w:sz="8" w:color="B2B2B2"/>
              <w:right w:val="single" w:sz="8" w:color="B2B2B2"/>
            </w:tcBorders>
          </w:tcPr>
          <w:p>
            <w:pPr>
              <w:spacing w:after="0"/>
              <w:rPr>
                <w:sz w:val="2"/>
                <w:szCs w:val="2"/>
                <w:color w:val="auto"/>
              </w:rPr>
            </w:pPr>
          </w:p>
        </w:tc>
        <w:tc>
          <w:tcPr>
            <w:tcW w:w="5120" w:type="dxa"/>
            <w:vAlign w:val="bottom"/>
            <w:tcBorders>
              <w:bottom w:val="single" w:sz="8" w:color="B2B2B2"/>
              <w:right w:val="single" w:sz="8" w:color="B2B2B2"/>
            </w:tcBorders>
          </w:tcPr>
          <w:p>
            <w:pPr>
              <w:spacing w:after="0"/>
              <w:rPr>
                <w:sz w:val="2"/>
                <w:szCs w:val="2"/>
                <w:color w:val="auto"/>
              </w:rPr>
            </w:pPr>
          </w:p>
        </w:tc>
        <w:tc>
          <w:tcPr>
            <w:tcW w:w="1740" w:type="dxa"/>
            <w:vAlign w:val="bottom"/>
            <w:tcBorders>
              <w:bottom w:val="single" w:sz="8" w:color="B2B2B2"/>
              <w:right w:val="single" w:sz="8" w:color="B2B2B2"/>
            </w:tcBorders>
          </w:tcPr>
          <w:p>
            <w:pPr>
              <w:spacing w:after="0"/>
              <w:rPr>
                <w:sz w:val="2"/>
                <w:szCs w:val="2"/>
                <w:color w:val="auto"/>
              </w:rPr>
            </w:pPr>
          </w:p>
        </w:tc>
        <w:tc>
          <w:tcPr>
            <w:tcW w:w="17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340" w:type="dxa"/>
            <w:vAlign w:val="bottom"/>
            <w:tcBorders>
              <w:right w:val="single" w:sz="8" w:color="B2B2B2"/>
            </w:tcBorders>
          </w:tcPr>
          <w:p>
            <w:pPr>
              <w:jc w:val="center"/>
              <w:spacing w:after="0"/>
              <w:rPr>
                <w:sz w:val="20"/>
                <w:szCs w:val="20"/>
                <w:color w:val="auto"/>
              </w:rPr>
            </w:pPr>
            <w:r>
              <w:rPr>
                <w:rFonts w:ascii="Arial" w:cs="Arial" w:eastAsia="Arial" w:hAnsi="Arial"/>
                <w:sz w:val="16"/>
                <w:szCs w:val="16"/>
                <w:b w:val="1"/>
                <w:bCs w:val="1"/>
                <w:color w:val="auto"/>
                <w:w w:val="99"/>
              </w:rPr>
              <w:t>2025-2027</w:t>
            </w:r>
          </w:p>
        </w:tc>
        <w:tc>
          <w:tcPr>
            <w:tcW w:w="51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50% PRSUs, 25% TRSUs, 25% stock options</w:t>
            </w:r>
          </w:p>
        </w:tc>
        <w:tc>
          <w:tcPr>
            <w:tcW w:w="1740" w:type="dxa"/>
            <w:vAlign w:val="bottom"/>
            <w:tcBorders>
              <w:right w:val="single" w:sz="8" w:color="B2B2B2"/>
            </w:tcBorders>
          </w:tcPr>
          <w:p>
            <w:pPr>
              <w:jc w:val="center"/>
              <w:ind w:left="100"/>
              <w:spacing w:after="0"/>
              <w:rPr>
                <w:sz w:val="20"/>
                <w:szCs w:val="20"/>
                <w:color w:val="auto"/>
              </w:rPr>
            </w:pPr>
            <w:r>
              <w:rPr>
                <w:rFonts w:ascii="Arial" w:cs="Arial" w:eastAsia="Arial" w:hAnsi="Arial"/>
                <w:sz w:val="16"/>
                <w:szCs w:val="16"/>
                <w:color w:val="auto"/>
                <w:w w:val="99"/>
              </w:rPr>
              <w:t>March 2028</w:t>
            </w:r>
          </w:p>
        </w:tc>
        <w:tc>
          <w:tcPr>
            <w:tcW w:w="1720" w:type="dxa"/>
            <w:vAlign w:val="bottom"/>
          </w:tcPr>
          <w:p>
            <w:pPr>
              <w:jc w:val="center"/>
              <w:ind w:left="120"/>
              <w:spacing w:after="0"/>
              <w:rPr>
                <w:sz w:val="20"/>
                <w:szCs w:val="20"/>
                <w:color w:val="auto"/>
              </w:rPr>
            </w:pPr>
            <w:r>
              <w:rPr>
                <w:rFonts w:ascii="Arial" w:cs="Arial" w:eastAsia="Arial" w:hAnsi="Arial"/>
                <w:sz w:val="16"/>
                <w:szCs w:val="16"/>
                <w:color w:val="auto"/>
                <w:w w:val="99"/>
              </w:rPr>
              <w:t>March 2035</w:t>
            </w:r>
          </w:p>
        </w:tc>
        <w:tc>
          <w:tcPr>
            <w:tcW w:w="0" w:type="dxa"/>
            <w:vAlign w:val="bottom"/>
          </w:tcPr>
          <w:p>
            <w:pPr>
              <w:spacing w:after="0"/>
              <w:rPr>
                <w:sz w:val="1"/>
                <w:szCs w:val="1"/>
                <w:color w:val="auto"/>
              </w:rPr>
            </w:pPr>
          </w:p>
        </w:tc>
      </w:tr>
      <w:tr>
        <w:trPr>
          <w:trHeight w:val="34"/>
        </w:trPr>
        <w:tc>
          <w:tcPr>
            <w:tcW w:w="2340" w:type="dxa"/>
            <w:vAlign w:val="bottom"/>
            <w:tcBorders>
              <w:bottom w:val="single" w:sz="8" w:color="B2B2B2"/>
              <w:right w:val="single" w:sz="8" w:color="B2B2B2"/>
            </w:tcBorders>
          </w:tcPr>
          <w:p>
            <w:pPr>
              <w:spacing w:after="0"/>
              <w:rPr>
                <w:sz w:val="2"/>
                <w:szCs w:val="2"/>
                <w:color w:val="auto"/>
              </w:rPr>
            </w:pPr>
          </w:p>
        </w:tc>
        <w:tc>
          <w:tcPr>
            <w:tcW w:w="5120" w:type="dxa"/>
            <w:vAlign w:val="bottom"/>
            <w:tcBorders>
              <w:bottom w:val="single" w:sz="8" w:color="B2B2B2"/>
              <w:right w:val="single" w:sz="8" w:color="B2B2B2"/>
            </w:tcBorders>
          </w:tcPr>
          <w:p>
            <w:pPr>
              <w:spacing w:after="0"/>
              <w:rPr>
                <w:sz w:val="2"/>
                <w:szCs w:val="2"/>
                <w:color w:val="auto"/>
              </w:rPr>
            </w:pPr>
          </w:p>
        </w:tc>
        <w:tc>
          <w:tcPr>
            <w:tcW w:w="1740" w:type="dxa"/>
            <w:vAlign w:val="bottom"/>
            <w:tcBorders>
              <w:bottom w:val="single" w:sz="8" w:color="B2B2B2"/>
              <w:right w:val="single" w:sz="8" w:color="B2B2B2"/>
            </w:tcBorders>
          </w:tcPr>
          <w:p>
            <w:pPr>
              <w:spacing w:after="0"/>
              <w:rPr>
                <w:sz w:val="2"/>
                <w:szCs w:val="2"/>
                <w:color w:val="auto"/>
              </w:rPr>
            </w:pPr>
          </w:p>
        </w:tc>
        <w:tc>
          <w:tcPr>
            <w:tcW w:w="172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340" w:type="dxa"/>
            <w:vAlign w:val="bottom"/>
            <w:tcBorders>
              <w:right w:val="single" w:sz="8" w:color="B2B2B2"/>
            </w:tcBorders>
          </w:tcPr>
          <w:p>
            <w:pPr>
              <w:jc w:val="center"/>
              <w:spacing w:after="0"/>
              <w:rPr>
                <w:sz w:val="20"/>
                <w:szCs w:val="20"/>
                <w:color w:val="auto"/>
              </w:rPr>
            </w:pPr>
            <w:r>
              <w:rPr>
                <w:rFonts w:ascii="Arial" w:cs="Arial" w:eastAsia="Arial" w:hAnsi="Arial"/>
                <w:sz w:val="16"/>
                <w:szCs w:val="16"/>
                <w:b w:val="1"/>
                <w:bCs w:val="1"/>
                <w:color w:val="auto"/>
                <w:w w:val="99"/>
              </w:rPr>
              <w:t>2026-2028</w:t>
            </w:r>
          </w:p>
        </w:tc>
        <w:tc>
          <w:tcPr>
            <w:tcW w:w="512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 xml:space="preserve">CEO: </w:t>
            </w:r>
            <w:r>
              <w:rPr>
                <w:rFonts w:ascii="Arial" w:cs="Arial" w:eastAsia="Arial" w:hAnsi="Arial"/>
                <w:sz w:val="16"/>
                <w:szCs w:val="16"/>
                <w:color w:val="auto"/>
              </w:rPr>
              <w:t>60% PRSUs, 40% stock options</w:t>
            </w:r>
          </w:p>
        </w:tc>
        <w:tc>
          <w:tcPr>
            <w:tcW w:w="1740" w:type="dxa"/>
            <w:vAlign w:val="bottom"/>
            <w:tcBorders>
              <w:right w:val="single" w:sz="8" w:color="B2B2B2"/>
            </w:tcBorders>
            <w:vMerge w:val="restart"/>
          </w:tcPr>
          <w:p>
            <w:pPr>
              <w:jc w:val="center"/>
              <w:ind w:left="100"/>
              <w:spacing w:after="0"/>
              <w:rPr>
                <w:sz w:val="20"/>
                <w:szCs w:val="20"/>
                <w:color w:val="auto"/>
              </w:rPr>
            </w:pPr>
            <w:r>
              <w:rPr>
                <w:rFonts w:ascii="Arial" w:cs="Arial" w:eastAsia="Arial" w:hAnsi="Arial"/>
                <w:sz w:val="16"/>
                <w:szCs w:val="16"/>
                <w:color w:val="auto"/>
                <w:w w:val="99"/>
              </w:rPr>
              <w:t>March 2029</w:t>
            </w:r>
          </w:p>
        </w:tc>
        <w:tc>
          <w:tcPr>
            <w:tcW w:w="1720" w:type="dxa"/>
            <w:vAlign w:val="bottom"/>
            <w:vMerge w:val="restart"/>
          </w:tcPr>
          <w:p>
            <w:pPr>
              <w:jc w:val="center"/>
              <w:ind w:left="120"/>
              <w:spacing w:after="0"/>
              <w:rPr>
                <w:sz w:val="20"/>
                <w:szCs w:val="20"/>
                <w:color w:val="auto"/>
              </w:rPr>
            </w:pPr>
            <w:r>
              <w:rPr>
                <w:rFonts w:ascii="Arial" w:cs="Arial" w:eastAsia="Arial" w:hAnsi="Arial"/>
                <w:sz w:val="16"/>
                <w:szCs w:val="16"/>
                <w:color w:val="auto"/>
                <w:w w:val="99"/>
              </w:rPr>
              <w:t>March 2036</w:t>
            </w:r>
          </w:p>
        </w:tc>
        <w:tc>
          <w:tcPr>
            <w:tcW w:w="0" w:type="dxa"/>
            <w:vAlign w:val="bottom"/>
          </w:tcPr>
          <w:p>
            <w:pPr>
              <w:spacing w:after="0"/>
              <w:rPr>
                <w:sz w:val="1"/>
                <w:szCs w:val="1"/>
                <w:color w:val="auto"/>
              </w:rPr>
            </w:pPr>
          </w:p>
        </w:tc>
      </w:tr>
      <w:tr>
        <w:trPr>
          <w:trHeight w:val="118"/>
        </w:trPr>
        <w:tc>
          <w:tcPr>
            <w:tcW w:w="2340" w:type="dxa"/>
            <w:vAlign w:val="bottom"/>
            <w:tcBorders>
              <w:right w:val="single" w:sz="8" w:color="B2B2B2"/>
            </w:tcBorders>
          </w:tcPr>
          <w:p>
            <w:pPr>
              <w:spacing w:after="0"/>
              <w:rPr>
                <w:sz w:val="10"/>
                <w:szCs w:val="10"/>
                <w:color w:val="auto"/>
              </w:rPr>
            </w:pPr>
          </w:p>
        </w:tc>
        <w:tc>
          <w:tcPr>
            <w:tcW w:w="5120" w:type="dxa"/>
            <w:vAlign w:val="bottom"/>
            <w:tcBorders>
              <w:right w:val="single" w:sz="8" w:color="B2B2B2"/>
            </w:tcBorders>
            <w:vMerge w:val="restart"/>
          </w:tcPr>
          <w:p>
            <w:pPr>
              <w:ind w:left="80"/>
              <w:spacing w:after="0"/>
              <w:rPr>
                <w:sz w:val="20"/>
                <w:szCs w:val="20"/>
                <w:color w:val="auto"/>
              </w:rPr>
            </w:pPr>
            <w:r>
              <w:rPr>
                <w:rFonts w:ascii="Arial" w:cs="Arial" w:eastAsia="Arial" w:hAnsi="Arial"/>
                <w:sz w:val="16"/>
                <w:szCs w:val="16"/>
                <w:b w:val="1"/>
                <w:bCs w:val="1"/>
                <w:color w:val="auto"/>
              </w:rPr>
              <w:t xml:space="preserve">Other NEOs: </w:t>
            </w:r>
            <w:r>
              <w:rPr>
                <w:rFonts w:ascii="Arial" w:cs="Arial" w:eastAsia="Arial" w:hAnsi="Arial"/>
                <w:sz w:val="16"/>
                <w:szCs w:val="16"/>
                <w:color w:val="auto"/>
              </w:rPr>
              <w:t>50% PRSUs, 25% TRSUs, 25% stock options</w:t>
            </w:r>
          </w:p>
        </w:tc>
        <w:tc>
          <w:tcPr>
            <w:tcW w:w="1740" w:type="dxa"/>
            <w:vAlign w:val="bottom"/>
            <w:tcBorders>
              <w:right w:val="single" w:sz="8" w:color="B2B2B2"/>
            </w:tcBorders>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340" w:type="dxa"/>
            <w:vAlign w:val="bottom"/>
            <w:tcBorders>
              <w:right w:val="single" w:sz="8" w:color="B2B2B2"/>
            </w:tcBorders>
          </w:tcPr>
          <w:p>
            <w:pPr>
              <w:spacing w:after="0"/>
              <w:rPr>
                <w:sz w:val="13"/>
                <w:szCs w:val="13"/>
                <w:color w:val="auto"/>
              </w:rPr>
            </w:pPr>
          </w:p>
        </w:tc>
        <w:tc>
          <w:tcPr>
            <w:tcW w:w="5120" w:type="dxa"/>
            <w:vAlign w:val="bottom"/>
            <w:tcBorders>
              <w:right w:val="single" w:sz="8" w:color="B2B2B2"/>
            </w:tcBorders>
            <w:vMerge w:val="continue"/>
          </w:tcPr>
          <w:p>
            <w:pPr>
              <w:spacing w:after="0"/>
              <w:rPr>
                <w:sz w:val="13"/>
                <w:szCs w:val="13"/>
                <w:color w:val="auto"/>
              </w:rPr>
            </w:pPr>
          </w:p>
        </w:tc>
        <w:tc>
          <w:tcPr>
            <w:tcW w:w="1740" w:type="dxa"/>
            <w:vAlign w:val="bottom"/>
            <w:tcBorders>
              <w:right w:val="single" w:sz="8" w:color="B2B2B2"/>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340" w:type="dxa"/>
            <w:vAlign w:val="bottom"/>
            <w:tcBorders>
              <w:right w:val="single" w:sz="8" w:color="D64000"/>
            </w:tcBorders>
            <w:shd w:val="clear" w:color="auto" w:fill="D64000"/>
          </w:tcPr>
          <w:p>
            <w:pPr>
              <w:spacing w:after="0"/>
              <w:rPr>
                <w:sz w:val="2"/>
                <w:szCs w:val="2"/>
                <w:color w:val="auto"/>
              </w:rPr>
            </w:pPr>
          </w:p>
        </w:tc>
        <w:tc>
          <w:tcPr>
            <w:tcW w:w="5120" w:type="dxa"/>
            <w:vAlign w:val="bottom"/>
            <w:tcBorders>
              <w:right w:val="single" w:sz="8" w:color="D64000"/>
            </w:tcBorders>
            <w:shd w:val="clear" w:color="auto" w:fill="D64000"/>
          </w:tcPr>
          <w:p>
            <w:pPr>
              <w:spacing w:after="0"/>
              <w:rPr>
                <w:sz w:val="2"/>
                <w:szCs w:val="2"/>
                <w:color w:val="auto"/>
              </w:rPr>
            </w:pPr>
          </w:p>
        </w:tc>
        <w:tc>
          <w:tcPr>
            <w:tcW w:w="1740" w:type="dxa"/>
            <w:vAlign w:val="bottom"/>
            <w:tcBorders>
              <w:right w:val="single" w:sz="8" w:color="D64000"/>
            </w:tcBorders>
            <w:shd w:val="clear" w:color="auto" w:fill="D64000"/>
          </w:tcPr>
          <w:p>
            <w:pPr>
              <w:spacing w:after="0"/>
              <w:rPr>
                <w:sz w:val="2"/>
                <w:szCs w:val="2"/>
                <w:color w:val="auto"/>
              </w:rPr>
            </w:pPr>
          </w:p>
        </w:tc>
        <w:tc>
          <w:tcPr>
            <w:tcW w:w="1720" w:type="dxa"/>
            <w:vAlign w:val="bottom"/>
            <w:shd w:val="clear" w:color="auto" w:fill="D64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right="260"/>
        <w:spacing w:after="0" w:line="237" w:lineRule="auto"/>
        <w:rPr>
          <w:sz w:val="20"/>
          <w:szCs w:val="20"/>
          <w:color w:val="auto"/>
        </w:rPr>
      </w:pPr>
      <w:r>
        <w:rPr>
          <w:rFonts w:ascii="Arial" w:cs="Arial" w:eastAsia="Arial" w:hAnsi="Arial"/>
          <w:sz w:val="17"/>
          <w:szCs w:val="17"/>
          <w:color w:val="auto"/>
        </w:rPr>
        <w:t>In determining the size of PRSU, TRSU and stock option grants, the HR Committee initially established a total target compensation award opportunity for each named executive officer, along with the percentage of this amount to be reflected through long-term incentive awards. The HR Committee then determined the value of PRSUs, TRSUs and stock options to be granted to each named executive officer. In determining long-term incentive grants for our executive officers, the HR Committee generally takes into account the target compensation and other factors such as individual performance and contributions, an individual’s criticality to the company and retention considerations. Key talent ratings and holding power are also considered to support decision making.</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PRSUs</w:t>
      </w:r>
    </w:p>
    <w:p>
      <w:pPr>
        <w:spacing w:after="0" w:line="116"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Our PRSUs reinforce our pay for performance philosophy and align with the interests of our shareholders. Because the payout for PRSUs is tied to operational results over a long-term period, these awards create a strong “line of sight” between controllable performance and realizable compensation, reinforce the importance of achieving specific multi-year financial results and mitigate the impact of stock price volatility on the retention power of the overall program. Costs associated with PRSUs are variable and are incurred only to the extent that the underlying performance goals are achieved. PRSUs thereby ensure a financially efficient outcome to our company by tying expense recognition to the achievement of specific financial goals.</w:t>
      </w:r>
    </w:p>
    <w:p>
      <w:pPr>
        <w:spacing w:after="0" w:line="5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When long-term incentive awards include PRSUs, the HR Committee sets targets that align with realistic expected growth rates over the three-year performance period in our operating plan. Similar to annual incentive awards, in general, the HR Committee sets targets so that the relative difficulty of achieving them is consistent from year to year. The HR Committee also reviews past performance against similar targets to assess the effectiveness of targets. Target levels are intended to be challenging, yet realistic and achievable. For PRSUs granted for the 2025-2027 period, the HR Committee selected three-year average organic revenue growth and free cash flow per share as the performance metrics to focus participants on the key drivers of long-term shareholder value creation. The financial performance goals for PRSUs granted in 2025 were weighted 50% each as they were equally important to our long-term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6929755" cy="2209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266" w:lineRule="exact"/>
        <w:rPr>
          <w:sz w:val="20"/>
          <w:szCs w:val="20"/>
          <w:color w:val="auto"/>
        </w:rPr>
      </w:pPr>
    </w:p>
    <w:p>
      <w:pPr>
        <w:ind w:left="7180"/>
        <w:spacing w:after="0"/>
        <w:rPr>
          <w:sz w:val="20"/>
          <w:szCs w:val="20"/>
          <w:color w:val="auto"/>
        </w:rPr>
      </w:pPr>
      <w:r>
        <w:rPr>
          <w:rFonts w:ascii="Arial" w:cs="Arial" w:eastAsia="Arial" w:hAnsi="Arial"/>
          <w:sz w:val="17"/>
          <w:szCs w:val="17"/>
          <w:color w:val="FFFFFF"/>
        </w:rPr>
        <w:t>Rationale for financial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59690</wp:posOffset>
            </wp:positionV>
            <wp:extent cx="3456305" cy="22421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56305" cy="2242185"/>
                    </a:xfrm>
                    <a:prstGeom prst="rect">
                      <a:avLst/>
                    </a:prstGeom>
                    <a:noFill/>
                  </pic:spPr>
                </pic:pic>
              </a:graphicData>
            </a:graphic>
          </wp:anchor>
        </w:drawing>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50% organic revenue growth</w:t>
      </w:r>
    </w:p>
    <w:p>
      <w:pPr>
        <w:spacing w:after="0" w:line="8" w:lineRule="exact"/>
        <w:rPr>
          <w:sz w:val="20"/>
          <w:szCs w:val="20"/>
          <w:color w:val="auto"/>
        </w:rPr>
      </w:pPr>
    </w:p>
    <w:p>
      <w:pPr>
        <w:ind w:left="5580" w:right="60"/>
        <w:spacing w:after="0" w:line="233" w:lineRule="auto"/>
        <w:rPr>
          <w:sz w:val="20"/>
          <w:szCs w:val="20"/>
          <w:color w:val="auto"/>
        </w:rPr>
      </w:pPr>
      <w:r>
        <w:rPr>
          <w:rFonts w:ascii="Arial" w:cs="Arial" w:eastAsia="Arial" w:hAnsi="Arial"/>
          <w:sz w:val="17"/>
          <w:szCs w:val="17"/>
          <w:color w:val="auto"/>
        </w:rPr>
        <w:t>We believe that measuring organic revenue growth over a multi-year period complements the same metric measured on an annual basis in the 2025 annual incentive awards and is aligned to the company’s strategic priorities. For more information about organic revenue growth and our rationale for including the financial metric in 2025 annual and long-term incentive awards, please see the “Annual Incentive Awards” discussion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-694690</wp:posOffset>
            </wp:positionV>
            <wp:extent cx="2556510" cy="15030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56510" cy="1503045"/>
                    </a:xfrm>
                    <a:prstGeom prst="rect">
                      <a:avLst/>
                    </a:prstGeom>
                    <a:noFill/>
                  </pic:spPr>
                </pic:pic>
              </a:graphicData>
            </a:graphic>
          </wp:anchor>
        </w:drawing>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50% free cash flow per share</w:t>
      </w:r>
    </w:p>
    <w:p>
      <w:pPr>
        <w:spacing w:after="0" w:line="8" w:lineRule="exact"/>
        <w:rPr>
          <w:sz w:val="20"/>
          <w:szCs w:val="20"/>
          <w:color w:val="auto"/>
        </w:rPr>
      </w:pPr>
    </w:p>
    <w:p>
      <w:pPr>
        <w:ind w:left="5580" w:right="220"/>
        <w:spacing w:after="0" w:line="232" w:lineRule="auto"/>
        <w:rPr>
          <w:sz w:val="20"/>
          <w:szCs w:val="20"/>
          <w:color w:val="auto"/>
        </w:rPr>
      </w:pPr>
      <w:r>
        <w:rPr>
          <w:rFonts w:ascii="Arial" w:cs="Arial" w:eastAsia="Arial" w:hAnsi="Arial"/>
          <w:sz w:val="17"/>
          <w:szCs w:val="17"/>
          <w:color w:val="auto"/>
        </w:rPr>
        <w:t>Free cash flow per share is a measure of our operating performance because it helps us assess our ability, over the long term, to create value for our shareholders as it represents cash available to repay debt, pay common share dividends and fund share repurchases and acquisitions. We define free cash flow as net cash provided by operating activities and other investing activities, less capital expenditures, payments of lease principal and dividends paid on our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692975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165100</wp:posOffset>
            </wp:positionV>
            <wp:extent cx="69297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1"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71</w:t>
      </w:r>
    </w:p>
    <w:p>
      <w:pPr>
        <w:sectPr>
          <w:pgSz w:w="11900" w:h="16838" w:orient="portrait"/>
          <w:cols w:equalWidth="0" w:num="1">
            <w:col w:w="10920"/>
          </w:cols>
          <w:pgMar w:left="480" w:top="264" w:right="49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number of PRSUs granted to each executive was based on our closing share price on the Nasdaq on the business day before the grant.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PRSUs had a vesting range of 0% to 200% after the end of the performance period, depending on the achievement of the performance goals.</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PRSUs also accumulate additional units based on notional equivalents of dividends paid on our common shares. The accumulated dividends are subject to the same performance adjustment as the underlying award when the underlying shares are distributed.</w:t>
      </w:r>
    </w:p>
    <w:p>
      <w:pPr>
        <w:spacing w:after="0" w:line="26"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2025-2027 targets for organic revenue growth and free cash flow per share are based on three-year averages for each metric and contemplate increases each year for both metrics during the performance period.</w:t>
      </w:r>
    </w:p>
    <w:p>
      <w:pPr>
        <w:spacing w:after="0" w:line="40"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As part of the HR Committee’s design principles for PRSU awards, targets and actual results are evaluated on a constant currency basis. In addition, in determining performance, guiding principles for long-term incentive awards contemplate adjustments for:</w:t>
      </w:r>
    </w:p>
    <w:p>
      <w:pPr>
        <w:spacing w:after="0" w:line="40" w:lineRule="exact"/>
        <w:rPr>
          <w:sz w:val="20"/>
          <w:szCs w:val="20"/>
          <w:color w:val="auto"/>
        </w:rPr>
      </w:pPr>
    </w:p>
    <w:p>
      <w:pPr>
        <w:ind w:left="860" w:hanging="425"/>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Acquisitions and disposals not in our company’s operating plan and resulting in adjustments greater than a specified amount;</w:t>
      </w:r>
    </w:p>
    <w:p>
      <w:pPr>
        <w:spacing w:after="0" w:line="85" w:lineRule="exact"/>
        <w:rPr>
          <w:rFonts w:ascii="Arial" w:cs="Arial" w:eastAsia="Arial" w:hAnsi="Arial"/>
          <w:sz w:val="17"/>
          <w:szCs w:val="17"/>
          <w:color w:val="auto"/>
        </w:rPr>
      </w:pPr>
    </w:p>
    <w:p>
      <w:pPr>
        <w:ind w:left="860" w:hanging="425"/>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One-time charges that were not foreseen in the operating plan and where the related savings are outside of the plan period;</w:t>
      </w:r>
    </w:p>
    <w:p>
      <w:pPr>
        <w:spacing w:after="0" w:line="85" w:lineRule="exact"/>
        <w:rPr>
          <w:rFonts w:ascii="Arial" w:cs="Arial" w:eastAsia="Arial" w:hAnsi="Arial"/>
          <w:sz w:val="17"/>
          <w:szCs w:val="17"/>
          <w:color w:val="auto"/>
        </w:rPr>
      </w:pPr>
    </w:p>
    <w:p>
      <w:pPr>
        <w:ind w:left="860" w:hanging="425"/>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impact of any share repurchases that were in excess of buyback amounts reflected in the original operating plan;</w:t>
      </w:r>
    </w:p>
    <w:p>
      <w:pPr>
        <w:spacing w:after="0" w:line="85" w:lineRule="exact"/>
        <w:rPr>
          <w:rFonts w:ascii="Arial" w:cs="Arial" w:eastAsia="Arial" w:hAnsi="Arial"/>
          <w:sz w:val="17"/>
          <w:szCs w:val="17"/>
          <w:color w:val="auto"/>
        </w:rPr>
      </w:pPr>
    </w:p>
    <w:p>
      <w:pPr>
        <w:ind w:left="860" w:right="540" w:hanging="425"/>
        <w:spacing w:after="0" w:line="263"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Extraordinary events which were outside of management’s control to the extent that the actual impact differed from original plan assumptions (i.e., the regulatory/tax environment and significant one-time transactions);</w:t>
      </w:r>
    </w:p>
    <w:p>
      <w:pPr>
        <w:spacing w:after="0" w:line="39" w:lineRule="exact"/>
        <w:rPr>
          <w:rFonts w:ascii="Arial" w:cs="Arial" w:eastAsia="Arial" w:hAnsi="Arial"/>
          <w:sz w:val="17"/>
          <w:szCs w:val="17"/>
          <w:color w:val="auto"/>
        </w:rPr>
      </w:pPr>
    </w:p>
    <w:p>
      <w:pPr>
        <w:ind w:left="860" w:hanging="425"/>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impact of foreign exchange on the PRSU payout in excess of 5%;</w:t>
      </w:r>
    </w:p>
    <w:p>
      <w:pPr>
        <w:spacing w:after="0" w:line="85" w:lineRule="exact"/>
        <w:rPr>
          <w:rFonts w:ascii="Arial" w:cs="Arial" w:eastAsia="Arial" w:hAnsi="Arial"/>
          <w:sz w:val="17"/>
          <w:szCs w:val="17"/>
          <w:color w:val="auto"/>
        </w:rPr>
      </w:pPr>
    </w:p>
    <w:p>
      <w:pPr>
        <w:ind w:left="860" w:hanging="425"/>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Changes in accounting practices to make figures comparable to the original operating plan; and</w:t>
      </w:r>
    </w:p>
    <w:p>
      <w:pPr>
        <w:spacing w:after="0" w:line="85" w:lineRule="exact"/>
        <w:rPr>
          <w:rFonts w:ascii="Arial" w:cs="Arial" w:eastAsia="Arial" w:hAnsi="Arial"/>
          <w:sz w:val="17"/>
          <w:szCs w:val="17"/>
          <w:color w:val="auto"/>
        </w:rPr>
      </w:pPr>
    </w:p>
    <w:p>
      <w:pPr>
        <w:ind w:left="860" w:hanging="425"/>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Tax expense on adjusted earnings and cash tax differences in excess of 5% of targets (positive or negative).</w:t>
      </w:r>
    </w:p>
    <w:p>
      <w:pPr>
        <w:spacing w:after="0" w:line="85"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addition, as PRSU terms do not expressly account for abnormally high currency volatility, the HR Committee uses a constant currency methodology for all PRSU grants. Using this methodology, performance is measured at actual foreign currency rates within a specified performance range to hold management accountable for managing volatility. Constant currency rates are utilized outside of this range when high volatility is outside of management control. We believe this methodology best measures management performance.</w:t>
      </w:r>
    </w:p>
    <w:p>
      <w:pPr>
        <w:spacing w:after="0" w:line="44" w:lineRule="exact"/>
        <w:rPr>
          <w:sz w:val="20"/>
          <w:szCs w:val="20"/>
          <w:color w:val="auto"/>
        </w:rPr>
      </w:pPr>
    </w:p>
    <w:p>
      <w:pPr>
        <w:jc w:val="both"/>
        <w:ind w:right="360"/>
        <w:spacing w:after="0" w:line="246" w:lineRule="auto"/>
        <w:rPr>
          <w:sz w:val="20"/>
          <w:szCs w:val="20"/>
          <w:color w:val="auto"/>
        </w:rPr>
      </w:pPr>
      <w:r>
        <w:rPr>
          <w:rFonts w:ascii="Arial" w:cs="Arial" w:eastAsia="Arial" w:hAnsi="Arial"/>
          <w:sz w:val="17"/>
          <w:szCs w:val="17"/>
          <w:color w:val="auto"/>
        </w:rPr>
        <w:t>As previously mentioned, PRSUs for the 2023-2025 performance period had a payout of 120% of target. For plan purposes, organic revenue growth had an average annual growth rate of 5.9% during the performance period compared to a target of 6.2%. Free cash flow per share for plan purposes had an average of $4.36 during the performance period compared to a target of $4.23.</w:t>
      </w:r>
    </w:p>
    <w:p>
      <w:pPr>
        <w:spacing w:after="0" w:line="5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following table sets forth information regarding our minimum, target, maximum and actual performance for the two financial metrics reflected in PRSUs granted to our named executive officers in 2023 for the three-year performance period ended December 31, 2025. These PRSU awards utilized average performance for organic revenue growth and free cash flow per share for the three-year period. The 2023-2025 targets for organic revenue growth and free cash flow per share contemplated increases each year for both metrics during the performance period. The results below are not directly comparable to similar financial measures that we disclose in our 2025 annual report because they are based on our internal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144780</wp:posOffset>
            </wp:positionV>
            <wp:extent cx="5316220" cy="13335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316220"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Stock options</w:t>
      </w:r>
    </w:p>
    <w:p>
      <w:pPr>
        <w:spacing w:after="0" w:line="10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All options granted in 2025 vest 25% per year over four years. The exercise prices for options granted were equal to the closing price of our shares on the Nasdaq on the trading day immediately preceding the date of the grant. The expiration date for options granted in 2025 is 10 years from the grant date. Options expire at the later of the expiration date or, if that date occurs during a blackout period or other period during which an insider is prohibited from trading in our securities by our insider trading policy, 10 business days after the period ends, subject to certain exceptions. Other than their alignment to our company’s share price, options do not contain additional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9297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72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sectPr>
      </w:pPr>
    </w:p>
    <w:bookmarkStart w:id="82" w:name="page83"/>
    <w:bookmarkEnd w:id="82"/>
    <w:p>
      <w:pPr>
        <w:ind w:right="140"/>
        <w:spacing w:after="0" w:line="24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determining the number of options to be granted to each named executive officer, the HR Committee initially determines a target economic value for the total award. For options granted in 2025, the HR Committee calculated the grant date fair values using common share prices and a Black-Scholes valuation (as described in more detail in the Summary Compensation Table contained in this circular). The HR Committee uses a Black-Scholes value in order to maintain year-to-year consistency in determining the number of options to be granted.</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TRSUs</w:t>
      </w:r>
    </w:p>
    <w:p>
      <w:pPr>
        <w:spacing w:after="0" w:line="103"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2025 long-term incentive awards included a component of TRSUs to promote retention. These TRSUs are scheduled to vest in 2028, subject to award terms and conditions.</w:t>
      </w:r>
    </w:p>
    <w:p>
      <w:pPr>
        <w:spacing w:after="0" w:line="26"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While TRSUs are not subject to performance conditions, we believe they are effective retention tools as their value is often seen as more tangible by recipients and they require longer-time service to be earned. The value of TRSUs is directly aligned with our share price and is consistent with our philosophy of paying competitive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5"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73</w:t>
      </w:r>
    </w:p>
    <w:p>
      <w:pPr>
        <w:sectPr>
          <w:pgSz w:w="11900" w:h="16838" w:orient="portrait"/>
          <w:cols w:equalWidth="0" w:num="1">
            <w:col w:w="10920"/>
          </w:cols>
          <w:pgMar w:left="480" w:top="264" w:right="499" w:bottom="1440" w:gutter="0" w:footer="0" w:header="0"/>
        </w:sectPr>
      </w:pPr>
    </w:p>
    <w:bookmarkStart w:id="83" w:name="page84"/>
    <w:bookmarkEnd w:id="83"/>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2025 Named Executive Officer Compensation and Key Accomplishments</w:t>
      </w:r>
    </w:p>
    <w:p>
      <w:pPr>
        <w:spacing w:after="0" w:line="10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following section provides information about 2025 performance and compensation for our named executive officers. The tables in this section help show how our pay is designed to pay for performance. In the tables below, compensation figures reflect target total direct compensation as at the end of 2025 as opposed to actual compensation received for 2025 (as described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6929755" cy="20040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2004060"/>
                    </a:xfrm>
                    <a:prstGeom prst="rect">
                      <a:avLst/>
                    </a:prstGeom>
                    <a:noFill/>
                  </pic:spPr>
                </pic:pic>
              </a:graphicData>
            </a:graphic>
          </wp:anchor>
        </w:drawing>
      </w:r>
    </w:p>
    <w:p>
      <w:pPr>
        <w:spacing w:after="0" w:line="139" w:lineRule="exact"/>
        <w:rPr>
          <w:sz w:val="20"/>
          <w:szCs w:val="20"/>
          <w:color w:val="auto"/>
        </w:rPr>
      </w:pPr>
    </w:p>
    <w:p>
      <w:pPr>
        <w:ind w:left="2620"/>
        <w:spacing w:after="0"/>
        <w:rPr>
          <w:sz w:val="20"/>
          <w:szCs w:val="20"/>
          <w:color w:val="auto"/>
        </w:rPr>
      </w:pPr>
      <w:r>
        <w:rPr>
          <w:rFonts w:ascii="Arial" w:cs="Arial" w:eastAsia="Arial" w:hAnsi="Arial"/>
          <w:sz w:val="25"/>
          <w:szCs w:val="25"/>
          <w:b w:val="1"/>
          <w:bCs w:val="1"/>
          <w:color w:val="D64000"/>
        </w:rPr>
        <w:t>Steve Hasker</w:t>
      </w:r>
    </w:p>
    <w:p>
      <w:pPr>
        <w:spacing w:after="0" w:line="102" w:lineRule="exact"/>
        <w:rPr>
          <w:sz w:val="20"/>
          <w:szCs w:val="20"/>
          <w:color w:val="auto"/>
        </w:rPr>
      </w:pPr>
    </w:p>
    <w:p>
      <w:pPr>
        <w:ind w:left="2620"/>
        <w:spacing w:after="0"/>
        <w:rPr>
          <w:sz w:val="20"/>
          <w:szCs w:val="20"/>
          <w:color w:val="auto"/>
        </w:rPr>
      </w:pPr>
      <w:r>
        <w:rPr>
          <w:rFonts w:ascii="Arial" w:cs="Arial" w:eastAsia="Arial" w:hAnsi="Arial"/>
          <w:sz w:val="25"/>
          <w:szCs w:val="25"/>
          <w:color w:val="auto"/>
        </w:rPr>
        <w:t>President and Chief Executive Officer</w:t>
      </w:r>
    </w:p>
    <w:p>
      <w:pPr>
        <w:spacing w:after="0" w:line="109" w:lineRule="exact"/>
        <w:rPr>
          <w:sz w:val="20"/>
          <w:szCs w:val="20"/>
          <w:color w:val="auto"/>
        </w:rPr>
      </w:pPr>
    </w:p>
    <w:p>
      <w:pPr>
        <w:ind w:left="2620"/>
        <w:spacing w:after="0" w:line="247" w:lineRule="auto"/>
        <w:rPr>
          <w:sz w:val="20"/>
          <w:szCs w:val="20"/>
          <w:color w:val="auto"/>
        </w:rPr>
      </w:pPr>
      <w:r>
        <w:rPr>
          <w:rFonts w:ascii="Arial" w:cs="Arial" w:eastAsia="Arial" w:hAnsi="Arial"/>
          <w:sz w:val="16"/>
          <w:szCs w:val="16"/>
          <w:color w:val="auto"/>
        </w:rPr>
        <w:t>Steve Hasker has been President and Chief Executive Officer and a director of Thomson Reuters since March 2020. Prior to joining Thomson Reuters in February 2020, he was Senior Advisor to TPG Capital, a private equity firm, from August 2019 to February 2020. Prior to that, he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 2009. Before joining McKinsey, Steve spent five years in several financial roles in the United States and other countries. Steve started his career with PwC, where he qualified as a chartered accountant. Steve has an undergraduate economics degree from the University of Melbourne and received an MBA and master’s in international affairs from Columbia University. Steve is also a non-executive director of Appen Limited. He is a member of the Australia and New Zealand Institute of Chartered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69297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Performance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Under Steve’s leadership in 2025:</w:t>
      </w:r>
    </w:p>
    <w:p>
      <w:pPr>
        <w:spacing w:after="0" w:line="85" w:lineRule="exact"/>
        <w:rPr>
          <w:sz w:val="20"/>
          <w:szCs w:val="20"/>
          <w:color w:val="auto"/>
        </w:rPr>
      </w:pPr>
    </w:p>
    <w:p>
      <w:pPr>
        <w:ind w:left="440" w:right="240" w:hanging="433"/>
        <w:spacing w:after="0" w:line="263" w:lineRule="auto"/>
        <w:tabs>
          <w:tab w:leader="none" w:pos="4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Thomson Reuters is defining and leading the next category—fiduciary grade AI—built for professions where accuracy, accountability, and trust are non-negotiable.</w:t>
      </w:r>
    </w:p>
    <w:p>
      <w:pPr>
        <w:spacing w:after="0" w:line="39" w:lineRule="exact"/>
        <w:rPr>
          <w:rFonts w:ascii="Arial" w:cs="Arial" w:eastAsia="Arial" w:hAnsi="Arial"/>
          <w:sz w:val="17"/>
          <w:szCs w:val="17"/>
          <w:color w:val="D64000"/>
        </w:rPr>
      </w:pPr>
    </w:p>
    <w:p>
      <w:pPr>
        <w:ind w:left="440" w:right="20" w:hanging="433"/>
        <w:spacing w:after="0" w:line="263" w:lineRule="auto"/>
        <w:tabs>
          <w:tab w:leader="none" w:pos="4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Our flagship agentic AI product launches in 2025 included CoCounsel Legal powered by Deep Research grounded in Westlaw and Practical Law; CoCounsel Tax &amp; Audit; and ONESOURCE+, an intelligent compliance network for corporate professionals.</w:t>
      </w:r>
    </w:p>
    <w:p>
      <w:pPr>
        <w:spacing w:after="0" w:line="39" w:lineRule="exact"/>
        <w:rPr>
          <w:rFonts w:ascii="Arial" w:cs="Arial" w:eastAsia="Arial" w:hAnsi="Arial"/>
          <w:sz w:val="17"/>
          <w:szCs w:val="17"/>
          <w:color w:val="D64000"/>
        </w:rPr>
      </w:pPr>
    </w:p>
    <w:p>
      <w:pPr>
        <w:ind w:left="440" w:right="640" w:hanging="433"/>
        <w:spacing w:after="0" w:line="263" w:lineRule="auto"/>
        <w:tabs>
          <w:tab w:leader="none" w:pos="4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Continued development of Thomson, a vertically specialized large language model for professional workflows, leveraging talent and technology acquired through the Safe Sign acquisition and Thomson Reuters proprietary content and domain expertise.</w:t>
      </w:r>
    </w:p>
    <w:p>
      <w:pPr>
        <w:spacing w:after="0" w:line="39" w:lineRule="exact"/>
        <w:rPr>
          <w:rFonts w:ascii="Arial" w:cs="Arial" w:eastAsia="Arial" w:hAnsi="Arial"/>
          <w:sz w:val="17"/>
          <w:szCs w:val="17"/>
          <w:color w:val="D64000"/>
        </w:rPr>
      </w:pPr>
    </w:p>
    <w:p>
      <w:pPr>
        <w:ind w:left="440" w:right="380" w:hanging="433"/>
        <w:spacing w:after="0" w:line="263" w:lineRule="auto"/>
        <w:tabs>
          <w:tab w:leader="none" w:pos="4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We are delighted to have been added to the NASDAQ-100 Index, an important milestone reflecting our evolution from a trusted content company to a pioneering technology company.</w:t>
      </w:r>
    </w:p>
    <w:p>
      <w:pPr>
        <w:spacing w:after="0" w:line="39" w:lineRule="exact"/>
        <w:rPr>
          <w:rFonts w:ascii="Arial" w:cs="Arial" w:eastAsia="Arial" w:hAnsi="Arial"/>
          <w:sz w:val="17"/>
          <w:szCs w:val="17"/>
          <w:color w:val="D64000"/>
        </w:rPr>
      </w:pPr>
    </w:p>
    <w:p>
      <w:pPr>
        <w:jc w:val="both"/>
        <w:ind w:left="440" w:right="20" w:hanging="433"/>
        <w:spacing w:after="0" w:line="246" w:lineRule="auto"/>
        <w:tabs>
          <w:tab w:leader="none" w:pos="4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We continued to build upon our strategic relationships with leading technology players to support our delivery of innovative and cutting-edge AI solutions. We also embedded CoCounsel into professionals’ everyday workflows so customers can benefit from access to fiduciary grade AI outputs, right where they work.</w:t>
      </w:r>
    </w:p>
    <w:p>
      <w:pPr>
        <w:spacing w:after="0" w:line="54" w:lineRule="exact"/>
        <w:rPr>
          <w:rFonts w:ascii="Arial" w:cs="Arial" w:eastAsia="Arial" w:hAnsi="Arial"/>
          <w:sz w:val="17"/>
          <w:szCs w:val="17"/>
          <w:color w:val="D64000"/>
        </w:rPr>
      </w:pPr>
    </w:p>
    <w:p>
      <w:pPr>
        <w:ind w:left="440" w:right="80" w:hanging="433"/>
        <w:spacing w:after="0" w:line="246" w:lineRule="auto"/>
        <w:tabs>
          <w:tab w:leader="none" w:pos="4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In 2025, we met key financial targets including organic revenue growth, adjusted EBITDA margin, and free cash flow, delivering strong, sustainable value for our shareholders. We continue our balanced capital allocation approach to shareholder value creation, which includes dividend growth, strategic M&amp;A and shareholder returns.</w:t>
      </w:r>
    </w:p>
    <w:p>
      <w:pPr>
        <w:spacing w:after="0" w:line="54" w:lineRule="exact"/>
        <w:rPr>
          <w:rFonts w:ascii="Arial" w:cs="Arial" w:eastAsia="Arial" w:hAnsi="Arial"/>
          <w:sz w:val="17"/>
          <w:szCs w:val="17"/>
          <w:color w:val="D64000"/>
        </w:rPr>
      </w:pPr>
    </w:p>
    <w:p>
      <w:pPr>
        <w:ind w:left="440" w:right="360" w:hanging="433"/>
        <w:spacing w:after="0" w:line="263" w:lineRule="auto"/>
        <w:tabs>
          <w:tab w:leader="none" w:pos="4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In 2026, we announced a 10% or $0.24 per share annualized increase in the dividend to $2.62 per common share, the fifth consecutive year at this pace and the 33rd consecutive annual dividend increase.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Target Compensation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480" w:type="dxa"/>
            <w:vAlign w:val="bottom"/>
            <w:gridSpan w:val="3"/>
          </w:tcPr>
          <w:p>
            <w:pPr>
              <w:jc w:val="right"/>
              <w:ind w:right="1280"/>
              <w:spacing w:after="0"/>
              <w:rPr>
                <w:sz w:val="20"/>
                <w:szCs w:val="20"/>
                <w:color w:val="auto"/>
              </w:rPr>
            </w:pPr>
            <w:r>
              <w:rPr>
                <w:rFonts w:ascii="Arial" w:cs="Arial" w:eastAsia="Arial" w:hAnsi="Arial"/>
                <w:sz w:val="16"/>
                <w:szCs w:val="16"/>
                <w:b w:val="1"/>
                <w:bCs w:val="1"/>
                <w:color w:val="auto"/>
              </w:rPr>
              <w:t>Target Total Direct Compensation</w:t>
            </w:r>
          </w:p>
        </w:tc>
        <w:tc>
          <w:tcPr>
            <w:tcW w:w="840" w:type="dxa"/>
            <w:vAlign w:val="bottom"/>
          </w:tcPr>
          <w:p>
            <w:pPr>
              <w:jc w:val="right"/>
              <w:ind w:right="140"/>
              <w:spacing w:after="0"/>
              <w:rPr>
                <w:sz w:val="20"/>
                <w:szCs w:val="20"/>
                <w:color w:val="auto"/>
              </w:rPr>
            </w:pPr>
            <w:r>
              <w:rPr>
                <w:rFonts w:ascii="Arial" w:cs="Arial" w:eastAsia="Arial" w:hAnsi="Arial"/>
                <w:sz w:val="16"/>
                <w:szCs w:val="16"/>
                <w:b w:val="1"/>
                <w:bCs w:val="1"/>
                <w:color w:val="auto"/>
              </w:rPr>
              <w:t>Fixed</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Variable</w:t>
            </w:r>
          </w:p>
        </w:tc>
      </w:tr>
      <w:tr>
        <w:trPr>
          <w:trHeight w:val="208"/>
        </w:trPr>
        <w:tc>
          <w:tcPr>
            <w:tcW w:w="20" w:type="dxa"/>
            <w:vAlign w:val="bottom"/>
          </w:tcPr>
          <w:p>
            <w:pPr>
              <w:spacing w:after="0"/>
              <w:rPr>
                <w:sz w:val="18"/>
                <w:szCs w:val="18"/>
                <w:color w:val="auto"/>
              </w:rPr>
            </w:pPr>
          </w:p>
        </w:tc>
        <w:tc>
          <w:tcPr>
            <w:tcW w:w="3740" w:type="dxa"/>
            <w:vAlign w:val="bottom"/>
            <w:tcBorders>
              <w:bottom w:val="single" w:sz="8" w:color="D64000"/>
            </w:tcBorders>
          </w:tcPr>
          <w:p>
            <w:pPr>
              <w:spacing w:after="0"/>
              <w:rPr>
                <w:sz w:val="18"/>
                <w:szCs w:val="18"/>
                <w:color w:val="auto"/>
              </w:rPr>
            </w:pPr>
          </w:p>
        </w:tc>
        <w:tc>
          <w:tcPr>
            <w:tcW w:w="258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b w:val="1"/>
                <w:bCs w:val="1"/>
                <w:color w:val="auto"/>
              </w:rPr>
              <w:t>C$</w:t>
            </w:r>
          </w:p>
        </w:tc>
        <w:tc>
          <w:tcPr>
            <w:tcW w:w="1220" w:type="dxa"/>
            <w:vAlign w:val="bottom"/>
            <w:tcBorders>
              <w:bottom w:val="single" w:sz="8" w:color="D64000"/>
            </w:tcBorders>
          </w:tcPr>
          <w:p>
            <w:pPr>
              <w:jc w:val="right"/>
              <w:ind w:right="140"/>
              <w:spacing w:after="0"/>
              <w:rPr>
                <w:sz w:val="20"/>
                <w:szCs w:val="20"/>
                <w:color w:val="auto"/>
              </w:rPr>
            </w:pPr>
            <w:r>
              <w:rPr>
                <w:rFonts w:ascii="Arial" w:cs="Arial" w:eastAsia="Arial" w:hAnsi="Arial"/>
                <w:sz w:val="16"/>
                <w:szCs w:val="16"/>
                <w:b w:val="1"/>
                <w:bCs w:val="1"/>
                <w:color w:val="auto"/>
              </w:rPr>
              <w:t>US$</w:t>
            </w:r>
          </w:p>
        </w:tc>
        <w:tc>
          <w:tcPr>
            <w:tcW w:w="168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b w:val="1"/>
                <w:bCs w:val="1"/>
                <w:color w:val="auto"/>
              </w:rPr>
              <w:t>% of base salary</w:t>
            </w:r>
          </w:p>
        </w:tc>
        <w:tc>
          <w:tcPr>
            <w:tcW w:w="840" w:type="dxa"/>
            <w:vAlign w:val="bottom"/>
            <w:tcBorders>
              <w:bottom w:val="single" w:sz="8" w:color="D64000"/>
            </w:tcBorders>
          </w:tcPr>
          <w:p>
            <w:pPr>
              <w:spacing w:after="0"/>
              <w:rPr>
                <w:sz w:val="18"/>
                <w:szCs w:val="18"/>
                <w:color w:val="auto"/>
              </w:rPr>
            </w:pPr>
          </w:p>
        </w:tc>
        <w:tc>
          <w:tcPr>
            <w:tcW w:w="840" w:type="dxa"/>
            <w:vAlign w:val="bottom"/>
            <w:tcBorders>
              <w:bottom w:val="single" w:sz="8" w:color="D64000"/>
            </w:tcBorders>
          </w:tcPr>
          <w:p>
            <w:pPr>
              <w:spacing w:after="0"/>
              <w:rPr>
                <w:sz w:val="18"/>
                <w:szCs w:val="18"/>
                <w:color w:val="auto"/>
              </w:rPr>
            </w:pPr>
          </w:p>
        </w:tc>
      </w:tr>
      <w:tr>
        <w:trPr>
          <w:trHeight w:val="201"/>
        </w:trPr>
        <w:tc>
          <w:tcPr>
            <w:tcW w:w="20" w:type="dxa"/>
            <w:vAlign w:val="bottom"/>
            <w:tcBorders>
              <w:bottom w:val="single" w:sz="8" w:color="B2B2B2"/>
            </w:tcBorders>
          </w:tcPr>
          <w:p>
            <w:pPr>
              <w:spacing w:after="0"/>
              <w:rPr>
                <w:sz w:val="17"/>
                <w:szCs w:val="17"/>
                <w:color w:val="auto"/>
              </w:rPr>
            </w:pPr>
          </w:p>
        </w:tc>
        <w:tc>
          <w:tcPr>
            <w:tcW w:w="37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Base salary</w:t>
            </w:r>
          </w:p>
        </w:tc>
        <w:tc>
          <w:tcPr>
            <w:tcW w:w="258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1,605,000</w:t>
            </w:r>
          </w:p>
        </w:tc>
        <w:tc>
          <w:tcPr>
            <w:tcW w:w="122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1,149,517</w:t>
            </w:r>
          </w:p>
        </w:tc>
        <w:tc>
          <w:tcPr>
            <w:tcW w:w="168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10%</w:t>
            </w:r>
          </w:p>
        </w:tc>
        <w:tc>
          <w:tcPr>
            <w:tcW w:w="840" w:type="dxa"/>
            <w:vAlign w:val="bottom"/>
            <w:tcBorders>
              <w:bottom w:val="single" w:sz="8" w:color="B2B2B2"/>
            </w:tcBorders>
          </w:tcPr>
          <w:p>
            <w:pPr>
              <w:spacing w:after="0"/>
              <w:rPr>
                <w:sz w:val="17"/>
                <w:szCs w:val="17"/>
                <w:color w:val="auto"/>
              </w:rPr>
            </w:pPr>
          </w:p>
        </w:tc>
      </w:tr>
      <w:tr>
        <w:trPr>
          <w:trHeight w:val="194"/>
        </w:trPr>
        <w:tc>
          <w:tcPr>
            <w:tcW w:w="376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Annual incentive award</w:t>
            </w:r>
          </w:p>
        </w:tc>
        <w:tc>
          <w:tcPr>
            <w:tcW w:w="258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3,210,000</w:t>
            </w:r>
          </w:p>
        </w:tc>
        <w:tc>
          <w:tcPr>
            <w:tcW w:w="122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2,299,034</w:t>
            </w:r>
          </w:p>
        </w:tc>
        <w:tc>
          <w:tcPr>
            <w:tcW w:w="168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200%</w:t>
            </w:r>
          </w:p>
        </w:tc>
        <w:tc>
          <w:tcPr>
            <w:tcW w:w="84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w:t>
            </w:r>
          </w:p>
        </w:tc>
      </w:tr>
      <w:tr>
        <w:trPr>
          <w:trHeight w:val="194"/>
        </w:trPr>
        <w:tc>
          <w:tcPr>
            <w:tcW w:w="376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Long-term incentive awards</w:t>
            </w:r>
          </w:p>
        </w:tc>
        <w:tc>
          <w:tcPr>
            <w:tcW w:w="258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11,636,250</w:t>
            </w:r>
          </w:p>
        </w:tc>
        <w:tc>
          <w:tcPr>
            <w:tcW w:w="122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8,333,999</w:t>
            </w:r>
          </w:p>
        </w:tc>
        <w:tc>
          <w:tcPr>
            <w:tcW w:w="168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725%</w:t>
            </w:r>
          </w:p>
        </w:tc>
        <w:tc>
          <w:tcPr>
            <w:tcW w:w="84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71%</w:t>
            </w:r>
          </w:p>
        </w:tc>
      </w:tr>
      <w:tr>
        <w:trPr>
          <w:trHeight w:val="201"/>
        </w:trPr>
        <w:tc>
          <w:tcPr>
            <w:tcW w:w="376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Total</w:t>
            </w:r>
          </w:p>
        </w:tc>
        <w:tc>
          <w:tcPr>
            <w:tcW w:w="258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color w:val="auto"/>
              </w:rPr>
              <w:t>16,451,250</w:t>
            </w:r>
          </w:p>
        </w:tc>
        <w:tc>
          <w:tcPr>
            <w:tcW w:w="1220" w:type="dxa"/>
            <w:vAlign w:val="bottom"/>
            <w:tcBorders>
              <w:bottom w:val="single" w:sz="8" w:color="D64000"/>
            </w:tcBorders>
          </w:tcPr>
          <w:p>
            <w:pPr>
              <w:jc w:val="right"/>
              <w:ind w:right="140"/>
              <w:spacing w:after="0"/>
              <w:rPr>
                <w:sz w:val="20"/>
                <w:szCs w:val="20"/>
                <w:color w:val="auto"/>
              </w:rPr>
            </w:pPr>
            <w:r>
              <w:rPr>
                <w:rFonts w:ascii="Arial" w:cs="Arial" w:eastAsia="Arial" w:hAnsi="Arial"/>
                <w:sz w:val="16"/>
                <w:szCs w:val="16"/>
                <w:color w:val="auto"/>
              </w:rPr>
              <w:t>11,782,550</w:t>
            </w:r>
          </w:p>
        </w:tc>
        <w:tc>
          <w:tcPr>
            <w:tcW w:w="168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color w:val="auto"/>
              </w:rPr>
              <w:t>10%</w:t>
            </w:r>
          </w:p>
        </w:tc>
        <w:tc>
          <w:tcPr>
            <w:tcW w:w="84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90%</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Steve’s base salary was increased from C$1,495,000 to C$1,605,000 in 2025 to better align his pay with the market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Annual incentive award: </w:t>
      </w:r>
      <w:r>
        <w:rPr>
          <w:rFonts w:ascii="Arial" w:cs="Arial" w:eastAsia="Arial" w:hAnsi="Arial"/>
          <w:sz w:val="17"/>
          <w:szCs w:val="17"/>
          <w:color w:val="auto"/>
        </w:rPr>
        <w:t>Steve’s 2025 annual incentive award had a payout of 101% of target based on financial performance.</w:t>
      </w:r>
    </w:p>
    <w:p>
      <w:pPr>
        <w:spacing w:after="0" w:line="85" w:lineRule="exact"/>
        <w:rPr>
          <w:sz w:val="20"/>
          <w:szCs w:val="20"/>
          <w:color w:val="auto"/>
        </w:rPr>
      </w:pPr>
    </w:p>
    <w:p>
      <w:pPr>
        <w:jc w:val="both"/>
        <w:ind w:right="280"/>
        <w:spacing w:after="0" w:line="295" w:lineRule="auto"/>
        <w:rPr>
          <w:sz w:val="20"/>
          <w:szCs w:val="20"/>
          <w:color w:val="auto"/>
        </w:rPr>
      </w:pPr>
      <w:r>
        <w:rPr>
          <w:rFonts w:ascii="Arial" w:cs="Arial" w:eastAsia="Arial" w:hAnsi="Arial"/>
          <w:sz w:val="16"/>
          <w:szCs w:val="16"/>
          <w:b w:val="1"/>
          <w:bCs w:val="1"/>
          <w:color w:val="auto"/>
        </w:rPr>
        <w:t xml:space="preserve">Long-term incentive awards: </w:t>
      </w:r>
      <w:r>
        <w:rPr>
          <w:rFonts w:ascii="Arial" w:cs="Arial" w:eastAsia="Arial" w:hAnsi="Arial"/>
          <w:sz w:val="16"/>
          <w:szCs w:val="16"/>
          <w:color w:val="auto"/>
        </w:rPr>
        <w:t>Steve’s long-term incentive award was increased from 675% to 725% of his base salary to better align his pay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market. Steve’s 2025 award grant (based on 2024 performance) was split between 50% PRSUs, 25% TRSUs and 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297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74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84" w:name="page85"/>
    <w:bookmarkEnd w:id="84"/>
    <w:p>
      <w:pPr>
        <w:ind w:left="2620"/>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6217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1621790"/>
                    </a:xfrm>
                    <a:prstGeom prst="rect">
                      <a:avLst/>
                    </a:prstGeom>
                    <a:noFill/>
                  </pic:spPr>
                </pic:pic>
              </a:graphicData>
            </a:graphic>
          </wp:anchor>
        </w:drawing>
        <w:t>Mike Eastwood</w:t>
      </w:r>
    </w:p>
    <w:p>
      <w:pPr>
        <w:spacing w:after="0" w:line="102" w:lineRule="exact"/>
        <w:rPr>
          <w:sz w:val="20"/>
          <w:szCs w:val="20"/>
          <w:color w:val="auto"/>
        </w:rPr>
      </w:pPr>
    </w:p>
    <w:p>
      <w:pPr>
        <w:ind w:left="2620"/>
        <w:spacing w:after="0"/>
        <w:rPr>
          <w:sz w:val="20"/>
          <w:szCs w:val="20"/>
          <w:color w:val="auto"/>
        </w:rPr>
      </w:pPr>
      <w:r>
        <w:rPr>
          <w:rFonts w:ascii="Arial" w:cs="Arial" w:eastAsia="Arial" w:hAnsi="Arial"/>
          <w:sz w:val="25"/>
          <w:szCs w:val="25"/>
          <w:color w:val="auto"/>
        </w:rPr>
        <w:t>Chief Financial Officer</w:t>
      </w:r>
    </w:p>
    <w:p>
      <w:pPr>
        <w:spacing w:after="0" w:line="109" w:lineRule="exact"/>
        <w:rPr>
          <w:sz w:val="20"/>
          <w:szCs w:val="20"/>
          <w:color w:val="auto"/>
        </w:rPr>
      </w:pPr>
    </w:p>
    <w:p>
      <w:pPr>
        <w:ind w:left="2620" w:right="100"/>
        <w:spacing w:after="0" w:line="249" w:lineRule="auto"/>
        <w:rPr>
          <w:sz w:val="20"/>
          <w:szCs w:val="20"/>
          <w:color w:val="auto"/>
        </w:rPr>
      </w:pPr>
      <w:r>
        <w:rPr>
          <w:rFonts w:ascii="Arial" w:cs="Arial" w:eastAsia="Arial" w:hAnsi="Arial"/>
          <w:sz w:val="16"/>
          <w:szCs w:val="16"/>
          <w:color w:val="auto"/>
        </w:rPr>
        <w:t>Mike Eastwood has been Chief Financial Officer of Thomson Reuters since March 2020. Mike will remain our Chief Financial Officer until May 8, 2026. Following that date, he will become the Chairman of the Board of the Thomson Reuters Foundation and will continue to support Thomson Reuters as an advisor to Steve Hasker. Mike joined Thomson in 1998 and has had several senior finance roles. Mike was previously Senior Vice President and Head of Corporate Finance from January 2016 to March 2020. Prior to that, he was Chief Operations Officer for Thomson Reuters Latin America from April 2014 to December 2015. Mike was also previously Chief Financial Officer of the company’s former Intellectual Property &amp; Science business (which was sold in 2016). Mike received a BSA in Accounting from East Carolina University and an MBA from the University of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Under Mike’s leadership in 2025:</w:t>
      </w:r>
    </w:p>
    <w:p>
      <w:pPr>
        <w:spacing w:after="0" w:line="85" w:lineRule="exact"/>
        <w:rPr>
          <w:sz w:val="20"/>
          <w:szCs w:val="20"/>
          <w:color w:val="auto"/>
        </w:rPr>
      </w:pPr>
    </w:p>
    <w:p>
      <w:pPr>
        <w:ind w:left="440" w:right="460" w:hanging="433"/>
        <w:spacing w:after="0" w:line="263" w:lineRule="auto"/>
        <w:tabs>
          <w:tab w:leader="none" w:pos="440" w:val="left"/>
        </w:tabs>
        <w:numPr>
          <w:ilvl w:val="0"/>
          <w:numId w:val="85"/>
        </w:numPr>
        <w:rPr>
          <w:rFonts w:ascii="Arial" w:cs="Arial" w:eastAsia="Arial" w:hAnsi="Arial"/>
          <w:sz w:val="17"/>
          <w:szCs w:val="17"/>
          <w:color w:val="D64000"/>
        </w:rPr>
      </w:pPr>
      <w:r>
        <w:rPr>
          <w:rFonts w:ascii="Arial" w:cs="Arial" w:eastAsia="Arial" w:hAnsi="Arial"/>
          <w:sz w:val="17"/>
          <w:szCs w:val="17"/>
          <w:color w:val="auto"/>
        </w:rPr>
        <w:t>In 2025 our revenue performance met the targets set out in our 2025 outlook. Revenues increased 3% in total, while organic revenues increased 7%. Revenues for our “Big 3” segments increased 4% in total and 9% on an organic basis.</w:t>
      </w:r>
    </w:p>
    <w:p>
      <w:pPr>
        <w:spacing w:after="0" w:line="39" w:lineRule="exact"/>
        <w:rPr>
          <w:rFonts w:ascii="Arial" w:cs="Arial" w:eastAsia="Arial" w:hAnsi="Arial"/>
          <w:sz w:val="17"/>
          <w:szCs w:val="17"/>
          <w:color w:val="D64000"/>
        </w:rPr>
      </w:pPr>
    </w:p>
    <w:p>
      <w:pPr>
        <w:ind w:left="440" w:right="340" w:hanging="433"/>
        <w:spacing w:after="0" w:line="246" w:lineRule="auto"/>
        <w:tabs>
          <w:tab w:leader="none" w:pos="440" w:val="left"/>
        </w:tabs>
        <w:numPr>
          <w:ilvl w:val="0"/>
          <w:numId w:val="85"/>
        </w:numPr>
        <w:rPr>
          <w:rFonts w:ascii="Arial" w:cs="Arial" w:eastAsia="Arial" w:hAnsi="Arial"/>
          <w:sz w:val="17"/>
          <w:szCs w:val="17"/>
          <w:color w:val="D64000"/>
        </w:rPr>
      </w:pPr>
      <w:r>
        <w:rPr>
          <w:rFonts w:ascii="Arial" w:cs="Arial" w:eastAsia="Arial" w:hAnsi="Arial"/>
          <w:sz w:val="17"/>
          <w:szCs w:val="17"/>
          <w:color w:val="auto"/>
        </w:rPr>
        <w:t>Our adjusted EBITDA for the year increased 6% to $2.9 billion and the related margin rose 100bp to 39.2% despite incremental investments. Adjusted earnings per share was up to $3.92, compared to $3.77 in 2024. Operating profit was $2.1 billion, and our diluted earnings per share was $3.33.</w:t>
      </w:r>
    </w:p>
    <w:p>
      <w:pPr>
        <w:spacing w:after="0" w:line="54" w:lineRule="exact"/>
        <w:rPr>
          <w:rFonts w:ascii="Arial" w:cs="Arial" w:eastAsia="Arial" w:hAnsi="Arial"/>
          <w:sz w:val="17"/>
          <w:szCs w:val="17"/>
          <w:color w:val="D64000"/>
        </w:rPr>
      </w:pPr>
    </w:p>
    <w:p>
      <w:pPr>
        <w:ind w:left="440" w:right="260" w:hanging="433"/>
        <w:spacing w:after="0" w:line="241" w:lineRule="auto"/>
        <w:tabs>
          <w:tab w:leader="none" w:pos="440" w:val="left"/>
        </w:tabs>
        <w:numPr>
          <w:ilvl w:val="0"/>
          <w:numId w:val="85"/>
        </w:numPr>
        <w:rPr>
          <w:rFonts w:ascii="Arial" w:cs="Arial" w:eastAsia="Arial" w:hAnsi="Arial"/>
          <w:sz w:val="17"/>
          <w:szCs w:val="17"/>
          <w:color w:val="D64000"/>
        </w:rPr>
      </w:pPr>
      <w:r>
        <w:rPr>
          <w:rFonts w:ascii="Arial" w:cs="Arial" w:eastAsia="Arial" w:hAnsi="Arial"/>
          <w:sz w:val="17"/>
          <w:szCs w:val="17"/>
          <w:color w:val="auto"/>
        </w:rPr>
        <w:t>In 2025, we generated net cash from operating activities of $2.7 billion and achieved our 2025 outlook with $1.95 billion of free cash flow. Our strategic acquisitions were $843 million in value, including SafeSend, a cloud-native provider that automates the last mile of the tax preparation workflow, Additive, which uses cutting-edge AI to automate tax document processing, and TimeBase, a leading provider of information in Australia to find, search, and track legislation, as part of our international business growth strategy.</w:t>
      </w:r>
    </w:p>
    <w:p>
      <w:pPr>
        <w:spacing w:after="0" w:line="57" w:lineRule="exact"/>
        <w:rPr>
          <w:rFonts w:ascii="Arial" w:cs="Arial" w:eastAsia="Arial" w:hAnsi="Arial"/>
          <w:sz w:val="17"/>
          <w:szCs w:val="17"/>
          <w:color w:val="D64000"/>
        </w:rPr>
      </w:pPr>
    </w:p>
    <w:p>
      <w:pPr>
        <w:ind w:left="440" w:right="80" w:hanging="433"/>
        <w:spacing w:after="0" w:line="246" w:lineRule="auto"/>
        <w:tabs>
          <w:tab w:leader="none" w:pos="440" w:val="left"/>
        </w:tabs>
        <w:numPr>
          <w:ilvl w:val="0"/>
          <w:numId w:val="85"/>
        </w:numPr>
        <w:rPr>
          <w:rFonts w:ascii="Arial" w:cs="Arial" w:eastAsia="Arial" w:hAnsi="Arial"/>
          <w:sz w:val="17"/>
          <w:szCs w:val="17"/>
          <w:color w:val="D64000"/>
        </w:rPr>
      </w:pPr>
      <w:r>
        <w:rPr>
          <w:rFonts w:ascii="Arial" w:cs="Arial" w:eastAsia="Arial" w:hAnsi="Arial"/>
          <w:sz w:val="17"/>
          <w:szCs w:val="17"/>
          <w:color w:val="auto"/>
        </w:rPr>
        <w:t>We returned $2.0 billion to shareholders in dividends and share repurchases in 2025. In August 2025, we announced our plan to repurchase up to $1.0 billion of our common shares under a Normal Course Issuer Bid approved by the Toronto Stock Exchange, which we completed in late October 2025 by repurchasing 6.0 million of our common shares.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Target Compensation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5460" w:type="dxa"/>
            <w:vAlign w:val="bottom"/>
            <w:gridSpan w:val="3"/>
          </w:tcPr>
          <w:p>
            <w:pPr>
              <w:jc w:val="right"/>
              <w:ind w:right="760"/>
              <w:spacing w:after="0"/>
              <w:rPr>
                <w:sz w:val="20"/>
                <w:szCs w:val="20"/>
                <w:color w:val="auto"/>
              </w:rPr>
            </w:pPr>
            <w:r>
              <w:rPr>
                <w:rFonts w:ascii="Arial" w:cs="Arial" w:eastAsia="Arial" w:hAnsi="Arial"/>
                <w:sz w:val="16"/>
                <w:szCs w:val="16"/>
                <w:b w:val="1"/>
                <w:bCs w:val="1"/>
                <w:color w:val="auto"/>
              </w:rPr>
              <w:t>Target Total Direct Compensation (2025)</w:t>
            </w:r>
          </w:p>
        </w:tc>
        <w:tc>
          <w:tcPr>
            <w:tcW w:w="840" w:type="dxa"/>
            <w:vAlign w:val="bottom"/>
          </w:tcPr>
          <w:p>
            <w:pPr>
              <w:jc w:val="right"/>
              <w:ind w:right="140"/>
              <w:spacing w:after="0"/>
              <w:rPr>
                <w:sz w:val="20"/>
                <w:szCs w:val="20"/>
                <w:color w:val="auto"/>
              </w:rPr>
            </w:pPr>
            <w:r>
              <w:rPr>
                <w:rFonts w:ascii="Arial" w:cs="Arial" w:eastAsia="Arial" w:hAnsi="Arial"/>
                <w:sz w:val="16"/>
                <w:szCs w:val="16"/>
                <w:b w:val="1"/>
                <w:bCs w:val="1"/>
                <w:color w:val="auto"/>
              </w:rPr>
              <w:t>Fixed</w:t>
            </w:r>
          </w:p>
        </w:tc>
        <w:tc>
          <w:tcPr>
            <w:tcW w:w="860" w:type="dxa"/>
            <w:vAlign w:val="bottom"/>
            <w:gridSpan w:val="2"/>
          </w:tcPr>
          <w:p>
            <w:pPr>
              <w:ind w:left="220"/>
              <w:spacing w:after="0"/>
              <w:rPr>
                <w:sz w:val="20"/>
                <w:szCs w:val="20"/>
                <w:color w:val="auto"/>
              </w:rPr>
            </w:pPr>
            <w:r>
              <w:rPr>
                <w:rFonts w:ascii="Arial" w:cs="Arial" w:eastAsia="Arial" w:hAnsi="Arial"/>
                <w:sz w:val="16"/>
                <w:szCs w:val="16"/>
                <w:b w:val="1"/>
                <w:bCs w:val="1"/>
                <w:color w:val="auto"/>
                <w:w w:val="99"/>
              </w:rPr>
              <w:t>Variable</w:t>
            </w:r>
          </w:p>
        </w:tc>
      </w:tr>
      <w:tr>
        <w:trPr>
          <w:trHeight w:val="208"/>
        </w:trPr>
        <w:tc>
          <w:tcPr>
            <w:tcW w:w="20" w:type="dxa"/>
            <w:vAlign w:val="bottom"/>
          </w:tcPr>
          <w:p>
            <w:pPr>
              <w:spacing w:after="0"/>
              <w:rPr>
                <w:sz w:val="18"/>
                <w:szCs w:val="18"/>
                <w:color w:val="auto"/>
              </w:rPr>
            </w:pPr>
          </w:p>
        </w:tc>
        <w:tc>
          <w:tcPr>
            <w:tcW w:w="3760" w:type="dxa"/>
            <w:vAlign w:val="bottom"/>
            <w:tcBorders>
              <w:bottom w:val="single" w:sz="8" w:color="D64000"/>
            </w:tcBorders>
          </w:tcPr>
          <w:p>
            <w:pPr>
              <w:spacing w:after="0"/>
              <w:rPr>
                <w:sz w:val="18"/>
                <w:szCs w:val="18"/>
                <w:color w:val="auto"/>
              </w:rPr>
            </w:pPr>
          </w:p>
        </w:tc>
        <w:tc>
          <w:tcPr>
            <w:tcW w:w="2540" w:type="dxa"/>
            <w:vAlign w:val="bottom"/>
            <w:tcBorders>
              <w:bottom w:val="single" w:sz="8" w:color="D64000"/>
            </w:tcBorders>
          </w:tcPr>
          <w:p>
            <w:pPr>
              <w:jc w:val="right"/>
              <w:ind w:right="160"/>
              <w:spacing w:after="0"/>
              <w:rPr>
                <w:sz w:val="20"/>
                <w:szCs w:val="20"/>
                <w:color w:val="auto"/>
              </w:rPr>
            </w:pPr>
            <w:r>
              <w:rPr>
                <w:rFonts w:ascii="Arial" w:cs="Arial" w:eastAsia="Arial" w:hAnsi="Arial"/>
                <w:sz w:val="16"/>
                <w:szCs w:val="16"/>
                <w:b w:val="1"/>
                <w:bCs w:val="1"/>
                <w:color w:val="auto"/>
              </w:rPr>
              <w:t>C$</w:t>
            </w:r>
          </w:p>
        </w:tc>
        <w:tc>
          <w:tcPr>
            <w:tcW w:w="1200" w:type="dxa"/>
            <w:vAlign w:val="bottom"/>
            <w:tcBorders>
              <w:bottom w:val="single" w:sz="8" w:color="D64000"/>
            </w:tcBorders>
          </w:tcPr>
          <w:p>
            <w:pPr>
              <w:jc w:val="right"/>
              <w:ind w:right="180"/>
              <w:spacing w:after="0"/>
              <w:rPr>
                <w:sz w:val="20"/>
                <w:szCs w:val="20"/>
                <w:color w:val="auto"/>
              </w:rPr>
            </w:pPr>
            <w:r>
              <w:rPr>
                <w:rFonts w:ascii="Arial" w:cs="Arial" w:eastAsia="Arial" w:hAnsi="Arial"/>
                <w:sz w:val="16"/>
                <w:szCs w:val="16"/>
                <w:b w:val="1"/>
                <w:bCs w:val="1"/>
                <w:color w:val="auto"/>
              </w:rPr>
              <w:t>US$</w:t>
            </w:r>
          </w:p>
        </w:tc>
        <w:tc>
          <w:tcPr>
            <w:tcW w:w="172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b w:val="1"/>
                <w:bCs w:val="1"/>
                <w:color w:val="auto"/>
              </w:rPr>
              <w:t>% of base salary</w:t>
            </w:r>
          </w:p>
        </w:tc>
        <w:tc>
          <w:tcPr>
            <w:tcW w:w="840" w:type="dxa"/>
            <w:vAlign w:val="bottom"/>
            <w:tcBorders>
              <w:bottom w:val="single" w:sz="8" w:color="D64000"/>
            </w:tcBorders>
          </w:tcPr>
          <w:p>
            <w:pPr>
              <w:spacing w:after="0"/>
              <w:rPr>
                <w:sz w:val="18"/>
                <w:szCs w:val="18"/>
                <w:color w:val="auto"/>
              </w:rPr>
            </w:pPr>
          </w:p>
        </w:tc>
        <w:tc>
          <w:tcPr>
            <w:tcW w:w="840" w:type="dxa"/>
            <w:vAlign w:val="bottom"/>
            <w:tcBorders>
              <w:bottom w:val="single" w:sz="8" w:color="D64000"/>
            </w:tcBorders>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20" w:type="dxa"/>
            <w:vAlign w:val="bottom"/>
            <w:tcBorders>
              <w:bottom w:val="single" w:sz="8" w:color="B2B2B2"/>
            </w:tcBorders>
          </w:tcPr>
          <w:p>
            <w:pPr>
              <w:spacing w:after="0"/>
              <w:rPr>
                <w:sz w:val="17"/>
                <w:szCs w:val="17"/>
                <w:color w:val="auto"/>
              </w:rPr>
            </w:pPr>
          </w:p>
        </w:tc>
        <w:tc>
          <w:tcPr>
            <w:tcW w:w="37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Base salary</w:t>
            </w:r>
          </w:p>
        </w:tc>
        <w:tc>
          <w:tcPr>
            <w:tcW w:w="2540" w:type="dxa"/>
            <w:vAlign w:val="bottom"/>
            <w:tcBorders>
              <w:bottom w:val="single" w:sz="8" w:color="B2B2B2"/>
            </w:tcBorders>
          </w:tcPr>
          <w:p>
            <w:pPr>
              <w:jc w:val="right"/>
              <w:ind w:right="160"/>
              <w:spacing w:after="0"/>
              <w:rPr>
                <w:sz w:val="20"/>
                <w:szCs w:val="20"/>
                <w:color w:val="auto"/>
              </w:rPr>
            </w:pPr>
            <w:r>
              <w:rPr>
                <w:rFonts w:ascii="Arial" w:cs="Arial" w:eastAsia="Arial" w:hAnsi="Arial"/>
                <w:sz w:val="16"/>
                <w:szCs w:val="16"/>
                <w:color w:val="auto"/>
              </w:rPr>
              <w:t>950,000</w:t>
            </w:r>
          </w:p>
        </w:tc>
        <w:tc>
          <w:tcPr>
            <w:tcW w:w="120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680,400</w:t>
            </w:r>
          </w:p>
        </w:tc>
        <w:tc>
          <w:tcPr>
            <w:tcW w:w="172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4"/>
        </w:trPr>
        <w:tc>
          <w:tcPr>
            <w:tcW w:w="378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Annual incentive award</w:t>
            </w:r>
          </w:p>
        </w:tc>
        <w:tc>
          <w:tcPr>
            <w:tcW w:w="2540" w:type="dxa"/>
            <w:vAlign w:val="bottom"/>
            <w:tcBorders>
              <w:bottom w:val="single" w:sz="8" w:color="B2B2B2"/>
            </w:tcBorders>
          </w:tcPr>
          <w:p>
            <w:pPr>
              <w:jc w:val="right"/>
              <w:ind w:right="160"/>
              <w:spacing w:after="0"/>
              <w:rPr>
                <w:sz w:val="20"/>
                <w:szCs w:val="20"/>
                <w:color w:val="auto"/>
              </w:rPr>
            </w:pPr>
            <w:r>
              <w:rPr>
                <w:rFonts w:ascii="Arial" w:cs="Arial" w:eastAsia="Arial" w:hAnsi="Arial"/>
                <w:sz w:val="16"/>
                <w:szCs w:val="16"/>
                <w:color w:val="auto"/>
              </w:rPr>
              <w:t>1,187,500</w:t>
            </w:r>
          </w:p>
        </w:tc>
        <w:tc>
          <w:tcPr>
            <w:tcW w:w="120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850,499</w:t>
            </w:r>
          </w:p>
        </w:tc>
        <w:tc>
          <w:tcPr>
            <w:tcW w:w="172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125%</w:t>
            </w:r>
          </w:p>
        </w:tc>
        <w:tc>
          <w:tcPr>
            <w:tcW w:w="84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6"/>
                <w:szCs w:val="16"/>
                <w:color w:val="auto"/>
              </w:rPr>
            </w:pPr>
          </w:p>
        </w:tc>
      </w:tr>
      <w:tr>
        <w:trPr>
          <w:trHeight w:val="194"/>
        </w:trPr>
        <w:tc>
          <w:tcPr>
            <w:tcW w:w="378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Long-term incentive awards</w:t>
            </w:r>
          </w:p>
        </w:tc>
        <w:tc>
          <w:tcPr>
            <w:tcW w:w="2540" w:type="dxa"/>
            <w:vAlign w:val="bottom"/>
            <w:tcBorders>
              <w:bottom w:val="single" w:sz="8" w:color="B2B2B2"/>
            </w:tcBorders>
          </w:tcPr>
          <w:p>
            <w:pPr>
              <w:jc w:val="right"/>
              <w:ind w:right="160"/>
              <w:spacing w:after="0"/>
              <w:rPr>
                <w:sz w:val="20"/>
                <w:szCs w:val="20"/>
                <w:color w:val="auto"/>
              </w:rPr>
            </w:pPr>
            <w:r>
              <w:rPr>
                <w:rFonts w:ascii="Arial" w:cs="Arial" w:eastAsia="Arial" w:hAnsi="Arial"/>
                <w:sz w:val="16"/>
                <w:szCs w:val="16"/>
                <w:color w:val="auto"/>
              </w:rPr>
              <w:t>3,087,500</w:t>
            </w:r>
          </w:p>
        </w:tc>
        <w:tc>
          <w:tcPr>
            <w:tcW w:w="120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2,211,298</w:t>
            </w:r>
          </w:p>
        </w:tc>
        <w:tc>
          <w:tcPr>
            <w:tcW w:w="172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325%</w:t>
            </w:r>
          </w:p>
        </w:tc>
        <w:tc>
          <w:tcPr>
            <w:tcW w:w="84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6"/>
                <w:szCs w:val="16"/>
                <w:color w:val="auto"/>
              </w:rPr>
            </w:pPr>
          </w:p>
        </w:tc>
      </w:tr>
      <w:tr>
        <w:trPr>
          <w:trHeight w:val="201"/>
        </w:trPr>
        <w:tc>
          <w:tcPr>
            <w:tcW w:w="378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Total</w:t>
            </w:r>
          </w:p>
        </w:tc>
        <w:tc>
          <w:tcPr>
            <w:tcW w:w="2540" w:type="dxa"/>
            <w:vAlign w:val="bottom"/>
            <w:tcBorders>
              <w:bottom w:val="single" w:sz="8" w:color="D64000"/>
            </w:tcBorders>
          </w:tcPr>
          <w:p>
            <w:pPr>
              <w:jc w:val="right"/>
              <w:ind w:right="160"/>
              <w:spacing w:after="0"/>
              <w:rPr>
                <w:sz w:val="20"/>
                <w:szCs w:val="20"/>
                <w:color w:val="auto"/>
              </w:rPr>
            </w:pPr>
            <w:r>
              <w:rPr>
                <w:rFonts w:ascii="Arial" w:cs="Arial" w:eastAsia="Arial" w:hAnsi="Arial"/>
                <w:sz w:val="16"/>
                <w:szCs w:val="16"/>
                <w:color w:val="auto"/>
              </w:rPr>
              <w:t>5,225,000</w:t>
            </w:r>
          </w:p>
        </w:tc>
        <w:tc>
          <w:tcPr>
            <w:tcW w:w="1200" w:type="dxa"/>
            <w:vAlign w:val="bottom"/>
            <w:tcBorders>
              <w:bottom w:val="single" w:sz="8" w:color="D64000"/>
            </w:tcBorders>
          </w:tcPr>
          <w:p>
            <w:pPr>
              <w:jc w:val="right"/>
              <w:ind w:right="180"/>
              <w:spacing w:after="0"/>
              <w:rPr>
                <w:sz w:val="20"/>
                <w:szCs w:val="20"/>
                <w:color w:val="auto"/>
              </w:rPr>
            </w:pPr>
            <w:r>
              <w:rPr>
                <w:rFonts w:ascii="Arial" w:cs="Arial" w:eastAsia="Arial" w:hAnsi="Arial"/>
                <w:sz w:val="16"/>
                <w:szCs w:val="16"/>
                <w:color w:val="auto"/>
              </w:rPr>
              <w:t>3,742,197</w:t>
            </w:r>
          </w:p>
        </w:tc>
        <w:tc>
          <w:tcPr>
            <w:tcW w:w="172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64000"/>
            </w:tcBorders>
          </w:tcPr>
          <w:p>
            <w:pPr>
              <w:jc w:val="right"/>
              <w:ind w:right="120"/>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Mike’s base salary was unchanged in 2025.</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Annual incentive award: </w:t>
      </w:r>
      <w:r>
        <w:rPr>
          <w:rFonts w:ascii="Arial" w:cs="Arial" w:eastAsia="Arial" w:hAnsi="Arial"/>
          <w:sz w:val="17"/>
          <w:szCs w:val="17"/>
          <w:color w:val="auto"/>
        </w:rPr>
        <w:t>Mike’s 2025 annual incentive award had a payout of 101% of target based on financial and individual performance.</w:t>
      </w:r>
    </w:p>
    <w:p>
      <w:pPr>
        <w:spacing w:after="0" w:line="8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color w:val="auto"/>
        </w:rPr>
        <w:t xml:space="preserve">Long-term incentive awards: </w:t>
      </w:r>
      <w:r>
        <w:rPr>
          <w:rFonts w:ascii="Arial" w:cs="Arial" w:eastAsia="Arial" w:hAnsi="Arial"/>
          <w:sz w:val="17"/>
          <w:szCs w:val="17"/>
          <w:color w:val="auto"/>
        </w:rPr>
        <w:t>Mike’s long-term incentive award was increased from 300% to 325% of his base salary to better align his pay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market. Mike’s 2025 award grant (based on 2024 performance) was split between 50% PRSUs, 25% TRSUs and 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75</w:t>
      </w:r>
    </w:p>
    <w:p>
      <w:pPr>
        <w:sectPr>
          <w:pgSz w:w="11900" w:h="16838" w:orient="portrait"/>
          <w:cols w:equalWidth="0" w:num="1">
            <w:col w:w="10920"/>
          </w:cols>
          <w:pgMar w:left="480" w:top="316" w:right="499" w:bottom="1440" w:gutter="0" w:footer="0" w:header="0"/>
        </w:sectPr>
      </w:pPr>
    </w:p>
    <w:bookmarkStart w:id="85" w:name="page86"/>
    <w:bookmarkEnd w:id="85"/>
    <w:p>
      <w:pPr>
        <w:ind w:left="2620"/>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2655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1265555"/>
                    </a:xfrm>
                    <a:prstGeom prst="rect">
                      <a:avLst/>
                    </a:prstGeom>
                    <a:noFill/>
                  </pic:spPr>
                </pic:pic>
              </a:graphicData>
            </a:graphic>
          </wp:anchor>
        </w:drawing>
        <w:t>Kirsty Roth</w:t>
      </w:r>
    </w:p>
    <w:p>
      <w:pPr>
        <w:spacing w:after="0" w:line="102" w:lineRule="exact"/>
        <w:rPr>
          <w:sz w:val="20"/>
          <w:szCs w:val="20"/>
          <w:color w:val="auto"/>
        </w:rPr>
      </w:pPr>
    </w:p>
    <w:p>
      <w:pPr>
        <w:ind w:left="2620"/>
        <w:spacing w:after="0"/>
        <w:rPr>
          <w:sz w:val="20"/>
          <w:szCs w:val="20"/>
          <w:color w:val="auto"/>
        </w:rPr>
      </w:pPr>
      <w:r>
        <w:rPr>
          <w:rFonts w:ascii="Arial" w:cs="Arial" w:eastAsia="Arial" w:hAnsi="Arial"/>
          <w:sz w:val="25"/>
          <w:szCs w:val="25"/>
          <w:color w:val="auto"/>
        </w:rPr>
        <w:t>Chief Operations and Technology Officer</w:t>
      </w:r>
    </w:p>
    <w:p>
      <w:pPr>
        <w:spacing w:after="0" w:line="109" w:lineRule="exact"/>
        <w:rPr>
          <w:sz w:val="20"/>
          <w:szCs w:val="20"/>
          <w:color w:val="auto"/>
        </w:rPr>
      </w:pPr>
    </w:p>
    <w:p>
      <w:pPr>
        <w:ind w:left="2620"/>
        <w:spacing w:after="0" w:line="253" w:lineRule="auto"/>
        <w:rPr>
          <w:sz w:val="20"/>
          <w:szCs w:val="20"/>
          <w:color w:val="auto"/>
        </w:rPr>
      </w:pPr>
      <w:r>
        <w:rPr>
          <w:rFonts w:ascii="Arial" w:cs="Arial" w:eastAsia="Arial" w:hAnsi="Arial"/>
          <w:sz w:val="16"/>
          <w:szCs w:val="16"/>
          <w:color w:val="auto"/>
        </w:rPr>
        <w:t>Kirsty Roth has been Chief Operations and Technology Officer since August 2020. Prior to joining Thomson Reuters, Kirsty was Global Head of Operations and a Group General Manager for HSBC from May 2016 to August 2020. Before that, Kirsty was Chief Operating Officer for Finance, Operations and IT at Credit Suisse from 2011 to 2016 and a Consulting Partner with Deloitte from 2001 to 2011. Kirsty is a non-executive director on the board of Deutsche Bank AG. Kirsty received a bachelor’s degree in Chemistry from the University of Bristol.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69297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Under Kirsty’s leadership in 2025:</w:t>
      </w:r>
    </w:p>
    <w:p>
      <w:pPr>
        <w:spacing w:after="0" w:line="85" w:lineRule="exact"/>
        <w:rPr>
          <w:sz w:val="20"/>
          <w:szCs w:val="20"/>
          <w:color w:val="auto"/>
        </w:rPr>
      </w:pPr>
    </w:p>
    <w:p>
      <w:pPr>
        <w:ind w:left="440" w:right="280" w:hanging="433"/>
        <w:spacing w:after="0" w:line="263" w:lineRule="auto"/>
        <w:tabs>
          <w:tab w:leader="none" w:pos="4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We launched significant product upgrades with Generative AI including Westlaw Deep Research, Ready to Review, Ready to Advise and Clear AI.</w:t>
      </w:r>
    </w:p>
    <w:p>
      <w:pPr>
        <w:spacing w:after="0" w:line="39" w:lineRule="exact"/>
        <w:rPr>
          <w:rFonts w:ascii="Arial" w:cs="Arial" w:eastAsia="Arial" w:hAnsi="Arial"/>
          <w:sz w:val="17"/>
          <w:szCs w:val="17"/>
          <w:color w:val="D64000"/>
        </w:rPr>
      </w:pPr>
    </w:p>
    <w:p>
      <w:pPr>
        <w:ind w:left="440" w:right="140" w:hanging="433"/>
        <w:spacing w:after="0" w:line="246" w:lineRule="auto"/>
        <w:tabs>
          <w:tab w:leader="none" w:pos="4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We delivered consistent service reliability and customer experience outcomes across our core businesses. Key customer-facing products achieved 99.8% availability, and our overall customer experience satisfaction rate (CSAT) reached nearly 90%. Our tax platforms operated through peak filing seasons without major incidents, supporting customers during critical regulatory periods.</w:t>
      </w:r>
    </w:p>
    <w:p>
      <w:pPr>
        <w:spacing w:after="0" w:line="54" w:lineRule="exact"/>
        <w:rPr>
          <w:rFonts w:ascii="Arial" w:cs="Arial" w:eastAsia="Arial" w:hAnsi="Arial"/>
          <w:sz w:val="17"/>
          <w:szCs w:val="17"/>
          <w:color w:val="D64000"/>
        </w:rPr>
      </w:pPr>
    </w:p>
    <w:p>
      <w:pPr>
        <w:ind w:left="440" w:right="160" w:hanging="433"/>
        <w:spacing w:after="0" w:line="269" w:lineRule="auto"/>
        <w:tabs>
          <w:tab w:leader="none" w:pos="440" w:val="left"/>
        </w:tabs>
        <w:numPr>
          <w:ilvl w:val="0"/>
          <w:numId w:val="86"/>
        </w:numPr>
        <w:rPr>
          <w:rFonts w:ascii="Arial" w:cs="Arial" w:eastAsia="Arial" w:hAnsi="Arial"/>
          <w:sz w:val="16"/>
          <w:szCs w:val="16"/>
          <w:color w:val="D64000"/>
        </w:rPr>
      </w:pPr>
      <w:r>
        <w:rPr>
          <w:rFonts w:ascii="Arial" w:cs="Arial" w:eastAsia="Arial" w:hAnsi="Arial"/>
          <w:sz w:val="16"/>
          <w:szCs w:val="16"/>
          <w:color w:val="auto"/>
        </w:rPr>
        <w:t>We continued to advance the responsible use of artificial intelligence across products and internal operations. New AI-enabled capabilities were introduced in legal and tax research, document analysis, and workflow automation. Internal adoption of AI tools increased to 80%+, and our internal enterprise AI platform usage scaled to nearly 23,000 users, contributing to measurable productivity improvements.</w:t>
      </w:r>
    </w:p>
    <w:p>
      <w:pPr>
        <w:spacing w:after="0" w:line="36" w:lineRule="exact"/>
        <w:rPr>
          <w:rFonts w:ascii="Arial" w:cs="Arial" w:eastAsia="Arial" w:hAnsi="Arial"/>
          <w:sz w:val="16"/>
          <w:szCs w:val="16"/>
          <w:color w:val="D64000"/>
        </w:rPr>
      </w:pPr>
    </w:p>
    <w:p>
      <w:pPr>
        <w:ind w:left="440" w:right="640" w:hanging="433"/>
        <w:spacing w:after="0" w:line="295" w:lineRule="auto"/>
        <w:tabs>
          <w:tab w:leader="none" w:pos="440" w:val="left"/>
        </w:tabs>
        <w:numPr>
          <w:ilvl w:val="0"/>
          <w:numId w:val="86"/>
        </w:numPr>
        <w:rPr>
          <w:rFonts w:ascii="Arial" w:cs="Arial" w:eastAsia="Arial" w:hAnsi="Arial"/>
          <w:sz w:val="16"/>
          <w:szCs w:val="16"/>
          <w:color w:val="D64000"/>
        </w:rPr>
      </w:pPr>
      <w:r>
        <w:rPr>
          <w:rFonts w:ascii="Arial" w:cs="Arial" w:eastAsia="Arial" w:hAnsi="Arial"/>
          <w:sz w:val="16"/>
          <w:szCs w:val="16"/>
          <w:color w:val="auto"/>
        </w:rPr>
        <w:t>We strengthened operational efficiency and cost discipline through technology modernization, cloud optimization, and key long-term commercial agreements. We have solidified our 5-year cloud strategy securing $200M+ in financial benefits across key vendors.</w:t>
      </w:r>
    </w:p>
    <w:p>
      <w:pPr>
        <w:spacing w:after="0" w:line="15" w:lineRule="exact"/>
        <w:rPr>
          <w:rFonts w:ascii="Arial" w:cs="Arial" w:eastAsia="Arial" w:hAnsi="Arial"/>
          <w:sz w:val="16"/>
          <w:szCs w:val="16"/>
          <w:color w:val="D64000"/>
        </w:rPr>
      </w:pPr>
    </w:p>
    <w:p>
      <w:pPr>
        <w:ind w:left="440" w:right="120" w:hanging="433"/>
        <w:spacing w:after="0" w:line="246" w:lineRule="auto"/>
        <w:tabs>
          <w:tab w:leader="none" w:pos="4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We strengthened the company’s operational resilience and governance by advancing large scale technology integrations, separations, and compliance initiatives. We also achieved key security and regulatory milestones, including FedRAMP “In Process” status for key products and ISO 42001 certification for selected platforms, supporting long term risk management and market access.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220" w:type="dxa"/>
            <w:vAlign w:val="bottom"/>
            <w:gridSpan w:val="2"/>
            <w:shd w:val="clear" w:color="auto" w:fill="E3F3EE"/>
          </w:tcPr>
          <w:p>
            <w:pPr>
              <w:jc w:val="right"/>
              <w:spacing w:after="0"/>
              <w:rPr>
                <w:sz w:val="20"/>
                <w:szCs w:val="20"/>
                <w:color w:val="auto"/>
              </w:rPr>
            </w:pPr>
            <w:r>
              <w:rPr>
                <w:rFonts w:ascii="Arial" w:cs="Arial" w:eastAsia="Arial" w:hAnsi="Arial"/>
                <w:sz w:val="16"/>
                <w:szCs w:val="16"/>
                <w:b w:val="1"/>
                <w:bCs w:val="1"/>
                <w:color w:val="auto"/>
              </w:rPr>
              <w:t>Target Total Direct Compensation</w:t>
            </w:r>
          </w:p>
        </w:tc>
        <w:tc>
          <w:tcPr>
            <w:tcW w:w="520" w:type="dxa"/>
            <w:vAlign w:val="bottom"/>
            <w:shd w:val="clear" w:color="auto" w:fill="E3F3EE"/>
          </w:tcPr>
          <w:p>
            <w:pPr>
              <w:spacing w:after="0"/>
              <w:rPr>
                <w:sz w:val="20"/>
                <w:szCs w:val="20"/>
                <w:color w:val="auto"/>
              </w:rPr>
            </w:pPr>
          </w:p>
        </w:tc>
        <w:tc>
          <w:tcPr>
            <w:tcW w:w="220" w:type="dxa"/>
            <w:vAlign w:val="bottom"/>
            <w:shd w:val="clear" w:color="auto" w:fill="E3F3EE"/>
          </w:tcPr>
          <w:p>
            <w:pPr>
              <w:spacing w:after="0"/>
              <w:rPr>
                <w:sz w:val="20"/>
                <w:szCs w:val="20"/>
                <w:color w:val="auto"/>
              </w:rPr>
            </w:pPr>
          </w:p>
        </w:tc>
        <w:tc>
          <w:tcPr>
            <w:tcW w:w="860" w:type="dxa"/>
            <w:vAlign w:val="bottom"/>
            <w:shd w:val="clear" w:color="auto" w:fill="E3F3EE"/>
          </w:tcPr>
          <w:p>
            <w:pPr>
              <w:jc w:val="right"/>
              <w:ind w:right="140"/>
              <w:spacing w:after="0"/>
              <w:rPr>
                <w:sz w:val="20"/>
                <w:szCs w:val="20"/>
                <w:color w:val="auto"/>
              </w:rPr>
            </w:pPr>
            <w:r>
              <w:rPr>
                <w:rFonts w:ascii="Arial" w:cs="Arial" w:eastAsia="Arial" w:hAnsi="Arial"/>
                <w:sz w:val="16"/>
                <w:szCs w:val="16"/>
                <w:b w:val="1"/>
                <w:bCs w:val="1"/>
                <w:color w:val="auto"/>
              </w:rPr>
              <w:t>Fixed</w:t>
            </w:r>
          </w:p>
        </w:tc>
        <w:tc>
          <w:tcPr>
            <w:tcW w:w="84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Variable</w:t>
            </w:r>
          </w:p>
        </w:tc>
      </w:tr>
      <w:tr>
        <w:trPr>
          <w:trHeight w:val="173"/>
        </w:trPr>
        <w:tc>
          <w:tcPr>
            <w:tcW w:w="20" w:type="dxa"/>
            <w:vAlign w:val="bottom"/>
          </w:tcPr>
          <w:p>
            <w:pPr>
              <w:spacing w:after="0"/>
              <w:rPr>
                <w:sz w:val="15"/>
                <w:szCs w:val="15"/>
                <w:color w:val="auto"/>
              </w:rPr>
            </w:pPr>
          </w:p>
        </w:tc>
        <w:tc>
          <w:tcPr>
            <w:tcW w:w="5240" w:type="dxa"/>
            <w:vAlign w:val="bottom"/>
            <w:shd w:val="clear" w:color="auto" w:fill="1F473D"/>
          </w:tcPr>
          <w:p>
            <w:pPr>
              <w:spacing w:after="0"/>
              <w:rPr>
                <w:sz w:val="15"/>
                <w:szCs w:val="15"/>
                <w:color w:val="auto"/>
              </w:rPr>
            </w:pPr>
          </w:p>
        </w:tc>
        <w:tc>
          <w:tcPr>
            <w:tcW w:w="1580" w:type="dxa"/>
            <w:vAlign w:val="bottom"/>
            <w:shd w:val="clear" w:color="auto" w:fill="1F473D"/>
          </w:tcPr>
          <w:p>
            <w:pPr>
              <w:spacing w:after="0"/>
              <w:rPr>
                <w:sz w:val="15"/>
                <w:szCs w:val="15"/>
                <w:color w:val="auto"/>
              </w:rPr>
            </w:pPr>
          </w:p>
        </w:tc>
        <w:tc>
          <w:tcPr>
            <w:tcW w:w="2380" w:type="dxa"/>
            <w:vAlign w:val="bottom"/>
            <w:gridSpan w:val="3"/>
            <w:shd w:val="clear" w:color="auto" w:fill="1F473D"/>
          </w:tcPr>
          <w:p>
            <w:pPr>
              <w:jc w:val="right"/>
              <w:ind w:right="220"/>
              <w:spacing w:after="0" w:line="173" w:lineRule="exact"/>
              <w:rPr>
                <w:sz w:val="20"/>
                <w:szCs w:val="20"/>
                <w:color w:val="auto"/>
              </w:rPr>
            </w:pPr>
            <w:r>
              <w:rPr>
                <w:rFonts w:ascii="Arial" w:cs="Arial" w:eastAsia="Arial" w:hAnsi="Arial"/>
                <w:sz w:val="16"/>
                <w:szCs w:val="16"/>
                <w:b w:val="1"/>
                <w:bCs w:val="1"/>
                <w:color w:val="FFFFFF"/>
              </w:rPr>
              <w:t>% of base</w:t>
            </w:r>
          </w:p>
        </w:tc>
        <w:tc>
          <w:tcPr>
            <w:tcW w:w="860" w:type="dxa"/>
            <w:vAlign w:val="bottom"/>
            <w:shd w:val="clear" w:color="auto" w:fill="1F473D"/>
          </w:tcPr>
          <w:p>
            <w:pPr>
              <w:spacing w:after="0"/>
              <w:rPr>
                <w:sz w:val="15"/>
                <w:szCs w:val="15"/>
                <w:color w:val="auto"/>
              </w:rPr>
            </w:pPr>
          </w:p>
        </w:tc>
        <w:tc>
          <w:tcPr>
            <w:tcW w:w="840" w:type="dxa"/>
            <w:vAlign w:val="bottom"/>
            <w:shd w:val="clear" w:color="auto" w:fill="1F473D"/>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5240" w:type="dxa"/>
            <w:vAlign w:val="bottom"/>
            <w:tcBorders>
              <w:bottom w:val="single" w:sz="8" w:color="D64000"/>
            </w:tcBorders>
            <w:shd w:val="clear" w:color="auto" w:fill="1F473D"/>
          </w:tcPr>
          <w:p>
            <w:pPr>
              <w:spacing w:after="0"/>
              <w:rPr>
                <w:sz w:val="18"/>
                <w:szCs w:val="18"/>
                <w:color w:val="auto"/>
              </w:rPr>
            </w:pPr>
          </w:p>
        </w:tc>
        <w:tc>
          <w:tcPr>
            <w:tcW w:w="1580" w:type="dxa"/>
            <w:vAlign w:val="bottom"/>
            <w:tcBorders>
              <w:bottom w:val="single" w:sz="8" w:color="D64000"/>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CHF</w:t>
            </w:r>
          </w:p>
        </w:tc>
        <w:tc>
          <w:tcPr>
            <w:tcW w:w="1640" w:type="dxa"/>
            <w:vAlign w:val="bottom"/>
            <w:tcBorders>
              <w:bottom w:val="single" w:sz="8" w:color="D64000"/>
            </w:tcBorders>
            <w:shd w:val="clear" w:color="auto" w:fill="1F473D"/>
          </w:tcPr>
          <w:p>
            <w:pPr>
              <w:jc w:val="right"/>
              <w:ind w:right="640"/>
              <w:spacing w:after="0"/>
              <w:rPr>
                <w:sz w:val="20"/>
                <w:szCs w:val="20"/>
                <w:color w:val="auto"/>
              </w:rPr>
            </w:pPr>
            <w:r>
              <w:rPr>
                <w:rFonts w:ascii="Arial" w:cs="Arial" w:eastAsia="Arial" w:hAnsi="Arial"/>
                <w:sz w:val="16"/>
                <w:szCs w:val="16"/>
                <w:b w:val="1"/>
                <w:bCs w:val="1"/>
                <w:color w:val="FFFFFF"/>
              </w:rPr>
              <w:t>US$</w:t>
            </w:r>
          </w:p>
        </w:tc>
        <w:tc>
          <w:tcPr>
            <w:tcW w:w="740" w:type="dxa"/>
            <w:vAlign w:val="bottom"/>
            <w:tcBorders>
              <w:bottom w:val="single" w:sz="8" w:color="D64000"/>
            </w:tcBorders>
            <w:gridSpan w:val="2"/>
            <w:shd w:val="clear" w:color="auto" w:fill="1F473D"/>
          </w:tcPr>
          <w:p>
            <w:pPr>
              <w:jc w:val="right"/>
              <w:ind w:right="220"/>
              <w:spacing w:after="0"/>
              <w:rPr>
                <w:sz w:val="20"/>
                <w:szCs w:val="20"/>
                <w:color w:val="auto"/>
              </w:rPr>
            </w:pPr>
            <w:r>
              <w:rPr>
                <w:rFonts w:ascii="Arial" w:cs="Arial" w:eastAsia="Arial" w:hAnsi="Arial"/>
                <w:sz w:val="16"/>
                <w:szCs w:val="16"/>
                <w:b w:val="1"/>
                <w:bCs w:val="1"/>
                <w:color w:val="FFFFFF"/>
              </w:rPr>
              <w:t>salary</w:t>
            </w:r>
          </w:p>
        </w:tc>
        <w:tc>
          <w:tcPr>
            <w:tcW w:w="860" w:type="dxa"/>
            <w:vAlign w:val="bottom"/>
            <w:tcBorders>
              <w:bottom w:val="single" w:sz="8" w:color="D64000"/>
            </w:tcBorders>
            <w:shd w:val="clear" w:color="auto" w:fill="1F473D"/>
          </w:tcPr>
          <w:p>
            <w:pPr>
              <w:spacing w:after="0"/>
              <w:rPr>
                <w:sz w:val="18"/>
                <w:szCs w:val="18"/>
                <w:color w:val="auto"/>
              </w:rPr>
            </w:pPr>
          </w:p>
        </w:tc>
        <w:tc>
          <w:tcPr>
            <w:tcW w:w="840" w:type="dxa"/>
            <w:vAlign w:val="bottom"/>
            <w:tcBorders>
              <w:bottom w:val="single" w:sz="8" w:color="D64000"/>
            </w:tcBorders>
            <w:shd w:val="clear" w:color="auto" w:fill="1F473D"/>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2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Base salary</w:t>
            </w:r>
          </w:p>
        </w:tc>
        <w:tc>
          <w:tcPr>
            <w:tcW w:w="15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685,000</w:t>
            </w:r>
          </w:p>
        </w:tc>
        <w:tc>
          <w:tcPr>
            <w:tcW w:w="1640" w:type="dxa"/>
            <w:vAlign w:val="bottom"/>
            <w:tcBorders>
              <w:bottom w:val="single" w:sz="8" w:color="B2B2B2"/>
            </w:tcBorders>
          </w:tcPr>
          <w:p>
            <w:pPr>
              <w:jc w:val="right"/>
              <w:ind w:right="640"/>
              <w:spacing w:after="0"/>
              <w:rPr>
                <w:sz w:val="20"/>
                <w:szCs w:val="20"/>
                <w:color w:val="auto"/>
              </w:rPr>
            </w:pPr>
            <w:r>
              <w:rPr>
                <w:rFonts w:ascii="Arial" w:cs="Arial" w:eastAsia="Arial" w:hAnsi="Arial"/>
                <w:sz w:val="16"/>
                <w:szCs w:val="16"/>
                <w:color w:val="auto"/>
              </w:rPr>
              <w:t>829,044</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shd w:val="clear" w:color="auto" w:fill="E3F3EE"/>
          </w:tcPr>
          <w:p>
            <w:pPr>
              <w:spacing w:after="0"/>
              <w:rPr>
                <w:sz w:val="17"/>
                <w:szCs w:val="17"/>
                <w:color w:val="auto"/>
              </w:rPr>
            </w:pPr>
          </w:p>
        </w:tc>
        <w:tc>
          <w:tcPr>
            <w:tcW w:w="860" w:type="dxa"/>
            <w:vAlign w:val="bottom"/>
            <w:tcBorders>
              <w:bottom w:val="single" w:sz="8" w:color="B2B2B2"/>
            </w:tcBorders>
            <w:shd w:val="clear" w:color="auto" w:fill="E3F3EE"/>
          </w:tcPr>
          <w:p>
            <w:pPr>
              <w:jc w:val="right"/>
              <w:ind w:right="140"/>
              <w:spacing w:after="0"/>
              <w:rPr>
                <w:sz w:val="20"/>
                <w:szCs w:val="20"/>
                <w:color w:val="auto"/>
              </w:rPr>
            </w:pPr>
            <w:r>
              <w:rPr>
                <w:rFonts w:ascii="Arial" w:cs="Arial" w:eastAsia="Arial" w:hAnsi="Arial"/>
                <w:sz w:val="16"/>
                <w:szCs w:val="16"/>
                <w:color w:val="auto"/>
              </w:rPr>
              <w:t>19%</w:t>
            </w:r>
          </w:p>
        </w:tc>
        <w:tc>
          <w:tcPr>
            <w:tcW w:w="84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2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Annual incentive award</w:t>
            </w:r>
          </w:p>
        </w:tc>
        <w:tc>
          <w:tcPr>
            <w:tcW w:w="15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856,250</w:t>
            </w:r>
          </w:p>
        </w:tc>
        <w:tc>
          <w:tcPr>
            <w:tcW w:w="1640" w:type="dxa"/>
            <w:vAlign w:val="bottom"/>
            <w:tcBorders>
              <w:bottom w:val="single" w:sz="8" w:color="B2B2B2"/>
            </w:tcBorders>
          </w:tcPr>
          <w:p>
            <w:pPr>
              <w:jc w:val="right"/>
              <w:ind w:right="640"/>
              <w:spacing w:after="0"/>
              <w:rPr>
                <w:sz w:val="20"/>
                <w:szCs w:val="20"/>
                <w:color w:val="auto"/>
              </w:rPr>
            </w:pPr>
            <w:r>
              <w:rPr>
                <w:rFonts w:ascii="Arial" w:cs="Arial" w:eastAsia="Arial" w:hAnsi="Arial"/>
                <w:sz w:val="16"/>
                <w:szCs w:val="16"/>
                <w:color w:val="auto"/>
              </w:rPr>
              <w:t>1,036,305</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B2B2B2"/>
            </w:tcBorders>
            <w:shd w:val="clear" w:color="auto" w:fill="E3F3EE"/>
          </w:tcPr>
          <w:p>
            <w:pPr>
              <w:spacing w:after="0"/>
              <w:rPr>
                <w:sz w:val="16"/>
                <w:szCs w:val="16"/>
                <w:color w:val="auto"/>
              </w:rPr>
            </w:pPr>
          </w:p>
        </w:tc>
        <w:tc>
          <w:tcPr>
            <w:tcW w:w="860" w:type="dxa"/>
            <w:vAlign w:val="bottom"/>
            <w:tcBorders>
              <w:bottom w:val="single" w:sz="8" w:color="B2B2B2"/>
            </w:tcBorders>
            <w:shd w:val="clear" w:color="auto" w:fill="E3F3EE"/>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24%</w:t>
            </w:r>
          </w:p>
        </w:tc>
      </w:tr>
      <w:tr>
        <w:trPr>
          <w:trHeight w:val="194"/>
        </w:trPr>
        <w:tc>
          <w:tcPr>
            <w:tcW w:w="20" w:type="dxa"/>
            <w:vAlign w:val="bottom"/>
          </w:tcPr>
          <w:p>
            <w:pPr>
              <w:spacing w:after="0"/>
              <w:rPr>
                <w:sz w:val="16"/>
                <w:szCs w:val="16"/>
                <w:color w:val="auto"/>
              </w:rPr>
            </w:pPr>
          </w:p>
        </w:tc>
        <w:tc>
          <w:tcPr>
            <w:tcW w:w="52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Long-term incentive awards</w:t>
            </w:r>
          </w:p>
        </w:tc>
        <w:tc>
          <w:tcPr>
            <w:tcW w:w="15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2,055,000</w:t>
            </w:r>
          </w:p>
        </w:tc>
        <w:tc>
          <w:tcPr>
            <w:tcW w:w="1640" w:type="dxa"/>
            <w:vAlign w:val="bottom"/>
            <w:tcBorders>
              <w:bottom w:val="single" w:sz="8" w:color="B2B2B2"/>
            </w:tcBorders>
          </w:tcPr>
          <w:p>
            <w:pPr>
              <w:jc w:val="right"/>
              <w:ind w:right="640"/>
              <w:spacing w:after="0"/>
              <w:rPr>
                <w:sz w:val="20"/>
                <w:szCs w:val="20"/>
                <w:color w:val="auto"/>
              </w:rPr>
            </w:pPr>
            <w:r>
              <w:rPr>
                <w:rFonts w:ascii="Arial" w:cs="Arial" w:eastAsia="Arial" w:hAnsi="Arial"/>
                <w:sz w:val="16"/>
                <w:szCs w:val="16"/>
                <w:color w:val="auto"/>
              </w:rPr>
              <w:t>2,487,132</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Borders>
              <w:bottom w:val="single" w:sz="8" w:color="B2B2B2"/>
            </w:tcBorders>
            <w:shd w:val="clear" w:color="auto" w:fill="E3F3EE"/>
          </w:tcPr>
          <w:p>
            <w:pPr>
              <w:spacing w:after="0"/>
              <w:rPr>
                <w:sz w:val="16"/>
                <w:szCs w:val="16"/>
                <w:color w:val="auto"/>
              </w:rPr>
            </w:pPr>
          </w:p>
        </w:tc>
        <w:tc>
          <w:tcPr>
            <w:tcW w:w="860" w:type="dxa"/>
            <w:vAlign w:val="bottom"/>
            <w:tcBorders>
              <w:bottom w:val="single" w:sz="8" w:color="B2B2B2"/>
            </w:tcBorders>
            <w:shd w:val="clear" w:color="auto" w:fill="E3F3EE"/>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57%</w:t>
            </w:r>
          </w:p>
        </w:tc>
      </w:tr>
      <w:tr>
        <w:trPr>
          <w:trHeight w:val="201"/>
        </w:trPr>
        <w:tc>
          <w:tcPr>
            <w:tcW w:w="20" w:type="dxa"/>
            <w:vAlign w:val="bottom"/>
          </w:tcPr>
          <w:p>
            <w:pPr>
              <w:spacing w:after="0"/>
              <w:rPr>
                <w:sz w:val="17"/>
                <w:szCs w:val="17"/>
                <w:color w:val="auto"/>
              </w:rPr>
            </w:pPr>
          </w:p>
        </w:tc>
        <w:tc>
          <w:tcPr>
            <w:tcW w:w="524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Total</w:t>
            </w:r>
          </w:p>
        </w:tc>
        <w:tc>
          <w:tcPr>
            <w:tcW w:w="1580" w:type="dxa"/>
            <w:vAlign w:val="bottom"/>
            <w:tcBorders>
              <w:bottom w:val="single" w:sz="8" w:color="D64000"/>
            </w:tcBorders>
          </w:tcPr>
          <w:p>
            <w:pPr>
              <w:jc w:val="right"/>
              <w:ind w:right="140"/>
              <w:spacing w:after="0"/>
              <w:rPr>
                <w:sz w:val="20"/>
                <w:szCs w:val="20"/>
                <w:color w:val="auto"/>
              </w:rPr>
            </w:pPr>
            <w:r>
              <w:rPr>
                <w:rFonts w:ascii="Arial" w:cs="Arial" w:eastAsia="Arial" w:hAnsi="Arial"/>
                <w:sz w:val="16"/>
                <w:szCs w:val="16"/>
                <w:color w:val="auto"/>
              </w:rPr>
              <w:t>3,596,250</w:t>
            </w:r>
          </w:p>
        </w:tc>
        <w:tc>
          <w:tcPr>
            <w:tcW w:w="1640" w:type="dxa"/>
            <w:vAlign w:val="bottom"/>
            <w:tcBorders>
              <w:bottom w:val="single" w:sz="8" w:color="D64000"/>
            </w:tcBorders>
          </w:tcPr>
          <w:p>
            <w:pPr>
              <w:jc w:val="right"/>
              <w:ind w:right="640"/>
              <w:spacing w:after="0"/>
              <w:rPr>
                <w:sz w:val="20"/>
                <w:szCs w:val="20"/>
                <w:color w:val="auto"/>
              </w:rPr>
            </w:pPr>
            <w:r>
              <w:rPr>
                <w:rFonts w:ascii="Arial" w:cs="Arial" w:eastAsia="Arial" w:hAnsi="Arial"/>
                <w:sz w:val="16"/>
                <w:szCs w:val="16"/>
                <w:color w:val="auto"/>
              </w:rPr>
              <w:t>4,352,481</w:t>
            </w:r>
          </w:p>
        </w:tc>
        <w:tc>
          <w:tcPr>
            <w:tcW w:w="52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64000"/>
            </w:tcBorders>
            <w:shd w:val="clear" w:color="auto" w:fill="E3F3EE"/>
          </w:tcPr>
          <w:p>
            <w:pPr>
              <w:spacing w:after="0"/>
              <w:rPr>
                <w:sz w:val="17"/>
                <w:szCs w:val="17"/>
                <w:color w:val="auto"/>
              </w:rPr>
            </w:pPr>
          </w:p>
        </w:tc>
        <w:tc>
          <w:tcPr>
            <w:tcW w:w="860" w:type="dxa"/>
            <w:vAlign w:val="bottom"/>
            <w:tcBorders>
              <w:bottom w:val="single" w:sz="8" w:color="D64000"/>
            </w:tcBorders>
            <w:shd w:val="clear" w:color="auto" w:fill="E3F3EE"/>
          </w:tcPr>
          <w:p>
            <w:pPr>
              <w:jc w:val="right"/>
              <w:ind w:right="140"/>
              <w:spacing w:after="0"/>
              <w:rPr>
                <w:sz w:val="20"/>
                <w:szCs w:val="20"/>
                <w:color w:val="auto"/>
              </w:rPr>
            </w:pPr>
            <w:r>
              <w:rPr>
                <w:rFonts w:ascii="Arial" w:cs="Arial" w:eastAsia="Arial" w:hAnsi="Arial"/>
                <w:sz w:val="16"/>
                <w:szCs w:val="16"/>
                <w:color w:val="auto"/>
              </w:rPr>
              <w:t>19%</w:t>
            </w:r>
          </w:p>
        </w:tc>
        <w:tc>
          <w:tcPr>
            <w:tcW w:w="84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81%</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Kirsty’s base salary was unchanged in 2025.</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Annual incentive award: </w:t>
      </w:r>
      <w:r>
        <w:rPr>
          <w:rFonts w:ascii="Arial" w:cs="Arial" w:eastAsia="Arial" w:hAnsi="Arial"/>
          <w:sz w:val="17"/>
          <w:szCs w:val="17"/>
          <w:color w:val="auto"/>
        </w:rPr>
        <w:t>Kirsty’s 2025 annual incentive award had a payout of 101% of target based on financial and individual performance.</w:t>
      </w:r>
    </w:p>
    <w:p>
      <w:pPr>
        <w:spacing w:after="0" w:line="99" w:lineRule="exact"/>
        <w:rPr>
          <w:sz w:val="20"/>
          <w:szCs w:val="20"/>
          <w:color w:val="auto"/>
        </w:rPr>
      </w:pPr>
    </w:p>
    <w:p>
      <w:pPr>
        <w:jc w:val="both"/>
        <w:ind w:right="300"/>
        <w:spacing w:after="0" w:line="295" w:lineRule="auto"/>
        <w:rPr>
          <w:sz w:val="20"/>
          <w:szCs w:val="20"/>
          <w:color w:val="auto"/>
        </w:rPr>
      </w:pPr>
      <w:r>
        <w:rPr>
          <w:rFonts w:ascii="Arial" w:cs="Arial" w:eastAsia="Arial" w:hAnsi="Arial"/>
          <w:sz w:val="16"/>
          <w:szCs w:val="16"/>
          <w:b w:val="1"/>
          <w:bCs w:val="1"/>
          <w:color w:val="auto"/>
        </w:rPr>
        <w:t xml:space="preserve">Long-term incentive awards: </w:t>
      </w:r>
      <w:r>
        <w:rPr>
          <w:rFonts w:ascii="Arial" w:cs="Arial" w:eastAsia="Arial" w:hAnsi="Arial"/>
          <w:sz w:val="16"/>
          <w:szCs w:val="16"/>
          <w:color w:val="auto"/>
        </w:rPr>
        <w:t>Kirsty’s long-term incentive award was increased from 275% to 300% of her base salary to better align her pay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market. Kirsty’s 2025 award grant (based on 2024 performance) was split between 50% PRSUs, 25% TRSUs and 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297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76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316" w:right="499" w:bottom="1440" w:gutter="0" w:footer="0" w:header="0"/>
        </w:sectPr>
      </w:pPr>
    </w:p>
    <w:bookmarkStart w:id="86" w:name="page87"/>
    <w:bookmarkEnd w:id="86"/>
    <w:p>
      <w:pPr>
        <w:ind w:left="2620"/>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5030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1503045"/>
                    </a:xfrm>
                    <a:prstGeom prst="rect">
                      <a:avLst/>
                    </a:prstGeom>
                    <a:noFill/>
                  </pic:spPr>
                </pic:pic>
              </a:graphicData>
            </a:graphic>
          </wp:anchor>
        </w:drawing>
        <w:t>David Wong</w:t>
      </w:r>
    </w:p>
    <w:p>
      <w:pPr>
        <w:spacing w:after="0" w:line="102" w:lineRule="exact"/>
        <w:rPr>
          <w:sz w:val="20"/>
          <w:szCs w:val="20"/>
          <w:color w:val="auto"/>
        </w:rPr>
      </w:pPr>
    </w:p>
    <w:p>
      <w:pPr>
        <w:ind w:left="2620"/>
        <w:spacing w:after="0"/>
        <w:rPr>
          <w:sz w:val="20"/>
          <w:szCs w:val="20"/>
          <w:color w:val="auto"/>
        </w:rPr>
      </w:pPr>
      <w:r>
        <w:rPr>
          <w:rFonts w:ascii="Arial" w:cs="Arial" w:eastAsia="Arial" w:hAnsi="Arial"/>
          <w:sz w:val="25"/>
          <w:szCs w:val="25"/>
          <w:color w:val="auto"/>
        </w:rPr>
        <w:t>Chief Product Officer</w:t>
      </w:r>
    </w:p>
    <w:p>
      <w:pPr>
        <w:spacing w:after="0" w:line="109" w:lineRule="exact"/>
        <w:rPr>
          <w:sz w:val="20"/>
          <w:szCs w:val="20"/>
          <w:color w:val="auto"/>
        </w:rPr>
      </w:pPr>
    </w:p>
    <w:p>
      <w:pPr>
        <w:ind w:left="2620" w:right="360"/>
        <w:spacing w:after="0" w:line="254" w:lineRule="auto"/>
        <w:rPr>
          <w:sz w:val="20"/>
          <w:szCs w:val="20"/>
          <w:color w:val="auto"/>
        </w:rPr>
      </w:pPr>
      <w:r>
        <w:rPr>
          <w:rFonts w:ascii="Arial" w:cs="Arial" w:eastAsia="Arial" w:hAnsi="Arial"/>
          <w:sz w:val="16"/>
          <w:szCs w:val="16"/>
          <w:color w:val="auto"/>
        </w:rPr>
        <w:t>David Wong has been Chief Product Officer since July 2020. Prior to joining Thomson Reuters, David worked at Facebook as Product Management Lead from January 2019 to June 2020 and Product Manager from February</w:t>
      </w:r>
    </w:p>
    <w:p>
      <w:pPr>
        <w:spacing w:after="0" w:line="1" w:lineRule="exact"/>
        <w:rPr>
          <w:sz w:val="20"/>
          <w:szCs w:val="20"/>
          <w:color w:val="auto"/>
        </w:rPr>
      </w:pPr>
    </w:p>
    <w:p>
      <w:pPr>
        <w:ind w:left="2620"/>
        <w:spacing w:after="0" w:line="247" w:lineRule="auto"/>
        <w:rPr>
          <w:sz w:val="20"/>
          <w:szCs w:val="20"/>
          <w:color w:val="auto"/>
        </w:rPr>
      </w:pPr>
      <w:r>
        <w:rPr>
          <w:rFonts w:ascii="Arial" w:cs="Arial" w:eastAsia="Arial" w:hAnsi="Arial"/>
          <w:sz w:val="16"/>
          <w:szCs w:val="16"/>
          <w:color w:val="auto"/>
        </w:rPr>
        <w:t>2018 to January 2019. David served as SVP of Product Leadership of Nielsen Holdings PLC from November 2014 to February 2018 and prior to that, served as Nielsen’s VP of Product Leadership from May 2011 to November 2014. David was also a consultant at McKinsey &amp; Company from August 2006 to March 2011. He holds a degree in Engineering Science from the University of Toronto, where he specialized in applied physics and electrical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69297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Under David’s leadership in 2025:</w:t>
      </w:r>
    </w:p>
    <w:p>
      <w:pPr>
        <w:spacing w:after="0" w:line="85" w:lineRule="exact"/>
        <w:rPr>
          <w:sz w:val="20"/>
          <w:szCs w:val="20"/>
          <w:color w:val="auto"/>
        </w:rPr>
      </w:pPr>
    </w:p>
    <w:p>
      <w:pPr>
        <w:ind w:left="440" w:right="140" w:hanging="433"/>
        <w:spacing w:after="0" w:line="263" w:lineRule="auto"/>
        <w:tabs>
          <w:tab w:leader="none" w:pos="440" w:val="left"/>
        </w:tabs>
        <w:numPr>
          <w:ilvl w:val="0"/>
          <w:numId w:val="87"/>
        </w:numPr>
        <w:rPr>
          <w:rFonts w:ascii="Arial" w:cs="Arial" w:eastAsia="Arial" w:hAnsi="Arial"/>
          <w:sz w:val="17"/>
          <w:szCs w:val="17"/>
          <w:color w:val="D64000"/>
        </w:rPr>
      </w:pPr>
      <w:r>
        <w:rPr>
          <w:rFonts w:ascii="Arial" w:cs="Arial" w:eastAsia="Arial" w:hAnsi="Arial"/>
          <w:sz w:val="17"/>
          <w:szCs w:val="17"/>
          <w:color w:val="auto"/>
        </w:rPr>
        <w:t>In Legal Professionals, we launched CoCounsel Legal with agentic AI and Deep Research on Westlaw Advantage, the legal industry’s first agentic AI research capability.</w:t>
      </w:r>
    </w:p>
    <w:p>
      <w:pPr>
        <w:spacing w:after="0" w:line="39" w:lineRule="exact"/>
        <w:rPr>
          <w:rFonts w:ascii="Arial" w:cs="Arial" w:eastAsia="Arial" w:hAnsi="Arial"/>
          <w:sz w:val="17"/>
          <w:szCs w:val="17"/>
          <w:color w:val="D64000"/>
        </w:rPr>
      </w:pPr>
    </w:p>
    <w:p>
      <w:pPr>
        <w:ind w:left="440" w:right="260" w:hanging="433"/>
        <w:spacing w:after="0" w:line="263" w:lineRule="auto"/>
        <w:tabs>
          <w:tab w:leader="none" w:pos="440" w:val="left"/>
        </w:tabs>
        <w:numPr>
          <w:ilvl w:val="0"/>
          <w:numId w:val="87"/>
        </w:numPr>
        <w:rPr>
          <w:rFonts w:ascii="Arial" w:cs="Arial" w:eastAsia="Arial" w:hAnsi="Arial"/>
          <w:sz w:val="17"/>
          <w:szCs w:val="17"/>
          <w:color w:val="D64000"/>
        </w:rPr>
      </w:pPr>
      <w:r>
        <w:rPr>
          <w:rFonts w:ascii="Arial" w:cs="Arial" w:eastAsia="Arial" w:hAnsi="Arial"/>
          <w:sz w:val="17"/>
          <w:szCs w:val="17"/>
          <w:color w:val="auto"/>
        </w:rPr>
        <w:t>In Tax, Audit &amp; Accounting Professionals, we launched CoCounsel for Tax and Audit, including Ready to Review for automated tax return preparation and Ready to Advise for AI-powered tax planning.</w:t>
      </w:r>
    </w:p>
    <w:p>
      <w:pPr>
        <w:spacing w:after="0" w:line="39" w:lineRule="exact"/>
        <w:rPr>
          <w:rFonts w:ascii="Arial" w:cs="Arial" w:eastAsia="Arial" w:hAnsi="Arial"/>
          <w:sz w:val="17"/>
          <w:szCs w:val="17"/>
          <w:color w:val="D64000"/>
        </w:rPr>
      </w:pPr>
    </w:p>
    <w:p>
      <w:pPr>
        <w:ind w:left="440" w:right="620" w:hanging="433"/>
        <w:spacing w:after="0" w:line="263" w:lineRule="auto"/>
        <w:tabs>
          <w:tab w:leader="none" w:pos="440" w:val="left"/>
        </w:tabs>
        <w:numPr>
          <w:ilvl w:val="0"/>
          <w:numId w:val="87"/>
        </w:numPr>
        <w:rPr>
          <w:rFonts w:ascii="Arial" w:cs="Arial" w:eastAsia="Arial" w:hAnsi="Arial"/>
          <w:sz w:val="17"/>
          <w:szCs w:val="17"/>
          <w:color w:val="D64000"/>
        </w:rPr>
      </w:pPr>
      <w:r>
        <w:rPr>
          <w:rFonts w:ascii="Arial" w:cs="Arial" w:eastAsia="Arial" w:hAnsi="Arial"/>
          <w:sz w:val="17"/>
          <w:szCs w:val="17"/>
          <w:color w:val="auto"/>
        </w:rPr>
        <w:t>In Corporates, we unveiled ONESOURCE+, the only Intelligent Compliance Network powered by agentic AI, and introduced CLEAR Investigate with enhanced AI investigative tools.</w:t>
      </w:r>
    </w:p>
    <w:p>
      <w:pPr>
        <w:spacing w:after="0" w:line="39" w:lineRule="exact"/>
        <w:rPr>
          <w:rFonts w:ascii="Arial" w:cs="Arial" w:eastAsia="Arial" w:hAnsi="Arial"/>
          <w:sz w:val="17"/>
          <w:szCs w:val="17"/>
          <w:color w:val="D64000"/>
        </w:rPr>
      </w:pPr>
    </w:p>
    <w:p>
      <w:pPr>
        <w:ind w:left="440" w:right="480" w:hanging="433"/>
        <w:spacing w:after="0" w:line="263" w:lineRule="auto"/>
        <w:tabs>
          <w:tab w:leader="none" w:pos="440" w:val="left"/>
        </w:tabs>
        <w:numPr>
          <w:ilvl w:val="0"/>
          <w:numId w:val="87"/>
        </w:numPr>
        <w:rPr>
          <w:rFonts w:ascii="Arial" w:cs="Arial" w:eastAsia="Arial" w:hAnsi="Arial"/>
          <w:sz w:val="17"/>
          <w:szCs w:val="17"/>
          <w:color w:val="D64000"/>
        </w:rPr>
      </w:pPr>
      <w:r>
        <w:rPr>
          <w:rFonts w:ascii="Arial" w:cs="Arial" w:eastAsia="Arial" w:hAnsi="Arial"/>
          <w:sz w:val="17"/>
          <w:szCs w:val="17"/>
          <w:color w:val="auto"/>
        </w:rPr>
        <w:t>We expanded CoCounsel globally, adding French, German, Portuguese, Spanish and Japanese language capabilities across multiple countries.</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9297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460" w:type="dxa"/>
            <w:vAlign w:val="bottom"/>
            <w:gridSpan w:val="4"/>
            <w:shd w:val="clear" w:color="auto" w:fill="E3F3EE"/>
          </w:tcPr>
          <w:p>
            <w:pPr>
              <w:ind w:left="680"/>
              <w:spacing w:after="0"/>
              <w:rPr>
                <w:sz w:val="20"/>
                <w:szCs w:val="20"/>
                <w:color w:val="auto"/>
              </w:rPr>
            </w:pPr>
            <w:r>
              <w:rPr>
                <w:rFonts w:ascii="Arial" w:cs="Arial" w:eastAsia="Arial" w:hAnsi="Arial"/>
                <w:sz w:val="16"/>
                <w:szCs w:val="16"/>
                <w:b w:val="1"/>
                <w:bCs w:val="1"/>
                <w:color w:val="auto"/>
              </w:rPr>
              <w:t>Target Total Direct Compensation</w:t>
            </w:r>
          </w:p>
        </w:tc>
        <w:tc>
          <w:tcPr>
            <w:tcW w:w="860" w:type="dxa"/>
            <w:vAlign w:val="bottom"/>
            <w:shd w:val="clear" w:color="auto" w:fill="E3F3EE"/>
          </w:tcPr>
          <w:p>
            <w:pPr>
              <w:jc w:val="right"/>
              <w:ind w:right="140"/>
              <w:spacing w:after="0"/>
              <w:rPr>
                <w:sz w:val="20"/>
                <w:szCs w:val="20"/>
                <w:color w:val="auto"/>
              </w:rPr>
            </w:pPr>
            <w:r>
              <w:rPr>
                <w:rFonts w:ascii="Arial" w:cs="Arial" w:eastAsia="Arial" w:hAnsi="Arial"/>
                <w:sz w:val="16"/>
                <w:szCs w:val="16"/>
                <w:b w:val="1"/>
                <w:bCs w:val="1"/>
                <w:color w:val="auto"/>
              </w:rPr>
              <w:t>Fixed</w:t>
            </w:r>
          </w:p>
        </w:tc>
        <w:tc>
          <w:tcPr>
            <w:tcW w:w="84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Variable</w:t>
            </w:r>
          </w:p>
        </w:tc>
      </w:tr>
      <w:tr>
        <w:trPr>
          <w:trHeight w:val="194"/>
        </w:trPr>
        <w:tc>
          <w:tcPr>
            <w:tcW w:w="20" w:type="dxa"/>
            <w:vAlign w:val="bottom"/>
          </w:tcPr>
          <w:p>
            <w:pPr>
              <w:spacing w:after="0"/>
              <w:rPr>
                <w:sz w:val="16"/>
                <w:szCs w:val="16"/>
                <w:color w:val="auto"/>
              </w:rPr>
            </w:pPr>
          </w:p>
        </w:tc>
        <w:tc>
          <w:tcPr>
            <w:tcW w:w="4740" w:type="dxa"/>
            <w:vAlign w:val="bottom"/>
            <w:tcBorders>
              <w:bottom w:val="single" w:sz="8" w:color="D64000"/>
            </w:tcBorders>
            <w:shd w:val="clear" w:color="auto" w:fill="1F473D"/>
          </w:tcPr>
          <w:p>
            <w:pPr>
              <w:spacing w:after="0"/>
              <w:rPr>
                <w:sz w:val="16"/>
                <w:szCs w:val="16"/>
                <w:color w:val="auto"/>
              </w:rPr>
            </w:pPr>
          </w:p>
        </w:tc>
        <w:tc>
          <w:tcPr>
            <w:tcW w:w="1620" w:type="dxa"/>
            <w:vAlign w:val="bottom"/>
            <w:tcBorders>
              <w:bottom w:val="single" w:sz="8" w:color="D64000"/>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C$</w:t>
            </w:r>
          </w:p>
        </w:tc>
        <w:tc>
          <w:tcPr>
            <w:tcW w:w="1140" w:type="dxa"/>
            <w:vAlign w:val="bottom"/>
            <w:tcBorders>
              <w:bottom w:val="single" w:sz="8" w:color="D64000"/>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US$</w:t>
            </w:r>
          </w:p>
        </w:tc>
        <w:tc>
          <w:tcPr>
            <w:tcW w:w="1700" w:type="dxa"/>
            <w:vAlign w:val="bottom"/>
            <w:tcBorders>
              <w:bottom w:val="single" w:sz="8" w:color="D64000"/>
            </w:tcBorders>
            <w:gridSpan w:val="2"/>
            <w:shd w:val="clear" w:color="auto" w:fill="1F473D"/>
          </w:tcPr>
          <w:p>
            <w:pPr>
              <w:ind w:left="240"/>
              <w:spacing w:after="0"/>
              <w:rPr>
                <w:sz w:val="20"/>
                <w:szCs w:val="20"/>
                <w:color w:val="auto"/>
              </w:rPr>
            </w:pPr>
            <w:r>
              <w:rPr>
                <w:rFonts w:ascii="Arial" w:cs="Arial" w:eastAsia="Arial" w:hAnsi="Arial"/>
                <w:sz w:val="16"/>
                <w:szCs w:val="16"/>
                <w:b w:val="1"/>
                <w:bCs w:val="1"/>
                <w:color w:val="FFFFFF"/>
              </w:rPr>
              <w:t>% of base salary</w:t>
            </w:r>
          </w:p>
        </w:tc>
        <w:tc>
          <w:tcPr>
            <w:tcW w:w="860" w:type="dxa"/>
            <w:vAlign w:val="bottom"/>
            <w:tcBorders>
              <w:bottom w:val="single" w:sz="8" w:color="D64000"/>
            </w:tcBorders>
            <w:shd w:val="clear" w:color="auto" w:fill="1F473D"/>
          </w:tcPr>
          <w:p>
            <w:pPr>
              <w:spacing w:after="0"/>
              <w:rPr>
                <w:sz w:val="16"/>
                <w:szCs w:val="16"/>
                <w:color w:val="auto"/>
              </w:rPr>
            </w:pPr>
          </w:p>
        </w:tc>
        <w:tc>
          <w:tcPr>
            <w:tcW w:w="840" w:type="dxa"/>
            <w:vAlign w:val="bottom"/>
            <w:tcBorders>
              <w:bottom w:val="single" w:sz="8" w:color="D64000"/>
            </w:tcBorders>
            <w:shd w:val="clear" w:color="auto" w:fill="1F473D"/>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7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Base salary</w:t>
            </w:r>
          </w:p>
        </w:tc>
        <w:tc>
          <w:tcPr>
            <w:tcW w:w="162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850,000</w:t>
            </w:r>
          </w:p>
        </w:tc>
        <w:tc>
          <w:tcPr>
            <w:tcW w:w="114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608,779</w:t>
            </w:r>
          </w:p>
        </w:tc>
        <w:tc>
          <w:tcPr>
            <w:tcW w:w="1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2B2B2"/>
            </w:tcBorders>
            <w:shd w:val="clear" w:color="auto" w:fill="E3F3EE"/>
          </w:tcPr>
          <w:p>
            <w:pPr>
              <w:spacing w:after="0"/>
              <w:rPr>
                <w:sz w:val="17"/>
                <w:szCs w:val="17"/>
                <w:color w:val="auto"/>
              </w:rPr>
            </w:pPr>
          </w:p>
        </w:tc>
        <w:tc>
          <w:tcPr>
            <w:tcW w:w="860" w:type="dxa"/>
            <w:vAlign w:val="bottom"/>
            <w:tcBorders>
              <w:bottom w:val="single" w:sz="8" w:color="B2B2B2"/>
            </w:tcBorders>
            <w:shd w:val="clear" w:color="auto" w:fill="E3F3EE"/>
          </w:tcPr>
          <w:p>
            <w:pPr>
              <w:jc w:val="right"/>
              <w:ind w:right="140"/>
              <w:spacing w:after="0"/>
              <w:rPr>
                <w:sz w:val="20"/>
                <w:szCs w:val="20"/>
                <w:color w:val="auto"/>
              </w:rPr>
            </w:pPr>
            <w:r>
              <w:rPr>
                <w:rFonts w:ascii="Arial" w:cs="Arial" w:eastAsia="Arial" w:hAnsi="Arial"/>
                <w:sz w:val="16"/>
                <w:szCs w:val="16"/>
                <w:color w:val="auto"/>
              </w:rPr>
              <w:t>17%</w:t>
            </w:r>
          </w:p>
        </w:tc>
        <w:tc>
          <w:tcPr>
            <w:tcW w:w="84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47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Annual incentive award</w:t>
            </w:r>
          </w:p>
        </w:tc>
        <w:tc>
          <w:tcPr>
            <w:tcW w:w="162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1,062,500</w:t>
            </w:r>
          </w:p>
        </w:tc>
        <w:tc>
          <w:tcPr>
            <w:tcW w:w="114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760,973</w:t>
            </w:r>
          </w:p>
        </w:tc>
        <w:tc>
          <w:tcPr>
            <w:tcW w:w="1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Borders>
              <w:bottom w:val="single" w:sz="8" w:color="B2B2B2"/>
            </w:tcBorders>
            <w:shd w:val="clear" w:color="auto" w:fill="E3F3EE"/>
          </w:tcPr>
          <w:p>
            <w:pPr>
              <w:spacing w:after="0"/>
              <w:rPr>
                <w:sz w:val="16"/>
                <w:szCs w:val="16"/>
                <w:color w:val="auto"/>
              </w:rPr>
            </w:pPr>
          </w:p>
        </w:tc>
        <w:tc>
          <w:tcPr>
            <w:tcW w:w="860" w:type="dxa"/>
            <w:vAlign w:val="bottom"/>
            <w:tcBorders>
              <w:bottom w:val="single" w:sz="8" w:color="B2B2B2"/>
            </w:tcBorders>
            <w:shd w:val="clear" w:color="auto" w:fill="E3F3EE"/>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22%</w:t>
            </w:r>
          </w:p>
        </w:tc>
      </w:tr>
      <w:tr>
        <w:trPr>
          <w:trHeight w:val="194"/>
        </w:trPr>
        <w:tc>
          <w:tcPr>
            <w:tcW w:w="20" w:type="dxa"/>
            <w:vAlign w:val="bottom"/>
          </w:tcPr>
          <w:p>
            <w:pPr>
              <w:spacing w:after="0"/>
              <w:rPr>
                <w:sz w:val="16"/>
                <w:szCs w:val="16"/>
                <w:color w:val="auto"/>
              </w:rPr>
            </w:pPr>
          </w:p>
        </w:tc>
        <w:tc>
          <w:tcPr>
            <w:tcW w:w="47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Long-term incentive awards</w:t>
            </w:r>
          </w:p>
        </w:tc>
        <w:tc>
          <w:tcPr>
            <w:tcW w:w="162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2,975,000</w:t>
            </w:r>
          </w:p>
        </w:tc>
        <w:tc>
          <w:tcPr>
            <w:tcW w:w="114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2,130,725</w:t>
            </w:r>
          </w:p>
        </w:tc>
        <w:tc>
          <w:tcPr>
            <w:tcW w:w="1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350%</w:t>
            </w:r>
          </w:p>
        </w:tc>
        <w:tc>
          <w:tcPr>
            <w:tcW w:w="220" w:type="dxa"/>
            <w:vAlign w:val="bottom"/>
            <w:tcBorders>
              <w:bottom w:val="single" w:sz="8" w:color="B2B2B2"/>
            </w:tcBorders>
            <w:shd w:val="clear" w:color="auto" w:fill="E3F3EE"/>
          </w:tcPr>
          <w:p>
            <w:pPr>
              <w:spacing w:after="0"/>
              <w:rPr>
                <w:sz w:val="16"/>
                <w:szCs w:val="16"/>
                <w:color w:val="auto"/>
              </w:rPr>
            </w:pPr>
          </w:p>
        </w:tc>
        <w:tc>
          <w:tcPr>
            <w:tcW w:w="860" w:type="dxa"/>
            <w:vAlign w:val="bottom"/>
            <w:tcBorders>
              <w:bottom w:val="single" w:sz="8" w:color="B2B2B2"/>
            </w:tcBorders>
            <w:shd w:val="clear" w:color="auto" w:fill="E3F3EE"/>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61%</w:t>
            </w:r>
          </w:p>
        </w:tc>
      </w:tr>
      <w:tr>
        <w:trPr>
          <w:trHeight w:val="201"/>
        </w:trPr>
        <w:tc>
          <w:tcPr>
            <w:tcW w:w="20" w:type="dxa"/>
            <w:vAlign w:val="bottom"/>
          </w:tcPr>
          <w:p>
            <w:pPr>
              <w:spacing w:after="0"/>
              <w:rPr>
                <w:sz w:val="17"/>
                <w:szCs w:val="17"/>
                <w:color w:val="auto"/>
              </w:rPr>
            </w:pPr>
          </w:p>
        </w:tc>
        <w:tc>
          <w:tcPr>
            <w:tcW w:w="474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Total</w:t>
            </w:r>
          </w:p>
        </w:tc>
        <w:tc>
          <w:tcPr>
            <w:tcW w:w="1620" w:type="dxa"/>
            <w:vAlign w:val="bottom"/>
            <w:tcBorders>
              <w:bottom w:val="single" w:sz="8" w:color="D64000"/>
            </w:tcBorders>
          </w:tcPr>
          <w:p>
            <w:pPr>
              <w:jc w:val="right"/>
              <w:ind w:right="140"/>
              <w:spacing w:after="0"/>
              <w:rPr>
                <w:sz w:val="20"/>
                <w:szCs w:val="20"/>
                <w:color w:val="auto"/>
              </w:rPr>
            </w:pPr>
            <w:r>
              <w:rPr>
                <w:rFonts w:ascii="Arial" w:cs="Arial" w:eastAsia="Arial" w:hAnsi="Arial"/>
                <w:sz w:val="16"/>
                <w:szCs w:val="16"/>
                <w:color w:val="auto"/>
              </w:rPr>
              <w:t>4,887,500</w:t>
            </w:r>
          </w:p>
        </w:tc>
        <w:tc>
          <w:tcPr>
            <w:tcW w:w="1140" w:type="dxa"/>
            <w:vAlign w:val="bottom"/>
            <w:tcBorders>
              <w:bottom w:val="single" w:sz="8" w:color="D64000"/>
            </w:tcBorders>
          </w:tcPr>
          <w:p>
            <w:pPr>
              <w:jc w:val="right"/>
              <w:ind w:right="140"/>
              <w:spacing w:after="0"/>
              <w:rPr>
                <w:sz w:val="20"/>
                <w:szCs w:val="20"/>
                <w:color w:val="auto"/>
              </w:rPr>
            </w:pPr>
            <w:r>
              <w:rPr>
                <w:rFonts w:ascii="Arial" w:cs="Arial" w:eastAsia="Arial" w:hAnsi="Arial"/>
                <w:sz w:val="16"/>
                <w:szCs w:val="16"/>
                <w:color w:val="auto"/>
              </w:rPr>
              <w:t>3,500,477</w:t>
            </w:r>
          </w:p>
        </w:tc>
        <w:tc>
          <w:tcPr>
            <w:tcW w:w="14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64000"/>
            </w:tcBorders>
            <w:shd w:val="clear" w:color="auto" w:fill="E3F3EE"/>
          </w:tcPr>
          <w:p>
            <w:pPr>
              <w:spacing w:after="0"/>
              <w:rPr>
                <w:sz w:val="17"/>
                <w:szCs w:val="17"/>
                <w:color w:val="auto"/>
              </w:rPr>
            </w:pPr>
          </w:p>
        </w:tc>
        <w:tc>
          <w:tcPr>
            <w:tcW w:w="860" w:type="dxa"/>
            <w:vAlign w:val="bottom"/>
            <w:tcBorders>
              <w:bottom w:val="single" w:sz="8" w:color="D64000"/>
            </w:tcBorders>
            <w:shd w:val="clear" w:color="auto" w:fill="E3F3EE"/>
          </w:tcPr>
          <w:p>
            <w:pPr>
              <w:jc w:val="right"/>
              <w:ind w:right="140"/>
              <w:spacing w:after="0"/>
              <w:rPr>
                <w:sz w:val="20"/>
                <w:szCs w:val="20"/>
                <w:color w:val="auto"/>
              </w:rPr>
            </w:pPr>
            <w:r>
              <w:rPr>
                <w:rFonts w:ascii="Arial" w:cs="Arial" w:eastAsia="Arial" w:hAnsi="Arial"/>
                <w:sz w:val="16"/>
                <w:szCs w:val="16"/>
                <w:color w:val="auto"/>
              </w:rPr>
              <w:t>17%</w:t>
            </w:r>
          </w:p>
        </w:tc>
        <w:tc>
          <w:tcPr>
            <w:tcW w:w="84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83%</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David’s base salary was unchanged in 2025.</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Annual incentive award: </w:t>
      </w:r>
      <w:r>
        <w:rPr>
          <w:rFonts w:ascii="Arial" w:cs="Arial" w:eastAsia="Arial" w:hAnsi="Arial"/>
          <w:sz w:val="17"/>
          <w:szCs w:val="17"/>
          <w:color w:val="auto"/>
        </w:rPr>
        <w:t>David’s 2025 annual incentive award had a payout of 101% of target based on financial and individual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Long-term incentive awards: </w:t>
      </w:r>
      <w:r>
        <w:rPr>
          <w:rFonts w:ascii="Arial" w:cs="Arial" w:eastAsia="Arial" w:hAnsi="Arial"/>
          <w:sz w:val="17"/>
          <w:szCs w:val="17"/>
          <w:color w:val="auto"/>
        </w:rPr>
        <w:t>David’s 2025 award grant was split between 50% PRSUs, 25% TRSUs and 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77</w:t>
      </w:r>
    </w:p>
    <w:p>
      <w:pPr>
        <w:sectPr>
          <w:pgSz w:w="11900" w:h="16838" w:orient="portrait"/>
          <w:cols w:equalWidth="0" w:num="1">
            <w:col w:w="10920"/>
          </w:cols>
          <w:pgMar w:left="480" w:top="316" w:right="499" w:bottom="1440" w:gutter="0" w:footer="0" w:header="0"/>
        </w:sectPr>
      </w:pPr>
    </w:p>
    <w:bookmarkStart w:id="87" w:name="page88"/>
    <w:bookmarkEnd w:id="87"/>
    <w:p>
      <w:pPr>
        <w:ind w:left="2620"/>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8510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1851025"/>
                    </a:xfrm>
                    <a:prstGeom prst="rect">
                      <a:avLst/>
                    </a:prstGeom>
                    <a:noFill/>
                  </pic:spPr>
                </pic:pic>
              </a:graphicData>
            </a:graphic>
          </wp:anchor>
        </w:drawing>
        <w:t>Paul Bascobert</w:t>
      </w:r>
    </w:p>
    <w:p>
      <w:pPr>
        <w:spacing w:after="0" w:line="102" w:lineRule="exact"/>
        <w:rPr>
          <w:sz w:val="20"/>
          <w:szCs w:val="20"/>
          <w:color w:val="auto"/>
        </w:rPr>
      </w:pPr>
    </w:p>
    <w:p>
      <w:pPr>
        <w:ind w:left="2620"/>
        <w:spacing w:after="0"/>
        <w:rPr>
          <w:sz w:val="20"/>
          <w:szCs w:val="20"/>
          <w:color w:val="auto"/>
        </w:rPr>
      </w:pPr>
      <w:r>
        <w:rPr>
          <w:rFonts w:ascii="Arial" w:cs="Arial" w:eastAsia="Arial" w:hAnsi="Arial"/>
          <w:sz w:val="25"/>
          <w:szCs w:val="25"/>
          <w:color w:val="auto"/>
        </w:rPr>
        <w:t>President, Reuters News</w:t>
      </w:r>
    </w:p>
    <w:p>
      <w:pPr>
        <w:spacing w:after="0" w:line="109" w:lineRule="exact"/>
        <w:rPr>
          <w:sz w:val="20"/>
          <w:szCs w:val="20"/>
          <w:color w:val="auto"/>
        </w:rPr>
      </w:pPr>
    </w:p>
    <w:p>
      <w:pPr>
        <w:ind w:left="2620" w:right="20"/>
        <w:spacing w:after="0" w:line="248" w:lineRule="auto"/>
        <w:rPr>
          <w:sz w:val="20"/>
          <w:szCs w:val="20"/>
          <w:color w:val="auto"/>
        </w:rPr>
      </w:pPr>
      <w:r>
        <w:rPr>
          <w:rFonts w:ascii="Arial" w:cs="Arial" w:eastAsia="Arial" w:hAnsi="Arial"/>
          <w:sz w:val="16"/>
          <w:szCs w:val="16"/>
          <w:color w:val="auto"/>
        </w:rPr>
        <w:t>Paul Bascobert has been President of Reuters News since September 2022. Prior to joining Thomson Reuters in September 2022, he was the CEO of Blue Ocean Acquisition Corp, a special purpose acquisition company focused on media, marketplace and tech platform businesses from April 2021 to September 2022. Prior to that, he was CEO of Gannett Co., Inc from August 2019 to July 2020. Paul served as President of XO Group, a U.S. based media and technology company from September 2016 to May 2019 and prior to that served as President of Yodle Inc. from May 2014 to September 2016. Paul also served as President of Bloomberg Businessweek and Head of Business Operations for the newly created Bloomberg Media Group from December 2009 to May 2014, as well as Senior Vice President of Operations and then Chief Marketing Officer at Dow Jones from January 2006 to December 2009. Paul has a degree in electrical engineering from Kettering University and an M.B.A. in Finance from the Wharton School of the University of Pennsylvania and is a member of the Council on Foreign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69297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Under Paul’s leadership in 2025, Reuters:</w:t>
      </w:r>
    </w:p>
    <w:p>
      <w:pPr>
        <w:spacing w:after="0" w:line="85" w:lineRule="exact"/>
        <w:rPr>
          <w:sz w:val="20"/>
          <w:szCs w:val="20"/>
          <w:color w:val="auto"/>
        </w:rPr>
      </w:pPr>
    </w:p>
    <w:p>
      <w:pPr>
        <w:ind w:left="440" w:hanging="433"/>
        <w:spacing w:after="0"/>
        <w:tabs>
          <w:tab w:leader="none" w:pos="440" w:val="left"/>
        </w:tabs>
        <w:numPr>
          <w:ilvl w:val="0"/>
          <w:numId w:val="88"/>
        </w:numPr>
        <w:rPr>
          <w:rFonts w:ascii="Arial" w:cs="Arial" w:eastAsia="Arial" w:hAnsi="Arial"/>
          <w:sz w:val="17"/>
          <w:szCs w:val="17"/>
          <w:color w:val="D64000"/>
        </w:rPr>
      </w:pPr>
      <w:r>
        <w:rPr>
          <w:rFonts w:ascii="Arial" w:cs="Arial" w:eastAsia="Arial" w:hAnsi="Arial"/>
          <w:sz w:val="17"/>
          <w:szCs w:val="17"/>
          <w:color w:val="auto"/>
        </w:rPr>
        <w:t>Closed the year with revenues at $853 million, exceeding its target for the year.</w:t>
      </w:r>
    </w:p>
    <w:p>
      <w:pPr>
        <w:spacing w:after="0" w:line="112" w:lineRule="exact"/>
        <w:rPr>
          <w:rFonts w:ascii="Arial" w:cs="Arial" w:eastAsia="Arial" w:hAnsi="Arial"/>
          <w:sz w:val="17"/>
          <w:szCs w:val="17"/>
          <w:color w:val="D64000"/>
        </w:rPr>
      </w:pPr>
    </w:p>
    <w:p>
      <w:pPr>
        <w:ind w:left="440" w:right="80" w:hanging="433"/>
        <w:spacing w:after="0" w:line="263" w:lineRule="auto"/>
        <w:tabs>
          <w:tab w:leader="none" w:pos="440" w:val="left"/>
        </w:tabs>
        <w:numPr>
          <w:ilvl w:val="0"/>
          <w:numId w:val="88"/>
        </w:numPr>
        <w:rPr>
          <w:rFonts w:ascii="Arial" w:cs="Arial" w:eastAsia="Arial" w:hAnsi="Arial"/>
          <w:sz w:val="17"/>
          <w:szCs w:val="17"/>
          <w:color w:val="D64000"/>
        </w:rPr>
      </w:pPr>
      <w:r>
        <w:rPr>
          <w:rFonts w:ascii="Arial" w:cs="Arial" w:eastAsia="Arial" w:hAnsi="Arial"/>
          <w:sz w:val="17"/>
          <w:szCs w:val="17"/>
          <w:color w:val="auto"/>
        </w:rPr>
        <w:t>Passed 135,000 subscribers to Reuters.com in the first full year of subscriptions and received over 1 billion downloads of Reuters podcasts for the first time.</w:t>
      </w:r>
    </w:p>
    <w:p>
      <w:pPr>
        <w:spacing w:after="0" w:line="66" w:lineRule="exact"/>
        <w:rPr>
          <w:rFonts w:ascii="Arial" w:cs="Arial" w:eastAsia="Arial" w:hAnsi="Arial"/>
          <w:sz w:val="17"/>
          <w:szCs w:val="17"/>
          <w:color w:val="D64000"/>
        </w:rPr>
      </w:pPr>
    </w:p>
    <w:p>
      <w:pPr>
        <w:ind w:left="440" w:hanging="433"/>
        <w:spacing w:after="0"/>
        <w:tabs>
          <w:tab w:leader="none" w:pos="440" w:val="left"/>
        </w:tabs>
        <w:numPr>
          <w:ilvl w:val="0"/>
          <w:numId w:val="88"/>
        </w:numPr>
        <w:rPr>
          <w:rFonts w:ascii="Arial" w:cs="Arial" w:eastAsia="Arial" w:hAnsi="Arial"/>
          <w:sz w:val="17"/>
          <w:szCs w:val="17"/>
          <w:color w:val="D64000"/>
        </w:rPr>
      </w:pPr>
      <w:r>
        <w:rPr>
          <w:rFonts w:ascii="Arial" w:cs="Arial" w:eastAsia="Arial" w:hAnsi="Arial"/>
          <w:sz w:val="17"/>
          <w:szCs w:val="17"/>
          <w:color w:val="auto"/>
        </w:rPr>
        <w:t>Expanded into the Gulf region with the successful launches of the Arabic edition of Reuters.com and the new Reuters NEXT Gulf event.</w:t>
      </w:r>
    </w:p>
    <w:p>
      <w:pPr>
        <w:spacing w:after="0" w:line="112" w:lineRule="exact"/>
        <w:rPr>
          <w:rFonts w:ascii="Arial" w:cs="Arial" w:eastAsia="Arial" w:hAnsi="Arial"/>
          <w:sz w:val="17"/>
          <w:szCs w:val="17"/>
          <w:color w:val="D64000"/>
        </w:rPr>
      </w:pPr>
    </w:p>
    <w:p>
      <w:pPr>
        <w:ind w:left="440" w:hanging="433"/>
        <w:spacing w:after="0"/>
        <w:tabs>
          <w:tab w:leader="none" w:pos="440" w:val="left"/>
        </w:tabs>
        <w:numPr>
          <w:ilvl w:val="0"/>
          <w:numId w:val="88"/>
        </w:numPr>
        <w:rPr>
          <w:rFonts w:ascii="Arial" w:cs="Arial" w:eastAsia="Arial" w:hAnsi="Arial"/>
          <w:sz w:val="17"/>
          <w:szCs w:val="17"/>
          <w:color w:val="D64000"/>
        </w:rPr>
      </w:pPr>
      <w:r>
        <w:rPr>
          <w:rFonts w:ascii="Arial" w:cs="Arial" w:eastAsia="Arial" w:hAnsi="Arial"/>
          <w:sz w:val="17"/>
          <w:szCs w:val="17"/>
          <w:color w:val="auto"/>
        </w:rPr>
        <w:t>Continued to transform its news and business operations, using AI to improve productivity and performance.</w:t>
      </w:r>
    </w:p>
    <w:p>
      <w:pPr>
        <w:spacing w:after="0" w:line="112" w:lineRule="exact"/>
        <w:rPr>
          <w:rFonts w:ascii="Arial" w:cs="Arial" w:eastAsia="Arial" w:hAnsi="Arial"/>
          <w:sz w:val="17"/>
          <w:szCs w:val="17"/>
          <w:color w:val="D64000"/>
        </w:rPr>
      </w:pPr>
    </w:p>
    <w:p>
      <w:pPr>
        <w:ind w:left="440" w:hanging="433"/>
        <w:spacing w:after="0"/>
        <w:tabs>
          <w:tab w:leader="none" w:pos="440" w:val="left"/>
        </w:tabs>
        <w:numPr>
          <w:ilvl w:val="0"/>
          <w:numId w:val="88"/>
        </w:numPr>
        <w:rPr>
          <w:rFonts w:ascii="Arial" w:cs="Arial" w:eastAsia="Arial" w:hAnsi="Arial"/>
          <w:sz w:val="17"/>
          <w:szCs w:val="17"/>
          <w:color w:val="D64000"/>
        </w:rPr>
      </w:pPr>
      <w:r>
        <w:rPr>
          <w:rFonts w:ascii="Arial" w:cs="Arial" w:eastAsia="Arial" w:hAnsi="Arial"/>
          <w:sz w:val="17"/>
          <w:szCs w:val="17"/>
          <w:color w:val="auto"/>
        </w:rPr>
        <w:t>Received 150 journalism awards, including its first Pulitzer Prize in Investigative Reporting.</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2025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929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680" w:type="dxa"/>
            <w:vAlign w:val="bottom"/>
            <w:gridSpan w:val="3"/>
            <w:shd w:val="clear" w:color="auto" w:fill="E3F3EE"/>
          </w:tcPr>
          <w:p>
            <w:pPr>
              <w:ind w:left="440"/>
              <w:spacing w:after="0"/>
              <w:rPr>
                <w:sz w:val="20"/>
                <w:szCs w:val="20"/>
                <w:color w:val="auto"/>
              </w:rPr>
            </w:pPr>
            <w:r>
              <w:rPr>
                <w:rFonts w:ascii="Arial" w:cs="Arial" w:eastAsia="Arial" w:hAnsi="Arial"/>
                <w:sz w:val="16"/>
                <w:szCs w:val="16"/>
                <w:b w:val="1"/>
                <w:bCs w:val="1"/>
                <w:color w:val="auto"/>
              </w:rPr>
              <w:t>Target Total Direct Compensation</w:t>
            </w:r>
          </w:p>
        </w:tc>
        <w:tc>
          <w:tcPr>
            <w:tcW w:w="960" w:type="dxa"/>
            <w:vAlign w:val="bottom"/>
            <w:shd w:val="clear" w:color="auto" w:fill="E3F3EE"/>
          </w:tcPr>
          <w:p>
            <w:pPr>
              <w:jc w:val="right"/>
              <w:ind w:right="200"/>
              <w:spacing w:after="0"/>
              <w:rPr>
                <w:sz w:val="20"/>
                <w:szCs w:val="20"/>
                <w:color w:val="auto"/>
              </w:rPr>
            </w:pPr>
            <w:r>
              <w:rPr>
                <w:rFonts w:ascii="Arial" w:cs="Arial" w:eastAsia="Arial" w:hAnsi="Arial"/>
                <w:sz w:val="16"/>
                <w:szCs w:val="16"/>
                <w:b w:val="1"/>
                <w:bCs w:val="1"/>
                <w:color w:val="auto"/>
              </w:rPr>
              <w:t>Fixed</w:t>
            </w:r>
          </w:p>
        </w:tc>
        <w:tc>
          <w:tcPr>
            <w:tcW w:w="90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Variable</w:t>
            </w:r>
          </w:p>
        </w:tc>
      </w:tr>
      <w:tr>
        <w:trPr>
          <w:trHeight w:val="194"/>
        </w:trPr>
        <w:tc>
          <w:tcPr>
            <w:tcW w:w="20" w:type="dxa"/>
            <w:vAlign w:val="bottom"/>
          </w:tcPr>
          <w:p>
            <w:pPr>
              <w:spacing w:after="0"/>
              <w:rPr>
                <w:sz w:val="16"/>
                <w:szCs w:val="16"/>
                <w:color w:val="auto"/>
              </w:rPr>
            </w:pPr>
          </w:p>
        </w:tc>
        <w:tc>
          <w:tcPr>
            <w:tcW w:w="5360" w:type="dxa"/>
            <w:vAlign w:val="bottom"/>
            <w:tcBorders>
              <w:bottom w:val="single" w:sz="8" w:color="D64000"/>
            </w:tcBorders>
            <w:shd w:val="clear" w:color="auto" w:fill="1F473D"/>
          </w:tcPr>
          <w:p>
            <w:pPr>
              <w:spacing w:after="0"/>
              <w:rPr>
                <w:sz w:val="16"/>
                <w:szCs w:val="16"/>
                <w:color w:val="auto"/>
              </w:rPr>
            </w:pPr>
          </w:p>
        </w:tc>
        <w:tc>
          <w:tcPr>
            <w:tcW w:w="1740" w:type="dxa"/>
            <w:vAlign w:val="bottom"/>
            <w:tcBorders>
              <w:bottom w:val="single" w:sz="8" w:color="D64000"/>
            </w:tcBorders>
            <w:shd w:val="clear" w:color="auto" w:fill="1F473D"/>
          </w:tcPr>
          <w:p>
            <w:pPr>
              <w:jc w:val="right"/>
              <w:ind w:right="340"/>
              <w:spacing w:after="0"/>
              <w:rPr>
                <w:sz w:val="20"/>
                <w:szCs w:val="20"/>
                <w:color w:val="auto"/>
              </w:rPr>
            </w:pPr>
            <w:r>
              <w:rPr>
                <w:rFonts w:ascii="Arial" w:cs="Arial" w:eastAsia="Arial" w:hAnsi="Arial"/>
                <w:sz w:val="16"/>
                <w:szCs w:val="16"/>
                <w:b w:val="1"/>
                <w:bCs w:val="1"/>
                <w:color w:val="FFFFFF"/>
              </w:rPr>
              <w:t>US$</w:t>
            </w:r>
          </w:p>
        </w:tc>
        <w:tc>
          <w:tcPr>
            <w:tcW w:w="1940" w:type="dxa"/>
            <w:vAlign w:val="bottom"/>
            <w:tcBorders>
              <w:bottom w:val="single" w:sz="8" w:color="D64000"/>
            </w:tcBorders>
            <w:gridSpan w:val="2"/>
            <w:shd w:val="clear" w:color="auto" w:fill="1F473D"/>
          </w:tcPr>
          <w:p>
            <w:pPr>
              <w:ind w:left="420"/>
              <w:spacing w:after="0"/>
              <w:rPr>
                <w:sz w:val="20"/>
                <w:szCs w:val="20"/>
                <w:color w:val="auto"/>
              </w:rPr>
            </w:pPr>
            <w:r>
              <w:rPr>
                <w:rFonts w:ascii="Arial" w:cs="Arial" w:eastAsia="Arial" w:hAnsi="Arial"/>
                <w:sz w:val="16"/>
                <w:szCs w:val="16"/>
                <w:b w:val="1"/>
                <w:bCs w:val="1"/>
                <w:color w:val="FFFFFF"/>
              </w:rPr>
              <w:t>% of base salary</w:t>
            </w:r>
          </w:p>
        </w:tc>
        <w:tc>
          <w:tcPr>
            <w:tcW w:w="960" w:type="dxa"/>
            <w:vAlign w:val="bottom"/>
            <w:tcBorders>
              <w:bottom w:val="single" w:sz="8" w:color="D64000"/>
            </w:tcBorders>
            <w:shd w:val="clear" w:color="auto" w:fill="1F473D"/>
          </w:tcPr>
          <w:p>
            <w:pPr>
              <w:spacing w:after="0"/>
              <w:rPr>
                <w:sz w:val="16"/>
                <w:szCs w:val="16"/>
                <w:color w:val="auto"/>
              </w:rPr>
            </w:pPr>
          </w:p>
        </w:tc>
        <w:tc>
          <w:tcPr>
            <w:tcW w:w="900" w:type="dxa"/>
            <w:vAlign w:val="bottom"/>
            <w:tcBorders>
              <w:bottom w:val="single" w:sz="8" w:color="D64000"/>
            </w:tcBorders>
            <w:shd w:val="clear" w:color="auto" w:fill="1F473D"/>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3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Base salary</w:t>
            </w:r>
          </w:p>
        </w:tc>
        <w:tc>
          <w:tcPr>
            <w:tcW w:w="174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750,000</w:t>
            </w:r>
          </w:p>
        </w:tc>
        <w:tc>
          <w:tcPr>
            <w:tcW w:w="1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2B2B2"/>
            </w:tcBorders>
            <w:shd w:val="clear" w:color="auto" w:fill="E3F3EE"/>
          </w:tcPr>
          <w:p>
            <w:pPr>
              <w:spacing w:after="0"/>
              <w:rPr>
                <w:sz w:val="17"/>
                <w:szCs w:val="17"/>
                <w:color w:val="auto"/>
              </w:rPr>
            </w:pPr>
          </w:p>
        </w:tc>
        <w:tc>
          <w:tcPr>
            <w:tcW w:w="960" w:type="dxa"/>
            <w:vAlign w:val="bottom"/>
            <w:tcBorders>
              <w:bottom w:val="single" w:sz="8" w:color="B2B2B2"/>
            </w:tcBorders>
            <w:shd w:val="clear" w:color="auto" w:fill="E3F3EE"/>
          </w:tcPr>
          <w:p>
            <w:pPr>
              <w:jc w:val="right"/>
              <w:ind w:right="180"/>
              <w:spacing w:after="0"/>
              <w:rPr>
                <w:sz w:val="20"/>
                <w:szCs w:val="20"/>
                <w:color w:val="auto"/>
              </w:rPr>
            </w:pPr>
            <w:r>
              <w:rPr>
                <w:rFonts w:ascii="Arial" w:cs="Arial" w:eastAsia="Arial" w:hAnsi="Arial"/>
                <w:sz w:val="16"/>
                <w:szCs w:val="16"/>
                <w:color w:val="auto"/>
              </w:rPr>
              <w:t>24%</w:t>
            </w:r>
          </w:p>
        </w:tc>
        <w:tc>
          <w:tcPr>
            <w:tcW w:w="90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53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Annual incentive award</w:t>
            </w:r>
          </w:p>
        </w:tc>
        <w:tc>
          <w:tcPr>
            <w:tcW w:w="174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937,500</w:t>
            </w:r>
          </w:p>
        </w:tc>
        <w:tc>
          <w:tcPr>
            <w:tcW w:w="1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B2B2B2"/>
            </w:tcBorders>
            <w:shd w:val="clear" w:color="auto" w:fill="E3F3EE"/>
          </w:tcPr>
          <w:p>
            <w:pPr>
              <w:spacing w:after="0"/>
              <w:rPr>
                <w:sz w:val="16"/>
                <w:szCs w:val="16"/>
                <w:color w:val="auto"/>
              </w:rPr>
            </w:pPr>
          </w:p>
        </w:tc>
        <w:tc>
          <w:tcPr>
            <w:tcW w:w="960" w:type="dxa"/>
            <w:vAlign w:val="bottom"/>
            <w:tcBorders>
              <w:bottom w:val="single" w:sz="8" w:color="B2B2B2"/>
            </w:tcBorders>
            <w:shd w:val="clear" w:color="auto" w:fill="E3F3EE"/>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29%</w:t>
            </w:r>
          </w:p>
        </w:tc>
      </w:tr>
      <w:tr>
        <w:trPr>
          <w:trHeight w:val="194"/>
        </w:trPr>
        <w:tc>
          <w:tcPr>
            <w:tcW w:w="20" w:type="dxa"/>
            <w:vAlign w:val="bottom"/>
          </w:tcPr>
          <w:p>
            <w:pPr>
              <w:spacing w:after="0"/>
              <w:rPr>
                <w:sz w:val="16"/>
                <w:szCs w:val="16"/>
                <w:color w:val="auto"/>
              </w:rPr>
            </w:pPr>
          </w:p>
        </w:tc>
        <w:tc>
          <w:tcPr>
            <w:tcW w:w="53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Long-term incentive awards</w:t>
            </w:r>
          </w:p>
        </w:tc>
        <w:tc>
          <w:tcPr>
            <w:tcW w:w="1740" w:type="dxa"/>
            <w:vAlign w:val="bottom"/>
            <w:tcBorders>
              <w:bottom w:val="single" w:sz="8" w:color="B2B2B2"/>
            </w:tcBorders>
          </w:tcPr>
          <w:p>
            <w:pPr>
              <w:jc w:val="right"/>
              <w:ind w:right="340"/>
              <w:spacing w:after="0"/>
              <w:rPr>
                <w:sz w:val="20"/>
                <w:szCs w:val="20"/>
                <w:color w:val="auto"/>
              </w:rPr>
            </w:pPr>
            <w:r>
              <w:rPr>
                <w:rFonts w:ascii="Arial" w:cs="Arial" w:eastAsia="Arial" w:hAnsi="Arial"/>
                <w:sz w:val="16"/>
                <w:szCs w:val="16"/>
                <w:color w:val="auto"/>
              </w:rPr>
              <w:t>1,500,000</w:t>
            </w:r>
          </w:p>
        </w:tc>
        <w:tc>
          <w:tcPr>
            <w:tcW w:w="1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Borders>
              <w:bottom w:val="single" w:sz="8" w:color="B2B2B2"/>
            </w:tcBorders>
            <w:shd w:val="clear" w:color="auto" w:fill="E3F3EE"/>
          </w:tcPr>
          <w:p>
            <w:pPr>
              <w:spacing w:after="0"/>
              <w:rPr>
                <w:sz w:val="16"/>
                <w:szCs w:val="16"/>
                <w:color w:val="auto"/>
              </w:rPr>
            </w:pPr>
          </w:p>
        </w:tc>
        <w:tc>
          <w:tcPr>
            <w:tcW w:w="960" w:type="dxa"/>
            <w:vAlign w:val="bottom"/>
            <w:tcBorders>
              <w:bottom w:val="single" w:sz="8" w:color="B2B2B2"/>
            </w:tcBorders>
            <w:shd w:val="clear" w:color="auto" w:fill="E3F3EE"/>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2B2B2"/>
            </w:tcBorders>
            <w:shd w:val="clear" w:color="auto" w:fill="E3F3EE"/>
          </w:tcPr>
          <w:p>
            <w:pPr>
              <w:jc w:val="right"/>
              <w:spacing w:after="0"/>
              <w:rPr>
                <w:sz w:val="20"/>
                <w:szCs w:val="20"/>
                <w:color w:val="auto"/>
              </w:rPr>
            </w:pPr>
            <w:r>
              <w:rPr>
                <w:rFonts w:ascii="Arial" w:cs="Arial" w:eastAsia="Arial" w:hAnsi="Arial"/>
                <w:sz w:val="16"/>
                <w:szCs w:val="16"/>
                <w:color w:val="auto"/>
              </w:rPr>
              <w:t>47%</w:t>
            </w:r>
          </w:p>
        </w:tc>
      </w:tr>
      <w:tr>
        <w:trPr>
          <w:trHeight w:val="201"/>
        </w:trPr>
        <w:tc>
          <w:tcPr>
            <w:tcW w:w="20" w:type="dxa"/>
            <w:vAlign w:val="bottom"/>
          </w:tcPr>
          <w:p>
            <w:pPr>
              <w:spacing w:after="0"/>
              <w:rPr>
                <w:sz w:val="17"/>
                <w:szCs w:val="17"/>
                <w:color w:val="auto"/>
              </w:rPr>
            </w:pPr>
          </w:p>
        </w:tc>
        <w:tc>
          <w:tcPr>
            <w:tcW w:w="53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Total</w:t>
            </w:r>
          </w:p>
        </w:tc>
        <w:tc>
          <w:tcPr>
            <w:tcW w:w="1740" w:type="dxa"/>
            <w:vAlign w:val="bottom"/>
            <w:tcBorders>
              <w:bottom w:val="single" w:sz="8" w:color="D64000"/>
            </w:tcBorders>
          </w:tcPr>
          <w:p>
            <w:pPr>
              <w:jc w:val="right"/>
              <w:ind w:right="340"/>
              <w:spacing w:after="0"/>
              <w:rPr>
                <w:sz w:val="20"/>
                <w:szCs w:val="20"/>
                <w:color w:val="auto"/>
              </w:rPr>
            </w:pPr>
            <w:r>
              <w:rPr>
                <w:rFonts w:ascii="Arial" w:cs="Arial" w:eastAsia="Arial" w:hAnsi="Arial"/>
                <w:sz w:val="16"/>
                <w:szCs w:val="16"/>
                <w:color w:val="auto"/>
              </w:rPr>
              <w:t>3,187,500</w:t>
            </w:r>
          </w:p>
        </w:tc>
        <w:tc>
          <w:tcPr>
            <w:tcW w:w="16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D64000"/>
            </w:tcBorders>
            <w:shd w:val="clear" w:color="auto" w:fill="E3F3EE"/>
          </w:tcPr>
          <w:p>
            <w:pPr>
              <w:spacing w:after="0"/>
              <w:rPr>
                <w:sz w:val="17"/>
                <w:szCs w:val="17"/>
                <w:color w:val="auto"/>
              </w:rPr>
            </w:pPr>
          </w:p>
        </w:tc>
        <w:tc>
          <w:tcPr>
            <w:tcW w:w="960" w:type="dxa"/>
            <w:vAlign w:val="bottom"/>
            <w:tcBorders>
              <w:bottom w:val="single" w:sz="8" w:color="D64000"/>
            </w:tcBorders>
            <w:shd w:val="clear" w:color="auto" w:fill="E3F3EE"/>
          </w:tcPr>
          <w:p>
            <w:pPr>
              <w:jc w:val="right"/>
              <w:ind w:right="180"/>
              <w:spacing w:after="0"/>
              <w:rPr>
                <w:sz w:val="20"/>
                <w:szCs w:val="20"/>
                <w:color w:val="auto"/>
              </w:rPr>
            </w:pPr>
            <w:r>
              <w:rPr>
                <w:rFonts w:ascii="Arial" w:cs="Arial" w:eastAsia="Arial" w:hAnsi="Arial"/>
                <w:sz w:val="16"/>
                <w:szCs w:val="16"/>
                <w:color w:val="auto"/>
              </w:rPr>
              <w:t>24%</w:t>
            </w:r>
          </w:p>
        </w:tc>
        <w:tc>
          <w:tcPr>
            <w:tcW w:w="90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76%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Paul’s base salary was unchanged in 2025.</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Annual incentive award: </w:t>
      </w:r>
      <w:r>
        <w:rPr>
          <w:rFonts w:ascii="Arial" w:cs="Arial" w:eastAsia="Arial" w:hAnsi="Arial"/>
          <w:sz w:val="17"/>
          <w:szCs w:val="17"/>
          <w:color w:val="auto"/>
        </w:rPr>
        <w:t>Paul’s 2025 annual incentive award had a payout of 101% of target based on financial and individual performance.</w:t>
      </w:r>
    </w:p>
    <w:p>
      <w:pPr>
        <w:spacing w:after="0" w:line="85"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b w:val="1"/>
          <w:bCs w:val="1"/>
          <w:color w:val="auto"/>
        </w:rPr>
        <w:t xml:space="preserve">Long-term incentive awards: </w:t>
      </w:r>
      <w:r>
        <w:rPr>
          <w:rFonts w:ascii="Arial" w:cs="Arial" w:eastAsia="Arial" w:hAnsi="Arial"/>
          <w:sz w:val="17"/>
          <w:szCs w:val="17"/>
          <w:color w:val="auto"/>
        </w:rPr>
        <w:t>Paul’s 2025 award grant (based on 2024 performance) was split between 50% PRSUs, 25% TRSUs and 25%</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78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315" w:right="499" w:bottom="1440" w:gutter="0" w:footer="0" w:header="0"/>
        </w:sectPr>
      </w:pPr>
    </w:p>
    <w:bookmarkStart w:id="88" w:name="page89"/>
    <w:bookmarkEnd w:id="88"/>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Retirement and Other Benefits</w:t>
      </w:r>
    </w:p>
    <w:p>
      <w:pPr>
        <w:spacing w:after="0" w:line="89" w:lineRule="exact"/>
        <w:rPr>
          <w:sz w:val="20"/>
          <w:szCs w:val="20"/>
          <w:color w:val="auto"/>
        </w:rPr>
      </w:pPr>
    </w:p>
    <w:p>
      <w:pPr>
        <w:ind w:right="360"/>
        <w:spacing w:after="0" w:line="241" w:lineRule="auto"/>
        <w:rPr>
          <w:sz w:val="20"/>
          <w:szCs w:val="20"/>
          <w:color w:val="auto"/>
        </w:rPr>
      </w:pPr>
      <w:r>
        <w:rPr>
          <w:rFonts w:ascii="Arial" w:cs="Arial" w:eastAsia="Arial" w:hAnsi="Arial"/>
          <w:sz w:val="17"/>
          <w:szCs w:val="17"/>
          <w:color w:val="auto"/>
        </w:rPr>
        <w:t>Our retirement and other benefits are designed to provide a competitive level of post-retirement income and strong incentive for executives to remain with Thomson Reuters throughout their careers. For more information about retirement and other pension benefits provided to each named executive officer, please see the “Pension and Other Retirement Benefits” subsection of the “Executive Compensation” section of this circular.</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Perquisites and Other Personal Benefits</w:t>
      </w:r>
    </w:p>
    <w:p>
      <w:pPr>
        <w:spacing w:after="0" w:line="103"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HR Committee periodically reviews the perquisites and other personal benefits provided to our executive officers. Over the past few years, we have reduced and eliminated various perquisites and other personal benefits provided to our named executive officers (and other members of senior management) in order to simplify our compensation program, better align with emerging trends and focus on performance-based variable incentives. Only those perquisites which the HR Committee believes provide a significant benefit to our company on a cost-effective basis have been retained.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For our named executive officers, perquisites provided in 2025 consisted of:</w:t>
      </w:r>
    </w:p>
    <w:p>
      <w:pPr>
        <w:spacing w:after="0" w:line="85" w:lineRule="exact"/>
        <w:rPr>
          <w:sz w:val="20"/>
          <w:szCs w:val="20"/>
          <w:color w:val="auto"/>
        </w:rPr>
      </w:pPr>
    </w:p>
    <w:p>
      <w:pPr>
        <w:jc w:val="both"/>
        <w:ind w:left="440" w:right="200" w:hanging="433"/>
        <w:spacing w:after="0" w:line="236" w:lineRule="auto"/>
        <w:tabs>
          <w:tab w:leader="none" w:pos="440" w:val="left"/>
        </w:tabs>
        <w:numPr>
          <w:ilvl w:val="0"/>
          <w:numId w:val="89"/>
        </w:numPr>
        <w:rPr>
          <w:rFonts w:ascii="Arial" w:cs="Arial" w:eastAsia="Arial" w:hAnsi="Arial"/>
          <w:sz w:val="17"/>
          <w:szCs w:val="17"/>
          <w:color w:val="D64000"/>
        </w:rPr>
      </w:pPr>
      <w:r>
        <w:rPr>
          <w:rFonts w:ascii="Arial" w:cs="Arial" w:eastAsia="Arial" w:hAnsi="Arial"/>
          <w:sz w:val="17"/>
          <w:szCs w:val="17"/>
          <w:b w:val="1"/>
          <w:bCs w:val="1"/>
          <w:color w:val="auto"/>
        </w:rPr>
        <w:t xml:space="preserve">Executive physicals </w:t>
      </w:r>
      <w:r>
        <w:rPr>
          <w:rFonts w:ascii="Arial" w:cs="Arial" w:eastAsia="Arial" w:hAnsi="Arial"/>
          <w:sz w:val="17"/>
          <w:szCs w:val="17"/>
          <w:color w:val="auto"/>
        </w:rPr>
        <w:t>– this benefit can be provided by our company on a coordinated basis at a reasonable price to our organization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reduces the risk that we will lose an executive to an unforeseen medical or health issue, while minimizing the amount of time an executive needs to spend away from the office.</w:t>
      </w:r>
    </w:p>
    <w:p>
      <w:pPr>
        <w:spacing w:after="0" w:line="1" w:lineRule="exact"/>
        <w:rPr>
          <w:rFonts w:ascii="Arial" w:cs="Arial" w:eastAsia="Arial" w:hAnsi="Arial"/>
          <w:sz w:val="17"/>
          <w:szCs w:val="17"/>
          <w:color w:val="D64000"/>
        </w:rPr>
      </w:pPr>
    </w:p>
    <w:p>
      <w:pPr>
        <w:ind w:left="440" w:right="120" w:hanging="433"/>
        <w:spacing w:after="0" w:line="274" w:lineRule="auto"/>
        <w:tabs>
          <w:tab w:leader="none" w:pos="440" w:val="left"/>
        </w:tabs>
        <w:numPr>
          <w:ilvl w:val="0"/>
          <w:numId w:val="89"/>
        </w:numPr>
        <w:rPr>
          <w:rFonts w:ascii="Arial" w:cs="Arial" w:eastAsia="Arial" w:hAnsi="Arial"/>
          <w:sz w:val="16"/>
          <w:szCs w:val="16"/>
          <w:color w:val="D64000"/>
        </w:rPr>
      </w:pPr>
      <w:r>
        <w:rPr>
          <w:rFonts w:ascii="Arial" w:cs="Arial" w:eastAsia="Arial" w:hAnsi="Arial"/>
          <w:sz w:val="16"/>
          <w:szCs w:val="16"/>
          <w:b w:val="1"/>
          <w:bCs w:val="1"/>
          <w:color w:val="auto"/>
        </w:rPr>
        <w:t xml:space="preserve">Tax and financial planning assistance </w:t>
      </w:r>
      <w:r>
        <w:rPr>
          <w:rFonts w:ascii="Arial" w:cs="Arial" w:eastAsia="Arial" w:hAnsi="Arial"/>
          <w:sz w:val="16"/>
          <w:szCs w:val="16"/>
          <w:color w:val="auto"/>
        </w:rPr>
        <w:t>– this benefit allows our named executive officers to utilize the services of a professional advisor</w:t>
      </w:r>
      <w:r>
        <w:rPr>
          <w:rFonts w:ascii="Arial" w:cs="Arial" w:eastAsia="Arial" w:hAnsi="Arial"/>
          <w:sz w:val="16"/>
          <w:szCs w:val="16"/>
          <w:b w:val="1"/>
          <w:bCs w:val="1"/>
          <w:color w:val="auto"/>
        </w:rPr>
        <w:t xml:space="preserve"> </w:t>
      </w:r>
      <w:r>
        <w:rPr>
          <w:rFonts w:ascii="Arial" w:cs="Arial" w:eastAsia="Arial" w:hAnsi="Arial"/>
          <w:sz w:val="16"/>
          <w:szCs w:val="16"/>
          <w:color w:val="auto"/>
        </w:rPr>
        <w:t>who is familiar with our compensation structure and benefit programs. Thomson Reuters benefits from being able to work with one advisor.</w:t>
      </w:r>
    </w:p>
    <w:p>
      <w:pPr>
        <w:spacing w:after="0" w:line="3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Insurance Policies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Our company provides life insurance to certain employees.</w:t>
      </w:r>
    </w:p>
    <w:p>
      <w:pPr>
        <w:spacing w:after="0" w:line="72"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Our Canadian employees are provided with life insurance coverage equal to 1.5 times their base salary up to C$1,000,000. Employees may increase this coverage at their expense. Steve Hasker, Mike Eastwood, and David Wong are eligible for this benefit.</w:t>
      </w:r>
    </w:p>
    <w:p>
      <w:pPr>
        <w:spacing w:after="0" w:line="40"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Our U.S. employees are provided with group life insurance in the amount of their base salary up to a maximum of $400,000. Employees may increase this coverage at their expense. Paul Bascobert is eligible for this benefit.</w:t>
      </w:r>
    </w:p>
    <w:p>
      <w:pPr>
        <w:spacing w:after="0" w:line="40"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Under the Swiss cash balance pension plan described in the Defined Benefit Pension Plans section of this circular, our Swiss employees are provided with a lump sum death in service benefit equal to 2.0 times their base salary. In addition, and where applicable, there is a spouse or partner pension payable to the beneficiary which is equal to 60% of the disability pension available under the plan and an orphan’s pension payable to the beneficiary equal to 20% of the disability pension available under the plan. Kirsty Roth is eligible for this benefit.</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Termination Benefits</w:t>
      </w:r>
    </w:p>
    <w:p>
      <w:pPr>
        <w:spacing w:after="0" w:line="10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Each of our named executive officers may be eligible to receive certain payments and benefits if their employment is terminated under certain circumstances. Additional information is provided in the “Termination Benefits” subsection of this circular. The HR Committee believes that potential termination benefits enhance our ability to attract and retain our executive officers. These benefits do not enhance an executive’s income while employed at our company and are independent of direct compensation decisions made annually.</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Equity Grant Policy</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We have an equity grant policy which sets forth approval requirements for annual and off-cycle awards. The following describes our current policy.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Annual grants of long-term incentive awards are typically approved at the Board’s meeting in March of each year.</w:t>
      </w:r>
    </w:p>
    <w:p>
      <w:pPr>
        <w:spacing w:after="0" w:line="85"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Under the equity grant policy, the CEO is authorized to approve certain off-cycle awards, depending on the size of the grant and the identity of the particular grantee. Awards that exceed the CEO’s approval authority are submitted to the HR Committee. In addition, under the policy, unless we are in a designated closed period or are in possession of material nonpublic information, off-cycle awards are granted on the 10th day of each month.</w:t>
      </w:r>
    </w:p>
    <w:p>
      <w:pPr>
        <w:spacing w:after="0" w:line="44"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New hire awards are made on the 10th day of the month following the month in which the grantee commenced employment with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79</w:t>
      </w:r>
    </w:p>
    <w:p>
      <w:pPr>
        <w:sectPr>
          <w:pgSz w:w="11900" w:h="16838" w:orient="portrait"/>
          <w:cols w:equalWidth="0" w:num="1">
            <w:col w:w="10920"/>
          </w:cols>
          <w:pgMar w:left="480" w:top="262" w:right="499" w:bottom="1440" w:gutter="0" w:footer="0" w:header="0"/>
        </w:sectPr>
      </w:pPr>
    </w:p>
    <w:bookmarkStart w:id="89" w:name="page90"/>
    <w:bookmarkEnd w:id="89"/>
    <w:p>
      <w:pPr>
        <w:ind w:right="20"/>
        <w:spacing w:after="0" w:line="24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we are in a designated closed period or otherwise are in possession of material nonpublic information on the date that a grant would typically be made, then the grant is not made until the 10th day of the month following the month when the closed period ended, or when we are no longer in possession of material nonpublic information. If the 10th day of the month is not a business day, then the applicable award is made on the next business day that follows the 10th. We do not backdate or spring-load stock option grants.</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Clawback Policies</w:t>
      </w:r>
    </w:p>
    <w:p>
      <w:pPr>
        <w:spacing w:after="0" w:line="11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have two clawback policies. Our Incentive-Based Compensation Clawback Policy (Financial Restatement) (the Financial Restatement Clawback Policy) is designed to comply with Section 10D of the Securities Exchange Act of 1934 and the Nasdaq listing standards. Under the Financial Restatement Clawback Policy, in the event of an accounting restatement due to our material noncompliance with any financial reporting requirement under applicable securities laws, including any required accounting restatement to correct a material error in previously issued financial statements, or that would result in a material misstatement if the error were corrected in the current period or left uncorrected in the current period (Materially Non-Compliant Financial Statements), Thomson Reuters must recover erroneously awarded performance-based compensation previously paid to our executive officers in accordance with the terms of the Financial Restatement Clawback Policy. Furthermore, under the Financial Restatement Clawback Policy, Thomson Reuters is prohibited from indemnifying any executive officer or former executive officer against the loss of erroneously awarded performance-based compensation and from paying or reimbursing an executive officer for purchasing insurance to cover any such loss. A copy of our Financial Restatement Clawback Policy is attached as an exhibit to our annual report.</w:t>
      </w:r>
    </w:p>
    <w:p>
      <w:pPr>
        <w:spacing w:after="0" w:line="4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Our Incentive-Based Compensation Clawback Policy (Wrongful Acts) permits us to seek recoupment of incentive-based compensation, including TRSUs and PRSUs from our executive officers and certain other members of our management team in circumstances where such individuals engaged in wrongful acts such as theft, fraud, a violation of our Code of Business Conduct and Ethics or such other serious misconduct that results in harm to Thomson Reuters, including conduct that results in a Materially Non-Compliant Financial Statement.</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Insider Trading Policy/Pledging and Hedging Restrictions</w:t>
      </w:r>
    </w:p>
    <w:p>
      <w:pPr>
        <w:spacing w:after="0" w:line="103"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 xml:space="preserve">Our directors and executive officers are required to obtain pre-clearance prior to trading in Thomson Reuters securities. Directors and executive officers may only trade in securities of our company during designated open periods when they do not possess material nonpublic information. Our open periods begin on the business day after we release quarterly or annual earnings and end ten (10) days prior to the last business day of the quarter or year. Directors and executive officers report their transactions in our securities through the System for Electronic Disclosure by Insiders (SEDI) in Canada, which can be accessed at </w:t>
      </w:r>
      <w:r>
        <w:rPr>
          <w:rFonts w:ascii="Arial" w:cs="Arial" w:eastAsia="Arial" w:hAnsi="Arial"/>
          <w:sz w:val="17"/>
          <w:szCs w:val="17"/>
          <w:b w:val="1"/>
          <w:bCs w:val="1"/>
          <w:color w:val="auto"/>
        </w:rPr>
        <w:t>www.sedi.ca</w:t>
      </w:r>
      <w:r>
        <w:rPr>
          <w:rFonts w:ascii="Arial" w:cs="Arial" w:eastAsia="Arial" w:hAnsi="Arial"/>
          <w:sz w:val="17"/>
          <w:szCs w:val="17"/>
          <w:color w:val="auto"/>
        </w:rPr>
        <w:t>. Our directors and executive officers are exempt from reporting their transactions with the SEC as our company is a foreign private issuer for SEC purposes.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Our directors and executive officers are prohibited from pledging Thomson Reuters securities or holding them in margin accounts.</w:t>
      </w:r>
    </w:p>
    <w:p>
      <w:pPr>
        <w:spacing w:after="0" w:line="85"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Our directors, officers and employees are restricted from purchasing financial instruments or otherwise engaging in transactions that are designed to, or have the effect of, hedging or offsetting any decrease in the market value of Thomson Reuters securities. Prohibited transactions of this type include, but are not limited to, trading in puts and calls in Thomson Reuters securities, short sales of Thomson Reuters securities and other types of hedging transactions, such as prepaid variable forward sale contracts, equity swaps and collars.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9297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80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sectPr>
      </w:pPr>
    </w:p>
    <w:bookmarkStart w:id="90" w:name="page91"/>
    <w:bookmarkEnd w:id="90"/>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Performance Graphs</w:t>
      </w:r>
    </w:p>
    <w:p>
      <w:pPr>
        <w:spacing w:after="0" w:line="103"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The following graphs compare our cumulative total shareholder return, assuming reinvestment of dividends, of C$100 and US$100 invested in our common shares for the periods presented. Our common shares are listed on the TSX in Canadian dollars and on the Nasdaq in U.S. dollars under the symbol “TRI”. On February 25, 2025, we transferred our U.S. stock exchange listing to the Nasdaq. Prior to that date our common shares were listed on the NYSE.</w:t>
      </w:r>
    </w:p>
    <w:p>
      <w:pPr>
        <w:spacing w:after="0" w:line="4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Cumulative Value of a C$100 Investment</w:t>
      </w:r>
    </w:p>
    <w:p>
      <w:pPr>
        <w:spacing w:after="0" w:line="116" w:lineRule="exact"/>
        <w:rPr>
          <w:sz w:val="20"/>
          <w:szCs w:val="20"/>
          <w:color w:val="auto"/>
        </w:rPr>
      </w:pPr>
    </w:p>
    <w:p>
      <w:pPr>
        <w:ind w:right="600"/>
        <w:spacing w:after="0" w:line="246" w:lineRule="auto"/>
        <w:rPr>
          <w:sz w:val="20"/>
          <w:szCs w:val="20"/>
          <w:color w:val="auto"/>
        </w:rPr>
      </w:pPr>
      <w:r>
        <w:rPr>
          <w:rFonts w:ascii="Arial" w:cs="Arial" w:eastAsia="Arial" w:hAnsi="Arial"/>
          <w:sz w:val="17"/>
          <w:szCs w:val="17"/>
          <w:color w:val="auto"/>
        </w:rPr>
        <w:t>A significant portion of our revenues is generated in U.S. dollars and our financial statements are expressed in U.S. dollars. As such, the appreciation of the U.S. dollar relative to the Canadian dollar can have a favorable effect on the value of our Canadian dollar-denominated common shares. Our common shares are included in the S&amp;P/TSX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218440</wp:posOffset>
            </wp:positionV>
            <wp:extent cx="4806950" cy="12230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806950"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Cumulative Value of a US$100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79375</wp:posOffset>
            </wp:positionV>
            <wp:extent cx="4806950" cy="12230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06950"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Historic Named Executive Officer Compensation</w:t>
      </w:r>
    </w:p>
    <w:p>
      <w:pPr>
        <w:spacing w:after="0" w:line="10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Over the past five years (from January 1, 2021 to December 31, 2025), the total shareholder return of our U.S. and Canadian dollar denominated common shares was approximately 79.81% and 94.10%, respectively. During this same period, the total shareholder return for our U.S. dollar-denominated shares was lower than the S&amp;P 500 Composite Index and the total return for our Canadian dollar-denominated shares was lower than the S&amp;P/TSX Composite Index.</w:t>
      </w:r>
    </w:p>
    <w:p>
      <w:pPr>
        <w:spacing w:after="0" w:line="57"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graph below reflects named executive officer compensation based on amounts reflected in the Summary Compensation Table in this year’s circular and in prior year circulars. Amounts for new hires or those new in role are not annualized.</w:t>
      </w:r>
    </w:p>
    <w:p>
      <w:pPr>
        <w:spacing w:after="0" w:line="26"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We believe that the five-year trend set forth below reflects thoughtful and balanced compensation decision-making related to our CEO and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6929755" cy="18599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81</w:t>
      </w:r>
    </w:p>
    <w:p>
      <w:pPr>
        <w:sectPr>
          <w:pgSz w:w="11900" w:h="16838" w:orient="portrait"/>
          <w:cols w:equalWidth="0" w:num="1">
            <w:col w:w="10920"/>
          </w:cols>
          <w:pgMar w:left="480" w:top="262" w:right="499" w:bottom="1440" w:gutter="0" w:footer="0" w:header="0"/>
        </w:sectPr>
      </w:pPr>
    </w:p>
    <w:bookmarkStart w:id="91" w:name="page92"/>
    <w:bookmarkEnd w:id="91"/>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CEO Compensation Lookback</w:t>
      </w:r>
    </w:p>
    <w:p>
      <w:pPr>
        <w:spacing w:after="0" w:line="10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table below compares compensation awarded to Steve Hasker in 2021, 2022, 2023, 2024 and 2025 with the value of that compensation that has been realized or is realizable as of December 31, 2025. The value of realized compensation for each year includes base salary, the annual incentive award paid for the year and the value of vested RSUs and stock options. Vested RSUs are valued based on the market price at vesting and company performance in the case of performance awards. Vested stock options are valued based on the Black-Scholes value at vesting. Realizable compensation represents the value of unvested RSU and stock option awards based on the closing stock price on December 31, 2025. The value of realizable compensation is tied to future stock price and company performance until vested. The table also shows the realized and realizable value to the CEO for each $100 of compensation awarded each year, then the cumulative shareholder return per $100 invested in our common shares and in the S&amp;P 500 Composite Index over the same period. These values are indexed at $100 to provide a more meaningful comparison.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vMerge w:val="restart"/>
          </w:tcPr>
          <w:p>
            <w:pPr>
              <w:jc w:val="center"/>
              <w:ind w:left="80"/>
              <w:spacing w:after="0"/>
              <w:rPr>
                <w:sz w:val="20"/>
                <w:szCs w:val="20"/>
                <w:color w:val="auto"/>
              </w:rPr>
            </w:pPr>
            <w:r>
              <w:rPr>
                <w:rFonts w:ascii="Arial" w:cs="Arial" w:eastAsia="Arial" w:hAnsi="Arial"/>
                <w:sz w:val="16"/>
                <w:szCs w:val="16"/>
                <w:b w:val="1"/>
                <w:bCs w:val="1"/>
                <w:color w:val="auto"/>
              </w:rPr>
              <w:t>Ratio of Realized</w:t>
            </w:r>
          </w:p>
        </w:tc>
        <w:tc>
          <w:tcPr>
            <w:tcW w:w="3580" w:type="dxa"/>
            <w:vAlign w:val="bottom"/>
            <w:tcBorders>
              <w:bottom w:val="single" w:sz="8" w:color="D64000"/>
            </w:tcBorders>
            <w:gridSpan w:val="2"/>
          </w:tcPr>
          <w:p>
            <w:pPr>
              <w:ind w:left="420"/>
              <w:spacing w:after="0"/>
              <w:rPr>
                <w:sz w:val="20"/>
                <w:szCs w:val="20"/>
                <w:color w:val="auto"/>
              </w:rPr>
            </w:pPr>
            <w:r>
              <w:rPr>
                <w:rFonts w:ascii="Arial" w:cs="Arial" w:eastAsia="Arial" w:hAnsi="Arial"/>
                <w:sz w:val="16"/>
                <w:szCs w:val="16"/>
                <w:b w:val="1"/>
                <w:bCs w:val="1"/>
                <w:color w:val="auto"/>
              </w:rPr>
              <w:t>Value of $100 (as of December 31, 2025)</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60" w:type="dxa"/>
            <w:vAlign w:val="bottom"/>
          </w:tcPr>
          <w:p>
            <w:pPr>
              <w:jc w:val="center"/>
              <w:ind w:left="80"/>
              <w:spacing w:after="0"/>
              <w:rPr>
                <w:sz w:val="20"/>
                <w:szCs w:val="20"/>
                <w:color w:val="auto"/>
              </w:rPr>
            </w:pPr>
            <w:r>
              <w:rPr>
                <w:rFonts w:ascii="Arial" w:cs="Arial" w:eastAsia="Arial" w:hAnsi="Arial"/>
                <w:sz w:val="16"/>
                <w:szCs w:val="16"/>
                <w:b w:val="1"/>
                <w:bCs w:val="1"/>
                <w:color w:val="auto"/>
                <w:w w:val="98"/>
              </w:rPr>
              <w:t>and Realizable</w:t>
            </w:r>
          </w:p>
        </w:tc>
        <w:tc>
          <w:tcPr>
            <w:tcW w:w="2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60" w:type="dxa"/>
            <w:vAlign w:val="bottom"/>
          </w:tcPr>
          <w:p>
            <w:pPr>
              <w:jc w:val="center"/>
              <w:ind w:left="80"/>
              <w:spacing w:after="0"/>
              <w:rPr>
                <w:sz w:val="20"/>
                <w:szCs w:val="20"/>
                <w:color w:val="auto"/>
              </w:rPr>
            </w:pPr>
            <w:r>
              <w:rPr>
                <w:rFonts w:ascii="Arial" w:cs="Arial" w:eastAsia="Arial" w:hAnsi="Arial"/>
                <w:sz w:val="16"/>
                <w:szCs w:val="16"/>
                <w:b w:val="1"/>
                <w:bCs w:val="1"/>
                <w:color w:val="auto"/>
                <w:w w:val="99"/>
              </w:rPr>
              <w:t>value as of</w:t>
            </w:r>
          </w:p>
        </w:tc>
        <w:tc>
          <w:tcPr>
            <w:tcW w:w="2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December 31,</w:t>
            </w:r>
          </w:p>
        </w:tc>
        <w:tc>
          <w:tcPr>
            <w:tcW w:w="2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2025 to target</w:t>
            </w:r>
          </w:p>
        </w:tc>
        <w:tc>
          <w:tcPr>
            <w:tcW w:w="2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Realized and</w:t>
            </w:r>
          </w:p>
        </w:tc>
        <w:tc>
          <w:tcPr>
            <w:tcW w:w="1460" w:type="dxa"/>
            <w:vAlign w:val="bottom"/>
          </w:tcPr>
          <w:p>
            <w:pPr>
              <w:jc w:val="center"/>
              <w:ind w:left="80"/>
              <w:spacing w:after="0"/>
              <w:rPr>
                <w:sz w:val="20"/>
                <w:szCs w:val="20"/>
                <w:color w:val="auto"/>
              </w:rPr>
            </w:pPr>
            <w:r>
              <w:rPr>
                <w:rFonts w:ascii="Arial" w:cs="Arial" w:eastAsia="Arial" w:hAnsi="Arial"/>
                <w:sz w:val="16"/>
                <w:szCs w:val="16"/>
                <w:b w:val="1"/>
                <w:bCs w:val="1"/>
                <w:color w:val="auto"/>
              </w:rPr>
              <w:t>total direct</w:t>
            </w:r>
          </w:p>
        </w:tc>
        <w:tc>
          <w:tcPr>
            <w:tcW w:w="2060" w:type="dxa"/>
            <w:vAlign w:val="bottom"/>
            <w:vMerge w:val="restart"/>
          </w:tcPr>
          <w:p>
            <w:pPr>
              <w:jc w:val="center"/>
              <w:ind w:left="60"/>
              <w:spacing w:after="0"/>
              <w:rPr>
                <w:sz w:val="20"/>
                <w:szCs w:val="20"/>
                <w:color w:val="auto"/>
              </w:rPr>
            </w:pPr>
            <w:r>
              <w:rPr>
                <w:rFonts w:ascii="Arial" w:cs="Arial" w:eastAsia="Arial" w:hAnsi="Arial"/>
                <w:sz w:val="16"/>
                <w:szCs w:val="16"/>
                <w:b w:val="1"/>
                <w:bCs w:val="1"/>
                <w:color w:val="auto"/>
                <w:w w:val="99"/>
              </w:rPr>
              <w:t>Thomson</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8"/>
              </w:rPr>
              <w:t>Target total</w:t>
            </w:r>
          </w:p>
        </w:tc>
        <w:tc>
          <w:tcPr>
            <w:tcW w:w="182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9"/>
              </w:rPr>
              <w:t>Realizable</w:t>
            </w:r>
          </w:p>
        </w:tc>
        <w:tc>
          <w:tcPr>
            <w:tcW w:w="1460" w:type="dxa"/>
            <w:vAlign w:val="bottom"/>
          </w:tcPr>
          <w:p>
            <w:pPr>
              <w:jc w:val="center"/>
              <w:ind w:left="80"/>
              <w:spacing w:after="0" w:line="174" w:lineRule="exact"/>
              <w:rPr>
                <w:sz w:val="20"/>
                <w:szCs w:val="20"/>
                <w:color w:val="auto"/>
              </w:rPr>
            </w:pPr>
            <w:r>
              <w:rPr>
                <w:rFonts w:ascii="Arial" w:cs="Arial" w:eastAsia="Arial" w:hAnsi="Arial"/>
                <w:sz w:val="16"/>
                <w:szCs w:val="16"/>
                <w:b w:val="1"/>
                <w:bCs w:val="1"/>
                <w:color w:val="auto"/>
              </w:rPr>
              <w:t>compensation</w:t>
            </w:r>
          </w:p>
        </w:tc>
        <w:tc>
          <w:tcPr>
            <w:tcW w:w="20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Year</w:t>
            </w:r>
          </w:p>
        </w:tc>
        <w:tc>
          <w:tcPr>
            <w:tcW w:w="16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direct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value as of</w:t>
            </w:r>
          </w:p>
        </w:tc>
        <w:tc>
          <w:tcPr>
            <w:tcW w:w="146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(multiplied by</w:t>
            </w:r>
          </w:p>
        </w:tc>
        <w:tc>
          <w:tcPr>
            <w:tcW w:w="2060" w:type="dxa"/>
            <w:vAlign w:val="bottom"/>
          </w:tcPr>
          <w:p>
            <w:pPr>
              <w:jc w:val="center"/>
              <w:ind w:left="60"/>
              <w:spacing w:after="0"/>
              <w:rPr>
                <w:sz w:val="20"/>
                <w:szCs w:val="20"/>
                <w:color w:val="auto"/>
              </w:rPr>
            </w:pPr>
            <w:r>
              <w:rPr>
                <w:rFonts w:ascii="Arial" w:cs="Arial" w:eastAsia="Arial" w:hAnsi="Arial"/>
                <w:sz w:val="16"/>
                <w:szCs w:val="16"/>
                <w:b w:val="1"/>
                <w:bCs w:val="1"/>
                <w:color w:val="auto"/>
              </w:rPr>
              <w:t>Reuters</w:t>
            </w:r>
          </w:p>
        </w:tc>
        <w:tc>
          <w:tcPr>
            <w:tcW w:w="1520" w:type="dxa"/>
            <w:vAlign w:val="bottom"/>
          </w:tcPr>
          <w:p>
            <w:pPr>
              <w:jc w:val="center"/>
              <w:ind w:left="80"/>
              <w:spacing w:after="0"/>
              <w:rPr>
                <w:sz w:val="20"/>
                <w:szCs w:val="20"/>
                <w:color w:val="auto"/>
              </w:rPr>
            </w:pPr>
            <w:r>
              <w:rPr>
                <w:rFonts w:ascii="Arial" w:cs="Arial" w:eastAsia="Arial" w:hAnsi="Arial"/>
                <w:sz w:val="16"/>
                <w:szCs w:val="16"/>
                <w:b w:val="1"/>
                <w:bCs w:val="1"/>
                <w:color w:val="auto"/>
                <w:w w:val="99"/>
              </w:rPr>
              <w:t>S&amp;P 500</w:t>
            </w:r>
          </w:p>
        </w:tc>
        <w:tc>
          <w:tcPr>
            <w:tcW w:w="0" w:type="dxa"/>
            <w:vAlign w:val="bottom"/>
          </w:tcPr>
          <w:p>
            <w:pPr>
              <w:spacing w:after="0"/>
              <w:rPr>
                <w:sz w:val="1"/>
                <w:szCs w:val="1"/>
                <w:color w:val="auto"/>
              </w:rPr>
            </w:pPr>
          </w:p>
        </w:tc>
      </w:tr>
      <w:tr>
        <w:trPr>
          <w:trHeight w:val="221"/>
        </w:trPr>
        <w:tc>
          <w:tcPr>
            <w:tcW w:w="1000" w:type="dxa"/>
            <w:vAlign w:val="bottom"/>
            <w:tcBorders>
              <w:bottom w:val="single" w:sz="8" w:color="D64000"/>
            </w:tcBorders>
          </w:tcPr>
          <w:p>
            <w:pPr>
              <w:ind w:left="80"/>
              <w:spacing w:after="0"/>
              <w:rPr>
                <w:sz w:val="20"/>
                <w:szCs w:val="20"/>
                <w:color w:val="auto"/>
              </w:rPr>
            </w:pPr>
            <w:r>
              <w:rPr>
                <w:rFonts w:ascii="Arial" w:cs="Arial" w:eastAsia="Arial" w:hAnsi="Arial"/>
                <w:sz w:val="16"/>
                <w:szCs w:val="16"/>
                <w:b w:val="1"/>
                <w:bCs w:val="1"/>
                <w:color w:val="auto"/>
              </w:rPr>
              <w:t>Awarded</w:t>
            </w:r>
          </w:p>
        </w:tc>
        <w:tc>
          <w:tcPr>
            <w:tcW w:w="1660" w:type="dxa"/>
            <w:vAlign w:val="bottom"/>
            <w:tcBorders>
              <w:bottom w:val="single" w:sz="8" w:color="D64000"/>
            </w:tcBorders>
          </w:tcPr>
          <w:p>
            <w:pPr>
              <w:jc w:val="center"/>
              <w:spacing w:after="0"/>
              <w:rPr>
                <w:sz w:val="20"/>
                <w:szCs w:val="20"/>
                <w:color w:val="auto"/>
              </w:rPr>
            </w:pPr>
            <w:r>
              <w:rPr>
                <w:rFonts w:ascii="Arial" w:cs="Arial" w:eastAsia="Arial" w:hAnsi="Arial"/>
                <w:sz w:val="16"/>
                <w:szCs w:val="16"/>
                <w:b w:val="1"/>
                <w:bCs w:val="1"/>
                <w:color w:val="auto"/>
              </w:rPr>
              <w:t>Period</w:t>
            </w:r>
          </w:p>
        </w:tc>
        <w:tc>
          <w:tcPr>
            <w:tcW w:w="1400" w:type="dxa"/>
            <w:vAlign w:val="bottom"/>
            <w:tcBorders>
              <w:bottom w:val="single" w:sz="8" w:color="D64000"/>
            </w:tcBorders>
          </w:tcPr>
          <w:p>
            <w:pPr>
              <w:jc w:val="center"/>
              <w:spacing w:after="0"/>
              <w:rPr>
                <w:sz w:val="20"/>
                <w:szCs w:val="20"/>
                <w:color w:val="auto"/>
              </w:rPr>
            </w:pPr>
            <w:r>
              <w:rPr>
                <w:rFonts w:ascii="Arial" w:cs="Arial" w:eastAsia="Arial" w:hAnsi="Arial"/>
                <w:sz w:val="16"/>
                <w:szCs w:val="16"/>
                <w:b w:val="1"/>
                <w:bCs w:val="1"/>
                <w:color w:val="auto"/>
                <w:w w:val="99"/>
              </w:rPr>
              <w:t>compensation</w:t>
            </w:r>
          </w:p>
        </w:tc>
        <w:tc>
          <w:tcPr>
            <w:tcW w:w="1820" w:type="dxa"/>
            <w:vAlign w:val="bottom"/>
            <w:tcBorders>
              <w:bottom w:val="single" w:sz="8" w:color="D64000"/>
            </w:tcBorders>
          </w:tcPr>
          <w:p>
            <w:pPr>
              <w:jc w:val="center"/>
              <w:spacing w:after="0" w:line="214" w:lineRule="exact"/>
              <w:rPr>
                <w:sz w:val="20"/>
                <w:szCs w:val="20"/>
                <w:color w:val="auto"/>
              </w:rPr>
            </w:pPr>
            <w:r>
              <w:rPr>
                <w:rFonts w:ascii="Arial" w:cs="Arial" w:eastAsia="Arial" w:hAnsi="Arial"/>
                <w:sz w:val="16"/>
                <w:szCs w:val="16"/>
                <w:b w:val="1"/>
                <w:bCs w:val="1"/>
                <w:color w:val="auto"/>
                <w:w w:val="98"/>
              </w:rPr>
              <w:t>December 31, 2025</w:t>
            </w:r>
            <w:r>
              <w:rPr>
                <w:rFonts w:ascii="Arial" w:cs="Arial" w:eastAsia="Arial" w:hAnsi="Arial"/>
                <w:sz w:val="24"/>
                <w:szCs w:val="24"/>
                <w:b w:val="1"/>
                <w:bCs w:val="1"/>
                <w:color w:val="auto"/>
                <w:w w:val="98"/>
                <w:vertAlign w:val="superscript"/>
              </w:rPr>
              <w:t>5</w:t>
            </w:r>
          </w:p>
        </w:tc>
        <w:tc>
          <w:tcPr>
            <w:tcW w:w="1460" w:type="dxa"/>
            <w:vAlign w:val="bottom"/>
            <w:tcBorders>
              <w:bottom w:val="single" w:sz="8" w:color="D64000"/>
            </w:tcBorders>
          </w:tcPr>
          <w:p>
            <w:pPr>
              <w:jc w:val="center"/>
              <w:ind w:left="80"/>
              <w:spacing w:after="0"/>
              <w:rPr>
                <w:sz w:val="20"/>
                <w:szCs w:val="20"/>
                <w:color w:val="auto"/>
              </w:rPr>
            </w:pPr>
            <w:r>
              <w:rPr>
                <w:rFonts w:ascii="Arial" w:cs="Arial" w:eastAsia="Arial" w:hAnsi="Arial"/>
                <w:sz w:val="16"/>
                <w:szCs w:val="16"/>
                <w:b w:val="1"/>
                <w:bCs w:val="1"/>
                <w:color w:val="auto"/>
              </w:rPr>
              <w:t>$100)</w:t>
            </w:r>
          </w:p>
        </w:tc>
        <w:tc>
          <w:tcPr>
            <w:tcW w:w="2060" w:type="dxa"/>
            <w:vAlign w:val="bottom"/>
            <w:tcBorders>
              <w:bottom w:val="single" w:sz="8" w:color="D64000"/>
            </w:tcBorders>
          </w:tcPr>
          <w:p>
            <w:pPr>
              <w:jc w:val="center"/>
              <w:ind w:left="80"/>
              <w:spacing w:after="0"/>
              <w:rPr>
                <w:sz w:val="20"/>
                <w:szCs w:val="20"/>
                <w:color w:val="auto"/>
              </w:rPr>
            </w:pPr>
            <w:r>
              <w:rPr>
                <w:rFonts w:ascii="Arial" w:cs="Arial" w:eastAsia="Arial" w:hAnsi="Arial"/>
                <w:sz w:val="16"/>
                <w:szCs w:val="16"/>
                <w:b w:val="1"/>
                <w:bCs w:val="1"/>
                <w:color w:val="auto"/>
              </w:rPr>
              <w:t>shareholders</w:t>
            </w:r>
          </w:p>
        </w:tc>
        <w:tc>
          <w:tcPr>
            <w:tcW w:w="1520" w:type="dxa"/>
            <w:vAlign w:val="bottom"/>
            <w:tcBorders>
              <w:bottom w:val="single" w:sz="8" w:color="D64000"/>
            </w:tcBorders>
          </w:tcPr>
          <w:p>
            <w:pPr>
              <w:jc w:val="center"/>
              <w:ind w:left="100"/>
              <w:spacing w:after="0"/>
              <w:rPr>
                <w:sz w:val="20"/>
                <w:szCs w:val="20"/>
                <w:color w:val="auto"/>
              </w:rPr>
            </w:pPr>
            <w:r>
              <w:rPr>
                <w:rFonts w:ascii="Arial" w:cs="Arial" w:eastAsia="Arial" w:hAnsi="Arial"/>
                <w:sz w:val="16"/>
                <w:szCs w:val="16"/>
                <w:b w:val="1"/>
                <w:bCs w:val="1"/>
                <w:color w:val="auto"/>
                <w:w w:val="99"/>
              </w:rPr>
              <w:t>Composite</w:t>
            </w:r>
          </w:p>
        </w:tc>
        <w:tc>
          <w:tcPr>
            <w:tcW w:w="0" w:type="dxa"/>
            <w:vAlign w:val="bottom"/>
          </w:tcPr>
          <w:p>
            <w:pPr>
              <w:spacing w:after="0"/>
              <w:rPr>
                <w:sz w:val="1"/>
                <w:szCs w:val="1"/>
                <w:color w:val="auto"/>
              </w:rPr>
            </w:pPr>
          </w:p>
        </w:tc>
      </w:tr>
      <w:tr>
        <w:trPr>
          <w:trHeight w:val="224"/>
        </w:trPr>
        <w:tc>
          <w:tcPr>
            <w:tcW w:w="1000" w:type="dxa"/>
            <w:vAlign w:val="bottom"/>
            <w:tcBorders>
              <w:bottom w:val="single" w:sz="8" w:color="B2B2B2"/>
            </w:tcBorders>
          </w:tcPr>
          <w:p>
            <w:pPr>
              <w:ind w:left="80"/>
              <w:spacing w:after="0"/>
              <w:rPr>
                <w:sz w:val="20"/>
                <w:szCs w:val="20"/>
                <w:color w:val="auto"/>
              </w:rPr>
            </w:pPr>
            <w:r>
              <w:rPr>
                <w:rFonts w:ascii="Arial" w:cs="Arial" w:eastAsia="Arial" w:hAnsi="Arial"/>
                <w:sz w:val="16"/>
                <w:szCs w:val="16"/>
                <w:b w:val="1"/>
                <w:bCs w:val="1"/>
                <w:color w:val="auto"/>
              </w:rPr>
              <w:t>2021</w:t>
            </w:r>
          </w:p>
        </w:tc>
        <w:tc>
          <w:tcPr>
            <w:tcW w:w="16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1/1/21 to 12/31/21</w:t>
            </w:r>
          </w:p>
        </w:tc>
        <w:tc>
          <w:tcPr>
            <w:tcW w:w="140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$10,033,225</w:t>
            </w:r>
          </w:p>
        </w:tc>
        <w:tc>
          <w:tcPr>
            <w:tcW w:w="182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$25,957,304</w:t>
            </w:r>
          </w:p>
        </w:tc>
        <w:tc>
          <w:tcPr>
            <w:tcW w:w="1460" w:type="dxa"/>
            <w:vAlign w:val="bottom"/>
            <w:tcBorders>
              <w:bottom w:val="single" w:sz="8" w:color="B2B2B2"/>
            </w:tcBorders>
          </w:tcPr>
          <w:p>
            <w:pPr>
              <w:jc w:val="center"/>
              <w:ind w:left="60"/>
              <w:spacing w:after="0"/>
              <w:rPr>
                <w:sz w:val="20"/>
                <w:szCs w:val="20"/>
                <w:color w:val="auto"/>
              </w:rPr>
            </w:pPr>
            <w:r>
              <w:rPr>
                <w:rFonts w:ascii="Arial" w:cs="Arial" w:eastAsia="Arial" w:hAnsi="Arial"/>
                <w:sz w:val="16"/>
                <w:szCs w:val="16"/>
                <w:color w:val="auto"/>
              </w:rPr>
              <w:t>$259</w:t>
            </w:r>
          </w:p>
        </w:tc>
        <w:tc>
          <w:tcPr>
            <w:tcW w:w="2060" w:type="dxa"/>
            <w:vAlign w:val="bottom"/>
            <w:tcBorders>
              <w:bottom w:val="single" w:sz="8" w:color="B2B2B2"/>
            </w:tcBorders>
          </w:tcPr>
          <w:p>
            <w:pPr>
              <w:jc w:val="center"/>
              <w:ind w:left="60"/>
              <w:spacing w:after="0"/>
              <w:rPr>
                <w:sz w:val="20"/>
                <w:szCs w:val="20"/>
                <w:color w:val="auto"/>
              </w:rPr>
            </w:pPr>
            <w:r>
              <w:rPr>
                <w:rFonts w:ascii="Arial" w:cs="Arial" w:eastAsia="Arial" w:hAnsi="Arial"/>
                <w:sz w:val="16"/>
                <w:szCs w:val="16"/>
                <w:color w:val="auto"/>
              </w:rPr>
              <w:t>$180</w:t>
            </w:r>
          </w:p>
        </w:tc>
        <w:tc>
          <w:tcPr>
            <w:tcW w:w="1520" w:type="dxa"/>
            <w:vAlign w:val="bottom"/>
            <w:tcBorders>
              <w:bottom w:val="single" w:sz="8" w:color="B2B2B2"/>
            </w:tcBorders>
          </w:tcPr>
          <w:p>
            <w:pPr>
              <w:jc w:val="center"/>
              <w:ind w:left="8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21"/>
        </w:trPr>
        <w:tc>
          <w:tcPr>
            <w:tcW w:w="1000" w:type="dxa"/>
            <w:vAlign w:val="bottom"/>
            <w:tcBorders>
              <w:bottom w:val="single" w:sz="8" w:color="B2B2B2"/>
            </w:tcBorders>
          </w:tcPr>
          <w:p>
            <w:pPr>
              <w:ind w:left="80"/>
              <w:spacing w:after="0"/>
              <w:rPr>
                <w:sz w:val="20"/>
                <w:szCs w:val="20"/>
                <w:color w:val="auto"/>
              </w:rPr>
            </w:pPr>
            <w:r>
              <w:rPr>
                <w:rFonts w:ascii="Arial" w:cs="Arial" w:eastAsia="Arial" w:hAnsi="Arial"/>
                <w:sz w:val="16"/>
                <w:szCs w:val="16"/>
                <w:b w:val="1"/>
                <w:bCs w:val="1"/>
                <w:color w:val="auto"/>
              </w:rPr>
              <w:t>2022</w:t>
            </w:r>
          </w:p>
        </w:tc>
        <w:tc>
          <w:tcPr>
            <w:tcW w:w="16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1/1/22 to 12/31/22</w:t>
            </w:r>
          </w:p>
        </w:tc>
        <w:tc>
          <w:tcPr>
            <w:tcW w:w="140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$9,949,668</w:t>
            </w:r>
          </w:p>
        </w:tc>
        <w:tc>
          <w:tcPr>
            <w:tcW w:w="182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5"/>
              </w:rPr>
              <w:t>  $17,605,251</w:t>
            </w:r>
          </w:p>
        </w:tc>
        <w:tc>
          <w:tcPr>
            <w:tcW w:w="1460" w:type="dxa"/>
            <w:vAlign w:val="bottom"/>
            <w:tcBorders>
              <w:bottom w:val="single" w:sz="8" w:color="B2B2B2"/>
            </w:tcBorders>
          </w:tcPr>
          <w:p>
            <w:pPr>
              <w:jc w:val="center"/>
              <w:ind w:left="60"/>
              <w:spacing w:after="0"/>
              <w:rPr>
                <w:sz w:val="20"/>
                <w:szCs w:val="20"/>
                <w:color w:val="auto"/>
              </w:rPr>
            </w:pPr>
            <w:r>
              <w:rPr>
                <w:rFonts w:ascii="Arial" w:cs="Arial" w:eastAsia="Arial" w:hAnsi="Arial"/>
                <w:sz w:val="16"/>
                <w:szCs w:val="16"/>
                <w:color w:val="auto"/>
              </w:rPr>
              <w:t>$177</w:t>
            </w:r>
          </w:p>
        </w:tc>
        <w:tc>
          <w:tcPr>
            <w:tcW w:w="2060" w:type="dxa"/>
            <w:vAlign w:val="bottom"/>
            <w:tcBorders>
              <w:bottom w:val="single" w:sz="8" w:color="B2B2B2"/>
            </w:tcBorders>
          </w:tcPr>
          <w:p>
            <w:pPr>
              <w:jc w:val="center"/>
              <w:ind w:left="60"/>
              <w:spacing w:after="0"/>
              <w:rPr>
                <w:sz w:val="20"/>
                <w:szCs w:val="20"/>
                <w:color w:val="auto"/>
              </w:rPr>
            </w:pPr>
            <w:r>
              <w:rPr>
                <w:rFonts w:ascii="Arial" w:cs="Arial" w:eastAsia="Arial" w:hAnsi="Arial"/>
                <w:sz w:val="16"/>
                <w:szCs w:val="16"/>
                <w:color w:val="auto"/>
              </w:rPr>
              <w:t>$121</w:t>
            </w:r>
          </w:p>
        </w:tc>
        <w:tc>
          <w:tcPr>
            <w:tcW w:w="1520" w:type="dxa"/>
            <w:vAlign w:val="bottom"/>
            <w:tcBorders>
              <w:bottom w:val="single" w:sz="8" w:color="B2B2B2"/>
            </w:tcBorders>
          </w:tcPr>
          <w:p>
            <w:pPr>
              <w:jc w:val="center"/>
              <w:ind w:left="8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1"/>
        </w:trPr>
        <w:tc>
          <w:tcPr>
            <w:tcW w:w="1000" w:type="dxa"/>
            <w:vAlign w:val="bottom"/>
            <w:tcBorders>
              <w:bottom w:val="single" w:sz="8" w:color="B2B2B2"/>
            </w:tcBorders>
          </w:tcPr>
          <w:p>
            <w:pPr>
              <w:ind w:left="80"/>
              <w:spacing w:after="0"/>
              <w:rPr>
                <w:sz w:val="20"/>
                <w:szCs w:val="20"/>
                <w:color w:val="auto"/>
              </w:rPr>
            </w:pPr>
            <w:r>
              <w:rPr>
                <w:rFonts w:ascii="Arial" w:cs="Arial" w:eastAsia="Arial" w:hAnsi="Arial"/>
                <w:sz w:val="16"/>
                <w:szCs w:val="16"/>
                <w:b w:val="1"/>
                <w:bCs w:val="1"/>
                <w:color w:val="auto"/>
              </w:rPr>
              <w:t>2023</w:t>
            </w:r>
          </w:p>
        </w:tc>
        <w:tc>
          <w:tcPr>
            <w:tcW w:w="16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1/1/23 to 12/31/23</w:t>
            </w:r>
          </w:p>
        </w:tc>
        <w:tc>
          <w:tcPr>
            <w:tcW w:w="140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9"/>
              </w:rPr>
              <w:t>$9,949,052</w:t>
            </w:r>
          </w:p>
        </w:tc>
        <w:tc>
          <w:tcPr>
            <w:tcW w:w="182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5"/>
              </w:rPr>
              <w:t>  $10,992,195</w:t>
            </w:r>
          </w:p>
        </w:tc>
        <w:tc>
          <w:tcPr>
            <w:tcW w:w="1460" w:type="dxa"/>
            <w:vAlign w:val="bottom"/>
            <w:tcBorders>
              <w:bottom w:val="single" w:sz="8" w:color="B2B2B2"/>
            </w:tcBorders>
          </w:tcPr>
          <w:p>
            <w:pPr>
              <w:jc w:val="center"/>
              <w:ind w:left="80"/>
              <w:spacing w:after="0"/>
              <w:rPr>
                <w:sz w:val="20"/>
                <w:szCs w:val="20"/>
                <w:color w:val="auto"/>
              </w:rPr>
            </w:pPr>
            <w:r>
              <w:rPr>
                <w:rFonts w:ascii="Arial" w:cs="Arial" w:eastAsia="Arial" w:hAnsi="Arial"/>
                <w:sz w:val="16"/>
                <w:szCs w:val="16"/>
                <w:color w:val="auto"/>
                <w:w w:val="95"/>
              </w:rPr>
              <w:t>$110</w:t>
            </w:r>
          </w:p>
        </w:tc>
        <w:tc>
          <w:tcPr>
            <w:tcW w:w="2060" w:type="dxa"/>
            <w:vAlign w:val="bottom"/>
            <w:tcBorders>
              <w:bottom w:val="single" w:sz="8" w:color="B2B2B2"/>
            </w:tcBorders>
          </w:tcPr>
          <w:p>
            <w:pPr>
              <w:jc w:val="center"/>
              <w:ind w:left="60"/>
              <w:spacing w:after="0"/>
              <w:rPr>
                <w:sz w:val="20"/>
                <w:szCs w:val="20"/>
                <w:color w:val="auto"/>
              </w:rPr>
            </w:pPr>
            <w:r>
              <w:rPr>
                <w:rFonts w:ascii="Arial" w:cs="Arial" w:eastAsia="Arial" w:hAnsi="Arial"/>
                <w:sz w:val="16"/>
                <w:szCs w:val="16"/>
                <w:color w:val="auto"/>
              </w:rPr>
              <w:t>$125</w:t>
            </w:r>
          </w:p>
        </w:tc>
        <w:tc>
          <w:tcPr>
            <w:tcW w:w="1520" w:type="dxa"/>
            <w:vAlign w:val="bottom"/>
            <w:tcBorders>
              <w:bottom w:val="single" w:sz="8" w:color="B2B2B2"/>
            </w:tcBorders>
          </w:tcPr>
          <w:p>
            <w:pPr>
              <w:jc w:val="center"/>
              <w:ind w:left="8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21"/>
        </w:trPr>
        <w:tc>
          <w:tcPr>
            <w:tcW w:w="1000" w:type="dxa"/>
            <w:vAlign w:val="bottom"/>
            <w:tcBorders>
              <w:bottom w:val="single" w:sz="8" w:color="B2B2B2"/>
            </w:tcBorders>
          </w:tcPr>
          <w:p>
            <w:pPr>
              <w:ind w:left="80"/>
              <w:spacing w:after="0"/>
              <w:rPr>
                <w:sz w:val="20"/>
                <w:szCs w:val="20"/>
                <w:color w:val="auto"/>
              </w:rPr>
            </w:pPr>
            <w:r>
              <w:rPr>
                <w:rFonts w:ascii="Arial" w:cs="Arial" w:eastAsia="Arial" w:hAnsi="Arial"/>
                <w:sz w:val="16"/>
                <w:szCs w:val="16"/>
                <w:b w:val="1"/>
                <w:bCs w:val="1"/>
                <w:color w:val="auto"/>
              </w:rPr>
              <w:t>2024</w:t>
            </w:r>
          </w:p>
        </w:tc>
        <w:tc>
          <w:tcPr>
            <w:tcW w:w="166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1/1/24 to 12/31/24</w:t>
            </w:r>
          </w:p>
        </w:tc>
        <w:tc>
          <w:tcPr>
            <w:tcW w:w="140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rPr>
              <w:t>$10,923,355</w:t>
            </w:r>
          </w:p>
        </w:tc>
        <w:tc>
          <w:tcPr>
            <w:tcW w:w="1820" w:type="dxa"/>
            <w:vAlign w:val="bottom"/>
            <w:tcBorders>
              <w:bottom w:val="single" w:sz="8" w:color="B2B2B2"/>
            </w:tcBorders>
          </w:tcPr>
          <w:p>
            <w:pPr>
              <w:jc w:val="center"/>
              <w:spacing w:after="0"/>
              <w:rPr>
                <w:sz w:val="20"/>
                <w:szCs w:val="20"/>
                <w:color w:val="auto"/>
              </w:rPr>
            </w:pPr>
            <w:r>
              <w:rPr>
                <w:rFonts w:ascii="Arial" w:cs="Arial" w:eastAsia="Arial" w:hAnsi="Arial"/>
                <w:sz w:val="16"/>
                <w:szCs w:val="16"/>
                <w:color w:val="auto"/>
                <w:w w:val="96"/>
              </w:rPr>
              <w:t>  $9,538,516</w:t>
            </w:r>
          </w:p>
        </w:tc>
        <w:tc>
          <w:tcPr>
            <w:tcW w:w="1460" w:type="dxa"/>
            <w:vAlign w:val="bottom"/>
            <w:tcBorders>
              <w:bottom w:val="single" w:sz="8" w:color="B2B2B2"/>
            </w:tcBorders>
          </w:tcPr>
          <w:p>
            <w:pPr>
              <w:jc w:val="center"/>
              <w:ind w:left="80"/>
              <w:spacing w:after="0"/>
              <w:rPr>
                <w:sz w:val="20"/>
                <w:szCs w:val="20"/>
                <w:color w:val="auto"/>
              </w:rPr>
            </w:pPr>
            <w:r>
              <w:rPr>
                <w:rFonts w:ascii="Arial" w:cs="Arial" w:eastAsia="Arial" w:hAnsi="Arial"/>
                <w:sz w:val="16"/>
                <w:szCs w:val="16"/>
                <w:color w:val="auto"/>
                <w:w w:val="97"/>
              </w:rPr>
              <w:t>$87</w:t>
            </w:r>
          </w:p>
        </w:tc>
        <w:tc>
          <w:tcPr>
            <w:tcW w:w="2060" w:type="dxa"/>
            <w:vAlign w:val="bottom"/>
            <w:tcBorders>
              <w:bottom w:val="single" w:sz="8" w:color="B2B2B2"/>
            </w:tcBorders>
          </w:tcPr>
          <w:p>
            <w:pPr>
              <w:jc w:val="center"/>
              <w:ind w:left="80"/>
              <w:spacing w:after="0"/>
              <w:rPr>
                <w:sz w:val="20"/>
                <w:szCs w:val="20"/>
                <w:color w:val="auto"/>
              </w:rPr>
            </w:pPr>
            <w:r>
              <w:rPr>
                <w:rFonts w:ascii="Arial" w:cs="Arial" w:eastAsia="Arial" w:hAnsi="Arial"/>
                <w:sz w:val="16"/>
                <w:szCs w:val="16"/>
                <w:color w:val="auto"/>
                <w:w w:val="97"/>
              </w:rPr>
              <w:t>$93</w:t>
            </w:r>
          </w:p>
        </w:tc>
        <w:tc>
          <w:tcPr>
            <w:tcW w:w="1520" w:type="dxa"/>
            <w:vAlign w:val="bottom"/>
            <w:tcBorders>
              <w:bottom w:val="single" w:sz="8" w:color="B2B2B2"/>
            </w:tcBorders>
          </w:tcPr>
          <w:p>
            <w:pPr>
              <w:jc w:val="center"/>
              <w:ind w:left="8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8"/>
        </w:trPr>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2025</w:t>
            </w:r>
          </w:p>
        </w:tc>
        <w:tc>
          <w:tcPr>
            <w:tcW w:w="1660" w:type="dxa"/>
            <w:vAlign w:val="bottom"/>
          </w:tcPr>
          <w:p>
            <w:pPr>
              <w:jc w:val="center"/>
              <w:spacing w:after="0"/>
              <w:rPr>
                <w:sz w:val="20"/>
                <w:szCs w:val="20"/>
                <w:color w:val="auto"/>
              </w:rPr>
            </w:pPr>
            <w:r>
              <w:rPr>
                <w:rFonts w:ascii="Arial" w:cs="Arial" w:eastAsia="Arial" w:hAnsi="Arial"/>
                <w:sz w:val="16"/>
                <w:szCs w:val="16"/>
                <w:color w:val="auto"/>
              </w:rPr>
              <w:t>1/1/25 to 12/31/25</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  $11,519,547</w:t>
            </w: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   $8,015,131</w:t>
            </w:r>
          </w:p>
        </w:tc>
        <w:tc>
          <w:tcPr>
            <w:tcW w:w="1460" w:type="dxa"/>
            <w:vAlign w:val="bottom"/>
          </w:tcPr>
          <w:p>
            <w:pPr>
              <w:jc w:val="center"/>
              <w:ind w:left="80"/>
              <w:spacing w:after="0"/>
              <w:rPr>
                <w:sz w:val="20"/>
                <w:szCs w:val="20"/>
                <w:color w:val="auto"/>
              </w:rPr>
            </w:pPr>
            <w:r>
              <w:rPr>
                <w:rFonts w:ascii="Arial" w:cs="Arial" w:eastAsia="Arial" w:hAnsi="Arial"/>
                <w:sz w:val="16"/>
                <w:szCs w:val="16"/>
                <w:color w:val="auto"/>
                <w:w w:val="97"/>
              </w:rPr>
              <w:t>$70</w:t>
            </w:r>
          </w:p>
        </w:tc>
        <w:tc>
          <w:tcPr>
            <w:tcW w:w="2060" w:type="dxa"/>
            <w:vAlign w:val="bottom"/>
          </w:tcPr>
          <w:p>
            <w:pPr>
              <w:jc w:val="center"/>
              <w:ind w:left="80"/>
              <w:spacing w:after="0"/>
              <w:rPr>
                <w:sz w:val="20"/>
                <w:szCs w:val="20"/>
                <w:color w:val="auto"/>
              </w:rPr>
            </w:pPr>
            <w:r>
              <w:rPr>
                <w:rFonts w:ascii="Arial" w:cs="Arial" w:eastAsia="Arial" w:hAnsi="Arial"/>
                <w:sz w:val="16"/>
                <w:szCs w:val="16"/>
                <w:color w:val="auto"/>
                <w:w w:val="97"/>
              </w:rPr>
              <w:t>$83</w:t>
            </w:r>
          </w:p>
        </w:tc>
        <w:tc>
          <w:tcPr>
            <w:tcW w:w="1520" w:type="dxa"/>
            <w:vAlign w:val="bottom"/>
          </w:tcPr>
          <w:p>
            <w:pPr>
              <w:jc w:val="center"/>
              <w:ind w:left="100"/>
              <w:spacing w:after="0"/>
              <w:rPr>
                <w:sz w:val="20"/>
                <w:szCs w:val="20"/>
                <w:color w:val="auto"/>
              </w:rPr>
            </w:pPr>
            <w:r>
              <w:rPr>
                <w:rFonts w:ascii="Arial" w:cs="Arial" w:eastAsia="Arial" w:hAnsi="Arial"/>
                <w:sz w:val="16"/>
                <w:szCs w:val="16"/>
                <w:color w:val="auto"/>
                <w:w w:val="95"/>
              </w:rPr>
              <w:t>$118</w:t>
            </w:r>
          </w:p>
        </w:tc>
        <w:tc>
          <w:tcPr>
            <w:tcW w:w="0" w:type="dxa"/>
            <w:vAlign w:val="bottom"/>
          </w:tcPr>
          <w:p>
            <w:pPr>
              <w:spacing w:after="0"/>
              <w:rPr>
                <w:sz w:val="1"/>
                <w:szCs w:val="1"/>
                <w:color w:val="auto"/>
              </w:rPr>
            </w:pPr>
          </w:p>
        </w:tc>
      </w:tr>
      <w:tr>
        <w:trPr>
          <w:trHeight w:val="40"/>
        </w:trPr>
        <w:tc>
          <w:tcPr>
            <w:tcW w:w="1000" w:type="dxa"/>
            <w:vAlign w:val="bottom"/>
            <w:tcBorders>
              <w:bottom w:val="single" w:sz="8" w:color="D64000"/>
            </w:tcBorders>
          </w:tcPr>
          <w:p>
            <w:pPr>
              <w:spacing w:after="0"/>
              <w:rPr>
                <w:sz w:val="3"/>
                <w:szCs w:val="3"/>
                <w:color w:val="auto"/>
              </w:rPr>
            </w:pPr>
          </w:p>
        </w:tc>
        <w:tc>
          <w:tcPr>
            <w:tcW w:w="1660" w:type="dxa"/>
            <w:vAlign w:val="bottom"/>
            <w:tcBorders>
              <w:bottom w:val="single" w:sz="8" w:color="D64000"/>
            </w:tcBorders>
          </w:tcPr>
          <w:p>
            <w:pPr>
              <w:spacing w:after="0"/>
              <w:rPr>
                <w:sz w:val="3"/>
                <w:szCs w:val="3"/>
                <w:color w:val="auto"/>
              </w:rPr>
            </w:pPr>
          </w:p>
        </w:tc>
        <w:tc>
          <w:tcPr>
            <w:tcW w:w="1400" w:type="dxa"/>
            <w:vAlign w:val="bottom"/>
            <w:tcBorders>
              <w:bottom w:val="single" w:sz="8" w:color="D64000"/>
            </w:tcBorders>
          </w:tcPr>
          <w:p>
            <w:pPr>
              <w:spacing w:after="0"/>
              <w:rPr>
                <w:sz w:val="3"/>
                <w:szCs w:val="3"/>
                <w:color w:val="auto"/>
              </w:rPr>
            </w:pPr>
          </w:p>
        </w:tc>
        <w:tc>
          <w:tcPr>
            <w:tcW w:w="1820" w:type="dxa"/>
            <w:vAlign w:val="bottom"/>
            <w:tcBorders>
              <w:bottom w:val="single" w:sz="8" w:color="D64000"/>
            </w:tcBorders>
          </w:tcPr>
          <w:p>
            <w:pPr>
              <w:spacing w:after="0"/>
              <w:rPr>
                <w:sz w:val="3"/>
                <w:szCs w:val="3"/>
                <w:color w:val="auto"/>
              </w:rPr>
            </w:pPr>
          </w:p>
        </w:tc>
        <w:tc>
          <w:tcPr>
            <w:tcW w:w="1460" w:type="dxa"/>
            <w:vAlign w:val="bottom"/>
            <w:tcBorders>
              <w:bottom w:val="single" w:sz="8" w:color="D64000"/>
            </w:tcBorders>
          </w:tcPr>
          <w:p>
            <w:pPr>
              <w:spacing w:after="0"/>
              <w:rPr>
                <w:sz w:val="3"/>
                <w:szCs w:val="3"/>
                <w:color w:val="auto"/>
              </w:rPr>
            </w:pPr>
          </w:p>
        </w:tc>
        <w:tc>
          <w:tcPr>
            <w:tcW w:w="2060" w:type="dxa"/>
            <w:vAlign w:val="bottom"/>
            <w:tcBorders>
              <w:bottom w:val="single" w:sz="8" w:color="D64000"/>
            </w:tcBorders>
          </w:tcPr>
          <w:p>
            <w:pPr>
              <w:spacing w:after="0"/>
              <w:rPr>
                <w:sz w:val="3"/>
                <w:szCs w:val="3"/>
                <w:color w:val="auto"/>
              </w:rPr>
            </w:pPr>
          </w:p>
        </w:tc>
        <w:tc>
          <w:tcPr>
            <w:tcW w:w="1520" w:type="dxa"/>
            <w:vAlign w:val="bottom"/>
            <w:tcBorders>
              <w:bottom w:val="single" w:sz="8" w:color="D6400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Cost of Management Ratio</w:t>
      </w:r>
    </w:p>
    <w:p>
      <w:pPr>
        <w:spacing w:after="0" w:line="11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table below shows the cost of management ratio, which is reflected as total compensation reported for our top five most highly compensated named executive officers in the Summary Compensation Table for the last five years as a percentage of adjusted EBITDA. The cost of management ratio is affected by foreign exchange rates, the named executive officers each year and our adjusted EBITDA performance.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80" w:type="dxa"/>
            <w:vAlign w:val="bottom"/>
            <w:tcBorders>
              <w:bottom w:val="single" w:sz="8" w:color="FF4338"/>
            </w:tcBorders>
            <w:shd w:val="clear" w:color="auto" w:fill="CCEEFF"/>
          </w:tcPr>
          <w:p>
            <w:pPr>
              <w:spacing w:after="0"/>
              <w:rPr>
                <w:sz w:val="19"/>
                <w:szCs w:val="19"/>
                <w:color w:val="auto"/>
              </w:rPr>
            </w:pPr>
          </w:p>
        </w:tc>
        <w:tc>
          <w:tcPr>
            <w:tcW w:w="1700" w:type="dxa"/>
            <w:vAlign w:val="bottom"/>
            <w:tcBorders>
              <w:bottom w:val="single" w:sz="8" w:color="FF4338"/>
            </w:tcBorders>
            <w:shd w:val="clear" w:color="auto" w:fill="CCEEFF"/>
          </w:tcPr>
          <w:p>
            <w:pPr>
              <w:jc w:val="right"/>
              <w:ind w:right="582"/>
              <w:spacing w:after="0"/>
              <w:rPr>
                <w:sz w:val="20"/>
                <w:szCs w:val="20"/>
                <w:color w:val="auto"/>
              </w:rPr>
            </w:pPr>
            <w:r>
              <w:rPr>
                <w:rFonts w:ascii="Arial" w:cs="Arial" w:eastAsia="Arial" w:hAnsi="Arial"/>
                <w:sz w:val="14"/>
                <w:szCs w:val="14"/>
                <w:color w:val="auto"/>
              </w:rPr>
              <w:t>2021</w:t>
            </w:r>
          </w:p>
        </w:tc>
        <w:tc>
          <w:tcPr>
            <w:tcW w:w="1620" w:type="dxa"/>
            <w:vAlign w:val="bottom"/>
            <w:tcBorders>
              <w:bottom w:val="single" w:sz="8" w:color="FF4338"/>
            </w:tcBorders>
            <w:shd w:val="clear" w:color="auto" w:fill="CCEEFF"/>
          </w:tcPr>
          <w:p>
            <w:pPr>
              <w:jc w:val="right"/>
              <w:ind w:right="581"/>
              <w:spacing w:after="0"/>
              <w:rPr>
                <w:sz w:val="20"/>
                <w:szCs w:val="20"/>
                <w:color w:val="auto"/>
              </w:rPr>
            </w:pPr>
            <w:r>
              <w:rPr>
                <w:rFonts w:ascii="Arial" w:cs="Arial" w:eastAsia="Arial" w:hAnsi="Arial"/>
                <w:sz w:val="14"/>
                <w:szCs w:val="14"/>
                <w:color w:val="auto"/>
              </w:rPr>
              <w:t>2022</w:t>
            </w:r>
          </w:p>
        </w:tc>
        <w:tc>
          <w:tcPr>
            <w:tcW w:w="1640" w:type="dxa"/>
            <w:vAlign w:val="bottom"/>
            <w:tcBorders>
              <w:bottom w:val="single" w:sz="8" w:color="FF4338"/>
            </w:tcBorders>
            <w:shd w:val="clear" w:color="auto" w:fill="CCEEFF"/>
          </w:tcPr>
          <w:p>
            <w:pPr>
              <w:jc w:val="right"/>
              <w:ind w:right="582"/>
              <w:spacing w:after="0"/>
              <w:rPr>
                <w:sz w:val="20"/>
                <w:szCs w:val="20"/>
                <w:color w:val="auto"/>
              </w:rPr>
            </w:pPr>
            <w:r>
              <w:rPr>
                <w:rFonts w:ascii="Arial" w:cs="Arial" w:eastAsia="Arial" w:hAnsi="Arial"/>
                <w:sz w:val="14"/>
                <w:szCs w:val="14"/>
                <w:color w:val="auto"/>
              </w:rPr>
              <w:t>2023</w:t>
            </w:r>
          </w:p>
        </w:tc>
        <w:tc>
          <w:tcPr>
            <w:tcW w:w="1620" w:type="dxa"/>
            <w:vAlign w:val="bottom"/>
            <w:tcBorders>
              <w:bottom w:val="single" w:sz="8" w:color="FF4338"/>
            </w:tcBorders>
            <w:shd w:val="clear" w:color="auto" w:fill="CCEEFF"/>
          </w:tcPr>
          <w:p>
            <w:pPr>
              <w:jc w:val="right"/>
              <w:ind w:right="582"/>
              <w:spacing w:after="0"/>
              <w:rPr>
                <w:sz w:val="20"/>
                <w:szCs w:val="20"/>
                <w:color w:val="auto"/>
              </w:rPr>
            </w:pPr>
            <w:r>
              <w:rPr>
                <w:rFonts w:ascii="Arial" w:cs="Arial" w:eastAsia="Arial" w:hAnsi="Arial"/>
                <w:sz w:val="14"/>
                <w:szCs w:val="14"/>
                <w:color w:val="auto"/>
              </w:rPr>
              <w:t>2024</w:t>
            </w:r>
          </w:p>
        </w:tc>
        <w:tc>
          <w:tcPr>
            <w:tcW w:w="1460" w:type="dxa"/>
            <w:vAlign w:val="bottom"/>
            <w:tcBorders>
              <w:bottom w:val="single" w:sz="8" w:color="FF4338"/>
            </w:tcBorders>
            <w:shd w:val="clear" w:color="auto" w:fill="CCEEFF"/>
          </w:tcPr>
          <w:p>
            <w:pPr>
              <w:jc w:val="right"/>
              <w:ind w:right="362"/>
              <w:spacing w:after="0"/>
              <w:rPr>
                <w:sz w:val="20"/>
                <w:szCs w:val="20"/>
                <w:color w:val="auto"/>
              </w:rPr>
            </w:pPr>
            <w:r>
              <w:rPr>
                <w:rFonts w:ascii="Arial" w:cs="Arial" w:eastAsia="Arial" w:hAnsi="Arial"/>
                <w:sz w:val="14"/>
                <w:szCs w:val="14"/>
                <w:color w:val="auto"/>
              </w:rPr>
              <w:t>2025</w:t>
            </w:r>
          </w:p>
        </w:tc>
      </w:tr>
      <w:tr>
        <w:trPr>
          <w:trHeight w:val="170"/>
        </w:trPr>
        <w:tc>
          <w:tcPr>
            <w:tcW w:w="2880" w:type="dxa"/>
            <w:vAlign w:val="bottom"/>
          </w:tcPr>
          <w:p>
            <w:pPr>
              <w:ind w:left="80"/>
              <w:spacing w:after="0" w:line="171" w:lineRule="exact"/>
              <w:rPr>
                <w:sz w:val="20"/>
                <w:szCs w:val="20"/>
                <w:color w:val="auto"/>
              </w:rPr>
            </w:pPr>
            <w:r>
              <w:rPr>
                <w:rFonts w:ascii="Arial" w:cs="Arial" w:eastAsia="Arial" w:hAnsi="Arial"/>
                <w:sz w:val="16"/>
                <w:szCs w:val="16"/>
                <w:b w:val="1"/>
                <w:bCs w:val="1"/>
                <w:color w:val="auto"/>
              </w:rPr>
              <w:t>Total compensation reported for</w:t>
            </w: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1"/>
        </w:trPr>
        <w:tc>
          <w:tcPr>
            <w:tcW w:w="2880" w:type="dxa"/>
            <w:vAlign w:val="bottom"/>
          </w:tcPr>
          <w:p>
            <w:pPr>
              <w:spacing w:after="0"/>
              <w:rPr>
                <w:sz w:val="20"/>
                <w:szCs w:val="20"/>
                <w:color w:val="auto"/>
              </w:rPr>
            </w:pPr>
            <w:r>
              <w:rPr>
                <w:rFonts w:ascii="Arial" w:cs="Arial" w:eastAsia="Arial" w:hAnsi="Arial"/>
                <w:sz w:val="16"/>
                <w:szCs w:val="16"/>
                <w:b w:val="1"/>
                <w:bCs w:val="1"/>
                <w:color w:val="auto"/>
              </w:rPr>
              <w:t>the NEOs</w:t>
            </w:r>
          </w:p>
        </w:tc>
        <w:tc>
          <w:tcPr>
            <w:tcW w:w="1700" w:type="dxa"/>
            <w:vAlign w:val="bottom"/>
          </w:tcPr>
          <w:p>
            <w:pPr>
              <w:jc w:val="right"/>
              <w:ind w:right="182"/>
              <w:spacing w:after="0"/>
              <w:rPr>
                <w:sz w:val="20"/>
                <w:szCs w:val="20"/>
                <w:color w:val="auto"/>
              </w:rPr>
            </w:pPr>
            <w:r>
              <w:rPr>
                <w:rFonts w:ascii="Arial" w:cs="Arial" w:eastAsia="Arial" w:hAnsi="Arial"/>
                <w:sz w:val="16"/>
                <w:szCs w:val="16"/>
                <w:color w:val="auto"/>
              </w:rPr>
              <w:t>$28,288,239</w:t>
            </w:r>
          </w:p>
        </w:tc>
        <w:tc>
          <w:tcPr>
            <w:tcW w:w="1620" w:type="dxa"/>
            <w:vAlign w:val="bottom"/>
          </w:tcPr>
          <w:p>
            <w:pPr>
              <w:jc w:val="right"/>
              <w:ind w:right="181"/>
              <w:spacing w:after="0"/>
              <w:rPr>
                <w:sz w:val="20"/>
                <w:szCs w:val="20"/>
                <w:color w:val="auto"/>
              </w:rPr>
            </w:pPr>
            <w:r>
              <w:rPr>
                <w:rFonts w:ascii="Arial" w:cs="Arial" w:eastAsia="Arial" w:hAnsi="Arial"/>
                <w:sz w:val="16"/>
                <w:szCs w:val="16"/>
                <w:color w:val="auto"/>
              </w:rPr>
              <w:t>$24,658,798</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$24,022,203</w:t>
            </w:r>
          </w:p>
        </w:tc>
        <w:tc>
          <w:tcPr>
            <w:tcW w:w="1620" w:type="dxa"/>
            <w:vAlign w:val="bottom"/>
          </w:tcPr>
          <w:p>
            <w:pPr>
              <w:jc w:val="right"/>
              <w:ind w:right="182"/>
              <w:spacing w:after="0"/>
              <w:rPr>
                <w:sz w:val="20"/>
                <w:szCs w:val="20"/>
                <w:color w:val="auto"/>
              </w:rPr>
            </w:pPr>
            <w:r>
              <w:rPr>
                <w:rFonts w:ascii="Arial" w:cs="Arial" w:eastAsia="Arial" w:hAnsi="Arial"/>
                <w:sz w:val="16"/>
                <w:szCs w:val="16"/>
                <w:color w:val="auto"/>
              </w:rPr>
              <w:t>$29,020,711</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$26,456,843</w:t>
            </w:r>
          </w:p>
        </w:tc>
      </w:tr>
      <w:tr>
        <w:trPr>
          <w:trHeight w:val="47"/>
        </w:trPr>
        <w:tc>
          <w:tcPr>
            <w:tcW w:w="2880" w:type="dxa"/>
            <w:vAlign w:val="bottom"/>
            <w:tcBorders>
              <w:bottom w:val="single" w:sz="8" w:color="B2B2B2"/>
            </w:tcBorders>
          </w:tcPr>
          <w:p>
            <w:pPr>
              <w:spacing w:after="0"/>
              <w:rPr>
                <w:sz w:val="4"/>
                <w:szCs w:val="4"/>
                <w:color w:val="auto"/>
              </w:rPr>
            </w:pPr>
          </w:p>
        </w:tc>
        <w:tc>
          <w:tcPr>
            <w:tcW w:w="170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4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460" w:type="dxa"/>
            <w:vAlign w:val="bottom"/>
            <w:tcBorders>
              <w:bottom w:val="single" w:sz="8" w:color="B2B2B2"/>
            </w:tcBorders>
          </w:tcPr>
          <w:p>
            <w:pPr>
              <w:spacing w:after="0"/>
              <w:rPr>
                <w:sz w:val="4"/>
                <w:szCs w:val="4"/>
                <w:color w:val="auto"/>
              </w:rPr>
            </w:pPr>
          </w:p>
        </w:tc>
      </w:tr>
      <w:tr>
        <w:trPr>
          <w:trHeight w:val="215"/>
        </w:trPr>
        <w:tc>
          <w:tcPr>
            <w:tcW w:w="2880" w:type="dxa"/>
            <w:vAlign w:val="bottom"/>
          </w:tcPr>
          <w:p>
            <w:pPr>
              <w:ind w:left="80"/>
              <w:spacing w:after="0"/>
              <w:rPr>
                <w:sz w:val="20"/>
                <w:szCs w:val="20"/>
                <w:color w:val="auto"/>
              </w:rPr>
            </w:pPr>
            <w:r>
              <w:rPr>
                <w:rFonts w:ascii="Arial" w:cs="Arial" w:eastAsia="Arial" w:hAnsi="Arial"/>
                <w:sz w:val="16"/>
                <w:szCs w:val="16"/>
                <w:b w:val="1"/>
                <w:bCs w:val="1"/>
                <w:color w:val="auto"/>
              </w:rPr>
              <w:t>Adjusted EBITDA</w:t>
            </w:r>
          </w:p>
        </w:tc>
        <w:tc>
          <w:tcPr>
            <w:tcW w:w="1700" w:type="dxa"/>
            <w:vAlign w:val="bottom"/>
          </w:tcPr>
          <w:p>
            <w:pPr>
              <w:jc w:val="right"/>
              <w:ind w:right="182"/>
              <w:spacing w:after="0"/>
              <w:rPr>
                <w:sz w:val="20"/>
                <w:szCs w:val="20"/>
                <w:color w:val="auto"/>
              </w:rPr>
            </w:pPr>
            <w:r>
              <w:rPr>
                <w:rFonts w:ascii="Arial" w:cs="Arial" w:eastAsia="Arial" w:hAnsi="Arial"/>
                <w:sz w:val="16"/>
                <w:szCs w:val="16"/>
                <w:color w:val="auto"/>
              </w:rPr>
              <w:t>$1,970,000,000</w:t>
            </w:r>
          </w:p>
        </w:tc>
        <w:tc>
          <w:tcPr>
            <w:tcW w:w="1620" w:type="dxa"/>
            <w:vAlign w:val="bottom"/>
          </w:tcPr>
          <w:p>
            <w:pPr>
              <w:jc w:val="right"/>
              <w:ind w:right="181"/>
              <w:spacing w:after="0"/>
              <w:rPr>
                <w:sz w:val="20"/>
                <w:szCs w:val="20"/>
                <w:color w:val="auto"/>
              </w:rPr>
            </w:pPr>
            <w:r>
              <w:rPr>
                <w:rFonts w:ascii="Arial" w:cs="Arial" w:eastAsia="Arial" w:hAnsi="Arial"/>
                <w:sz w:val="16"/>
                <w:szCs w:val="16"/>
                <w:color w:val="auto"/>
              </w:rPr>
              <w:t>$2,329,000,000</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$2,678,000,000</w:t>
            </w:r>
          </w:p>
        </w:tc>
        <w:tc>
          <w:tcPr>
            <w:tcW w:w="1620" w:type="dxa"/>
            <w:vAlign w:val="bottom"/>
          </w:tcPr>
          <w:p>
            <w:pPr>
              <w:jc w:val="right"/>
              <w:ind w:right="182"/>
              <w:spacing w:after="0"/>
              <w:rPr>
                <w:sz w:val="20"/>
                <w:szCs w:val="20"/>
                <w:color w:val="auto"/>
              </w:rPr>
            </w:pPr>
            <w:r>
              <w:rPr>
                <w:rFonts w:ascii="Arial" w:cs="Arial" w:eastAsia="Arial" w:hAnsi="Arial"/>
                <w:sz w:val="16"/>
                <w:szCs w:val="16"/>
                <w:color w:val="auto"/>
              </w:rPr>
              <w:t>$2,779,000,000</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$2,936,000,000</w:t>
            </w:r>
          </w:p>
        </w:tc>
      </w:tr>
      <w:tr>
        <w:trPr>
          <w:trHeight w:val="33"/>
        </w:trPr>
        <w:tc>
          <w:tcPr>
            <w:tcW w:w="2880" w:type="dxa"/>
            <w:vAlign w:val="bottom"/>
            <w:tcBorders>
              <w:bottom w:val="single" w:sz="8" w:color="B2B2B2"/>
            </w:tcBorders>
          </w:tcPr>
          <w:p>
            <w:pPr>
              <w:spacing w:after="0"/>
              <w:rPr>
                <w:sz w:val="2"/>
                <w:szCs w:val="2"/>
                <w:color w:val="auto"/>
              </w:rPr>
            </w:pPr>
          </w:p>
        </w:tc>
        <w:tc>
          <w:tcPr>
            <w:tcW w:w="1700" w:type="dxa"/>
            <w:vAlign w:val="bottom"/>
            <w:tcBorders>
              <w:bottom w:val="single" w:sz="8" w:color="B2B2B2"/>
            </w:tcBorders>
          </w:tcPr>
          <w:p>
            <w:pPr>
              <w:spacing w:after="0"/>
              <w:rPr>
                <w:sz w:val="2"/>
                <w:szCs w:val="2"/>
                <w:color w:val="auto"/>
              </w:rPr>
            </w:pPr>
          </w:p>
        </w:tc>
        <w:tc>
          <w:tcPr>
            <w:tcW w:w="1620" w:type="dxa"/>
            <w:vAlign w:val="bottom"/>
            <w:tcBorders>
              <w:bottom w:val="single" w:sz="8" w:color="B2B2B2"/>
            </w:tcBorders>
          </w:tcPr>
          <w:p>
            <w:pPr>
              <w:spacing w:after="0"/>
              <w:rPr>
                <w:sz w:val="2"/>
                <w:szCs w:val="2"/>
                <w:color w:val="auto"/>
              </w:rPr>
            </w:pPr>
          </w:p>
        </w:tc>
        <w:tc>
          <w:tcPr>
            <w:tcW w:w="1640" w:type="dxa"/>
            <w:vAlign w:val="bottom"/>
            <w:tcBorders>
              <w:bottom w:val="single" w:sz="8" w:color="B2B2B2"/>
            </w:tcBorders>
          </w:tcPr>
          <w:p>
            <w:pPr>
              <w:spacing w:after="0"/>
              <w:rPr>
                <w:sz w:val="2"/>
                <w:szCs w:val="2"/>
                <w:color w:val="auto"/>
              </w:rPr>
            </w:pPr>
          </w:p>
        </w:tc>
        <w:tc>
          <w:tcPr>
            <w:tcW w:w="1620" w:type="dxa"/>
            <w:vAlign w:val="bottom"/>
            <w:tcBorders>
              <w:bottom w:val="single" w:sz="8" w:color="B2B2B2"/>
            </w:tcBorders>
          </w:tcPr>
          <w:p>
            <w:pPr>
              <w:spacing w:after="0"/>
              <w:rPr>
                <w:sz w:val="2"/>
                <w:szCs w:val="2"/>
                <w:color w:val="auto"/>
              </w:rPr>
            </w:pPr>
          </w:p>
        </w:tc>
        <w:tc>
          <w:tcPr>
            <w:tcW w:w="1460" w:type="dxa"/>
            <w:vAlign w:val="bottom"/>
            <w:tcBorders>
              <w:bottom w:val="single" w:sz="8" w:color="B2B2B2"/>
            </w:tcBorders>
          </w:tcPr>
          <w:p>
            <w:pPr>
              <w:spacing w:after="0"/>
              <w:rPr>
                <w:sz w:val="2"/>
                <w:szCs w:val="2"/>
                <w:color w:val="auto"/>
              </w:rPr>
            </w:pPr>
          </w:p>
        </w:tc>
      </w:tr>
      <w:tr>
        <w:trPr>
          <w:trHeight w:val="241"/>
        </w:trPr>
        <w:tc>
          <w:tcPr>
            <w:tcW w:w="2880" w:type="dxa"/>
            <w:vAlign w:val="bottom"/>
            <w:tcBorders>
              <w:bottom w:val="single" w:sz="8" w:color="D64000"/>
            </w:tcBorders>
          </w:tcPr>
          <w:p>
            <w:pPr>
              <w:ind w:left="80"/>
              <w:spacing w:after="0"/>
              <w:rPr>
                <w:sz w:val="20"/>
                <w:szCs w:val="20"/>
                <w:color w:val="auto"/>
              </w:rPr>
            </w:pPr>
            <w:r>
              <w:rPr>
                <w:rFonts w:ascii="Arial" w:cs="Arial" w:eastAsia="Arial" w:hAnsi="Arial"/>
                <w:sz w:val="16"/>
                <w:szCs w:val="16"/>
                <w:b w:val="1"/>
                <w:bCs w:val="1"/>
                <w:color w:val="auto"/>
              </w:rPr>
              <w:t>Cost of management ratio</w:t>
            </w:r>
          </w:p>
        </w:tc>
        <w:tc>
          <w:tcPr>
            <w:tcW w:w="1700" w:type="dxa"/>
            <w:vAlign w:val="bottom"/>
            <w:tcBorders>
              <w:bottom w:val="single" w:sz="8" w:color="D64000"/>
            </w:tcBorders>
          </w:tcPr>
          <w:p>
            <w:pPr>
              <w:jc w:val="right"/>
              <w:ind w:right="182"/>
              <w:spacing w:after="0"/>
              <w:rPr>
                <w:sz w:val="20"/>
                <w:szCs w:val="20"/>
                <w:color w:val="auto"/>
              </w:rPr>
            </w:pPr>
            <w:r>
              <w:rPr>
                <w:rFonts w:ascii="Arial" w:cs="Arial" w:eastAsia="Arial" w:hAnsi="Arial"/>
                <w:sz w:val="16"/>
                <w:szCs w:val="16"/>
                <w:color w:val="auto"/>
              </w:rPr>
              <w:t>1.44%</w:t>
            </w:r>
          </w:p>
        </w:tc>
        <w:tc>
          <w:tcPr>
            <w:tcW w:w="162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1.16%</w:t>
            </w:r>
          </w:p>
        </w:tc>
        <w:tc>
          <w:tcPr>
            <w:tcW w:w="1640" w:type="dxa"/>
            <w:vAlign w:val="bottom"/>
            <w:tcBorders>
              <w:bottom w:val="single" w:sz="8" w:color="D64000"/>
            </w:tcBorders>
          </w:tcPr>
          <w:p>
            <w:pPr>
              <w:jc w:val="right"/>
              <w:ind w:right="182"/>
              <w:spacing w:after="0"/>
              <w:rPr>
                <w:sz w:val="20"/>
                <w:szCs w:val="20"/>
                <w:color w:val="auto"/>
              </w:rPr>
            </w:pPr>
            <w:r>
              <w:rPr>
                <w:rFonts w:ascii="Arial" w:cs="Arial" w:eastAsia="Arial" w:hAnsi="Arial"/>
                <w:sz w:val="16"/>
                <w:szCs w:val="16"/>
                <w:color w:val="auto"/>
              </w:rPr>
              <w:t>0.90%</w:t>
            </w:r>
          </w:p>
        </w:tc>
        <w:tc>
          <w:tcPr>
            <w:tcW w:w="1620" w:type="dxa"/>
            <w:vAlign w:val="bottom"/>
            <w:tcBorders>
              <w:bottom w:val="single" w:sz="8" w:color="D64000"/>
            </w:tcBorders>
          </w:tcPr>
          <w:p>
            <w:pPr>
              <w:jc w:val="right"/>
              <w:ind w:right="182"/>
              <w:spacing w:after="0"/>
              <w:rPr>
                <w:sz w:val="20"/>
                <w:szCs w:val="20"/>
                <w:color w:val="auto"/>
              </w:rPr>
            </w:pPr>
            <w:r>
              <w:rPr>
                <w:rFonts w:ascii="Arial" w:cs="Arial" w:eastAsia="Arial" w:hAnsi="Arial"/>
                <w:sz w:val="16"/>
                <w:szCs w:val="16"/>
                <w:color w:val="auto"/>
              </w:rPr>
              <w:t>1.04%</w:t>
            </w:r>
          </w:p>
        </w:tc>
        <w:tc>
          <w:tcPr>
            <w:tcW w:w="1460" w:type="dxa"/>
            <w:vAlign w:val="bottom"/>
            <w:tcBorders>
              <w:bottom w:val="single" w:sz="8" w:color="D64000"/>
            </w:tcBorders>
          </w:tcPr>
          <w:p>
            <w:pPr>
              <w:jc w:val="right"/>
              <w:ind w:right="2"/>
              <w:spacing w:after="0"/>
              <w:rPr>
                <w:sz w:val="20"/>
                <w:szCs w:val="20"/>
                <w:color w:val="auto"/>
              </w:rPr>
            </w:pPr>
            <w:r>
              <w:rPr>
                <w:rFonts w:ascii="Arial" w:cs="Arial" w:eastAsia="Arial" w:hAnsi="Arial"/>
                <w:sz w:val="16"/>
                <w:szCs w:val="16"/>
                <w:color w:val="auto"/>
              </w:rPr>
              <w:t>0.90%</w:t>
            </w:r>
          </w:p>
        </w:tc>
      </w:tr>
      <w:tr>
        <w:trPr>
          <w:trHeight w:val="160"/>
        </w:trPr>
        <w:tc>
          <w:tcPr>
            <w:tcW w:w="2880" w:type="dxa"/>
            <w:vAlign w:val="bottom"/>
            <w:tcBorders>
              <w:bottom w:val="single" w:sz="8" w:color="7F7F7F"/>
            </w:tcBorders>
          </w:tcPr>
          <w:p>
            <w:pPr>
              <w:spacing w:after="0"/>
              <w:rPr>
                <w:sz w:val="13"/>
                <w:szCs w:val="13"/>
                <w:color w:val="auto"/>
              </w:rPr>
            </w:pPr>
          </w:p>
        </w:tc>
        <w:tc>
          <w:tcPr>
            <w:tcW w:w="1700" w:type="dxa"/>
            <w:vAlign w:val="bottom"/>
            <w:tcBorders>
              <w:bottom w:val="single" w:sz="8" w:color="7F7F7F"/>
            </w:tcBorders>
          </w:tcPr>
          <w:p>
            <w:pPr>
              <w:spacing w:after="0"/>
              <w:rPr>
                <w:sz w:val="13"/>
                <w:szCs w:val="13"/>
                <w:color w:val="auto"/>
              </w:rPr>
            </w:pPr>
          </w:p>
        </w:tc>
        <w:tc>
          <w:tcPr>
            <w:tcW w:w="6340" w:type="dxa"/>
            <w:vAlign w:val="bottom"/>
            <w:tcBorders>
              <w:bottom w:val="single" w:sz="8" w:color="7F7F7F"/>
            </w:tcBorders>
            <w:gridSpan w:val="4"/>
          </w:tcPr>
          <w:p>
            <w:pPr>
              <w:spacing w:after="0"/>
              <w:rPr>
                <w:sz w:val="13"/>
                <w:szCs w:val="13"/>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7"/>
                <w:szCs w:val="17"/>
                <w:color w:val="auto"/>
              </w:rPr>
              <w:t>Page 82</w:t>
            </w:r>
          </w:p>
        </w:tc>
        <w:tc>
          <w:tcPr>
            <w:tcW w:w="1700" w:type="dxa"/>
            <w:vAlign w:val="bottom"/>
          </w:tcPr>
          <w:p>
            <w:pPr>
              <w:spacing w:after="0"/>
              <w:rPr>
                <w:sz w:val="21"/>
                <w:szCs w:val="21"/>
                <w:color w:val="auto"/>
              </w:rPr>
            </w:pPr>
          </w:p>
        </w:tc>
        <w:tc>
          <w:tcPr>
            <w:tcW w:w="6340" w:type="dxa"/>
            <w:vAlign w:val="bottom"/>
            <w:gridSpan w:val="4"/>
          </w:tcPr>
          <w:p>
            <w:pPr>
              <w:jc w:val="right"/>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r>
    </w:tbl>
    <w:p>
      <w:pPr>
        <w:sectPr>
          <w:pgSz w:w="11900" w:h="16838" w:orient="portrait"/>
          <w:cols w:equalWidth="0" w:num="1">
            <w:col w:w="10920"/>
          </w:cols>
          <w:pgMar w:left="480" w:top="262" w:right="499" w:bottom="1440" w:gutter="0" w:footer="0" w:header="0"/>
        </w:sectPr>
      </w:pPr>
    </w:p>
    <w:bookmarkStart w:id="92" w:name="page93"/>
    <w:bookmarkEnd w:id="92"/>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Executive Compensation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Compensation Table</w:t>
      </w:r>
    </w:p>
    <w:p>
      <w:pPr>
        <w:spacing w:after="0" w:line="10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table below shows the compensation earned in the last three years by our named executive officers. Total compensation as reflected in the table below includes various items based on grant date fair value of awards as well as accounting and actuarial assumptions, which are not necessarily indicative of compensation realizable by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69297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Borders>
              <w:right w:val="single" w:sz="8" w:color="E3F3EE"/>
            </w:tcBorders>
          </w:tcPr>
          <w:p>
            <w:pPr>
              <w:spacing w:after="0"/>
              <w:rPr>
                <w:sz w:val="19"/>
                <w:szCs w:val="19"/>
                <w:color w:val="auto"/>
              </w:rPr>
            </w:pPr>
          </w:p>
        </w:tc>
        <w:tc>
          <w:tcPr>
            <w:tcW w:w="142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rPr>
              <w:t>Non-equity</w:t>
            </w:r>
          </w:p>
        </w:tc>
        <w:tc>
          <w:tcPr>
            <w:tcW w:w="840" w:type="dxa"/>
            <w:vAlign w:val="bottom"/>
            <w:tcBorders>
              <w:right w:val="single" w:sz="8" w:color="B2B2B2"/>
            </w:tcBorders>
            <w:shd w:val="clear" w:color="auto" w:fill="E3F3EE"/>
          </w:tcPr>
          <w:p>
            <w:pPr>
              <w:spacing w:after="0"/>
              <w:rPr>
                <w:sz w:val="19"/>
                <w:szCs w:val="19"/>
                <w:color w:val="auto"/>
              </w:rPr>
            </w:pPr>
          </w:p>
        </w:tc>
        <w:tc>
          <w:tcPr>
            <w:tcW w:w="1280" w:type="dxa"/>
            <w:vAlign w:val="bottom"/>
            <w:tcBorders>
              <w:right w:val="single" w:sz="8" w:color="B2B2B2"/>
            </w:tcBorders>
            <w:shd w:val="clear" w:color="auto" w:fill="E3F3EE"/>
          </w:tcPr>
          <w:p>
            <w:pPr>
              <w:spacing w:after="0"/>
              <w:rPr>
                <w:sz w:val="19"/>
                <w:szCs w:val="19"/>
                <w:color w:val="auto"/>
              </w:rPr>
            </w:pPr>
          </w:p>
        </w:tc>
        <w:tc>
          <w:tcPr>
            <w:tcW w:w="1260" w:type="dxa"/>
            <w:vAlign w:val="bottom"/>
            <w:shd w:val="clear" w:color="auto" w:fill="E3F3E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Borders>
              <w:right w:val="single" w:sz="8" w:color="E3F3EE"/>
            </w:tcBorders>
          </w:tcPr>
          <w:p>
            <w:pPr>
              <w:spacing w:after="0"/>
              <w:rPr>
                <w:sz w:val="16"/>
                <w:szCs w:val="16"/>
                <w:color w:val="auto"/>
              </w:rPr>
            </w:pPr>
          </w:p>
        </w:tc>
        <w:tc>
          <w:tcPr>
            <w:tcW w:w="142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w w:val="99"/>
              </w:rPr>
              <w:t>incentive plan</w:t>
            </w:r>
          </w:p>
        </w:tc>
        <w:tc>
          <w:tcPr>
            <w:tcW w:w="84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rPr>
              <w:t>Pension</w:t>
            </w:r>
          </w:p>
        </w:tc>
        <w:tc>
          <w:tcPr>
            <w:tcW w:w="128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rPr>
              <w:t>All other</w:t>
            </w:r>
          </w:p>
        </w:tc>
        <w:tc>
          <w:tcPr>
            <w:tcW w:w="1260" w:type="dxa"/>
            <w:vAlign w:val="bottom"/>
            <w:shd w:val="clear" w:color="auto" w:fill="E3F3EE"/>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Borders>
              <w:right w:val="single" w:sz="8" w:color="E3F3EE"/>
            </w:tcBorders>
          </w:tcPr>
          <w:p>
            <w:pPr>
              <w:spacing w:after="0"/>
              <w:rPr>
                <w:sz w:val="16"/>
                <w:szCs w:val="16"/>
                <w:color w:val="auto"/>
              </w:rPr>
            </w:pPr>
          </w:p>
        </w:tc>
        <w:tc>
          <w:tcPr>
            <w:tcW w:w="142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w w:val="99"/>
              </w:rPr>
              <w:t>compensation</w:t>
            </w:r>
          </w:p>
        </w:tc>
        <w:tc>
          <w:tcPr>
            <w:tcW w:w="84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w w:val="97"/>
              </w:rPr>
              <w:t>value</w:t>
            </w:r>
          </w:p>
        </w:tc>
        <w:tc>
          <w:tcPr>
            <w:tcW w:w="128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w w:val="99"/>
              </w:rPr>
              <w:t>compensation</w:t>
            </w:r>
          </w:p>
        </w:tc>
        <w:tc>
          <w:tcPr>
            <w:tcW w:w="1260" w:type="dxa"/>
            <w:vAlign w:val="bottom"/>
            <w:shd w:val="clear" w:color="auto" w:fill="E3F3EE"/>
          </w:tcPr>
          <w:p>
            <w:pPr>
              <w:jc w:val="center"/>
              <w:spacing w:after="0"/>
              <w:rPr>
                <w:sz w:val="20"/>
                <w:szCs w:val="20"/>
                <w:color w:val="auto"/>
              </w:rPr>
            </w:pPr>
            <w:r>
              <w:rPr>
                <w:rFonts w:ascii="Arial" w:cs="Arial" w:eastAsia="Arial" w:hAnsi="Arial"/>
                <w:sz w:val="16"/>
                <w:szCs w:val="16"/>
                <w:b w:val="1"/>
                <w:bCs w:val="1"/>
                <w:color w:val="auto"/>
                <w:w w:val="99"/>
              </w:rPr>
              <w:t>compensation</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Borders>
              <w:right w:val="single" w:sz="8" w:color="E3F3EE"/>
            </w:tcBorders>
          </w:tcPr>
          <w:p>
            <w:pPr>
              <w:spacing w:after="0"/>
              <w:rPr>
                <w:sz w:val="18"/>
                <w:szCs w:val="18"/>
                <w:color w:val="auto"/>
              </w:rPr>
            </w:pPr>
          </w:p>
        </w:tc>
        <w:tc>
          <w:tcPr>
            <w:tcW w:w="1420" w:type="dxa"/>
            <w:vAlign w:val="bottom"/>
            <w:tcBorders>
              <w:right w:val="single" w:sz="8" w:color="B2B2B2"/>
            </w:tcBorders>
            <w:shd w:val="clear" w:color="auto" w:fill="E3F3EE"/>
          </w:tcPr>
          <w:p>
            <w:pPr>
              <w:jc w:val="center"/>
              <w:spacing w:after="0"/>
              <w:rPr>
                <w:sz w:val="20"/>
                <w:szCs w:val="20"/>
                <w:color w:val="auto"/>
              </w:rPr>
            </w:pPr>
            <w:r>
              <w:rPr>
                <w:rFonts w:ascii="Arial" w:cs="Arial" w:eastAsia="Arial" w:hAnsi="Arial"/>
                <w:sz w:val="16"/>
                <w:szCs w:val="16"/>
                <w:b w:val="1"/>
                <w:bCs w:val="1"/>
                <w:color w:val="auto"/>
              </w:rPr>
              <w:t>($)</w:t>
            </w:r>
          </w:p>
        </w:tc>
        <w:tc>
          <w:tcPr>
            <w:tcW w:w="840" w:type="dxa"/>
            <w:vAlign w:val="bottom"/>
            <w:tcBorders>
              <w:right w:val="single" w:sz="8" w:color="B2B2B2"/>
            </w:tcBorders>
            <w:shd w:val="clear" w:color="auto" w:fill="E3F3EE"/>
          </w:tcPr>
          <w:p>
            <w:pPr>
              <w:jc w:val="center"/>
              <w:spacing w:after="0" w:line="214" w:lineRule="exact"/>
              <w:rPr>
                <w:sz w:val="20"/>
                <w:szCs w:val="20"/>
                <w:color w:val="auto"/>
              </w:rPr>
            </w:pPr>
            <w:r>
              <w:rPr>
                <w:rFonts w:ascii="Arial" w:cs="Arial" w:eastAsia="Arial" w:hAnsi="Arial"/>
                <w:sz w:val="16"/>
                <w:szCs w:val="16"/>
                <w:b w:val="1"/>
                <w:bCs w:val="1"/>
                <w:color w:val="auto"/>
                <w:w w:val="91"/>
              </w:rPr>
              <w:t>($)</w:t>
            </w:r>
            <w:r>
              <w:rPr>
                <w:rFonts w:ascii="Arial" w:cs="Arial" w:eastAsia="Arial" w:hAnsi="Arial"/>
                <w:sz w:val="24"/>
                <w:szCs w:val="24"/>
                <w:b w:val="1"/>
                <w:bCs w:val="1"/>
                <w:color w:val="auto"/>
                <w:w w:val="91"/>
                <w:vertAlign w:val="superscript"/>
              </w:rPr>
              <w:t>5</w:t>
            </w:r>
          </w:p>
        </w:tc>
        <w:tc>
          <w:tcPr>
            <w:tcW w:w="1280" w:type="dxa"/>
            <w:vAlign w:val="bottom"/>
            <w:tcBorders>
              <w:right w:val="single" w:sz="8" w:color="B2B2B2"/>
            </w:tcBorders>
            <w:shd w:val="clear" w:color="auto" w:fill="E3F3EE"/>
          </w:tcPr>
          <w:p>
            <w:pPr>
              <w:jc w:val="center"/>
              <w:spacing w:after="0" w:line="214" w:lineRule="exact"/>
              <w:rPr>
                <w:sz w:val="20"/>
                <w:szCs w:val="20"/>
                <w:color w:val="auto"/>
              </w:rPr>
            </w:pPr>
            <w:r>
              <w:rPr>
                <w:rFonts w:ascii="Arial" w:cs="Arial" w:eastAsia="Arial" w:hAnsi="Arial"/>
                <w:sz w:val="16"/>
                <w:szCs w:val="16"/>
                <w:b w:val="1"/>
                <w:bCs w:val="1"/>
                <w:color w:val="auto"/>
                <w:w w:val="91"/>
              </w:rPr>
              <w:t>($)</w:t>
            </w:r>
            <w:r>
              <w:rPr>
                <w:rFonts w:ascii="Arial" w:cs="Arial" w:eastAsia="Arial" w:hAnsi="Arial"/>
                <w:sz w:val="24"/>
                <w:szCs w:val="24"/>
                <w:b w:val="1"/>
                <w:bCs w:val="1"/>
                <w:color w:val="auto"/>
                <w:w w:val="91"/>
                <w:vertAlign w:val="superscript"/>
              </w:rPr>
              <w:t>6</w:t>
            </w:r>
          </w:p>
        </w:tc>
        <w:tc>
          <w:tcPr>
            <w:tcW w:w="1260" w:type="dxa"/>
            <w:vAlign w:val="bottom"/>
            <w:shd w:val="clear" w:color="auto" w:fill="E3F3EE"/>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2420" w:type="dxa"/>
            <w:vAlign w:val="bottom"/>
            <w:tcBorders>
              <w:right w:val="single" w:sz="8" w:color="1F473D"/>
            </w:tcBorders>
            <w:shd w:val="clear" w:color="auto" w:fill="1F473D"/>
          </w:tcPr>
          <w:p>
            <w:pPr>
              <w:spacing w:after="0"/>
              <w:rPr>
                <w:sz w:val="19"/>
                <w:szCs w:val="19"/>
                <w:color w:val="auto"/>
              </w:rPr>
            </w:pPr>
          </w:p>
        </w:tc>
        <w:tc>
          <w:tcPr>
            <w:tcW w:w="600" w:type="dxa"/>
            <w:vAlign w:val="bottom"/>
            <w:tcBorders>
              <w:right w:val="single" w:sz="8" w:color="1F473D"/>
            </w:tcBorders>
            <w:shd w:val="clear" w:color="auto" w:fill="1F473D"/>
          </w:tcPr>
          <w:p>
            <w:pPr>
              <w:spacing w:after="0"/>
              <w:rPr>
                <w:sz w:val="19"/>
                <w:szCs w:val="19"/>
                <w:color w:val="auto"/>
              </w:rPr>
            </w:pPr>
          </w:p>
        </w:tc>
        <w:tc>
          <w:tcPr>
            <w:tcW w:w="1000" w:type="dxa"/>
            <w:vAlign w:val="bottom"/>
            <w:tcBorders>
              <w:right w:val="single" w:sz="8" w:color="1F473D"/>
            </w:tcBorders>
            <w:shd w:val="clear" w:color="auto" w:fill="1F473D"/>
          </w:tcPr>
          <w:p>
            <w:pPr>
              <w:spacing w:after="0"/>
              <w:rPr>
                <w:sz w:val="19"/>
                <w:szCs w:val="19"/>
                <w:color w:val="auto"/>
              </w:rPr>
            </w:pPr>
          </w:p>
        </w:tc>
        <w:tc>
          <w:tcPr>
            <w:tcW w:w="1040" w:type="dxa"/>
            <w:vAlign w:val="bottom"/>
            <w:tcBorders>
              <w:right w:val="single" w:sz="8" w:color="B2B2B2"/>
            </w:tcBorders>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Share-</w:t>
            </w:r>
          </w:p>
        </w:tc>
        <w:tc>
          <w:tcPr>
            <w:tcW w:w="1060" w:type="dxa"/>
            <w:vAlign w:val="bottom"/>
            <w:tcBorders>
              <w:right w:val="single" w:sz="8" w:color="B2B2B2"/>
            </w:tcBorders>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Option-</w:t>
            </w:r>
          </w:p>
        </w:tc>
        <w:tc>
          <w:tcPr>
            <w:tcW w:w="1420" w:type="dxa"/>
            <w:vAlign w:val="bottom"/>
            <w:tcBorders>
              <w:right w:val="single" w:sz="8" w:color="B2B2B2"/>
            </w:tcBorders>
            <w:shd w:val="clear" w:color="auto" w:fill="1F473D"/>
          </w:tcPr>
          <w:p>
            <w:pPr>
              <w:spacing w:after="0"/>
              <w:rPr>
                <w:sz w:val="19"/>
                <w:szCs w:val="19"/>
                <w:color w:val="auto"/>
              </w:rPr>
            </w:pPr>
          </w:p>
        </w:tc>
        <w:tc>
          <w:tcPr>
            <w:tcW w:w="840" w:type="dxa"/>
            <w:vAlign w:val="bottom"/>
            <w:tcBorders>
              <w:right w:val="single" w:sz="8" w:color="B2B2B2"/>
            </w:tcBorders>
            <w:shd w:val="clear" w:color="auto" w:fill="1F473D"/>
          </w:tcPr>
          <w:p>
            <w:pPr>
              <w:spacing w:after="0"/>
              <w:rPr>
                <w:sz w:val="19"/>
                <w:szCs w:val="19"/>
                <w:color w:val="auto"/>
              </w:rPr>
            </w:pPr>
          </w:p>
        </w:tc>
        <w:tc>
          <w:tcPr>
            <w:tcW w:w="1280" w:type="dxa"/>
            <w:vAlign w:val="bottom"/>
            <w:tcBorders>
              <w:right w:val="single" w:sz="8" w:color="B2B2B2"/>
            </w:tcBorders>
            <w:shd w:val="clear" w:color="auto" w:fill="1F473D"/>
          </w:tcPr>
          <w:p>
            <w:pPr>
              <w:spacing w:after="0"/>
              <w:rPr>
                <w:sz w:val="19"/>
                <w:szCs w:val="19"/>
                <w:color w:val="auto"/>
              </w:rPr>
            </w:pPr>
          </w:p>
        </w:tc>
        <w:tc>
          <w:tcPr>
            <w:tcW w:w="1260" w:type="dxa"/>
            <w:vAlign w:val="bottom"/>
            <w:shd w:val="clear" w:color="auto" w:fill="1F473D"/>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420" w:type="dxa"/>
            <w:vAlign w:val="bottom"/>
            <w:tcBorders>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Name and principal</w:t>
            </w:r>
          </w:p>
        </w:tc>
        <w:tc>
          <w:tcPr>
            <w:tcW w:w="600" w:type="dxa"/>
            <w:vAlign w:val="bottom"/>
            <w:tcBorders>
              <w:right w:val="single" w:sz="8" w:color="1F473D"/>
            </w:tcBorders>
            <w:shd w:val="clear" w:color="auto" w:fill="1F473D"/>
          </w:tcPr>
          <w:p>
            <w:pPr>
              <w:spacing w:after="0"/>
              <w:rPr>
                <w:sz w:val="16"/>
                <w:szCs w:val="16"/>
                <w:color w:val="auto"/>
              </w:rPr>
            </w:pPr>
          </w:p>
        </w:tc>
        <w:tc>
          <w:tcPr>
            <w:tcW w:w="1000" w:type="dxa"/>
            <w:vAlign w:val="bottom"/>
            <w:tcBorders>
              <w:right w:val="single" w:sz="8" w:color="1F473D"/>
            </w:tcBorders>
            <w:shd w:val="clear" w:color="auto" w:fill="1F473D"/>
          </w:tcPr>
          <w:p>
            <w:pPr>
              <w:spacing w:after="0"/>
              <w:rPr>
                <w:sz w:val="16"/>
                <w:szCs w:val="16"/>
                <w:color w:val="auto"/>
              </w:rPr>
            </w:pPr>
          </w:p>
        </w:tc>
        <w:tc>
          <w:tcPr>
            <w:tcW w:w="1040" w:type="dxa"/>
            <w:vAlign w:val="bottom"/>
            <w:tcBorders>
              <w:right w:val="single" w:sz="8" w:color="B2B2B2"/>
            </w:tcBorders>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based</w:t>
            </w:r>
          </w:p>
        </w:tc>
        <w:tc>
          <w:tcPr>
            <w:tcW w:w="1060" w:type="dxa"/>
            <w:vAlign w:val="bottom"/>
            <w:tcBorders>
              <w:right w:val="single" w:sz="8" w:color="B2B2B2"/>
            </w:tcBorders>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based</w:t>
            </w:r>
          </w:p>
        </w:tc>
        <w:tc>
          <w:tcPr>
            <w:tcW w:w="1420" w:type="dxa"/>
            <w:vAlign w:val="bottom"/>
            <w:tcBorders>
              <w:right w:val="single" w:sz="8" w:color="B2B2B2"/>
            </w:tcBorders>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Annual</w:t>
            </w:r>
          </w:p>
        </w:tc>
        <w:tc>
          <w:tcPr>
            <w:tcW w:w="840" w:type="dxa"/>
            <w:vAlign w:val="bottom"/>
            <w:tcBorders>
              <w:right w:val="single" w:sz="8" w:color="B2B2B2"/>
            </w:tcBorders>
            <w:shd w:val="clear" w:color="auto" w:fill="1F473D"/>
          </w:tcPr>
          <w:p>
            <w:pPr>
              <w:spacing w:after="0"/>
              <w:rPr>
                <w:sz w:val="16"/>
                <w:szCs w:val="16"/>
                <w:color w:val="auto"/>
              </w:rPr>
            </w:pPr>
          </w:p>
        </w:tc>
        <w:tc>
          <w:tcPr>
            <w:tcW w:w="1280" w:type="dxa"/>
            <w:vAlign w:val="bottom"/>
            <w:tcBorders>
              <w:right w:val="single" w:sz="8" w:color="B2B2B2"/>
            </w:tcBorders>
            <w:shd w:val="clear" w:color="auto" w:fill="1F473D"/>
          </w:tcPr>
          <w:p>
            <w:pPr>
              <w:spacing w:after="0"/>
              <w:rPr>
                <w:sz w:val="16"/>
                <w:szCs w:val="16"/>
                <w:color w:val="auto"/>
              </w:rPr>
            </w:pPr>
          </w:p>
        </w:tc>
        <w:tc>
          <w:tcPr>
            <w:tcW w:w="1260" w:type="dxa"/>
            <w:vAlign w:val="bottom"/>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20" w:type="dxa"/>
            <w:vAlign w:val="bottom"/>
            <w:tcBorders>
              <w:bottom w:val="single" w:sz="8" w:color="D64000"/>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position</w:t>
            </w:r>
          </w:p>
        </w:tc>
        <w:tc>
          <w:tcPr>
            <w:tcW w:w="600" w:type="dxa"/>
            <w:vAlign w:val="bottom"/>
            <w:tcBorders>
              <w:bottom w:val="single" w:sz="8" w:color="D64000"/>
              <w:right w:val="single" w:sz="8" w:color="1F473D"/>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Year</w:t>
            </w:r>
          </w:p>
        </w:tc>
        <w:tc>
          <w:tcPr>
            <w:tcW w:w="1000" w:type="dxa"/>
            <w:vAlign w:val="bottom"/>
            <w:tcBorders>
              <w:bottom w:val="single" w:sz="8" w:color="D64000"/>
              <w:right w:val="single" w:sz="8" w:color="1F473D"/>
            </w:tcBorders>
            <w:shd w:val="clear" w:color="auto" w:fill="1F473D"/>
          </w:tcPr>
          <w:p>
            <w:pPr>
              <w:jc w:val="right"/>
              <w:ind w:right="40"/>
              <w:spacing w:after="0" w:line="214" w:lineRule="exact"/>
              <w:rPr>
                <w:sz w:val="20"/>
                <w:szCs w:val="20"/>
                <w:color w:val="auto"/>
              </w:rPr>
            </w:pPr>
            <w:r>
              <w:rPr>
                <w:rFonts w:ascii="Arial" w:cs="Arial" w:eastAsia="Arial" w:hAnsi="Arial"/>
                <w:sz w:val="16"/>
                <w:szCs w:val="16"/>
                <w:b w:val="1"/>
                <w:bCs w:val="1"/>
                <w:color w:val="FFFFFF"/>
              </w:rPr>
              <w:t>Salary ($)</w:t>
            </w:r>
            <w:r>
              <w:rPr>
                <w:rFonts w:ascii="Arial" w:cs="Arial" w:eastAsia="Arial" w:hAnsi="Arial"/>
                <w:sz w:val="24"/>
                <w:szCs w:val="24"/>
                <w:b w:val="1"/>
                <w:bCs w:val="1"/>
                <w:color w:val="FFFFFF"/>
                <w:vertAlign w:val="superscript"/>
              </w:rPr>
              <w:t>1</w:t>
            </w:r>
          </w:p>
        </w:tc>
        <w:tc>
          <w:tcPr>
            <w:tcW w:w="1040" w:type="dxa"/>
            <w:vAlign w:val="bottom"/>
            <w:tcBorders>
              <w:bottom w:val="single" w:sz="8" w:color="D64000"/>
              <w:right w:val="single" w:sz="8" w:color="B2B2B2"/>
            </w:tcBorders>
            <w:shd w:val="clear" w:color="auto" w:fill="1F473D"/>
          </w:tcPr>
          <w:p>
            <w:pPr>
              <w:jc w:val="right"/>
              <w:ind w:right="20"/>
              <w:spacing w:after="0" w:line="214" w:lineRule="exact"/>
              <w:rPr>
                <w:sz w:val="20"/>
                <w:szCs w:val="20"/>
                <w:color w:val="auto"/>
              </w:rPr>
            </w:pPr>
            <w:r>
              <w:rPr>
                <w:rFonts w:ascii="Arial" w:cs="Arial" w:eastAsia="Arial" w:hAnsi="Arial"/>
                <w:sz w:val="16"/>
                <w:szCs w:val="16"/>
                <w:b w:val="1"/>
                <w:bCs w:val="1"/>
                <w:color w:val="FFFFFF"/>
              </w:rPr>
              <w:t>awards ($)</w:t>
            </w:r>
            <w:r>
              <w:rPr>
                <w:rFonts w:ascii="Arial" w:cs="Arial" w:eastAsia="Arial" w:hAnsi="Arial"/>
                <w:sz w:val="24"/>
                <w:szCs w:val="24"/>
                <w:b w:val="1"/>
                <w:bCs w:val="1"/>
                <w:color w:val="FFFFFF"/>
                <w:vertAlign w:val="superscript"/>
              </w:rPr>
              <w:t>2</w:t>
            </w:r>
          </w:p>
        </w:tc>
        <w:tc>
          <w:tcPr>
            <w:tcW w:w="1060" w:type="dxa"/>
            <w:vAlign w:val="bottom"/>
            <w:tcBorders>
              <w:bottom w:val="single" w:sz="8" w:color="D64000"/>
              <w:right w:val="single" w:sz="8" w:color="B2B2B2"/>
            </w:tcBorders>
            <w:shd w:val="clear" w:color="auto" w:fill="1F473D"/>
          </w:tcPr>
          <w:p>
            <w:pPr>
              <w:jc w:val="right"/>
              <w:ind w:right="20"/>
              <w:spacing w:after="0" w:line="214" w:lineRule="exact"/>
              <w:rPr>
                <w:sz w:val="20"/>
                <w:szCs w:val="20"/>
                <w:color w:val="auto"/>
              </w:rPr>
            </w:pPr>
            <w:r>
              <w:rPr>
                <w:rFonts w:ascii="Arial" w:cs="Arial" w:eastAsia="Arial" w:hAnsi="Arial"/>
                <w:sz w:val="16"/>
                <w:szCs w:val="16"/>
                <w:b w:val="1"/>
                <w:bCs w:val="1"/>
                <w:color w:val="FFFFFF"/>
              </w:rPr>
              <w:t>awards ($)</w:t>
            </w:r>
            <w:r>
              <w:rPr>
                <w:rFonts w:ascii="Arial" w:cs="Arial" w:eastAsia="Arial" w:hAnsi="Arial"/>
                <w:sz w:val="24"/>
                <w:szCs w:val="24"/>
                <w:b w:val="1"/>
                <w:bCs w:val="1"/>
                <w:color w:val="FFFFFF"/>
                <w:vertAlign w:val="superscript"/>
              </w:rPr>
              <w:t>3</w:t>
            </w:r>
          </w:p>
        </w:tc>
        <w:tc>
          <w:tcPr>
            <w:tcW w:w="1420" w:type="dxa"/>
            <w:vAlign w:val="bottom"/>
            <w:tcBorders>
              <w:bottom w:val="single" w:sz="8" w:color="D64000"/>
              <w:right w:val="single" w:sz="8" w:color="B2B2B2"/>
            </w:tcBorders>
            <w:shd w:val="clear" w:color="auto" w:fill="1F473D"/>
          </w:tcPr>
          <w:p>
            <w:pPr>
              <w:jc w:val="center"/>
              <w:spacing w:after="0" w:line="214" w:lineRule="exact"/>
              <w:rPr>
                <w:sz w:val="20"/>
                <w:szCs w:val="20"/>
                <w:color w:val="auto"/>
              </w:rPr>
            </w:pPr>
            <w:r>
              <w:rPr>
                <w:rFonts w:ascii="Arial" w:cs="Arial" w:eastAsia="Arial" w:hAnsi="Arial"/>
                <w:sz w:val="16"/>
                <w:szCs w:val="16"/>
                <w:b w:val="1"/>
                <w:bCs w:val="1"/>
                <w:color w:val="FFFFFF"/>
                <w:w w:val="99"/>
              </w:rPr>
              <w:t>incentive plans</w:t>
            </w:r>
            <w:r>
              <w:rPr>
                <w:rFonts w:ascii="Arial" w:cs="Arial" w:eastAsia="Arial" w:hAnsi="Arial"/>
                <w:sz w:val="24"/>
                <w:szCs w:val="24"/>
                <w:b w:val="1"/>
                <w:bCs w:val="1"/>
                <w:color w:val="FFFFFF"/>
                <w:w w:val="99"/>
                <w:vertAlign w:val="superscript"/>
              </w:rPr>
              <w:t>4</w:t>
            </w:r>
          </w:p>
        </w:tc>
        <w:tc>
          <w:tcPr>
            <w:tcW w:w="840" w:type="dxa"/>
            <w:vAlign w:val="bottom"/>
            <w:tcBorders>
              <w:bottom w:val="single" w:sz="8" w:color="D64000"/>
              <w:right w:val="single" w:sz="8" w:color="B2B2B2"/>
            </w:tcBorders>
            <w:shd w:val="clear" w:color="auto" w:fill="1F473D"/>
          </w:tcPr>
          <w:p>
            <w:pPr>
              <w:spacing w:after="0"/>
              <w:rPr>
                <w:sz w:val="19"/>
                <w:szCs w:val="19"/>
                <w:color w:val="auto"/>
              </w:rPr>
            </w:pPr>
          </w:p>
        </w:tc>
        <w:tc>
          <w:tcPr>
            <w:tcW w:w="1280" w:type="dxa"/>
            <w:vAlign w:val="bottom"/>
            <w:tcBorders>
              <w:bottom w:val="single" w:sz="8" w:color="D64000"/>
              <w:right w:val="single" w:sz="8" w:color="B2B2B2"/>
            </w:tcBorders>
            <w:shd w:val="clear" w:color="auto" w:fill="1F473D"/>
          </w:tcPr>
          <w:p>
            <w:pPr>
              <w:spacing w:after="0"/>
              <w:rPr>
                <w:sz w:val="19"/>
                <w:szCs w:val="19"/>
                <w:color w:val="auto"/>
              </w:rPr>
            </w:pPr>
          </w:p>
        </w:tc>
        <w:tc>
          <w:tcPr>
            <w:tcW w:w="1260" w:type="dxa"/>
            <w:vAlign w:val="bottom"/>
            <w:tcBorders>
              <w:bottom w:val="single" w:sz="8" w:color="D64000"/>
            </w:tcBorders>
            <w:shd w:val="clear" w:color="auto" w:fill="1F473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2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Steve Hasker</w:t>
            </w:r>
          </w:p>
        </w:tc>
        <w:tc>
          <w:tcPr>
            <w:tcW w:w="6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10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1,130,091</w:t>
            </w:r>
          </w:p>
        </w:tc>
        <w:tc>
          <w:tcPr>
            <w:tcW w:w="104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6,068,251</w:t>
            </w:r>
          </w:p>
        </w:tc>
        <w:tc>
          <w:tcPr>
            <w:tcW w:w="106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2,022,743</w:t>
            </w:r>
          </w:p>
        </w:tc>
        <w:tc>
          <w:tcPr>
            <w:tcW w:w="142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2,282,784</w:t>
            </w:r>
          </w:p>
        </w:tc>
        <w:tc>
          <w:tcPr>
            <w:tcW w:w="84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173,403</w:t>
            </w:r>
          </w:p>
        </w:tc>
        <w:tc>
          <w:tcPr>
            <w:tcW w:w="1260" w:type="dxa"/>
            <w:vAlign w:val="bottom"/>
          </w:tcPr>
          <w:p>
            <w:pPr>
              <w:jc w:val="right"/>
              <w:ind w:right="20"/>
              <w:spacing w:after="0"/>
              <w:rPr>
                <w:sz w:val="20"/>
                <w:szCs w:val="20"/>
                <w:color w:val="auto"/>
              </w:rPr>
            </w:pPr>
            <w:r>
              <w:rPr>
                <w:rFonts w:ascii="Arial" w:cs="Arial" w:eastAsia="Arial" w:hAnsi="Arial"/>
                <w:sz w:val="16"/>
                <w:szCs w:val="16"/>
                <w:b w:val="1"/>
                <w:bCs w:val="1"/>
                <w:color w:val="auto"/>
              </w:rPr>
              <w:t>11,677,272</w:t>
            </w:r>
          </w:p>
        </w:tc>
        <w:tc>
          <w:tcPr>
            <w:tcW w:w="0" w:type="dxa"/>
            <w:vAlign w:val="bottom"/>
          </w:tcPr>
          <w:p>
            <w:pPr>
              <w:spacing w:after="0"/>
              <w:rPr>
                <w:sz w:val="1"/>
                <w:szCs w:val="1"/>
                <w:color w:val="auto"/>
              </w:rPr>
            </w:pPr>
          </w:p>
        </w:tc>
      </w:tr>
      <w:tr>
        <w:trPr>
          <w:trHeight w:val="68"/>
        </w:trPr>
        <w:tc>
          <w:tcPr>
            <w:tcW w:w="2420" w:type="dxa"/>
            <w:vAlign w:val="bottom"/>
            <w:tcBorders>
              <w:right w:val="single" w:sz="8" w:color="B2B2B2"/>
            </w:tcBorders>
            <w:vMerge w:val="restart"/>
          </w:tcPr>
          <w:p>
            <w:pPr>
              <w:spacing w:after="0"/>
              <w:rPr>
                <w:sz w:val="20"/>
                <w:szCs w:val="20"/>
                <w:color w:val="auto"/>
              </w:rPr>
            </w:pPr>
            <w:r>
              <w:rPr>
                <w:rFonts w:ascii="Arial" w:cs="Arial" w:eastAsia="Arial" w:hAnsi="Arial"/>
                <w:sz w:val="16"/>
                <w:szCs w:val="16"/>
                <w:color w:val="auto"/>
              </w:rPr>
              <w:t>  President and Chief</w:t>
            </w:r>
          </w:p>
        </w:tc>
        <w:tc>
          <w:tcPr>
            <w:tcW w:w="600" w:type="dxa"/>
            <w:vAlign w:val="bottom"/>
            <w:tcBorders>
              <w:bottom w:val="single" w:sz="8" w:color="B2B2B2"/>
              <w:right w:val="single" w:sz="8" w:color="B2B2B2"/>
            </w:tcBorders>
          </w:tcPr>
          <w:p>
            <w:pPr>
              <w:spacing w:after="0"/>
              <w:rPr>
                <w:sz w:val="5"/>
                <w:szCs w:val="5"/>
                <w:color w:val="auto"/>
              </w:rPr>
            </w:pPr>
          </w:p>
        </w:tc>
        <w:tc>
          <w:tcPr>
            <w:tcW w:w="1000" w:type="dxa"/>
            <w:vAlign w:val="bottom"/>
            <w:tcBorders>
              <w:bottom w:val="single" w:sz="8" w:color="B2B2B2"/>
              <w:right w:val="single" w:sz="8" w:color="B2B2B2"/>
            </w:tcBorders>
          </w:tcPr>
          <w:p>
            <w:pPr>
              <w:spacing w:after="0"/>
              <w:rPr>
                <w:sz w:val="5"/>
                <w:szCs w:val="5"/>
                <w:color w:val="auto"/>
              </w:rPr>
            </w:pPr>
          </w:p>
        </w:tc>
        <w:tc>
          <w:tcPr>
            <w:tcW w:w="1040" w:type="dxa"/>
            <w:vAlign w:val="bottom"/>
            <w:tcBorders>
              <w:bottom w:val="single" w:sz="8" w:color="B2B2B2"/>
              <w:right w:val="single" w:sz="8" w:color="B2B2B2"/>
            </w:tcBorders>
          </w:tcPr>
          <w:p>
            <w:pPr>
              <w:spacing w:after="0"/>
              <w:rPr>
                <w:sz w:val="5"/>
                <w:szCs w:val="5"/>
                <w:color w:val="auto"/>
              </w:rPr>
            </w:pPr>
          </w:p>
        </w:tc>
        <w:tc>
          <w:tcPr>
            <w:tcW w:w="1060" w:type="dxa"/>
            <w:vAlign w:val="bottom"/>
            <w:tcBorders>
              <w:bottom w:val="single" w:sz="8" w:color="B2B2B2"/>
              <w:right w:val="single" w:sz="8" w:color="B2B2B2"/>
            </w:tcBorders>
          </w:tcPr>
          <w:p>
            <w:pPr>
              <w:spacing w:after="0"/>
              <w:rPr>
                <w:sz w:val="5"/>
                <w:szCs w:val="5"/>
                <w:color w:val="auto"/>
              </w:rPr>
            </w:pPr>
          </w:p>
        </w:tc>
        <w:tc>
          <w:tcPr>
            <w:tcW w:w="14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right w:val="single" w:sz="8" w:color="B2B2B2"/>
            </w:tcBorders>
          </w:tcPr>
          <w:p>
            <w:pPr>
              <w:spacing w:after="0"/>
              <w:rPr>
                <w:sz w:val="5"/>
                <w:szCs w:val="5"/>
                <w:color w:val="auto"/>
              </w:rPr>
            </w:pPr>
          </w:p>
        </w:tc>
        <w:tc>
          <w:tcPr>
            <w:tcW w:w="1280" w:type="dxa"/>
            <w:vAlign w:val="bottom"/>
            <w:tcBorders>
              <w:bottom w:val="single" w:sz="8" w:color="B2B2B2"/>
              <w:right w:val="single" w:sz="8" w:color="B2B2B2"/>
            </w:tcBorders>
          </w:tcPr>
          <w:p>
            <w:pPr>
              <w:spacing w:after="0"/>
              <w:rPr>
                <w:sz w:val="5"/>
                <w:szCs w:val="5"/>
                <w:color w:val="auto"/>
              </w:rPr>
            </w:pPr>
          </w:p>
        </w:tc>
        <w:tc>
          <w:tcPr>
            <w:tcW w:w="12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420" w:type="dxa"/>
            <w:vAlign w:val="bottom"/>
            <w:tcBorders>
              <w:right w:val="single" w:sz="8" w:color="B2B2B2"/>
            </w:tcBorders>
            <w:vMerge w:val="continue"/>
          </w:tcPr>
          <w:p>
            <w:pPr>
              <w:spacing w:after="0"/>
              <w:rPr>
                <w:sz w:val="8"/>
                <w:szCs w:val="8"/>
                <w:color w:val="auto"/>
              </w:rPr>
            </w:pPr>
          </w:p>
        </w:tc>
        <w:tc>
          <w:tcPr>
            <w:tcW w:w="6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2024</w:t>
            </w:r>
          </w:p>
        </w:tc>
        <w:tc>
          <w:tcPr>
            <w:tcW w:w="10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1,090,101</w:t>
            </w:r>
          </w:p>
        </w:tc>
        <w:tc>
          <w:tcPr>
            <w:tcW w:w="104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5,739,767</w:t>
            </w:r>
          </w:p>
        </w:tc>
        <w:tc>
          <w:tcPr>
            <w:tcW w:w="106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1,913,285</w:t>
            </w:r>
          </w:p>
        </w:tc>
        <w:tc>
          <w:tcPr>
            <w:tcW w:w="142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2,921,471</w:t>
            </w:r>
          </w:p>
        </w:tc>
        <w:tc>
          <w:tcPr>
            <w:tcW w:w="84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182,100</w:t>
            </w: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11,846,724</w:t>
            </w:r>
          </w:p>
        </w:tc>
        <w:tc>
          <w:tcPr>
            <w:tcW w:w="0" w:type="dxa"/>
            <w:vAlign w:val="bottom"/>
          </w:tcPr>
          <w:p>
            <w:pPr>
              <w:spacing w:after="0"/>
              <w:rPr>
                <w:sz w:val="1"/>
                <w:szCs w:val="1"/>
                <w:color w:val="auto"/>
              </w:rPr>
            </w:pPr>
          </w:p>
        </w:tc>
      </w:tr>
      <w:tr>
        <w:trPr>
          <w:trHeight w:val="105"/>
        </w:trPr>
        <w:tc>
          <w:tcPr>
            <w:tcW w:w="2420" w:type="dxa"/>
            <w:vAlign w:val="bottom"/>
            <w:tcBorders>
              <w:right w:val="single" w:sz="8" w:color="B2B2B2"/>
            </w:tcBorders>
            <w:vMerge w:val="restart"/>
          </w:tcPr>
          <w:p>
            <w:pPr>
              <w:spacing w:after="0"/>
              <w:rPr>
                <w:sz w:val="20"/>
                <w:szCs w:val="20"/>
                <w:color w:val="auto"/>
              </w:rPr>
            </w:pPr>
            <w:r>
              <w:rPr>
                <w:rFonts w:ascii="Arial" w:cs="Arial" w:eastAsia="Arial" w:hAnsi="Arial"/>
                <w:sz w:val="16"/>
                <w:szCs w:val="16"/>
                <w:color w:val="auto"/>
              </w:rPr>
              <w:t>  Executive Officer</w:t>
            </w:r>
          </w:p>
        </w:tc>
        <w:tc>
          <w:tcPr>
            <w:tcW w:w="600" w:type="dxa"/>
            <w:vAlign w:val="bottom"/>
            <w:tcBorders>
              <w:right w:val="single" w:sz="8" w:color="B2B2B2"/>
            </w:tcBorders>
            <w:vMerge w:val="continue"/>
          </w:tcPr>
          <w:p>
            <w:pPr>
              <w:spacing w:after="0"/>
              <w:rPr>
                <w:sz w:val="9"/>
                <w:szCs w:val="9"/>
                <w:color w:val="auto"/>
              </w:rPr>
            </w:pPr>
          </w:p>
        </w:tc>
        <w:tc>
          <w:tcPr>
            <w:tcW w:w="1000" w:type="dxa"/>
            <w:vAlign w:val="bottom"/>
            <w:tcBorders>
              <w:right w:val="single" w:sz="8" w:color="B2B2B2"/>
            </w:tcBorders>
            <w:vMerge w:val="continue"/>
          </w:tcPr>
          <w:p>
            <w:pPr>
              <w:spacing w:after="0"/>
              <w:rPr>
                <w:sz w:val="9"/>
                <w:szCs w:val="9"/>
                <w:color w:val="auto"/>
              </w:rPr>
            </w:pPr>
          </w:p>
        </w:tc>
        <w:tc>
          <w:tcPr>
            <w:tcW w:w="1040" w:type="dxa"/>
            <w:vAlign w:val="bottom"/>
            <w:tcBorders>
              <w:right w:val="single" w:sz="8" w:color="B2B2B2"/>
            </w:tcBorders>
            <w:vMerge w:val="continue"/>
          </w:tcPr>
          <w:p>
            <w:pPr>
              <w:spacing w:after="0"/>
              <w:rPr>
                <w:sz w:val="9"/>
                <w:szCs w:val="9"/>
                <w:color w:val="auto"/>
              </w:rPr>
            </w:pPr>
          </w:p>
        </w:tc>
        <w:tc>
          <w:tcPr>
            <w:tcW w:w="1060" w:type="dxa"/>
            <w:vAlign w:val="bottom"/>
            <w:tcBorders>
              <w:right w:val="single" w:sz="8" w:color="B2B2B2"/>
            </w:tcBorders>
            <w:vMerge w:val="continue"/>
          </w:tcPr>
          <w:p>
            <w:pPr>
              <w:spacing w:after="0"/>
              <w:rPr>
                <w:sz w:val="9"/>
                <w:szCs w:val="9"/>
                <w:color w:val="auto"/>
              </w:rPr>
            </w:pPr>
          </w:p>
        </w:tc>
        <w:tc>
          <w:tcPr>
            <w:tcW w:w="1420" w:type="dxa"/>
            <w:vAlign w:val="bottom"/>
            <w:tcBorders>
              <w:right w:val="single" w:sz="8" w:color="B2B2B2"/>
            </w:tcBorders>
            <w:vMerge w:val="continue"/>
          </w:tcPr>
          <w:p>
            <w:pPr>
              <w:spacing w:after="0"/>
              <w:rPr>
                <w:sz w:val="9"/>
                <w:szCs w:val="9"/>
                <w:color w:val="auto"/>
              </w:rPr>
            </w:pPr>
          </w:p>
        </w:tc>
        <w:tc>
          <w:tcPr>
            <w:tcW w:w="840" w:type="dxa"/>
            <w:vAlign w:val="bottom"/>
            <w:tcBorders>
              <w:right w:val="single" w:sz="8" w:color="B2B2B2"/>
            </w:tcBorders>
            <w:vMerge w:val="continue"/>
          </w:tcPr>
          <w:p>
            <w:pPr>
              <w:spacing w:after="0"/>
              <w:rPr>
                <w:sz w:val="9"/>
                <w:szCs w:val="9"/>
                <w:color w:val="auto"/>
              </w:rPr>
            </w:pPr>
          </w:p>
        </w:tc>
        <w:tc>
          <w:tcPr>
            <w:tcW w:w="1280" w:type="dxa"/>
            <w:vAlign w:val="bottom"/>
            <w:tcBorders>
              <w:right w:val="single" w:sz="8" w:color="B2B2B2"/>
            </w:tcBorders>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420" w:type="dxa"/>
            <w:vAlign w:val="bottom"/>
            <w:tcBorders>
              <w:right w:val="single" w:sz="8" w:color="B2B2B2"/>
            </w:tcBorders>
            <w:vMerge w:val="continue"/>
          </w:tcPr>
          <w:p>
            <w:pPr>
              <w:spacing w:after="0"/>
              <w:rPr>
                <w:sz w:val="2"/>
                <w:szCs w:val="2"/>
                <w:color w:val="auto"/>
              </w:rPr>
            </w:pPr>
          </w:p>
        </w:tc>
        <w:tc>
          <w:tcPr>
            <w:tcW w:w="6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14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2420" w:type="dxa"/>
            <w:vAlign w:val="bottom"/>
            <w:tcBorders>
              <w:right w:val="single" w:sz="8" w:color="B2B2B2"/>
            </w:tcBorders>
            <w:vMerge w:val="continue"/>
          </w:tcPr>
          <w:p>
            <w:pPr>
              <w:spacing w:after="0"/>
              <w:rPr>
                <w:sz w:val="4"/>
                <w:szCs w:val="4"/>
                <w:color w:val="auto"/>
              </w:rPr>
            </w:pPr>
          </w:p>
        </w:tc>
        <w:tc>
          <w:tcPr>
            <w:tcW w:w="6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1,109,576</w:t>
            </w:r>
          </w:p>
        </w:tc>
        <w:tc>
          <w:tcPr>
            <w:tcW w:w="104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4,965,256</w:t>
            </w:r>
          </w:p>
        </w:tc>
        <w:tc>
          <w:tcPr>
            <w:tcW w:w="106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1,655,068</w:t>
            </w:r>
          </w:p>
        </w:tc>
        <w:tc>
          <w:tcPr>
            <w:tcW w:w="142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2,174,769</w:t>
            </w:r>
          </w:p>
        </w:tc>
        <w:tc>
          <w:tcPr>
            <w:tcW w:w="84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170,317</w:t>
            </w: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10,074,986</w:t>
            </w:r>
          </w:p>
        </w:tc>
        <w:tc>
          <w:tcPr>
            <w:tcW w:w="0" w:type="dxa"/>
            <w:vAlign w:val="bottom"/>
          </w:tcPr>
          <w:p>
            <w:pPr>
              <w:spacing w:after="0"/>
              <w:rPr>
                <w:sz w:val="1"/>
                <w:szCs w:val="1"/>
                <w:color w:val="auto"/>
              </w:rPr>
            </w:pPr>
          </w:p>
        </w:tc>
      </w:tr>
      <w:tr>
        <w:trPr>
          <w:trHeight w:val="197"/>
        </w:trPr>
        <w:tc>
          <w:tcPr>
            <w:tcW w:w="2420" w:type="dxa"/>
            <w:vAlign w:val="bottom"/>
            <w:tcBorders>
              <w:right w:val="single" w:sz="8" w:color="B2B2B2"/>
            </w:tcBorders>
          </w:tcPr>
          <w:p>
            <w:pPr>
              <w:spacing w:after="0"/>
              <w:rPr>
                <w:sz w:val="17"/>
                <w:szCs w:val="17"/>
                <w:color w:val="auto"/>
              </w:rPr>
            </w:pPr>
          </w:p>
        </w:tc>
        <w:tc>
          <w:tcPr>
            <w:tcW w:w="600" w:type="dxa"/>
            <w:vAlign w:val="bottom"/>
            <w:tcBorders>
              <w:right w:val="single" w:sz="8" w:color="B2B2B2"/>
            </w:tcBorders>
            <w:vMerge w:val="continue"/>
          </w:tcPr>
          <w:p>
            <w:pPr>
              <w:spacing w:after="0"/>
              <w:rPr>
                <w:sz w:val="17"/>
                <w:szCs w:val="17"/>
                <w:color w:val="auto"/>
              </w:rPr>
            </w:pPr>
          </w:p>
        </w:tc>
        <w:tc>
          <w:tcPr>
            <w:tcW w:w="1000" w:type="dxa"/>
            <w:vAlign w:val="bottom"/>
            <w:tcBorders>
              <w:right w:val="single" w:sz="8" w:color="B2B2B2"/>
            </w:tcBorders>
            <w:vMerge w:val="continue"/>
          </w:tcPr>
          <w:p>
            <w:pPr>
              <w:spacing w:after="0"/>
              <w:rPr>
                <w:sz w:val="17"/>
                <w:szCs w:val="17"/>
                <w:color w:val="auto"/>
              </w:rPr>
            </w:pPr>
          </w:p>
        </w:tc>
        <w:tc>
          <w:tcPr>
            <w:tcW w:w="1040" w:type="dxa"/>
            <w:vAlign w:val="bottom"/>
            <w:tcBorders>
              <w:right w:val="single" w:sz="8" w:color="B2B2B2"/>
            </w:tcBorders>
            <w:vMerge w:val="continue"/>
          </w:tcPr>
          <w:p>
            <w:pPr>
              <w:spacing w:after="0"/>
              <w:rPr>
                <w:sz w:val="17"/>
                <w:szCs w:val="17"/>
                <w:color w:val="auto"/>
              </w:rPr>
            </w:pPr>
          </w:p>
        </w:tc>
        <w:tc>
          <w:tcPr>
            <w:tcW w:w="1060" w:type="dxa"/>
            <w:vAlign w:val="bottom"/>
            <w:tcBorders>
              <w:right w:val="single" w:sz="8" w:color="B2B2B2"/>
            </w:tcBorders>
            <w:vMerge w:val="continue"/>
          </w:tcPr>
          <w:p>
            <w:pPr>
              <w:spacing w:after="0"/>
              <w:rPr>
                <w:sz w:val="17"/>
                <w:szCs w:val="17"/>
                <w:color w:val="auto"/>
              </w:rPr>
            </w:pPr>
          </w:p>
        </w:tc>
        <w:tc>
          <w:tcPr>
            <w:tcW w:w="1420" w:type="dxa"/>
            <w:vAlign w:val="bottom"/>
            <w:tcBorders>
              <w:right w:val="single" w:sz="8" w:color="B2B2B2"/>
            </w:tcBorders>
            <w:vMerge w:val="continue"/>
          </w:tcPr>
          <w:p>
            <w:pPr>
              <w:spacing w:after="0"/>
              <w:rPr>
                <w:sz w:val="17"/>
                <w:szCs w:val="17"/>
                <w:color w:val="auto"/>
              </w:rPr>
            </w:pPr>
          </w:p>
        </w:tc>
        <w:tc>
          <w:tcPr>
            <w:tcW w:w="840" w:type="dxa"/>
            <w:vAlign w:val="bottom"/>
            <w:tcBorders>
              <w:right w:val="single" w:sz="8" w:color="B2B2B2"/>
            </w:tcBorders>
            <w:vMerge w:val="continue"/>
          </w:tcPr>
          <w:p>
            <w:pPr>
              <w:spacing w:after="0"/>
              <w:rPr>
                <w:sz w:val="17"/>
                <w:szCs w:val="17"/>
                <w:color w:val="auto"/>
              </w:rPr>
            </w:pPr>
          </w:p>
        </w:tc>
        <w:tc>
          <w:tcPr>
            <w:tcW w:w="1280" w:type="dxa"/>
            <w:vAlign w:val="bottom"/>
            <w:tcBorders>
              <w:right w:val="single" w:sz="8" w:color="B2B2B2"/>
            </w:tcBorders>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2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Mike Eastwood</w:t>
            </w:r>
          </w:p>
        </w:tc>
        <w:tc>
          <w:tcPr>
            <w:tcW w:w="6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10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680,400</w:t>
            </w:r>
          </w:p>
        </w:tc>
        <w:tc>
          <w:tcPr>
            <w:tcW w:w="104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1,610,335</w:t>
            </w:r>
          </w:p>
        </w:tc>
        <w:tc>
          <w:tcPr>
            <w:tcW w:w="106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536,706</w:t>
            </w:r>
          </w:p>
        </w:tc>
        <w:tc>
          <w:tcPr>
            <w:tcW w:w="142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859,004</w:t>
            </w:r>
          </w:p>
        </w:tc>
        <w:tc>
          <w:tcPr>
            <w:tcW w:w="84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106,035</w:t>
            </w:r>
          </w:p>
        </w:tc>
        <w:tc>
          <w:tcPr>
            <w:tcW w:w="1260" w:type="dxa"/>
            <w:vAlign w:val="bottom"/>
            <w:tcBorders>
              <w:top w:val="single" w:sz="8" w:color="D64000"/>
            </w:tcBorders>
          </w:tcPr>
          <w:p>
            <w:pPr>
              <w:jc w:val="right"/>
              <w:ind w:right="20"/>
              <w:spacing w:after="0"/>
              <w:rPr>
                <w:sz w:val="20"/>
                <w:szCs w:val="20"/>
                <w:color w:val="auto"/>
              </w:rPr>
            </w:pPr>
            <w:r>
              <w:rPr>
                <w:rFonts w:ascii="Arial" w:cs="Arial" w:eastAsia="Arial" w:hAnsi="Arial"/>
                <w:sz w:val="16"/>
                <w:szCs w:val="16"/>
                <w:b w:val="1"/>
                <w:bCs w:val="1"/>
                <w:color w:val="auto"/>
              </w:rPr>
              <w:t>3,792,480</w:t>
            </w:r>
          </w:p>
        </w:tc>
        <w:tc>
          <w:tcPr>
            <w:tcW w:w="0" w:type="dxa"/>
            <w:vAlign w:val="bottom"/>
          </w:tcPr>
          <w:p>
            <w:pPr>
              <w:spacing w:after="0"/>
              <w:rPr>
                <w:sz w:val="1"/>
                <w:szCs w:val="1"/>
                <w:color w:val="auto"/>
              </w:rPr>
            </w:pPr>
          </w:p>
        </w:tc>
      </w:tr>
      <w:tr>
        <w:trPr>
          <w:trHeight w:val="68"/>
        </w:trPr>
        <w:tc>
          <w:tcPr>
            <w:tcW w:w="2420" w:type="dxa"/>
            <w:vAlign w:val="bottom"/>
            <w:tcBorders>
              <w:right w:val="single" w:sz="8" w:color="B2B2B2"/>
            </w:tcBorders>
            <w:vMerge w:val="restart"/>
          </w:tcPr>
          <w:p>
            <w:pPr>
              <w:spacing w:after="0"/>
              <w:rPr>
                <w:sz w:val="20"/>
                <w:szCs w:val="20"/>
                <w:color w:val="auto"/>
              </w:rPr>
            </w:pPr>
            <w:r>
              <w:rPr>
                <w:rFonts w:ascii="Arial" w:cs="Arial" w:eastAsia="Arial" w:hAnsi="Arial"/>
                <w:sz w:val="16"/>
                <w:szCs w:val="16"/>
                <w:color w:val="auto"/>
              </w:rPr>
              <w:t>  Chief Financial Officer</w:t>
            </w:r>
          </w:p>
        </w:tc>
        <w:tc>
          <w:tcPr>
            <w:tcW w:w="600" w:type="dxa"/>
            <w:vAlign w:val="bottom"/>
            <w:tcBorders>
              <w:bottom w:val="single" w:sz="8" w:color="B2B2B2"/>
              <w:right w:val="single" w:sz="8" w:color="B2B2B2"/>
            </w:tcBorders>
          </w:tcPr>
          <w:p>
            <w:pPr>
              <w:spacing w:after="0"/>
              <w:rPr>
                <w:sz w:val="5"/>
                <w:szCs w:val="5"/>
                <w:color w:val="auto"/>
              </w:rPr>
            </w:pPr>
          </w:p>
        </w:tc>
        <w:tc>
          <w:tcPr>
            <w:tcW w:w="1000" w:type="dxa"/>
            <w:vAlign w:val="bottom"/>
            <w:tcBorders>
              <w:bottom w:val="single" w:sz="8" w:color="B2B2B2"/>
              <w:right w:val="single" w:sz="8" w:color="B2B2B2"/>
            </w:tcBorders>
          </w:tcPr>
          <w:p>
            <w:pPr>
              <w:spacing w:after="0"/>
              <w:rPr>
                <w:sz w:val="5"/>
                <w:szCs w:val="5"/>
                <w:color w:val="auto"/>
              </w:rPr>
            </w:pPr>
          </w:p>
        </w:tc>
        <w:tc>
          <w:tcPr>
            <w:tcW w:w="1040" w:type="dxa"/>
            <w:vAlign w:val="bottom"/>
            <w:tcBorders>
              <w:bottom w:val="single" w:sz="8" w:color="B2B2B2"/>
              <w:right w:val="single" w:sz="8" w:color="B2B2B2"/>
            </w:tcBorders>
          </w:tcPr>
          <w:p>
            <w:pPr>
              <w:spacing w:after="0"/>
              <w:rPr>
                <w:sz w:val="5"/>
                <w:szCs w:val="5"/>
                <w:color w:val="auto"/>
              </w:rPr>
            </w:pPr>
          </w:p>
        </w:tc>
        <w:tc>
          <w:tcPr>
            <w:tcW w:w="1060" w:type="dxa"/>
            <w:vAlign w:val="bottom"/>
            <w:tcBorders>
              <w:bottom w:val="single" w:sz="8" w:color="B2B2B2"/>
              <w:right w:val="single" w:sz="8" w:color="B2B2B2"/>
            </w:tcBorders>
          </w:tcPr>
          <w:p>
            <w:pPr>
              <w:spacing w:after="0"/>
              <w:rPr>
                <w:sz w:val="5"/>
                <w:szCs w:val="5"/>
                <w:color w:val="auto"/>
              </w:rPr>
            </w:pPr>
          </w:p>
        </w:tc>
        <w:tc>
          <w:tcPr>
            <w:tcW w:w="14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right w:val="single" w:sz="8" w:color="B2B2B2"/>
            </w:tcBorders>
          </w:tcPr>
          <w:p>
            <w:pPr>
              <w:spacing w:after="0"/>
              <w:rPr>
                <w:sz w:val="5"/>
                <w:szCs w:val="5"/>
                <w:color w:val="auto"/>
              </w:rPr>
            </w:pPr>
          </w:p>
        </w:tc>
        <w:tc>
          <w:tcPr>
            <w:tcW w:w="1280" w:type="dxa"/>
            <w:vAlign w:val="bottom"/>
            <w:tcBorders>
              <w:bottom w:val="single" w:sz="8" w:color="B2B2B2"/>
              <w:right w:val="single" w:sz="8" w:color="B2B2B2"/>
            </w:tcBorders>
          </w:tcPr>
          <w:p>
            <w:pPr>
              <w:spacing w:after="0"/>
              <w:rPr>
                <w:sz w:val="5"/>
                <w:szCs w:val="5"/>
                <w:color w:val="auto"/>
              </w:rPr>
            </w:pPr>
          </w:p>
        </w:tc>
        <w:tc>
          <w:tcPr>
            <w:tcW w:w="12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420" w:type="dxa"/>
            <w:vAlign w:val="bottom"/>
            <w:tcBorders>
              <w:right w:val="single" w:sz="8" w:color="B2B2B2"/>
            </w:tcBorders>
            <w:vMerge w:val="continue"/>
          </w:tcPr>
          <w:p>
            <w:pPr>
              <w:spacing w:after="0"/>
              <w:rPr>
                <w:sz w:val="10"/>
                <w:szCs w:val="10"/>
                <w:color w:val="auto"/>
              </w:rPr>
            </w:pPr>
          </w:p>
        </w:tc>
        <w:tc>
          <w:tcPr>
            <w:tcW w:w="6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2024</w:t>
            </w:r>
          </w:p>
        </w:tc>
        <w:tc>
          <w:tcPr>
            <w:tcW w:w="10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692,706</w:t>
            </w:r>
          </w:p>
        </w:tc>
        <w:tc>
          <w:tcPr>
            <w:tcW w:w="104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1,621,347</w:t>
            </w:r>
          </w:p>
        </w:tc>
        <w:tc>
          <w:tcPr>
            <w:tcW w:w="106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540,374</w:t>
            </w:r>
          </w:p>
        </w:tc>
        <w:tc>
          <w:tcPr>
            <w:tcW w:w="142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1,160,283</w:t>
            </w:r>
          </w:p>
        </w:tc>
        <w:tc>
          <w:tcPr>
            <w:tcW w:w="84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107,908</w:t>
            </w: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4,122,618</w:t>
            </w:r>
          </w:p>
        </w:tc>
        <w:tc>
          <w:tcPr>
            <w:tcW w:w="0" w:type="dxa"/>
            <w:vAlign w:val="bottom"/>
          </w:tcPr>
          <w:p>
            <w:pPr>
              <w:spacing w:after="0"/>
              <w:rPr>
                <w:sz w:val="1"/>
                <w:szCs w:val="1"/>
                <w:color w:val="auto"/>
              </w:rPr>
            </w:pPr>
          </w:p>
        </w:tc>
      </w:tr>
      <w:tr>
        <w:trPr>
          <w:trHeight w:val="81"/>
        </w:trPr>
        <w:tc>
          <w:tcPr>
            <w:tcW w:w="2420" w:type="dxa"/>
            <w:vAlign w:val="bottom"/>
            <w:tcBorders>
              <w:right w:val="single" w:sz="8" w:color="B2B2B2"/>
            </w:tcBorders>
          </w:tcPr>
          <w:p>
            <w:pPr>
              <w:spacing w:after="0"/>
              <w:rPr>
                <w:sz w:val="7"/>
                <w:szCs w:val="7"/>
                <w:color w:val="auto"/>
              </w:rPr>
            </w:pPr>
          </w:p>
        </w:tc>
        <w:tc>
          <w:tcPr>
            <w:tcW w:w="600" w:type="dxa"/>
            <w:vAlign w:val="bottom"/>
            <w:tcBorders>
              <w:right w:val="single" w:sz="8" w:color="B2B2B2"/>
            </w:tcBorders>
            <w:vMerge w:val="continue"/>
          </w:tcPr>
          <w:p>
            <w:pPr>
              <w:spacing w:after="0"/>
              <w:rPr>
                <w:sz w:val="7"/>
                <w:szCs w:val="7"/>
                <w:color w:val="auto"/>
              </w:rPr>
            </w:pPr>
          </w:p>
        </w:tc>
        <w:tc>
          <w:tcPr>
            <w:tcW w:w="1000" w:type="dxa"/>
            <w:vAlign w:val="bottom"/>
            <w:tcBorders>
              <w:right w:val="single" w:sz="8" w:color="B2B2B2"/>
            </w:tcBorders>
            <w:vMerge w:val="continue"/>
          </w:tcPr>
          <w:p>
            <w:pPr>
              <w:spacing w:after="0"/>
              <w:rPr>
                <w:sz w:val="7"/>
                <w:szCs w:val="7"/>
                <w:color w:val="auto"/>
              </w:rPr>
            </w:pPr>
          </w:p>
        </w:tc>
        <w:tc>
          <w:tcPr>
            <w:tcW w:w="1040" w:type="dxa"/>
            <w:vAlign w:val="bottom"/>
            <w:tcBorders>
              <w:right w:val="single" w:sz="8" w:color="B2B2B2"/>
            </w:tcBorders>
            <w:vMerge w:val="continue"/>
          </w:tcPr>
          <w:p>
            <w:pPr>
              <w:spacing w:after="0"/>
              <w:rPr>
                <w:sz w:val="7"/>
                <w:szCs w:val="7"/>
                <w:color w:val="auto"/>
              </w:rPr>
            </w:pPr>
          </w:p>
        </w:tc>
        <w:tc>
          <w:tcPr>
            <w:tcW w:w="1060" w:type="dxa"/>
            <w:vAlign w:val="bottom"/>
            <w:tcBorders>
              <w:right w:val="single" w:sz="8" w:color="B2B2B2"/>
            </w:tcBorders>
            <w:vMerge w:val="continue"/>
          </w:tcPr>
          <w:p>
            <w:pPr>
              <w:spacing w:after="0"/>
              <w:rPr>
                <w:sz w:val="7"/>
                <w:szCs w:val="7"/>
                <w:color w:val="auto"/>
              </w:rPr>
            </w:pPr>
          </w:p>
        </w:tc>
        <w:tc>
          <w:tcPr>
            <w:tcW w:w="1420" w:type="dxa"/>
            <w:vAlign w:val="bottom"/>
            <w:tcBorders>
              <w:right w:val="single" w:sz="8" w:color="B2B2B2"/>
            </w:tcBorders>
            <w:vMerge w:val="continue"/>
          </w:tcPr>
          <w:p>
            <w:pPr>
              <w:spacing w:after="0"/>
              <w:rPr>
                <w:sz w:val="7"/>
                <w:szCs w:val="7"/>
                <w:color w:val="auto"/>
              </w:rPr>
            </w:pPr>
          </w:p>
        </w:tc>
        <w:tc>
          <w:tcPr>
            <w:tcW w:w="840" w:type="dxa"/>
            <w:vAlign w:val="bottom"/>
            <w:tcBorders>
              <w:right w:val="single" w:sz="8" w:color="B2B2B2"/>
            </w:tcBorders>
            <w:vMerge w:val="continue"/>
          </w:tcPr>
          <w:p>
            <w:pPr>
              <w:spacing w:after="0"/>
              <w:rPr>
                <w:sz w:val="7"/>
                <w:szCs w:val="7"/>
                <w:color w:val="auto"/>
              </w:rPr>
            </w:pPr>
          </w:p>
        </w:tc>
        <w:tc>
          <w:tcPr>
            <w:tcW w:w="1280" w:type="dxa"/>
            <w:vAlign w:val="bottom"/>
            <w:tcBorders>
              <w:right w:val="single" w:sz="8" w:color="B2B2B2"/>
            </w:tcBorders>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420" w:type="dxa"/>
            <w:vAlign w:val="bottom"/>
            <w:tcBorders>
              <w:right w:val="single" w:sz="8" w:color="B2B2B2"/>
            </w:tcBorders>
          </w:tcPr>
          <w:p>
            <w:pPr>
              <w:spacing w:after="0"/>
              <w:rPr>
                <w:sz w:val="2"/>
                <w:szCs w:val="2"/>
                <w:color w:val="auto"/>
              </w:rPr>
            </w:pPr>
          </w:p>
        </w:tc>
        <w:tc>
          <w:tcPr>
            <w:tcW w:w="6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14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20" w:type="dxa"/>
            <w:vAlign w:val="bottom"/>
            <w:tcBorders>
              <w:right w:val="single" w:sz="8" w:color="B2B2B2"/>
            </w:tcBorders>
          </w:tcPr>
          <w:p>
            <w:pPr>
              <w:spacing w:after="0"/>
              <w:rPr>
                <w:sz w:val="22"/>
                <w:szCs w:val="22"/>
                <w:color w:val="auto"/>
              </w:rPr>
            </w:pPr>
          </w:p>
        </w:tc>
        <w:tc>
          <w:tcPr>
            <w:tcW w:w="6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700,507</w:t>
            </w:r>
          </w:p>
        </w:tc>
        <w:tc>
          <w:tcPr>
            <w:tcW w:w="104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1,280,134</w:t>
            </w:r>
          </w:p>
        </w:tc>
        <w:tc>
          <w:tcPr>
            <w:tcW w:w="106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426,687</w:t>
            </w:r>
          </w:p>
        </w:tc>
        <w:tc>
          <w:tcPr>
            <w:tcW w:w="142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858,121</w:t>
            </w:r>
          </w:p>
        </w:tc>
        <w:tc>
          <w:tcPr>
            <w:tcW w:w="84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109,137</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3,374,586</w:t>
            </w:r>
          </w:p>
        </w:tc>
        <w:tc>
          <w:tcPr>
            <w:tcW w:w="0" w:type="dxa"/>
            <w:vAlign w:val="bottom"/>
          </w:tcPr>
          <w:p>
            <w:pPr>
              <w:spacing w:after="0"/>
              <w:rPr>
                <w:sz w:val="1"/>
                <w:szCs w:val="1"/>
                <w:color w:val="auto"/>
              </w:rPr>
            </w:pPr>
          </w:p>
        </w:tc>
      </w:tr>
      <w:tr>
        <w:trPr>
          <w:trHeight w:val="213"/>
        </w:trPr>
        <w:tc>
          <w:tcPr>
            <w:tcW w:w="242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Kirsty Roth</w:t>
            </w:r>
          </w:p>
        </w:tc>
        <w:tc>
          <w:tcPr>
            <w:tcW w:w="6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10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829,044</w:t>
            </w:r>
          </w:p>
        </w:tc>
        <w:tc>
          <w:tcPr>
            <w:tcW w:w="104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1,700,883</w:t>
            </w:r>
          </w:p>
        </w:tc>
        <w:tc>
          <w:tcPr>
            <w:tcW w:w="106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566,901</w:t>
            </w:r>
          </w:p>
        </w:tc>
        <w:tc>
          <w:tcPr>
            <w:tcW w:w="142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1,046,668</w:t>
            </w:r>
          </w:p>
        </w:tc>
        <w:tc>
          <w:tcPr>
            <w:tcW w:w="84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150,254</w:t>
            </w:r>
          </w:p>
        </w:tc>
        <w:tc>
          <w:tcPr>
            <w:tcW w:w="128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0</w:t>
            </w:r>
          </w:p>
        </w:tc>
        <w:tc>
          <w:tcPr>
            <w:tcW w:w="1260" w:type="dxa"/>
            <w:vAlign w:val="bottom"/>
            <w:tcBorders>
              <w:top w:val="single" w:sz="8" w:color="D64000"/>
            </w:tcBorders>
          </w:tcPr>
          <w:p>
            <w:pPr>
              <w:jc w:val="right"/>
              <w:ind w:right="20"/>
              <w:spacing w:after="0"/>
              <w:rPr>
                <w:sz w:val="20"/>
                <w:szCs w:val="20"/>
                <w:color w:val="auto"/>
              </w:rPr>
            </w:pPr>
            <w:r>
              <w:rPr>
                <w:rFonts w:ascii="Arial" w:cs="Arial" w:eastAsia="Arial" w:hAnsi="Arial"/>
                <w:sz w:val="16"/>
                <w:szCs w:val="16"/>
                <w:b w:val="1"/>
                <w:bCs w:val="1"/>
                <w:color w:val="auto"/>
              </w:rPr>
              <w:t>4,293,750</w:t>
            </w:r>
          </w:p>
        </w:tc>
        <w:tc>
          <w:tcPr>
            <w:tcW w:w="0" w:type="dxa"/>
            <w:vAlign w:val="bottom"/>
          </w:tcPr>
          <w:p>
            <w:pPr>
              <w:spacing w:after="0"/>
              <w:rPr>
                <w:sz w:val="1"/>
                <w:szCs w:val="1"/>
                <w:color w:val="auto"/>
              </w:rPr>
            </w:pPr>
          </w:p>
        </w:tc>
      </w:tr>
      <w:tr>
        <w:trPr>
          <w:trHeight w:val="68"/>
        </w:trPr>
        <w:tc>
          <w:tcPr>
            <w:tcW w:w="2420" w:type="dxa"/>
            <w:vAlign w:val="bottom"/>
            <w:tcBorders>
              <w:right w:val="single" w:sz="8" w:color="B2B2B2"/>
            </w:tcBorders>
            <w:vMerge w:val="restart"/>
          </w:tcPr>
          <w:p>
            <w:pPr>
              <w:spacing w:after="0"/>
              <w:rPr>
                <w:sz w:val="20"/>
                <w:szCs w:val="20"/>
                <w:color w:val="auto"/>
              </w:rPr>
            </w:pPr>
            <w:r>
              <w:rPr>
                <w:rFonts w:ascii="Arial" w:cs="Arial" w:eastAsia="Arial" w:hAnsi="Arial"/>
                <w:sz w:val="16"/>
                <w:szCs w:val="16"/>
                <w:color w:val="auto"/>
              </w:rPr>
              <w:t>  Chief Operations and</w:t>
            </w:r>
          </w:p>
        </w:tc>
        <w:tc>
          <w:tcPr>
            <w:tcW w:w="600" w:type="dxa"/>
            <w:vAlign w:val="bottom"/>
            <w:tcBorders>
              <w:bottom w:val="single" w:sz="8" w:color="B2B2B2"/>
              <w:right w:val="single" w:sz="8" w:color="B2B2B2"/>
            </w:tcBorders>
          </w:tcPr>
          <w:p>
            <w:pPr>
              <w:spacing w:after="0"/>
              <w:rPr>
                <w:sz w:val="5"/>
                <w:szCs w:val="5"/>
                <w:color w:val="auto"/>
              </w:rPr>
            </w:pPr>
          </w:p>
        </w:tc>
        <w:tc>
          <w:tcPr>
            <w:tcW w:w="1000" w:type="dxa"/>
            <w:vAlign w:val="bottom"/>
            <w:tcBorders>
              <w:bottom w:val="single" w:sz="8" w:color="B2B2B2"/>
              <w:right w:val="single" w:sz="8" w:color="B2B2B2"/>
            </w:tcBorders>
          </w:tcPr>
          <w:p>
            <w:pPr>
              <w:spacing w:after="0"/>
              <w:rPr>
                <w:sz w:val="5"/>
                <w:szCs w:val="5"/>
                <w:color w:val="auto"/>
              </w:rPr>
            </w:pPr>
          </w:p>
        </w:tc>
        <w:tc>
          <w:tcPr>
            <w:tcW w:w="1040" w:type="dxa"/>
            <w:vAlign w:val="bottom"/>
            <w:tcBorders>
              <w:bottom w:val="single" w:sz="8" w:color="B2B2B2"/>
              <w:right w:val="single" w:sz="8" w:color="B2B2B2"/>
            </w:tcBorders>
          </w:tcPr>
          <w:p>
            <w:pPr>
              <w:spacing w:after="0"/>
              <w:rPr>
                <w:sz w:val="5"/>
                <w:szCs w:val="5"/>
                <w:color w:val="auto"/>
              </w:rPr>
            </w:pPr>
          </w:p>
        </w:tc>
        <w:tc>
          <w:tcPr>
            <w:tcW w:w="1060" w:type="dxa"/>
            <w:vAlign w:val="bottom"/>
            <w:tcBorders>
              <w:bottom w:val="single" w:sz="8" w:color="B2B2B2"/>
              <w:right w:val="single" w:sz="8" w:color="B2B2B2"/>
            </w:tcBorders>
          </w:tcPr>
          <w:p>
            <w:pPr>
              <w:spacing w:after="0"/>
              <w:rPr>
                <w:sz w:val="5"/>
                <w:szCs w:val="5"/>
                <w:color w:val="auto"/>
              </w:rPr>
            </w:pPr>
          </w:p>
        </w:tc>
        <w:tc>
          <w:tcPr>
            <w:tcW w:w="14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right w:val="single" w:sz="8" w:color="B2B2B2"/>
            </w:tcBorders>
          </w:tcPr>
          <w:p>
            <w:pPr>
              <w:spacing w:after="0"/>
              <w:rPr>
                <w:sz w:val="5"/>
                <w:szCs w:val="5"/>
                <w:color w:val="auto"/>
              </w:rPr>
            </w:pPr>
          </w:p>
        </w:tc>
        <w:tc>
          <w:tcPr>
            <w:tcW w:w="1280" w:type="dxa"/>
            <w:vAlign w:val="bottom"/>
            <w:tcBorders>
              <w:bottom w:val="single" w:sz="8" w:color="B2B2B2"/>
              <w:right w:val="single" w:sz="8" w:color="B2B2B2"/>
            </w:tcBorders>
          </w:tcPr>
          <w:p>
            <w:pPr>
              <w:spacing w:after="0"/>
              <w:rPr>
                <w:sz w:val="5"/>
                <w:szCs w:val="5"/>
                <w:color w:val="auto"/>
              </w:rPr>
            </w:pPr>
          </w:p>
        </w:tc>
        <w:tc>
          <w:tcPr>
            <w:tcW w:w="12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420" w:type="dxa"/>
            <w:vAlign w:val="bottom"/>
            <w:tcBorders>
              <w:right w:val="single" w:sz="8" w:color="B2B2B2"/>
            </w:tcBorders>
            <w:vMerge w:val="continue"/>
          </w:tcPr>
          <w:p>
            <w:pPr>
              <w:spacing w:after="0"/>
              <w:rPr>
                <w:sz w:val="8"/>
                <w:szCs w:val="8"/>
                <w:color w:val="auto"/>
              </w:rPr>
            </w:pPr>
          </w:p>
        </w:tc>
        <w:tc>
          <w:tcPr>
            <w:tcW w:w="6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2024</w:t>
            </w:r>
          </w:p>
        </w:tc>
        <w:tc>
          <w:tcPr>
            <w:tcW w:w="10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777,382</w:t>
            </w:r>
          </w:p>
        </w:tc>
        <w:tc>
          <w:tcPr>
            <w:tcW w:w="104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1,678,787</w:t>
            </w:r>
          </w:p>
        </w:tc>
        <w:tc>
          <w:tcPr>
            <w:tcW w:w="106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559,550</w:t>
            </w:r>
          </w:p>
        </w:tc>
        <w:tc>
          <w:tcPr>
            <w:tcW w:w="142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1,302,114</w:t>
            </w:r>
          </w:p>
        </w:tc>
        <w:tc>
          <w:tcPr>
            <w:tcW w:w="84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192,051</w:t>
            </w:r>
          </w:p>
        </w:tc>
        <w:tc>
          <w:tcPr>
            <w:tcW w:w="128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6,515</w:t>
            </w: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4,516,399</w:t>
            </w:r>
          </w:p>
        </w:tc>
        <w:tc>
          <w:tcPr>
            <w:tcW w:w="0" w:type="dxa"/>
            <w:vAlign w:val="bottom"/>
          </w:tcPr>
          <w:p>
            <w:pPr>
              <w:spacing w:after="0"/>
              <w:rPr>
                <w:sz w:val="1"/>
                <w:szCs w:val="1"/>
                <w:color w:val="auto"/>
              </w:rPr>
            </w:pPr>
          </w:p>
        </w:tc>
      </w:tr>
      <w:tr>
        <w:trPr>
          <w:trHeight w:val="105"/>
        </w:trPr>
        <w:tc>
          <w:tcPr>
            <w:tcW w:w="2420" w:type="dxa"/>
            <w:vAlign w:val="bottom"/>
            <w:tcBorders>
              <w:right w:val="single" w:sz="8" w:color="B2B2B2"/>
            </w:tcBorders>
            <w:vMerge w:val="restart"/>
          </w:tcPr>
          <w:p>
            <w:pPr>
              <w:spacing w:after="0"/>
              <w:rPr>
                <w:sz w:val="20"/>
                <w:szCs w:val="20"/>
                <w:color w:val="auto"/>
              </w:rPr>
            </w:pPr>
            <w:r>
              <w:rPr>
                <w:rFonts w:ascii="Arial" w:cs="Arial" w:eastAsia="Arial" w:hAnsi="Arial"/>
                <w:sz w:val="16"/>
                <w:szCs w:val="16"/>
                <w:color w:val="auto"/>
              </w:rPr>
              <w:t>  Technology Officer</w:t>
            </w:r>
          </w:p>
        </w:tc>
        <w:tc>
          <w:tcPr>
            <w:tcW w:w="600" w:type="dxa"/>
            <w:vAlign w:val="bottom"/>
            <w:tcBorders>
              <w:right w:val="single" w:sz="8" w:color="B2B2B2"/>
            </w:tcBorders>
            <w:vMerge w:val="continue"/>
          </w:tcPr>
          <w:p>
            <w:pPr>
              <w:spacing w:after="0"/>
              <w:rPr>
                <w:sz w:val="9"/>
                <w:szCs w:val="9"/>
                <w:color w:val="auto"/>
              </w:rPr>
            </w:pPr>
          </w:p>
        </w:tc>
        <w:tc>
          <w:tcPr>
            <w:tcW w:w="1000" w:type="dxa"/>
            <w:vAlign w:val="bottom"/>
            <w:tcBorders>
              <w:right w:val="single" w:sz="8" w:color="B2B2B2"/>
            </w:tcBorders>
            <w:vMerge w:val="continue"/>
          </w:tcPr>
          <w:p>
            <w:pPr>
              <w:spacing w:after="0"/>
              <w:rPr>
                <w:sz w:val="9"/>
                <w:szCs w:val="9"/>
                <w:color w:val="auto"/>
              </w:rPr>
            </w:pPr>
          </w:p>
        </w:tc>
        <w:tc>
          <w:tcPr>
            <w:tcW w:w="1040" w:type="dxa"/>
            <w:vAlign w:val="bottom"/>
            <w:tcBorders>
              <w:right w:val="single" w:sz="8" w:color="B2B2B2"/>
            </w:tcBorders>
            <w:vMerge w:val="continue"/>
          </w:tcPr>
          <w:p>
            <w:pPr>
              <w:spacing w:after="0"/>
              <w:rPr>
                <w:sz w:val="9"/>
                <w:szCs w:val="9"/>
                <w:color w:val="auto"/>
              </w:rPr>
            </w:pPr>
          </w:p>
        </w:tc>
        <w:tc>
          <w:tcPr>
            <w:tcW w:w="1060" w:type="dxa"/>
            <w:vAlign w:val="bottom"/>
            <w:tcBorders>
              <w:right w:val="single" w:sz="8" w:color="B2B2B2"/>
            </w:tcBorders>
            <w:vMerge w:val="continue"/>
          </w:tcPr>
          <w:p>
            <w:pPr>
              <w:spacing w:after="0"/>
              <w:rPr>
                <w:sz w:val="9"/>
                <w:szCs w:val="9"/>
                <w:color w:val="auto"/>
              </w:rPr>
            </w:pPr>
          </w:p>
        </w:tc>
        <w:tc>
          <w:tcPr>
            <w:tcW w:w="1420" w:type="dxa"/>
            <w:vAlign w:val="bottom"/>
            <w:tcBorders>
              <w:right w:val="single" w:sz="8" w:color="B2B2B2"/>
            </w:tcBorders>
            <w:vMerge w:val="continue"/>
          </w:tcPr>
          <w:p>
            <w:pPr>
              <w:spacing w:after="0"/>
              <w:rPr>
                <w:sz w:val="9"/>
                <w:szCs w:val="9"/>
                <w:color w:val="auto"/>
              </w:rPr>
            </w:pPr>
          </w:p>
        </w:tc>
        <w:tc>
          <w:tcPr>
            <w:tcW w:w="840" w:type="dxa"/>
            <w:vAlign w:val="bottom"/>
            <w:tcBorders>
              <w:right w:val="single" w:sz="8" w:color="B2B2B2"/>
            </w:tcBorders>
            <w:vMerge w:val="continue"/>
          </w:tcPr>
          <w:p>
            <w:pPr>
              <w:spacing w:after="0"/>
              <w:rPr>
                <w:sz w:val="9"/>
                <w:szCs w:val="9"/>
                <w:color w:val="auto"/>
              </w:rPr>
            </w:pPr>
          </w:p>
        </w:tc>
        <w:tc>
          <w:tcPr>
            <w:tcW w:w="1280" w:type="dxa"/>
            <w:vAlign w:val="bottom"/>
            <w:tcBorders>
              <w:right w:val="single" w:sz="8" w:color="B2B2B2"/>
            </w:tcBorders>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420" w:type="dxa"/>
            <w:vAlign w:val="bottom"/>
            <w:tcBorders>
              <w:right w:val="single" w:sz="8" w:color="B2B2B2"/>
            </w:tcBorders>
            <w:vMerge w:val="continue"/>
          </w:tcPr>
          <w:p>
            <w:pPr>
              <w:spacing w:after="0"/>
              <w:rPr>
                <w:sz w:val="2"/>
                <w:szCs w:val="2"/>
                <w:color w:val="auto"/>
              </w:rPr>
            </w:pPr>
          </w:p>
        </w:tc>
        <w:tc>
          <w:tcPr>
            <w:tcW w:w="6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14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2420" w:type="dxa"/>
            <w:vAlign w:val="bottom"/>
            <w:tcBorders>
              <w:right w:val="single" w:sz="8" w:color="B2B2B2"/>
            </w:tcBorders>
            <w:vMerge w:val="continue"/>
          </w:tcPr>
          <w:p>
            <w:pPr>
              <w:spacing w:after="0"/>
              <w:rPr>
                <w:sz w:val="4"/>
                <w:szCs w:val="4"/>
                <w:color w:val="auto"/>
              </w:rPr>
            </w:pPr>
          </w:p>
        </w:tc>
        <w:tc>
          <w:tcPr>
            <w:tcW w:w="6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764,982</w:t>
            </w:r>
          </w:p>
        </w:tc>
        <w:tc>
          <w:tcPr>
            <w:tcW w:w="104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1,388,335</w:t>
            </w:r>
          </w:p>
        </w:tc>
        <w:tc>
          <w:tcPr>
            <w:tcW w:w="106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462,759</w:t>
            </w:r>
          </w:p>
        </w:tc>
        <w:tc>
          <w:tcPr>
            <w:tcW w:w="142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937,103</w:t>
            </w:r>
          </w:p>
        </w:tc>
        <w:tc>
          <w:tcPr>
            <w:tcW w:w="84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125,499</w:t>
            </w:r>
          </w:p>
        </w:tc>
        <w:tc>
          <w:tcPr>
            <w:tcW w:w="128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360</w:t>
            </w: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3,679,038</w:t>
            </w:r>
          </w:p>
        </w:tc>
        <w:tc>
          <w:tcPr>
            <w:tcW w:w="0" w:type="dxa"/>
            <w:vAlign w:val="bottom"/>
          </w:tcPr>
          <w:p>
            <w:pPr>
              <w:spacing w:after="0"/>
              <w:rPr>
                <w:sz w:val="1"/>
                <w:szCs w:val="1"/>
                <w:color w:val="auto"/>
              </w:rPr>
            </w:pPr>
          </w:p>
        </w:tc>
      </w:tr>
      <w:tr>
        <w:trPr>
          <w:trHeight w:val="197"/>
        </w:trPr>
        <w:tc>
          <w:tcPr>
            <w:tcW w:w="2420" w:type="dxa"/>
            <w:vAlign w:val="bottom"/>
            <w:tcBorders>
              <w:right w:val="single" w:sz="8" w:color="B2B2B2"/>
            </w:tcBorders>
          </w:tcPr>
          <w:p>
            <w:pPr>
              <w:spacing w:after="0"/>
              <w:rPr>
                <w:sz w:val="17"/>
                <w:szCs w:val="17"/>
                <w:color w:val="auto"/>
              </w:rPr>
            </w:pPr>
          </w:p>
        </w:tc>
        <w:tc>
          <w:tcPr>
            <w:tcW w:w="600" w:type="dxa"/>
            <w:vAlign w:val="bottom"/>
            <w:tcBorders>
              <w:right w:val="single" w:sz="8" w:color="B2B2B2"/>
            </w:tcBorders>
            <w:vMerge w:val="continue"/>
          </w:tcPr>
          <w:p>
            <w:pPr>
              <w:spacing w:after="0"/>
              <w:rPr>
                <w:sz w:val="17"/>
                <w:szCs w:val="17"/>
                <w:color w:val="auto"/>
              </w:rPr>
            </w:pPr>
          </w:p>
        </w:tc>
        <w:tc>
          <w:tcPr>
            <w:tcW w:w="1000" w:type="dxa"/>
            <w:vAlign w:val="bottom"/>
            <w:tcBorders>
              <w:right w:val="single" w:sz="8" w:color="B2B2B2"/>
            </w:tcBorders>
            <w:vMerge w:val="continue"/>
          </w:tcPr>
          <w:p>
            <w:pPr>
              <w:spacing w:after="0"/>
              <w:rPr>
                <w:sz w:val="17"/>
                <w:szCs w:val="17"/>
                <w:color w:val="auto"/>
              </w:rPr>
            </w:pPr>
          </w:p>
        </w:tc>
        <w:tc>
          <w:tcPr>
            <w:tcW w:w="1040" w:type="dxa"/>
            <w:vAlign w:val="bottom"/>
            <w:tcBorders>
              <w:right w:val="single" w:sz="8" w:color="B2B2B2"/>
            </w:tcBorders>
            <w:vMerge w:val="continue"/>
          </w:tcPr>
          <w:p>
            <w:pPr>
              <w:spacing w:after="0"/>
              <w:rPr>
                <w:sz w:val="17"/>
                <w:szCs w:val="17"/>
                <w:color w:val="auto"/>
              </w:rPr>
            </w:pPr>
          </w:p>
        </w:tc>
        <w:tc>
          <w:tcPr>
            <w:tcW w:w="1060" w:type="dxa"/>
            <w:vAlign w:val="bottom"/>
            <w:tcBorders>
              <w:right w:val="single" w:sz="8" w:color="B2B2B2"/>
            </w:tcBorders>
            <w:vMerge w:val="continue"/>
          </w:tcPr>
          <w:p>
            <w:pPr>
              <w:spacing w:after="0"/>
              <w:rPr>
                <w:sz w:val="17"/>
                <w:szCs w:val="17"/>
                <w:color w:val="auto"/>
              </w:rPr>
            </w:pPr>
          </w:p>
        </w:tc>
        <w:tc>
          <w:tcPr>
            <w:tcW w:w="1420" w:type="dxa"/>
            <w:vAlign w:val="bottom"/>
            <w:tcBorders>
              <w:right w:val="single" w:sz="8" w:color="B2B2B2"/>
            </w:tcBorders>
            <w:vMerge w:val="continue"/>
          </w:tcPr>
          <w:p>
            <w:pPr>
              <w:spacing w:after="0"/>
              <w:rPr>
                <w:sz w:val="17"/>
                <w:szCs w:val="17"/>
                <w:color w:val="auto"/>
              </w:rPr>
            </w:pPr>
          </w:p>
        </w:tc>
        <w:tc>
          <w:tcPr>
            <w:tcW w:w="840" w:type="dxa"/>
            <w:vAlign w:val="bottom"/>
            <w:tcBorders>
              <w:right w:val="single" w:sz="8" w:color="B2B2B2"/>
            </w:tcBorders>
            <w:vMerge w:val="continue"/>
          </w:tcPr>
          <w:p>
            <w:pPr>
              <w:spacing w:after="0"/>
              <w:rPr>
                <w:sz w:val="17"/>
                <w:szCs w:val="17"/>
                <w:color w:val="auto"/>
              </w:rPr>
            </w:pPr>
          </w:p>
        </w:tc>
        <w:tc>
          <w:tcPr>
            <w:tcW w:w="1280" w:type="dxa"/>
            <w:vAlign w:val="bottom"/>
            <w:tcBorders>
              <w:right w:val="single" w:sz="8" w:color="B2B2B2"/>
            </w:tcBorders>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2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David Wong</w:t>
            </w:r>
          </w:p>
        </w:tc>
        <w:tc>
          <w:tcPr>
            <w:tcW w:w="6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10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608,779</w:t>
            </w:r>
          </w:p>
        </w:tc>
        <w:tc>
          <w:tcPr>
            <w:tcW w:w="104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1,551,612</w:t>
            </w:r>
          </w:p>
        </w:tc>
        <w:tc>
          <w:tcPr>
            <w:tcW w:w="106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517,140</w:t>
            </w:r>
          </w:p>
        </w:tc>
        <w:tc>
          <w:tcPr>
            <w:tcW w:w="142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768,583</w:t>
            </w:r>
          </w:p>
        </w:tc>
        <w:tc>
          <w:tcPr>
            <w:tcW w:w="84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99,660</w:t>
            </w:r>
          </w:p>
        </w:tc>
        <w:tc>
          <w:tcPr>
            <w:tcW w:w="1260" w:type="dxa"/>
            <w:vAlign w:val="bottom"/>
            <w:tcBorders>
              <w:top w:val="single" w:sz="8" w:color="D64000"/>
            </w:tcBorders>
          </w:tcPr>
          <w:p>
            <w:pPr>
              <w:jc w:val="right"/>
              <w:ind w:right="20"/>
              <w:spacing w:after="0"/>
              <w:rPr>
                <w:sz w:val="20"/>
                <w:szCs w:val="20"/>
                <w:color w:val="auto"/>
              </w:rPr>
            </w:pPr>
            <w:r>
              <w:rPr>
                <w:rFonts w:ascii="Arial" w:cs="Arial" w:eastAsia="Arial" w:hAnsi="Arial"/>
                <w:sz w:val="16"/>
                <w:szCs w:val="16"/>
                <w:b w:val="1"/>
                <w:bCs w:val="1"/>
                <w:color w:val="auto"/>
              </w:rPr>
              <w:t>3,545,774</w:t>
            </w:r>
          </w:p>
        </w:tc>
        <w:tc>
          <w:tcPr>
            <w:tcW w:w="0" w:type="dxa"/>
            <w:vAlign w:val="bottom"/>
          </w:tcPr>
          <w:p>
            <w:pPr>
              <w:spacing w:after="0"/>
              <w:rPr>
                <w:sz w:val="1"/>
                <w:szCs w:val="1"/>
                <w:color w:val="auto"/>
              </w:rPr>
            </w:pPr>
          </w:p>
        </w:tc>
      </w:tr>
      <w:tr>
        <w:trPr>
          <w:trHeight w:val="68"/>
        </w:trPr>
        <w:tc>
          <w:tcPr>
            <w:tcW w:w="2420" w:type="dxa"/>
            <w:vAlign w:val="bottom"/>
            <w:tcBorders>
              <w:right w:val="single" w:sz="8" w:color="B2B2B2"/>
            </w:tcBorders>
            <w:vMerge w:val="restart"/>
          </w:tcPr>
          <w:p>
            <w:pPr>
              <w:spacing w:after="0"/>
              <w:rPr>
                <w:sz w:val="20"/>
                <w:szCs w:val="20"/>
                <w:color w:val="auto"/>
              </w:rPr>
            </w:pPr>
            <w:r>
              <w:rPr>
                <w:rFonts w:ascii="Arial" w:cs="Arial" w:eastAsia="Arial" w:hAnsi="Arial"/>
                <w:sz w:val="16"/>
                <w:szCs w:val="16"/>
                <w:color w:val="auto"/>
              </w:rPr>
              <w:t>  Chief Product Officer</w:t>
            </w:r>
          </w:p>
        </w:tc>
        <w:tc>
          <w:tcPr>
            <w:tcW w:w="600" w:type="dxa"/>
            <w:vAlign w:val="bottom"/>
            <w:tcBorders>
              <w:bottom w:val="single" w:sz="8" w:color="B2B2B2"/>
              <w:right w:val="single" w:sz="8" w:color="B2B2B2"/>
            </w:tcBorders>
          </w:tcPr>
          <w:p>
            <w:pPr>
              <w:spacing w:after="0"/>
              <w:rPr>
                <w:sz w:val="5"/>
                <w:szCs w:val="5"/>
                <w:color w:val="auto"/>
              </w:rPr>
            </w:pPr>
          </w:p>
        </w:tc>
        <w:tc>
          <w:tcPr>
            <w:tcW w:w="1000" w:type="dxa"/>
            <w:vAlign w:val="bottom"/>
            <w:tcBorders>
              <w:bottom w:val="single" w:sz="8" w:color="B2B2B2"/>
              <w:right w:val="single" w:sz="8" w:color="B2B2B2"/>
            </w:tcBorders>
          </w:tcPr>
          <w:p>
            <w:pPr>
              <w:spacing w:after="0"/>
              <w:rPr>
                <w:sz w:val="5"/>
                <w:szCs w:val="5"/>
                <w:color w:val="auto"/>
              </w:rPr>
            </w:pPr>
          </w:p>
        </w:tc>
        <w:tc>
          <w:tcPr>
            <w:tcW w:w="1040" w:type="dxa"/>
            <w:vAlign w:val="bottom"/>
            <w:tcBorders>
              <w:bottom w:val="single" w:sz="8" w:color="B2B2B2"/>
              <w:right w:val="single" w:sz="8" w:color="B2B2B2"/>
            </w:tcBorders>
          </w:tcPr>
          <w:p>
            <w:pPr>
              <w:spacing w:after="0"/>
              <w:rPr>
                <w:sz w:val="5"/>
                <w:szCs w:val="5"/>
                <w:color w:val="auto"/>
              </w:rPr>
            </w:pPr>
          </w:p>
        </w:tc>
        <w:tc>
          <w:tcPr>
            <w:tcW w:w="1060" w:type="dxa"/>
            <w:vAlign w:val="bottom"/>
            <w:tcBorders>
              <w:bottom w:val="single" w:sz="8" w:color="B2B2B2"/>
              <w:right w:val="single" w:sz="8" w:color="B2B2B2"/>
            </w:tcBorders>
          </w:tcPr>
          <w:p>
            <w:pPr>
              <w:spacing w:after="0"/>
              <w:rPr>
                <w:sz w:val="5"/>
                <w:szCs w:val="5"/>
                <w:color w:val="auto"/>
              </w:rPr>
            </w:pPr>
          </w:p>
        </w:tc>
        <w:tc>
          <w:tcPr>
            <w:tcW w:w="14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right w:val="single" w:sz="8" w:color="B2B2B2"/>
            </w:tcBorders>
          </w:tcPr>
          <w:p>
            <w:pPr>
              <w:spacing w:after="0"/>
              <w:rPr>
                <w:sz w:val="5"/>
                <w:szCs w:val="5"/>
                <w:color w:val="auto"/>
              </w:rPr>
            </w:pPr>
          </w:p>
        </w:tc>
        <w:tc>
          <w:tcPr>
            <w:tcW w:w="1280" w:type="dxa"/>
            <w:vAlign w:val="bottom"/>
            <w:tcBorders>
              <w:bottom w:val="single" w:sz="8" w:color="B2B2B2"/>
              <w:right w:val="single" w:sz="8" w:color="B2B2B2"/>
            </w:tcBorders>
          </w:tcPr>
          <w:p>
            <w:pPr>
              <w:spacing w:after="0"/>
              <w:rPr>
                <w:sz w:val="5"/>
                <w:szCs w:val="5"/>
                <w:color w:val="auto"/>
              </w:rPr>
            </w:pPr>
          </w:p>
        </w:tc>
        <w:tc>
          <w:tcPr>
            <w:tcW w:w="12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420" w:type="dxa"/>
            <w:vAlign w:val="bottom"/>
            <w:tcBorders>
              <w:right w:val="single" w:sz="8" w:color="B2B2B2"/>
            </w:tcBorders>
            <w:vMerge w:val="continue"/>
          </w:tcPr>
          <w:p>
            <w:pPr>
              <w:spacing w:after="0"/>
              <w:rPr>
                <w:sz w:val="10"/>
                <w:szCs w:val="10"/>
                <w:color w:val="auto"/>
              </w:rPr>
            </w:pPr>
          </w:p>
        </w:tc>
        <w:tc>
          <w:tcPr>
            <w:tcW w:w="6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2024</w:t>
            </w:r>
          </w:p>
        </w:tc>
        <w:tc>
          <w:tcPr>
            <w:tcW w:w="10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588,129</w:t>
            </w:r>
          </w:p>
        </w:tc>
        <w:tc>
          <w:tcPr>
            <w:tcW w:w="104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1,351,567</w:t>
            </w:r>
          </w:p>
        </w:tc>
        <w:tc>
          <w:tcPr>
            <w:tcW w:w="106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450,491</w:t>
            </w:r>
          </w:p>
        </w:tc>
        <w:tc>
          <w:tcPr>
            <w:tcW w:w="142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985,116</w:t>
            </w:r>
          </w:p>
        </w:tc>
        <w:tc>
          <w:tcPr>
            <w:tcW w:w="84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98,308</w:t>
            </w: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3,473,611</w:t>
            </w:r>
          </w:p>
        </w:tc>
        <w:tc>
          <w:tcPr>
            <w:tcW w:w="0" w:type="dxa"/>
            <w:vAlign w:val="bottom"/>
          </w:tcPr>
          <w:p>
            <w:pPr>
              <w:spacing w:after="0"/>
              <w:rPr>
                <w:sz w:val="1"/>
                <w:szCs w:val="1"/>
                <w:color w:val="auto"/>
              </w:rPr>
            </w:pPr>
          </w:p>
        </w:tc>
      </w:tr>
      <w:tr>
        <w:trPr>
          <w:trHeight w:val="81"/>
        </w:trPr>
        <w:tc>
          <w:tcPr>
            <w:tcW w:w="2420" w:type="dxa"/>
            <w:vAlign w:val="bottom"/>
            <w:tcBorders>
              <w:right w:val="single" w:sz="8" w:color="B2B2B2"/>
            </w:tcBorders>
          </w:tcPr>
          <w:p>
            <w:pPr>
              <w:spacing w:after="0"/>
              <w:rPr>
                <w:sz w:val="7"/>
                <w:szCs w:val="7"/>
                <w:color w:val="auto"/>
              </w:rPr>
            </w:pPr>
          </w:p>
        </w:tc>
        <w:tc>
          <w:tcPr>
            <w:tcW w:w="600" w:type="dxa"/>
            <w:vAlign w:val="bottom"/>
            <w:tcBorders>
              <w:right w:val="single" w:sz="8" w:color="B2B2B2"/>
            </w:tcBorders>
            <w:vMerge w:val="continue"/>
          </w:tcPr>
          <w:p>
            <w:pPr>
              <w:spacing w:after="0"/>
              <w:rPr>
                <w:sz w:val="7"/>
                <w:szCs w:val="7"/>
                <w:color w:val="auto"/>
              </w:rPr>
            </w:pPr>
          </w:p>
        </w:tc>
        <w:tc>
          <w:tcPr>
            <w:tcW w:w="1000" w:type="dxa"/>
            <w:vAlign w:val="bottom"/>
            <w:tcBorders>
              <w:right w:val="single" w:sz="8" w:color="B2B2B2"/>
            </w:tcBorders>
            <w:vMerge w:val="continue"/>
          </w:tcPr>
          <w:p>
            <w:pPr>
              <w:spacing w:after="0"/>
              <w:rPr>
                <w:sz w:val="7"/>
                <w:szCs w:val="7"/>
                <w:color w:val="auto"/>
              </w:rPr>
            </w:pPr>
          </w:p>
        </w:tc>
        <w:tc>
          <w:tcPr>
            <w:tcW w:w="1040" w:type="dxa"/>
            <w:vAlign w:val="bottom"/>
            <w:tcBorders>
              <w:right w:val="single" w:sz="8" w:color="B2B2B2"/>
            </w:tcBorders>
            <w:vMerge w:val="continue"/>
          </w:tcPr>
          <w:p>
            <w:pPr>
              <w:spacing w:after="0"/>
              <w:rPr>
                <w:sz w:val="7"/>
                <w:szCs w:val="7"/>
                <w:color w:val="auto"/>
              </w:rPr>
            </w:pPr>
          </w:p>
        </w:tc>
        <w:tc>
          <w:tcPr>
            <w:tcW w:w="1060" w:type="dxa"/>
            <w:vAlign w:val="bottom"/>
            <w:tcBorders>
              <w:right w:val="single" w:sz="8" w:color="B2B2B2"/>
            </w:tcBorders>
            <w:vMerge w:val="continue"/>
          </w:tcPr>
          <w:p>
            <w:pPr>
              <w:spacing w:after="0"/>
              <w:rPr>
                <w:sz w:val="7"/>
                <w:szCs w:val="7"/>
                <w:color w:val="auto"/>
              </w:rPr>
            </w:pPr>
          </w:p>
        </w:tc>
        <w:tc>
          <w:tcPr>
            <w:tcW w:w="1420" w:type="dxa"/>
            <w:vAlign w:val="bottom"/>
            <w:tcBorders>
              <w:right w:val="single" w:sz="8" w:color="B2B2B2"/>
            </w:tcBorders>
            <w:vMerge w:val="continue"/>
          </w:tcPr>
          <w:p>
            <w:pPr>
              <w:spacing w:after="0"/>
              <w:rPr>
                <w:sz w:val="7"/>
                <w:szCs w:val="7"/>
                <w:color w:val="auto"/>
              </w:rPr>
            </w:pPr>
          </w:p>
        </w:tc>
        <w:tc>
          <w:tcPr>
            <w:tcW w:w="840" w:type="dxa"/>
            <w:vAlign w:val="bottom"/>
            <w:tcBorders>
              <w:right w:val="single" w:sz="8" w:color="B2B2B2"/>
            </w:tcBorders>
            <w:vMerge w:val="continue"/>
          </w:tcPr>
          <w:p>
            <w:pPr>
              <w:spacing w:after="0"/>
              <w:rPr>
                <w:sz w:val="7"/>
                <w:szCs w:val="7"/>
                <w:color w:val="auto"/>
              </w:rPr>
            </w:pPr>
          </w:p>
        </w:tc>
        <w:tc>
          <w:tcPr>
            <w:tcW w:w="1280" w:type="dxa"/>
            <w:vAlign w:val="bottom"/>
            <w:tcBorders>
              <w:right w:val="single" w:sz="8" w:color="B2B2B2"/>
            </w:tcBorders>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420" w:type="dxa"/>
            <w:vAlign w:val="bottom"/>
            <w:tcBorders>
              <w:right w:val="single" w:sz="8" w:color="B2B2B2"/>
            </w:tcBorders>
          </w:tcPr>
          <w:p>
            <w:pPr>
              <w:spacing w:after="0"/>
              <w:rPr>
                <w:sz w:val="2"/>
                <w:szCs w:val="2"/>
                <w:color w:val="auto"/>
              </w:rPr>
            </w:pPr>
          </w:p>
        </w:tc>
        <w:tc>
          <w:tcPr>
            <w:tcW w:w="6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14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20" w:type="dxa"/>
            <w:vAlign w:val="bottom"/>
            <w:tcBorders>
              <w:right w:val="single" w:sz="8" w:color="B2B2B2"/>
            </w:tcBorders>
          </w:tcPr>
          <w:p>
            <w:pPr>
              <w:spacing w:after="0"/>
              <w:rPr>
                <w:sz w:val="22"/>
                <w:szCs w:val="22"/>
                <w:color w:val="auto"/>
              </w:rPr>
            </w:pPr>
          </w:p>
        </w:tc>
        <w:tc>
          <w:tcPr>
            <w:tcW w:w="6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587,815</w:t>
            </w:r>
          </w:p>
        </w:tc>
        <w:tc>
          <w:tcPr>
            <w:tcW w:w="104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1,096,048</w:t>
            </w:r>
          </w:p>
        </w:tc>
        <w:tc>
          <w:tcPr>
            <w:tcW w:w="106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365,346</w:t>
            </w:r>
          </w:p>
        </w:tc>
        <w:tc>
          <w:tcPr>
            <w:tcW w:w="142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720,074</w:t>
            </w:r>
          </w:p>
        </w:tc>
        <w:tc>
          <w:tcPr>
            <w:tcW w:w="84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97,745</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2,867,028</w:t>
            </w:r>
          </w:p>
        </w:tc>
        <w:tc>
          <w:tcPr>
            <w:tcW w:w="0" w:type="dxa"/>
            <w:vAlign w:val="bottom"/>
          </w:tcPr>
          <w:p>
            <w:pPr>
              <w:spacing w:after="0"/>
              <w:rPr>
                <w:sz w:val="1"/>
                <w:szCs w:val="1"/>
                <w:color w:val="auto"/>
              </w:rPr>
            </w:pPr>
          </w:p>
        </w:tc>
      </w:tr>
      <w:tr>
        <w:trPr>
          <w:trHeight w:val="213"/>
        </w:trPr>
        <w:tc>
          <w:tcPr>
            <w:tcW w:w="2420" w:type="dxa"/>
            <w:vAlign w:val="bottom"/>
            <w:tcBorders>
              <w:top w:val="single" w:sz="8" w:color="D64000"/>
              <w:right w:val="single" w:sz="8" w:color="B2B2B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Paul Bascobert</w:t>
            </w:r>
          </w:p>
        </w:tc>
        <w:tc>
          <w:tcPr>
            <w:tcW w:w="6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100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750,000</w:t>
            </w:r>
          </w:p>
        </w:tc>
        <w:tc>
          <w:tcPr>
            <w:tcW w:w="104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1,125,072</w:t>
            </w:r>
          </w:p>
        </w:tc>
        <w:tc>
          <w:tcPr>
            <w:tcW w:w="1060" w:type="dxa"/>
            <w:vAlign w:val="bottom"/>
            <w:tcBorders>
              <w:top w:val="single" w:sz="8" w:color="D64000"/>
              <w:right w:val="single" w:sz="8" w:color="B2B2B2"/>
            </w:tcBorders>
          </w:tcPr>
          <w:p>
            <w:pPr>
              <w:jc w:val="right"/>
              <w:ind w:right="20"/>
              <w:spacing w:after="0"/>
              <w:rPr>
                <w:sz w:val="20"/>
                <w:szCs w:val="20"/>
                <w:color w:val="auto"/>
              </w:rPr>
            </w:pPr>
            <w:r>
              <w:rPr>
                <w:rFonts w:ascii="Arial" w:cs="Arial" w:eastAsia="Arial" w:hAnsi="Arial"/>
                <w:sz w:val="16"/>
                <w:szCs w:val="16"/>
                <w:b w:val="1"/>
                <w:bCs w:val="1"/>
                <w:color w:val="auto"/>
              </w:rPr>
              <w:t>375,022</w:t>
            </w:r>
          </w:p>
        </w:tc>
        <w:tc>
          <w:tcPr>
            <w:tcW w:w="142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946,875</w:t>
            </w:r>
          </w:p>
        </w:tc>
        <w:tc>
          <w:tcPr>
            <w:tcW w:w="840" w:type="dxa"/>
            <w:vAlign w:val="bottom"/>
            <w:tcBorders>
              <w:top w:val="single" w:sz="8" w:color="D64000"/>
              <w:right w:val="single" w:sz="8" w:color="B2B2B2"/>
            </w:tcBorders>
          </w:tcPr>
          <w:p>
            <w:pPr>
              <w:jc w:val="right"/>
              <w:ind w:right="80"/>
              <w:spacing w:after="0"/>
              <w:rPr>
                <w:sz w:val="20"/>
                <w:szCs w:val="20"/>
                <w:color w:val="auto"/>
              </w:rPr>
            </w:pPr>
            <w:r>
              <w:rPr>
                <w:rFonts w:ascii="Arial" w:cs="Arial" w:eastAsia="Arial" w:hAnsi="Arial"/>
                <w:sz w:val="16"/>
                <w:szCs w:val="16"/>
                <w:b w:val="1"/>
                <w:bCs w:val="1"/>
                <w:color w:val="auto"/>
              </w:rPr>
              <w:t>– </w:t>
            </w:r>
          </w:p>
        </w:tc>
        <w:tc>
          <w:tcPr>
            <w:tcW w:w="1280" w:type="dxa"/>
            <w:vAlign w:val="bottom"/>
            <w:tcBorders>
              <w:top w:val="single" w:sz="8" w:color="D64000"/>
              <w:right w:val="single" w:sz="8" w:color="B2B2B2"/>
            </w:tcBorders>
          </w:tcPr>
          <w:p>
            <w:pPr>
              <w:jc w:val="right"/>
              <w:ind w:right="40"/>
              <w:spacing w:after="0"/>
              <w:rPr>
                <w:sz w:val="20"/>
                <w:szCs w:val="20"/>
                <w:color w:val="auto"/>
              </w:rPr>
            </w:pPr>
            <w:r>
              <w:rPr>
                <w:rFonts w:ascii="Arial" w:cs="Arial" w:eastAsia="Arial" w:hAnsi="Arial"/>
                <w:sz w:val="16"/>
                <w:szCs w:val="16"/>
                <w:b w:val="1"/>
                <w:bCs w:val="1"/>
                <w:color w:val="auto"/>
              </w:rPr>
              <w:t>100,852</w:t>
            </w:r>
          </w:p>
        </w:tc>
        <w:tc>
          <w:tcPr>
            <w:tcW w:w="1260" w:type="dxa"/>
            <w:vAlign w:val="bottom"/>
            <w:tcBorders>
              <w:top w:val="single" w:sz="8" w:color="D64000"/>
            </w:tcBorders>
          </w:tcPr>
          <w:p>
            <w:pPr>
              <w:jc w:val="right"/>
              <w:ind w:right="20"/>
              <w:spacing w:after="0"/>
              <w:rPr>
                <w:sz w:val="20"/>
                <w:szCs w:val="20"/>
                <w:color w:val="auto"/>
              </w:rPr>
            </w:pPr>
            <w:r>
              <w:rPr>
                <w:rFonts w:ascii="Arial" w:cs="Arial" w:eastAsia="Arial" w:hAnsi="Arial"/>
                <w:sz w:val="16"/>
                <w:szCs w:val="16"/>
                <w:b w:val="1"/>
                <w:bCs w:val="1"/>
                <w:color w:val="auto"/>
              </w:rPr>
              <w:t>3,297,821</w:t>
            </w:r>
          </w:p>
        </w:tc>
        <w:tc>
          <w:tcPr>
            <w:tcW w:w="0" w:type="dxa"/>
            <w:vAlign w:val="bottom"/>
          </w:tcPr>
          <w:p>
            <w:pPr>
              <w:spacing w:after="0"/>
              <w:rPr>
                <w:sz w:val="1"/>
                <w:szCs w:val="1"/>
                <w:color w:val="auto"/>
              </w:rPr>
            </w:pPr>
          </w:p>
        </w:tc>
      </w:tr>
      <w:tr>
        <w:trPr>
          <w:trHeight w:val="68"/>
        </w:trPr>
        <w:tc>
          <w:tcPr>
            <w:tcW w:w="2420" w:type="dxa"/>
            <w:vAlign w:val="bottom"/>
            <w:tcBorders>
              <w:right w:val="single" w:sz="8" w:color="B2B2B2"/>
            </w:tcBorders>
            <w:vMerge w:val="restart"/>
          </w:tcPr>
          <w:p>
            <w:pPr>
              <w:spacing w:after="0"/>
              <w:rPr>
                <w:sz w:val="20"/>
                <w:szCs w:val="20"/>
                <w:color w:val="auto"/>
              </w:rPr>
            </w:pPr>
            <w:r>
              <w:rPr>
                <w:rFonts w:ascii="Arial" w:cs="Arial" w:eastAsia="Arial" w:hAnsi="Arial"/>
                <w:sz w:val="16"/>
                <w:szCs w:val="16"/>
                <w:color w:val="auto"/>
              </w:rPr>
              <w:t>  President, Reuters</w:t>
            </w:r>
          </w:p>
        </w:tc>
        <w:tc>
          <w:tcPr>
            <w:tcW w:w="600" w:type="dxa"/>
            <w:vAlign w:val="bottom"/>
            <w:tcBorders>
              <w:bottom w:val="single" w:sz="8" w:color="B2B2B2"/>
              <w:right w:val="single" w:sz="8" w:color="B2B2B2"/>
            </w:tcBorders>
          </w:tcPr>
          <w:p>
            <w:pPr>
              <w:spacing w:after="0"/>
              <w:rPr>
                <w:sz w:val="5"/>
                <w:szCs w:val="5"/>
                <w:color w:val="auto"/>
              </w:rPr>
            </w:pPr>
          </w:p>
        </w:tc>
        <w:tc>
          <w:tcPr>
            <w:tcW w:w="1000" w:type="dxa"/>
            <w:vAlign w:val="bottom"/>
            <w:tcBorders>
              <w:bottom w:val="single" w:sz="8" w:color="B2B2B2"/>
              <w:right w:val="single" w:sz="8" w:color="B2B2B2"/>
            </w:tcBorders>
          </w:tcPr>
          <w:p>
            <w:pPr>
              <w:spacing w:after="0"/>
              <w:rPr>
                <w:sz w:val="5"/>
                <w:szCs w:val="5"/>
                <w:color w:val="auto"/>
              </w:rPr>
            </w:pPr>
          </w:p>
        </w:tc>
        <w:tc>
          <w:tcPr>
            <w:tcW w:w="1040" w:type="dxa"/>
            <w:vAlign w:val="bottom"/>
            <w:tcBorders>
              <w:bottom w:val="single" w:sz="8" w:color="B2B2B2"/>
              <w:right w:val="single" w:sz="8" w:color="B2B2B2"/>
            </w:tcBorders>
          </w:tcPr>
          <w:p>
            <w:pPr>
              <w:spacing w:after="0"/>
              <w:rPr>
                <w:sz w:val="5"/>
                <w:szCs w:val="5"/>
                <w:color w:val="auto"/>
              </w:rPr>
            </w:pPr>
          </w:p>
        </w:tc>
        <w:tc>
          <w:tcPr>
            <w:tcW w:w="1060" w:type="dxa"/>
            <w:vAlign w:val="bottom"/>
            <w:tcBorders>
              <w:bottom w:val="single" w:sz="8" w:color="B2B2B2"/>
              <w:right w:val="single" w:sz="8" w:color="B2B2B2"/>
            </w:tcBorders>
          </w:tcPr>
          <w:p>
            <w:pPr>
              <w:spacing w:after="0"/>
              <w:rPr>
                <w:sz w:val="5"/>
                <w:szCs w:val="5"/>
                <w:color w:val="auto"/>
              </w:rPr>
            </w:pPr>
          </w:p>
        </w:tc>
        <w:tc>
          <w:tcPr>
            <w:tcW w:w="1420" w:type="dxa"/>
            <w:vAlign w:val="bottom"/>
            <w:tcBorders>
              <w:bottom w:val="single" w:sz="8" w:color="B2B2B2"/>
              <w:right w:val="single" w:sz="8" w:color="B2B2B2"/>
            </w:tcBorders>
          </w:tcPr>
          <w:p>
            <w:pPr>
              <w:spacing w:after="0"/>
              <w:rPr>
                <w:sz w:val="5"/>
                <w:szCs w:val="5"/>
                <w:color w:val="auto"/>
              </w:rPr>
            </w:pPr>
          </w:p>
        </w:tc>
        <w:tc>
          <w:tcPr>
            <w:tcW w:w="840" w:type="dxa"/>
            <w:vAlign w:val="bottom"/>
            <w:tcBorders>
              <w:bottom w:val="single" w:sz="8" w:color="B2B2B2"/>
              <w:right w:val="single" w:sz="8" w:color="B2B2B2"/>
            </w:tcBorders>
          </w:tcPr>
          <w:p>
            <w:pPr>
              <w:spacing w:after="0"/>
              <w:rPr>
                <w:sz w:val="5"/>
                <w:szCs w:val="5"/>
                <w:color w:val="auto"/>
              </w:rPr>
            </w:pPr>
          </w:p>
        </w:tc>
        <w:tc>
          <w:tcPr>
            <w:tcW w:w="1280" w:type="dxa"/>
            <w:vAlign w:val="bottom"/>
            <w:tcBorders>
              <w:bottom w:val="single" w:sz="8" w:color="B2B2B2"/>
              <w:right w:val="single" w:sz="8" w:color="B2B2B2"/>
            </w:tcBorders>
          </w:tcPr>
          <w:p>
            <w:pPr>
              <w:spacing w:after="0"/>
              <w:rPr>
                <w:sz w:val="5"/>
                <w:szCs w:val="5"/>
                <w:color w:val="auto"/>
              </w:rPr>
            </w:pPr>
          </w:p>
        </w:tc>
        <w:tc>
          <w:tcPr>
            <w:tcW w:w="1260" w:type="dxa"/>
            <w:vAlign w:val="bottom"/>
            <w:tcBorders>
              <w:bottom w:val="single" w:sz="8" w:color="B2B2B2"/>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420" w:type="dxa"/>
            <w:vAlign w:val="bottom"/>
            <w:tcBorders>
              <w:right w:val="single" w:sz="8" w:color="B2B2B2"/>
            </w:tcBorders>
            <w:vMerge w:val="continue"/>
          </w:tcPr>
          <w:p>
            <w:pPr>
              <w:spacing w:after="0"/>
              <w:rPr>
                <w:sz w:val="10"/>
                <w:szCs w:val="10"/>
                <w:color w:val="auto"/>
              </w:rPr>
            </w:pPr>
          </w:p>
        </w:tc>
        <w:tc>
          <w:tcPr>
            <w:tcW w:w="6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2024</w:t>
            </w:r>
          </w:p>
        </w:tc>
        <w:tc>
          <w:tcPr>
            <w:tcW w:w="100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750,000</w:t>
            </w:r>
          </w:p>
        </w:tc>
        <w:tc>
          <w:tcPr>
            <w:tcW w:w="104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1,125,103</w:t>
            </w:r>
          </w:p>
        </w:tc>
        <w:tc>
          <w:tcPr>
            <w:tcW w:w="106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375,008</w:t>
            </w:r>
          </w:p>
        </w:tc>
        <w:tc>
          <w:tcPr>
            <w:tcW w:w="1420" w:type="dxa"/>
            <w:vAlign w:val="bottom"/>
            <w:tcBorders>
              <w:right w:val="single" w:sz="8" w:color="B2B2B2"/>
            </w:tcBorders>
            <w:vMerge w:val="restart"/>
          </w:tcPr>
          <w:p>
            <w:pPr>
              <w:jc w:val="right"/>
              <w:ind w:right="20"/>
              <w:spacing w:after="0"/>
              <w:rPr>
                <w:sz w:val="20"/>
                <w:szCs w:val="20"/>
                <w:color w:val="auto"/>
              </w:rPr>
            </w:pPr>
            <w:r>
              <w:rPr>
                <w:rFonts w:ascii="Arial" w:cs="Arial" w:eastAsia="Arial" w:hAnsi="Arial"/>
                <w:sz w:val="16"/>
                <w:szCs w:val="16"/>
                <w:color w:val="auto"/>
              </w:rPr>
              <w:t>1,256,250</w:t>
            </w:r>
          </w:p>
        </w:tc>
        <w:tc>
          <w:tcPr>
            <w:tcW w:w="840" w:type="dxa"/>
            <w:vAlign w:val="bottom"/>
            <w:tcBorders>
              <w:right w:val="single" w:sz="8" w:color="B2B2B2"/>
            </w:tcBorders>
            <w:vMerge w:val="restart"/>
          </w:tcPr>
          <w:p>
            <w:pPr>
              <w:jc w:val="right"/>
              <w:ind w:right="80"/>
              <w:spacing w:after="0"/>
              <w:rPr>
                <w:sz w:val="20"/>
                <w:szCs w:val="20"/>
                <w:color w:val="auto"/>
              </w:rPr>
            </w:pPr>
            <w:r>
              <w:rPr>
                <w:rFonts w:ascii="Arial" w:cs="Arial" w:eastAsia="Arial" w:hAnsi="Arial"/>
                <w:sz w:val="16"/>
                <w:szCs w:val="16"/>
                <w:color w:val="auto"/>
              </w:rPr>
              <w:t>– </w:t>
            </w:r>
          </w:p>
        </w:tc>
        <w:tc>
          <w:tcPr>
            <w:tcW w:w="1280" w:type="dxa"/>
            <w:vAlign w:val="bottom"/>
            <w:tcBorders>
              <w:right w:val="single" w:sz="8" w:color="B2B2B2"/>
            </w:tcBorders>
            <w:vMerge w:val="restart"/>
          </w:tcPr>
          <w:p>
            <w:pPr>
              <w:jc w:val="right"/>
              <w:ind w:right="40"/>
              <w:spacing w:after="0"/>
              <w:rPr>
                <w:sz w:val="20"/>
                <w:szCs w:val="20"/>
                <w:color w:val="auto"/>
              </w:rPr>
            </w:pPr>
            <w:r>
              <w:rPr>
                <w:rFonts w:ascii="Arial" w:cs="Arial" w:eastAsia="Arial" w:hAnsi="Arial"/>
                <w:sz w:val="16"/>
                <w:szCs w:val="16"/>
                <w:color w:val="auto"/>
              </w:rPr>
              <w:t>75,475</w:t>
            </w:r>
          </w:p>
        </w:tc>
        <w:tc>
          <w:tcPr>
            <w:tcW w:w="1260" w:type="dxa"/>
            <w:vAlign w:val="bottom"/>
            <w:vMerge w:val="restart"/>
          </w:tcPr>
          <w:p>
            <w:pPr>
              <w:jc w:val="right"/>
              <w:ind w:right="20"/>
              <w:spacing w:after="0"/>
              <w:rPr>
                <w:sz w:val="20"/>
                <w:szCs w:val="20"/>
                <w:color w:val="auto"/>
              </w:rPr>
            </w:pPr>
            <w:r>
              <w:rPr>
                <w:rFonts w:ascii="Arial" w:cs="Arial" w:eastAsia="Arial" w:hAnsi="Arial"/>
                <w:sz w:val="16"/>
                <w:szCs w:val="16"/>
                <w:color w:val="auto"/>
              </w:rPr>
              <w:t>3,581,836</w:t>
            </w:r>
          </w:p>
        </w:tc>
        <w:tc>
          <w:tcPr>
            <w:tcW w:w="0" w:type="dxa"/>
            <w:vAlign w:val="bottom"/>
          </w:tcPr>
          <w:p>
            <w:pPr>
              <w:spacing w:after="0"/>
              <w:rPr>
                <w:sz w:val="1"/>
                <w:szCs w:val="1"/>
                <w:color w:val="auto"/>
              </w:rPr>
            </w:pPr>
          </w:p>
        </w:tc>
      </w:tr>
      <w:tr>
        <w:trPr>
          <w:trHeight w:val="81"/>
        </w:trPr>
        <w:tc>
          <w:tcPr>
            <w:tcW w:w="2420" w:type="dxa"/>
            <w:vAlign w:val="bottom"/>
            <w:tcBorders>
              <w:right w:val="single" w:sz="8" w:color="B2B2B2"/>
            </w:tcBorders>
          </w:tcPr>
          <w:p>
            <w:pPr>
              <w:spacing w:after="0"/>
              <w:rPr>
                <w:sz w:val="7"/>
                <w:szCs w:val="7"/>
                <w:color w:val="auto"/>
              </w:rPr>
            </w:pPr>
          </w:p>
        </w:tc>
        <w:tc>
          <w:tcPr>
            <w:tcW w:w="600" w:type="dxa"/>
            <w:vAlign w:val="bottom"/>
            <w:tcBorders>
              <w:right w:val="single" w:sz="8" w:color="B2B2B2"/>
            </w:tcBorders>
            <w:vMerge w:val="continue"/>
          </w:tcPr>
          <w:p>
            <w:pPr>
              <w:spacing w:after="0"/>
              <w:rPr>
                <w:sz w:val="7"/>
                <w:szCs w:val="7"/>
                <w:color w:val="auto"/>
              </w:rPr>
            </w:pPr>
          </w:p>
        </w:tc>
        <w:tc>
          <w:tcPr>
            <w:tcW w:w="1000" w:type="dxa"/>
            <w:vAlign w:val="bottom"/>
            <w:tcBorders>
              <w:right w:val="single" w:sz="8" w:color="B2B2B2"/>
            </w:tcBorders>
            <w:vMerge w:val="continue"/>
          </w:tcPr>
          <w:p>
            <w:pPr>
              <w:spacing w:after="0"/>
              <w:rPr>
                <w:sz w:val="7"/>
                <w:szCs w:val="7"/>
                <w:color w:val="auto"/>
              </w:rPr>
            </w:pPr>
          </w:p>
        </w:tc>
        <w:tc>
          <w:tcPr>
            <w:tcW w:w="1040" w:type="dxa"/>
            <w:vAlign w:val="bottom"/>
            <w:tcBorders>
              <w:right w:val="single" w:sz="8" w:color="B2B2B2"/>
            </w:tcBorders>
            <w:vMerge w:val="continue"/>
          </w:tcPr>
          <w:p>
            <w:pPr>
              <w:spacing w:after="0"/>
              <w:rPr>
                <w:sz w:val="7"/>
                <w:szCs w:val="7"/>
                <w:color w:val="auto"/>
              </w:rPr>
            </w:pPr>
          </w:p>
        </w:tc>
        <w:tc>
          <w:tcPr>
            <w:tcW w:w="1060" w:type="dxa"/>
            <w:vAlign w:val="bottom"/>
            <w:tcBorders>
              <w:right w:val="single" w:sz="8" w:color="B2B2B2"/>
            </w:tcBorders>
            <w:vMerge w:val="continue"/>
          </w:tcPr>
          <w:p>
            <w:pPr>
              <w:spacing w:after="0"/>
              <w:rPr>
                <w:sz w:val="7"/>
                <w:szCs w:val="7"/>
                <w:color w:val="auto"/>
              </w:rPr>
            </w:pPr>
          </w:p>
        </w:tc>
        <w:tc>
          <w:tcPr>
            <w:tcW w:w="1420" w:type="dxa"/>
            <w:vAlign w:val="bottom"/>
            <w:tcBorders>
              <w:right w:val="single" w:sz="8" w:color="B2B2B2"/>
            </w:tcBorders>
            <w:vMerge w:val="continue"/>
          </w:tcPr>
          <w:p>
            <w:pPr>
              <w:spacing w:after="0"/>
              <w:rPr>
                <w:sz w:val="7"/>
                <w:szCs w:val="7"/>
                <w:color w:val="auto"/>
              </w:rPr>
            </w:pPr>
          </w:p>
        </w:tc>
        <w:tc>
          <w:tcPr>
            <w:tcW w:w="840" w:type="dxa"/>
            <w:vAlign w:val="bottom"/>
            <w:tcBorders>
              <w:right w:val="single" w:sz="8" w:color="B2B2B2"/>
            </w:tcBorders>
            <w:vMerge w:val="continue"/>
          </w:tcPr>
          <w:p>
            <w:pPr>
              <w:spacing w:after="0"/>
              <w:rPr>
                <w:sz w:val="7"/>
                <w:szCs w:val="7"/>
                <w:color w:val="auto"/>
              </w:rPr>
            </w:pPr>
          </w:p>
        </w:tc>
        <w:tc>
          <w:tcPr>
            <w:tcW w:w="1280" w:type="dxa"/>
            <w:vAlign w:val="bottom"/>
            <w:tcBorders>
              <w:right w:val="single" w:sz="8" w:color="B2B2B2"/>
            </w:tcBorders>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420" w:type="dxa"/>
            <w:vAlign w:val="bottom"/>
            <w:tcBorders>
              <w:right w:val="single" w:sz="8" w:color="B2B2B2"/>
            </w:tcBorders>
          </w:tcPr>
          <w:p>
            <w:pPr>
              <w:spacing w:after="0"/>
              <w:rPr>
                <w:sz w:val="2"/>
                <w:szCs w:val="2"/>
                <w:color w:val="auto"/>
              </w:rPr>
            </w:pPr>
          </w:p>
        </w:tc>
        <w:tc>
          <w:tcPr>
            <w:tcW w:w="6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1420" w:type="dxa"/>
            <w:vAlign w:val="bottom"/>
            <w:tcBorders>
              <w:bottom w:val="single" w:sz="8" w:color="B2B2B2"/>
              <w:right w:val="single" w:sz="8" w:color="B2B2B2"/>
            </w:tcBorders>
          </w:tcPr>
          <w:p>
            <w:pPr>
              <w:spacing w:after="0"/>
              <w:rPr>
                <w:sz w:val="2"/>
                <w:szCs w:val="2"/>
                <w:color w:val="auto"/>
              </w:rPr>
            </w:pPr>
          </w:p>
        </w:tc>
        <w:tc>
          <w:tcPr>
            <w:tcW w:w="84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right w:val="single" w:sz="8" w:color="B2B2B2"/>
            </w:tcBorders>
          </w:tcPr>
          <w:p>
            <w:pPr>
              <w:spacing w:after="0"/>
              <w:rPr>
                <w:sz w:val="2"/>
                <w:szCs w:val="2"/>
                <w:color w:val="auto"/>
              </w:rPr>
            </w:pPr>
          </w:p>
        </w:tc>
        <w:tc>
          <w:tcPr>
            <w:tcW w:w="1260" w:type="dxa"/>
            <w:vAlign w:val="bottom"/>
            <w:tcBorders>
              <w:bottom w:val="single" w:sz="8" w:color="B2B2B2"/>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420" w:type="dxa"/>
            <w:vAlign w:val="bottom"/>
            <w:tcBorders>
              <w:right w:val="single" w:sz="8" w:color="B2B2B2"/>
            </w:tcBorders>
          </w:tcPr>
          <w:p>
            <w:pPr>
              <w:spacing w:after="0"/>
              <w:rPr>
                <w:sz w:val="20"/>
                <w:szCs w:val="20"/>
                <w:color w:val="auto"/>
              </w:rPr>
            </w:pPr>
          </w:p>
        </w:tc>
        <w:tc>
          <w:tcPr>
            <w:tcW w:w="6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2023</w:t>
            </w:r>
          </w:p>
        </w:tc>
        <w:tc>
          <w:tcPr>
            <w:tcW w:w="10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750,000</w:t>
            </w:r>
          </w:p>
        </w:tc>
        <w:tc>
          <w:tcPr>
            <w:tcW w:w="104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1,125,095</w:t>
            </w:r>
          </w:p>
        </w:tc>
        <w:tc>
          <w:tcPr>
            <w:tcW w:w="106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375,007</w:t>
            </w:r>
          </w:p>
        </w:tc>
        <w:tc>
          <w:tcPr>
            <w:tcW w:w="142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918,750</w:t>
            </w:r>
          </w:p>
        </w:tc>
        <w:tc>
          <w:tcPr>
            <w:tcW w:w="840" w:type="dxa"/>
            <w:vAlign w:val="bottom"/>
            <w:tcBorders>
              <w:right w:val="single" w:sz="8" w:color="B2B2B2"/>
            </w:tcBorders>
          </w:tcPr>
          <w:p>
            <w:pPr>
              <w:jc w:val="right"/>
              <w:ind w:right="80"/>
              <w:spacing w:after="0"/>
              <w:rPr>
                <w:sz w:val="20"/>
                <w:szCs w:val="20"/>
                <w:color w:val="auto"/>
              </w:rPr>
            </w:pPr>
            <w:r>
              <w:rPr>
                <w:rFonts w:ascii="Arial" w:cs="Arial" w:eastAsia="Arial" w:hAnsi="Arial"/>
                <w:sz w:val="16"/>
                <w:szCs w:val="16"/>
                <w:color w:val="auto"/>
              </w:rPr>
              <w:t>– </w:t>
            </w:r>
          </w:p>
        </w:tc>
        <w:tc>
          <w:tcPr>
            <w:tcW w:w="12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40,124</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3,208,976</w:t>
            </w:r>
          </w:p>
        </w:tc>
        <w:tc>
          <w:tcPr>
            <w:tcW w:w="0" w:type="dxa"/>
            <w:vAlign w:val="bottom"/>
          </w:tcPr>
          <w:p>
            <w:pPr>
              <w:spacing w:after="0"/>
              <w:rPr>
                <w:sz w:val="1"/>
                <w:szCs w:val="1"/>
                <w:color w:val="auto"/>
              </w:rPr>
            </w:pPr>
          </w:p>
        </w:tc>
      </w:tr>
      <w:tr>
        <w:trPr>
          <w:trHeight w:val="27"/>
        </w:trPr>
        <w:tc>
          <w:tcPr>
            <w:tcW w:w="2420" w:type="dxa"/>
            <w:vAlign w:val="bottom"/>
            <w:tcBorders>
              <w:right w:val="single" w:sz="8" w:color="D64000"/>
            </w:tcBorders>
            <w:shd w:val="clear" w:color="auto" w:fill="D64000"/>
          </w:tcPr>
          <w:p>
            <w:pPr>
              <w:spacing w:after="0"/>
              <w:rPr>
                <w:sz w:val="2"/>
                <w:szCs w:val="2"/>
                <w:color w:val="auto"/>
              </w:rPr>
            </w:pPr>
          </w:p>
        </w:tc>
        <w:tc>
          <w:tcPr>
            <w:tcW w:w="600" w:type="dxa"/>
            <w:vAlign w:val="bottom"/>
            <w:tcBorders>
              <w:right w:val="single" w:sz="8" w:color="D64000"/>
            </w:tcBorders>
            <w:shd w:val="clear" w:color="auto" w:fill="D64000"/>
          </w:tcPr>
          <w:p>
            <w:pPr>
              <w:spacing w:after="0"/>
              <w:rPr>
                <w:sz w:val="2"/>
                <w:szCs w:val="2"/>
                <w:color w:val="auto"/>
              </w:rPr>
            </w:pPr>
          </w:p>
        </w:tc>
        <w:tc>
          <w:tcPr>
            <w:tcW w:w="1000" w:type="dxa"/>
            <w:vAlign w:val="bottom"/>
            <w:tcBorders>
              <w:right w:val="single" w:sz="8" w:color="D64000"/>
            </w:tcBorders>
            <w:shd w:val="clear" w:color="auto" w:fill="D64000"/>
          </w:tcPr>
          <w:p>
            <w:pPr>
              <w:spacing w:after="0"/>
              <w:rPr>
                <w:sz w:val="2"/>
                <w:szCs w:val="2"/>
                <w:color w:val="auto"/>
              </w:rPr>
            </w:pPr>
          </w:p>
        </w:tc>
        <w:tc>
          <w:tcPr>
            <w:tcW w:w="1040" w:type="dxa"/>
            <w:vAlign w:val="bottom"/>
            <w:tcBorders>
              <w:right w:val="single" w:sz="8" w:color="D64000"/>
            </w:tcBorders>
            <w:shd w:val="clear" w:color="auto" w:fill="D64000"/>
          </w:tcPr>
          <w:p>
            <w:pPr>
              <w:spacing w:after="0"/>
              <w:rPr>
                <w:sz w:val="2"/>
                <w:szCs w:val="2"/>
                <w:color w:val="auto"/>
              </w:rPr>
            </w:pPr>
          </w:p>
        </w:tc>
        <w:tc>
          <w:tcPr>
            <w:tcW w:w="1060" w:type="dxa"/>
            <w:vAlign w:val="bottom"/>
            <w:tcBorders>
              <w:right w:val="single" w:sz="8" w:color="D64000"/>
            </w:tcBorders>
            <w:shd w:val="clear" w:color="auto" w:fill="D64000"/>
          </w:tcPr>
          <w:p>
            <w:pPr>
              <w:spacing w:after="0"/>
              <w:rPr>
                <w:sz w:val="2"/>
                <w:szCs w:val="2"/>
                <w:color w:val="auto"/>
              </w:rPr>
            </w:pPr>
          </w:p>
        </w:tc>
        <w:tc>
          <w:tcPr>
            <w:tcW w:w="1420" w:type="dxa"/>
            <w:vAlign w:val="bottom"/>
            <w:tcBorders>
              <w:right w:val="single" w:sz="8" w:color="D64000"/>
            </w:tcBorders>
            <w:shd w:val="clear" w:color="auto" w:fill="D64000"/>
          </w:tcPr>
          <w:p>
            <w:pPr>
              <w:spacing w:after="0"/>
              <w:rPr>
                <w:sz w:val="2"/>
                <w:szCs w:val="2"/>
                <w:color w:val="auto"/>
              </w:rPr>
            </w:pPr>
          </w:p>
        </w:tc>
        <w:tc>
          <w:tcPr>
            <w:tcW w:w="840" w:type="dxa"/>
            <w:vAlign w:val="bottom"/>
            <w:tcBorders>
              <w:right w:val="single" w:sz="8" w:color="D64000"/>
            </w:tcBorders>
            <w:shd w:val="clear" w:color="auto" w:fill="D64000"/>
          </w:tcPr>
          <w:p>
            <w:pPr>
              <w:spacing w:after="0"/>
              <w:rPr>
                <w:sz w:val="2"/>
                <w:szCs w:val="2"/>
                <w:color w:val="auto"/>
              </w:rPr>
            </w:pPr>
          </w:p>
        </w:tc>
        <w:tc>
          <w:tcPr>
            <w:tcW w:w="1280" w:type="dxa"/>
            <w:vAlign w:val="bottom"/>
            <w:tcBorders>
              <w:right w:val="single" w:sz="8" w:color="D64000"/>
            </w:tcBorders>
            <w:shd w:val="clear" w:color="auto" w:fill="D64000"/>
          </w:tcPr>
          <w:p>
            <w:pPr>
              <w:spacing w:after="0"/>
              <w:rPr>
                <w:sz w:val="2"/>
                <w:szCs w:val="2"/>
                <w:color w:val="auto"/>
              </w:rPr>
            </w:pPr>
          </w:p>
        </w:tc>
        <w:tc>
          <w:tcPr>
            <w:tcW w:w="1260" w:type="dxa"/>
            <w:vAlign w:val="bottom"/>
            <w:shd w:val="clear" w:color="auto" w:fill="D64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20" w:right="420" w:hanging="213"/>
        <w:spacing w:after="0" w:line="268" w:lineRule="auto"/>
        <w:tabs>
          <w:tab w:leader="none" w:pos="2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Steve Hasker’s, Mike Eastwood’s and David Wong’s 2025, 2024, and 2023 compensation was paid in Canadian dollars and amounts in the table have been translated to U.S. dollars. Kirsty Roth’s 2025, 2024, and 2023 compensation was paid in Swiss francs and amounts in the table have been translated to U.S. dollars.</w:t>
      </w:r>
    </w:p>
    <w:p>
      <w:pPr>
        <w:ind w:left="220" w:right="200" w:hanging="213"/>
        <w:spacing w:after="0" w:line="256" w:lineRule="auto"/>
        <w:tabs>
          <w:tab w:leader="none" w:pos="2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Share-based awards reflect the grant date fair value of RSUs granted as long-term incentive awards in 2025, 2024 and 2023. The grant date fair value of all 2025, 2024 and 2023 awards were based on the closing price of our common shares on the NYSE or Nasdaq on the date prior to the grant date. PRSUs are valued assuming target performance. Additional information about our long-term incentive awards is provided in the “Compensation Discussion and Analysis” section of this circular.</w:t>
      </w:r>
    </w:p>
    <w:p>
      <w:pPr>
        <w:spacing w:after="0" w:line="3" w:lineRule="exact"/>
        <w:rPr>
          <w:sz w:val="20"/>
          <w:szCs w:val="20"/>
          <w:color w:val="auto"/>
        </w:rPr>
      </w:pPr>
    </w:p>
    <w:p>
      <w:pPr>
        <w:jc w:val="both"/>
        <w:ind w:left="220" w:right="80" w:hanging="213"/>
        <w:spacing w:after="0" w:line="249" w:lineRule="auto"/>
        <w:tabs>
          <w:tab w:leader="none" w:pos="2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For options granted in 2025, 2024 and 2023, we calculated the grant date fair value based on the closing common share price on the date prior to the grant date and used a Black-Scholes valuation of this share price. The grant date fair value of stock options granted in 2025, 2024 and 2023 was essentially the same as the accounting fair value of those stock options. Additional information is provided in note 26 of our 2025 annual consolidated financial statements, which is included in our 2025 annual report. The following table provides additional information, including assumptions and key estimates, about options granted to named executive officers in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69297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3"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83</w:t>
      </w:r>
    </w:p>
    <w:p>
      <w:pPr>
        <w:sectPr>
          <w:pgSz w:w="11900" w:h="16838" w:orient="portrait"/>
          <w:cols w:equalWidth="0" w:num="1">
            <w:col w:w="10920"/>
          </w:cols>
          <w:pgMar w:left="480" w:top="234" w:right="4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7"/>
        </w:trPr>
        <w:tc>
          <w:tcPr>
            <w:tcW w:w="1920" w:type="dxa"/>
            <w:vAlign w:val="bottom"/>
            <w:tcBorders>
              <w:right w:val="single" w:sz="8" w:color="1F473D"/>
            </w:tcBorders>
            <w:shd w:val="clear" w:color="auto" w:fill="1F473D"/>
          </w:tcPr>
          <w:p>
            <w:pPr>
              <w:spacing w:after="0"/>
              <w:rPr>
                <w:sz w:val="19"/>
                <w:szCs w:val="19"/>
                <w:color w:val="auto"/>
              </w:rPr>
            </w:pPr>
          </w:p>
        </w:tc>
        <w:tc>
          <w:tcPr>
            <w:tcW w:w="1360" w:type="dxa"/>
            <w:vAlign w:val="bottom"/>
            <w:tcBorders>
              <w:right w:val="single" w:sz="8" w:color="1F473D"/>
            </w:tcBorders>
            <w:shd w:val="clear" w:color="auto" w:fill="1F473D"/>
          </w:tcPr>
          <w:p>
            <w:pPr>
              <w:spacing w:after="0"/>
              <w:rPr>
                <w:sz w:val="19"/>
                <w:szCs w:val="19"/>
                <w:color w:val="auto"/>
              </w:rPr>
            </w:pPr>
          </w:p>
        </w:tc>
        <w:tc>
          <w:tcPr>
            <w:tcW w:w="560" w:type="dxa"/>
            <w:vAlign w:val="bottom"/>
            <w:shd w:val="clear" w:color="auto" w:fill="1F473D"/>
          </w:tcPr>
          <w:p>
            <w:pPr>
              <w:spacing w:after="0"/>
              <w:rPr>
                <w:sz w:val="19"/>
                <w:szCs w:val="19"/>
                <w:color w:val="auto"/>
              </w:rPr>
            </w:pPr>
          </w:p>
        </w:tc>
        <w:tc>
          <w:tcPr>
            <w:tcW w:w="1040" w:type="dxa"/>
            <w:vAlign w:val="bottom"/>
            <w:tcBorders>
              <w:right w:val="single" w:sz="8" w:color="B2B2B2"/>
            </w:tcBorders>
            <w:shd w:val="clear" w:color="auto" w:fill="1F473D"/>
          </w:tcPr>
          <w:p>
            <w:pPr>
              <w:spacing w:after="0"/>
              <w:rPr>
                <w:sz w:val="19"/>
                <w:szCs w:val="19"/>
                <w:color w:val="auto"/>
              </w:rPr>
            </w:pPr>
          </w:p>
        </w:tc>
        <w:tc>
          <w:tcPr>
            <w:tcW w:w="1460" w:type="dxa"/>
            <w:vAlign w:val="bottom"/>
            <w:tcBorders>
              <w:right w:val="single" w:sz="8" w:color="B2B2B2"/>
            </w:tcBorders>
            <w:shd w:val="clear" w:color="auto" w:fill="1F473D"/>
          </w:tcPr>
          <w:p>
            <w:pPr>
              <w:spacing w:after="0"/>
              <w:rPr>
                <w:sz w:val="19"/>
                <w:szCs w:val="19"/>
                <w:color w:val="auto"/>
              </w:rPr>
            </w:pPr>
          </w:p>
        </w:tc>
        <w:tc>
          <w:tcPr>
            <w:tcW w:w="1040" w:type="dxa"/>
            <w:vAlign w:val="bottom"/>
            <w:tcBorders>
              <w:right w:val="single" w:sz="8" w:color="1F473D"/>
            </w:tcBorders>
            <w:shd w:val="clear" w:color="auto" w:fill="1F473D"/>
          </w:tcPr>
          <w:p>
            <w:pPr>
              <w:spacing w:after="0"/>
              <w:rPr>
                <w:sz w:val="19"/>
                <w:szCs w:val="19"/>
                <w:color w:val="auto"/>
              </w:rPr>
            </w:pPr>
          </w:p>
        </w:tc>
        <w:tc>
          <w:tcPr>
            <w:tcW w:w="1060" w:type="dxa"/>
            <w:vAlign w:val="bottom"/>
            <w:tcBorders>
              <w:right w:val="single" w:sz="8" w:color="1F473D"/>
            </w:tcBorders>
            <w:shd w:val="clear" w:color="auto" w:fill="1F473D"/>
          </w:tcPr>
          <w:p>
            <w:pPr>
              <w:spacing w:after="0"/>
              <w:rPr>
                <w:sz w:val="19"/>
                <w:szCs w:val="19"/>
                <w:color w:val="auto"/>
              </w:rPr>
            </w:pPr>
          </w:p>
        </w:tc>
        <w:tc>
          <w:tcPr>
            <w:tcW w:w="380" w:type="dxa"/>
            <w:vAlign w:val="bottom"/>
            <w:shd w:val="clear" w:color="auto" w:fill="1F473D"/>
          </w:tcPr>
          <w:p>
            <w:pPr>
              <w:spacing w:after="0"/>
              <w:rPr>
                <w:sz w:val="19"/>
                <w:szCs w:val="19"/>
                <w:color w:val="auto"/>
              </w:rPr>
            </w:pPr>
          </w:p>
        </w:tc>
        <w:tc>
          <w:tcPr>
            <w:tcW w:w="1100" w:type="dxa"/>
            <w:vAlign w:val="bottom"/>
            <w:tcBorders>
              <w:right w:val="single" w:sz="8" w:color="B2B2B2"/>
            </w:tcBorders>
            <w:shd w:val="clear" w:color="auto" w:fill="1F473D"/>
          </w:tcPr>
          <w:p>
            <w:pPr>
              <w:spacing w:after="0"/>
              <w:rPr>
                <w:sz w:val="19"/>
                <w:szCs w:val="19"/>
                <w:color w:val="auto"/>
              </w:rPr>
            </w:pPr>
          </w:p>
        </w:tc>
        <w:tc>
          <w:tcPr>
            <w:tcW w:w="100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Black-</w:t>
            </w:r>
          </w:p>
        </w:tc>
      </w:tr>
      <w:tr>
        <w:trPr>
          <w:trHeight w:val="187"/>
        </w:trPr>
        <w:tc>
          <w:tcPr>
            <w:tcW w:w="1920" w:type="dxa"/>
            <w:vAlign w:val="bottom"/>
            <w:tcBorders>
              <w:right w:val="single" w:sz="8" w:color="1F473D"/>
            </w:tcBorders>
            <w:shd w:val="clear" w:color="auto" w:fill="1F473D"/>
          </w:tcPr>
          <w:p>
            <w:pPr>
              <w:spacing w:after="0"/>
              <w:rPr>
                <w:sz w:val="16"/>
                <w:szCs w:val="16"/>
                <w:color w:val="auto"/>
              </w:rPr>
            </w:pPr>
          </w:p>
        </w:tc>
        <w:tc>
          <w:tcPr>
            <w:tcW w:w="1360" w:type="dxa"/>
            <w:vAlign w:val="bottom"/>
            <w:tcBorders>
              <w:right w:val="single" w:sz="8" w:color="1F473D"/>
            </w:tcBorders>
            <w:shd w:val="clear" w:color="auto" w:fill="1F473D"/>
          </w:tcPr>
          <w:p>
            <w:pPr>
              <w:jc w:val="right"/>
              <w:ind w:right="80"/>
              <w:spacing w:after="0"/>
              <w:rPr>
                <w:sz w:val="20"/>
                <w:szCs w:val="20"/>
                <w:color w:val="auto"/>
              </w:rPr>
            </w:pPr>
            <w:r>
              <w:rPr>
                <w:rFonts w:ascii="Arial" w:cs="Arial" w:eastAsia="Arial" w:hAnsi="Arial"/>
                <w:sz w:val="16"/>
                <w:szCs w:val="16"/>
                <w:b w:val="1"/>
                <w:bCs w:val="1"/>
                <w:color w:val="FFFFFF"/>
              </w:rPr>
              <w:t>Expected Life</w:t>
            </w:r>
          </w:p>
        </w:tc>
        <w:tc>
          <w:tcPr>
            <w:tcW w:w="1600" w:type="dxa"/>
            <w:vAlign w:val="bottom"/>
            <w:tcBorders>
              <w:right w:val="single" w:sz="8" w:color="B2B2B2"/>
            </w:tcBorders>
            <w:gridSpan w:val="2"/>
            <w:shd w:val="clear" w:color="auto" w:fill="1F473D"/>
          </w:tcPr>
          <w:p>
            <w:pPr>
              <w:ind w:left="140"/>
              <w:spacing w:after="0"/>
              <w:rPr>
                <w:sz w:val="20"/>
                <w:szCs w:val="20"/>
                <w:color w:val="auto"/>
              </w:rPr>
            </w:pPr>
            <w:r>
              <w:rPr>
                <w:rFonts w:ascii="Arial" w:cs="Arial" w:eastAsia="Arial" w:hAnsi="Arial"/>
                <w:sz w:val="16"/>
                <w:szCs w:val="16"/>
                <w:b w:val="1"/>
                <w:bCs w:val="1"/>
                <w:color w:val="FFFFFF"/>
              </w:rPr>
              <w:t>Exercise/Market</w:t>
            </w:r>
          </w:p>
        </w:tc>
        <w:tc>
          <w:tcPr>
            <w:tcW w:w="1460" w:type="dxa"/>
            <w:vAlign w:val="bottom"/>
            <w:tcBorders>
              <w:right w:val="single" w:sz="8" w:color="B2B2B2"/>
            </w:tcBorders>
            <w:shd w:val="clear" w:color="auto" w:fill="1F473D"/>
          </w:tcPr>
          <w:p>
            <w:pPr>
              <w:spacing w:after="0"/>
              <w:rPr>
                <w:sz w:val="16"/>
                <w:szCs w:val="16"/>
                <w:color w:val="auto"/>
              </w:rPr>
            </w:pPr>
          </w:p>
        </w:tc>
        <w:tc>
          <w:tcPr>
            <w:tcW w:w="1040" w:type="dxa"/>
            <w:vAlign w:val="bottom"/>
            <w:tcBorders>
              <w:right w:val="single" w:sz="8" w:color="1F473D"/>
            </w:tcBorders>
            <w:shd w:val="clear" w:color="auto" w:fill="1F473D"/>
          </w:tcPr>
          <w:p>
            <w:pPr>
              <w:spacing w:after="0"/>
              <w:rPr>
                <w:sz w:val="16"/>
                <w:szCs w:val="16"/>
                <w:color w:val="auto"/>
              </w:rPr>
            </w:pPr>
          </w:p>
        </w:tc>
        <w:tc>
          <w:tcPr>
            <w:tcW w:w="1060" w:type="dxa"/>
            <w:vAlign w:val="bottom"/>
            <w:tcBorders>
              <w:right w:val="single" w:sz="8" w:color="1F473D"/>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Dividend</w:t>
            </w:r>
          </w:p>
        </w:tc>
        <w:tc>
          <w:tcPr>
            <w:tcW w:w="1480" w:type="dxa"/>
            <w:vAlign w:val="bottom"/>
            <w:tcBorders>
              <w:right w:val="single" w:sz="8" w:color="B2B2B2"/>
            </w:tcBorders>
            <w:gridSpan w:val="2"/>
            <w:shd w:val="clear" w:color="auto" w:fill="1F473D"/>
          </w:tcPr>
          <w:p>
            <w:pPr>
              <w:ind w:left="160"/>
              <w:spacing w:after="0"/>
              <w:rPr>
                <w:sz w:val="20"/>
                <w:szCs w:val="20"/>
                <w:color w:val="auto"/>
              </w:rPr>
            </w:pPr>
            <w:r>
              <w:rPr>
                <w:rFonts w:ascii="Arial" w:cs="Arial" w:eastAsia="Arial" w:hAnsi="Arial"/>
                <w:sz w:val="16"/>
                <w:szCs w:val="16"/>
                <w:b w:val="1"/>
                <w:bCs w:val="1"/>
                <w:color w:val="FFFFFF"/>
              </w:rPr>
              <w:t>Black-Scholes</w:t>
            </w:r>
          </w:p>
        </w:tc>
        <w:tc>
          <w:tcPr>
            <w:tcW w:w="100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Scholes</w:t>
            </w:r>
          </w:p>
        </w:tc>
      </w:tr>
      <w:tr>
        <w:trPr>
          <w:trHeight w:val="221"/>
        </w:trPr>
        <w:tc>
          <w:tcPr>
            <w:tcW w:w="1920" w:type="dxa"/>
            <w:vAlign w:val="bottom"/>
            <w:tcBorders>
              <w:bottom w:val="single" w:sz="8" w:color="D64000"/>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Grant Date</w:t>
            </w:r>
          </w:p>
        </w:tc>
        <w:tc>
          <w:tcPr>
            <w:tcW w:w="1360" w:type="dxa"/>
            <w:vAlign w:val="bottom"/>
            <w:tcBorders>
              <w:bottom w:val="single" w:sz="8" w:color="D64000"/>
              <w:right w:val="single" w:sz="8" w:color="1F473D"/>
            </w:tcBorders>
            <w:shd w:val="clear" w:color="auto" w:fill="1F473D"/>
          </w:tcPr>
          <w:p>
            <w:pPr>
              <w:jc w:val="right"/>
              <w:ind w:right="80"/>
              <w:spacing w:after="0"/>
              <w:rPr>
                <w:sz w:val="20"/>
                <w:szCs w:val="20"/>
                <w:color w:val="auto"/>
              </w:rPr>
            </w:pPr>
            <w:r>
              <w:rPr>
                <w:rFonts w:ascii="Arial" w:cs="Arial" w:eastAsia="Arial" w:hAnsi="Arial"/>
                <w:sz w:val="16"/>
                <w:szCs w:val="16"/>
                <w:b w:val="1"/>
                <w:bCs w:val="1"/>
                <w:color w:val="FFFFFF"/>
              </w:rPr>
              <w:t>(in years)</w:t>
            </w:r>
          </w:p>
        </w:tc>
        <w:tc>
          <w:tcPr>
            <w:tcW w:w="560" w:type="dxa"/>
            <w:vAlign w:val="bottom"/>
            <w:tcBorders>
              <w:bottom w:val="single" w:sz="8" w:color="D64000"/>
            </w:tcBorders>
            <w:shd w:val="clear" w:color="auto" w:fill="1F473D"/>
          </w:tcPr>
          <w:p>
            <w:pPr>
              <w:spacing w:after="0"/>
              <w:rPr>
                <w:sz w:val="19"/>
                <w:szCs w:val="19"/>
                <w:color w:val="auto"/>
              </w:rPr>
            </w:pPr>
          </w:p>
        </w:tc>
        <w:tc>
          <w:tcPr>
            <w:tcW w:w="1040" w:type="dxa"/>
            <w:vAlign w:val="bottom"/>
            <w:tcBorders>
              <w:bottom w:val="single" w:sz="8" w:color="D64000"/>
              <w:right w:val="single" w:sz="8" w:color="B2B2B2"/>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Price</w:t>
            </w:r>
          </w:p>
        </w:tc>
        <w:tc>
          <w:tcPr>
            <w:tcW w:w="1460" w:type="dxa"/>
            <w:vAlign w:val="bottom"/>
            <w:tcBorders>
              <w:bottom w:val="single" w:sz="8" w:color="D64000"/>
              <w:right w:val="single" w:sz="8" w:color="B2B2B2"/>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Risk-free Rate</w:t>
            </w:r>
          </w:p>
        </w:tc>
        <w:tc>
          <w:tcPr>
            <w:tcW w:w="1040" w:type="dxa"/>
            <w:vAlign w:val="bottom"/>
            <w:tcBorders>
              <w:bottom w:val="single" w:sz="8" w:color="D64000"/>
              <w:right w:val="single" w:sz="8" w:color="1F473D"/>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Volatility</w:t>
            </w:r>
          </w:p>
        </w:tc>
        <w:tc>
          <w:tcPr>
            <w:tcW w:w="1060" w:type="dxa"/>
            <w:vAlign w:val="bottom"/>
            <w:tcBorders>
              <w:bottom w:val="single" w:sz="8" w:color="D64000"/>
              <w:right w:val="single" w:sz="8" w:color="1F473D"/>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Yield</w:t>
            </w:r>
          </w:p>
        </w:tc>
        <w:tc>
          <w:tcPr>
            <w:tcW w:w="380" w:type="dxa"/>
            <w:vAlign w:val="bottom"/>
            <w:tcBorders>
              <w:bottom w:val="single" w:sz="8" w:color="D64000"/>
            </w:tcBorders>
            <w:shd w:val="clear" w:color="auto" w:fill="1F473D"/>
          </w:tcPr>
          <w:p>
            <w:pPr>
              <w:spacing w:after="0"/>
              <w:rPr>
                <w:sz w:val="19"/>
                <w:szCs w:val="19"/>
                <w:color w:val="auto"/>
              </w:rPr>
            </w:pPr>
          </w:p>
        </w:tc>
        <w:tc>
          <w:tcPr>
            <w:tcW w:w="1100" w:type="dxa"/>
            <w:vAlign w:val="bottom"/>
            <w:tcBorders>
              <w:bottom w:val="single" w:sz="8" w:color="D64000"/>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Valuation</w:t>
            </w:r>
          </w:p>
        </w:tc>
        <w:tc>
          <w:tcPr>
            <w:tcW w:w="1000" w:type="dxa"/>
            <w:vAlign w:val="bottom"/>
            <w:tcBorders>
              <w:bottom w:val="single" w:sz="8" w:color="D64000"/>
            </w:tcBorders>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Ratio</w:t>
            </w:r>
          </w:p>
        </w:tc>
      </w:tr>
      <w:tr>
        <w:trPr>
          <w:trHeight w:val="247"/>
        </w:trPr>
        <w:tc>
          <w:tcPr>
            <w:tcW w:w="19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March 5, 2025</w:t>
            </w:r>
          </w:p>
        </w:tc>
        <w:tc>
          <w:tcPr>
            <w:tcW w:w="1360" w:type="dxa"/>
            <w:vAlign w:val="bottom"/>
            <w:tcBorders>
              <w:right w:val="single" w:sz="8" w:color="B2B2B2"/>
            </w:tcBorders>
          </w:tcPr>
          <w:p>
            <w:pPr>
              <w:jc w:val="right"/>
              <w:ind w:right="80"/>
              <w:spacing w:after="0"/>
              <w:rPr>
                <w:sz w:val="20"/>
                <w:szCs w:val="20"/>
                <w:color w:val="auto"/>
              </w:rPr>
            </w:pPr>
            <w:r>
              <w:rPr>
                <w:rFonts w:ascii="Arial" w:cs="Arial" w:eastAsia="Arial" w:hAnsi="Arial"/>
                <w:sz w:val="16"/>
                <w:szCs w:val="16"/>
                <w:color w:val="auto"/>
              </w:rPr>
              <w:t>5.0</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175.82</w:t>
            </w:r>
          </w:p>
        </w:tc>
        <w:tc>
          <w:tcPr>
            <w:tcW w:w="14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4.08%</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22.36%</w:t>
            </w:r>
          </w:p>
        </w:tc>
        <w:tc>
          <w:tcPr>
            <w:tcW w:w="10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1.61%</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40.26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22.90%</w:t>
            </w:r>
          </w:p>
        </w:tc>
      </w:tr>
      <w:tr>
        <w:trPr>
          <w:trHeight w:val="34"/>
        </w:trPr>
        <w:tc>
          <w:tcPr>
            <w:tcW w:w="192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560" w:type="dxa"/>
            <w:vAlign w:val="bottom"/>
            <w:tcBorders>
              <w:bottom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4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380" w:type="dxa"/>
            <w:vAlign w:val="bottom"/>
            <w:tcBorders>
              <w:bottom w:val="single" w:sz="8" w:color="B2B2B2"/>
            </w:tcBorders>
          </w:tcPr>
          <w:p>
            <w:pPr>
              <w:spacing w:after="0"/>
              <w:rPr>
                <w:sz w:val="2"/>
                <w:szCs w:val="2"/>
                <w:color w:val="auto"/>
              </w:rPr>
            </w:pPr>
          </w:p>
        </w:tc>
        <w:tc>
          <w:tcPr>
            <w:tcW w:w="11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tcBorders>
          </w:tcPr>
          <w:p>
            <w:pPr>
              <w:spacing w:after="0"/>
              <w:rPr>
                <w:sz w:val="2"/>
                <w:szCs w:val="2"/>
                <w:color w:val="auto"/>
              </w:rPr>
            </w:pPr>
          </w:p>
        </w:tc>
      </w:tr>
      <w:tr>
        <w:trPr>
          <w:trHeight w:val="241"/>
        </w:trPr>
        <w:tc>
          <w:tcPr>
            <w:tcW w:w="19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March 6, 2024</w:t>
            </w:r>
          </w:p>
        </w:tc>
        <w:tc>
          <w:tcPr>
            <w:tcW w:w="1360" w:type="dxa"/>
            <w:vAlign w:val="bottom"/>
            <w:tcBorders>
              <w:right w:val="single" w:sz="8" w:color="B2B2B2"/>
            </w:tcBorders>
          </w:tcPr>
          <w:p>
            <w:pPr>
              <w:jc w:val="right"/>
              <w:ind w:right="80"/>
              <w:spacing w:after="0"/>
              <w:rPr>
                <w:sz w:val="20"/>
                <w:szCs w:val="20"/>
                <w:color w:val="auto"/>
              </w:rPr>
            </w:pPr>
            <w:r>
              <w:rPr>
                <w:rFonts w:ascii="Arial" w:cs="Arial" w:eastAsia="Arial" w:hAnsi="Arial"/>
                <w:sz w:val="16"/>
                <w:szCs w:val="16"/>
                <w:color w:val="auto"/>
              </w:rPr>
              <w:t>5.0</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156.94</w:t>
            </w:r>
          </w:p>
        </w:tc>
        <w:tc>
          <w:tcPr>
            <w:tcW w:w="14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4.23%</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22.62%</w:t>
            </w:r>
          </w:p>
        </w:tc>
        <w:tc>
          <w:tcPr>
            <w:tcW w:w="10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1.77%</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35.91</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22.88%</w:t>
            </w:r>
          </w:p>
        </w:tc>
      </w:tr>
      <w:tr>
        <w:trPr>
          <w:trHeight w:val="34"/>
        </w:trPr>
        <w:tc>
          <w:tcPr>
            <w:tcW w:w="192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560" w:type="dxa"/>
            <w:vAlign w:val="bottom"/>
            <w:tcBorders>
              <w:bottom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4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380" w:type="dxa"/>
            <w:vAlign w:val="bottom"/>
            <w:tcBorders>
              <w:bottom w:val="single" w:sz="8" w:color="B2B2B2"/>
            </w:tcBorders>
          </w:tcPr>
          <w:p>
            <w:pPr>
              <w:spacing w:after="0"/>
              <w:rPr>
                <w:sz w:val="2"/>
                <w:szCs w:val="2"/>
                <w:color w:val="auto"/>
              </w:rPr>
            </w:pPr>
          </w:p>
        </w:tc>
        <w:tc>
          <w:tcPr>
            <w:tcW w:w="11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tcBorders>
          </w:tcPr>
          <w:p>
            <w:pPr>
              <w:spacing w:after="0"/>
              <w:rPr>
                <w:sz w:val="2"/>
                <w:szCs w:val="2"/>
                <w:color w:val="auto"/>
              </w:rPr>
            </w:pPr>
          </w:p>
        </w:tc>
      </w:tr>
      <w:tr>
        <w:trPr>
          <w:trHeight w:val="241"/>
        </w:trPr>
        <w:tc>
          <w:tcPr>
            <w:tcW w:w="19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May 10, 2023</w:t>
            </w:r>
          </w:p>
        </w:tc>
        <w:tc>
          <w:tcPr>
            <w:tcW w:w="1360" w:type="dxa"/>
            <w:vAlign w:val="bottom"/>
            <w:tcBorders>
              <w:right w:val="single" w:sz="8" w:color="B2B2B2"/>
            </w:tcBorders>
          </w:tcPr>
          <w:p>
            <w:pPr>
              <w:jc w:val="right"/>
              <w:ind w:right="80"/>
              <w:spacing w:after="0"/>
              <w:rPr>
                <w:sz w:val="20"/>
                <w:szCs w:val="20"/>
                <w:color w:val="auto"/>
              </w:rPr>
            </w:pPr>
            <w:r>
              <w:rPr>
                <w:rFonts w:ascii="Arial" w:cs="Arial" w:eastAsia="Arial" w:hAnsi="Arial"/>
                <w:sz w:val="16"/>
                <w:szCs w:val="16"/>
                <w:color w:val="auto"/>
              </w:rPr>
              <w:t>5.0</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123.39</w:t>
            </w:r>
          </w:p>
        </w:tc>
        <w:tc>
          <w:tcPr>
            <w:tcW w:w="14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3.57%</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22.26%</w:t>
            </w:r>
          </w:p>
        </w:tc>
        <w:tc>
          <w:tcPr>
            <w:tcW w:w="10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2.08%</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25.22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20.44%</w:t>
            </w:r>
          </w:p>
        </w:tc>
      </w:tr>
      <w:tr>
        <w:trPr>
          <w:trHeight w:val="34"/>
        </w:trPr>
        <w:tc>
          <w:tcPr>
            <w:tcW w:w="1920" w:type="dxa"/>
            <w:vAlign w:val="bottom"/>
            <w:tcBorders>
              <w:bottom w:val="single" w:sz="8" w:color="B2B2B2"/>
              <w:right w:val="single" w:sz="8" w:color="B2B2B2"/>
            </w:tcBorders>
          </w:tcPr>
          <w:p>
            <w:pPr>
              <w:spacing w:after="0"/>
              <w:rPr>
                <w:sz w:val="2"/>
                <w:szCs w:val="2"/>
                <w:color w:val="auto"/>
              </w:rPr>
            </w:pPr>
          </w:p>
        </w:tc>
        <w:tc>
          <w:tcPr>
            <w:tcW w:w="1360" w:type="dxa"/>
            <w:vAlign w:val="bottom"/>
            <w:tcBorders>
              <w:bottom w:val="single" w:sz="8" w:color="B2B2B2"/>
              <w:right w:val="single" w:sz="8" w:color="B2B2B2"/>
            </w:tcBorders>
          </w:tcPr>
          <w:p>
            <w:pPr>
              <w:spacing w:after="0"/>
              <w:rPr>
                <w:sz w:val="2"/>
                <w:szCs w:val="2"/>
                <w:color w:val="auto"/>
              </w:rPr>
            </w:pPr>
          </w:p>
        </w:tc>
        <w:tc>
          <w:tcPr>
            <w:tcW w:w="560" w:type="dxa"/>
            <w:vAlign w:val="bottom"/>
            <w:tcBorders>
              <w:bottom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460" w:type="dxa"/>
            <w:vAlign w:val="bottom"/>
            <w:tcBorders>
              <w:bottom w:val="single" w:sz="8" w:color="B2B2B2"/>
              <w:right w:val="single" w:sz="8" w:color="B2B2B2"/>
            </w:tcBorders>
          </w:tcPr>
          <w:p>
            <w:pPr>
              <w:spacing w:after="0"/>
              <w:rPr>
                <w:sz w:val="2"/>
                <w:szCs w:val="2"/>
                <w:color w:val="auto"/>
              </w:rPr>
            </w:pPr>
          </w:p>
        </w:tc>
        <w:tc>
          <w:tcPr>
            <w:tcW w:w="1040" w:type="dxa"/>
            <w:vAlign w:val="bottom"/>
            <w:tcBorders>
              <w:bottom w:val="single" w:sz="8" w:color="B2B2B2"/>
              <w:right w:val="single" w:sz="8" w:color="B2B2B2"/>
            </w:tcBorders>
          </w:tcPr>
          <w:p>
            <w:pPr>
              <w:spacing w:after="0"/>
              <w:rPr>
                <w:sz w:val="2"/>
                <w:szCs w:val="2"/>
                <w:color w:val="auto"/>
              </w:rPr>
            </w:pPr>
          </w:p>
        </w:tc>
        <w:tc>
          <w:tcPr>
            <w:tcW w:w="1060" w:type="dxa"/>
            <w:vAlign w:val="bottom"/>
            <w:tcBorders>
              <w:bottom w:val="single" w:sz="8" w:color="B2B2B2"/>
              <w:right w:val="single" w:sz="8" w:color="B2B2B2"/>
            </w:tcBorders>
          </w:tcPr>
          <w:p>
            <w:pPr>
              <w:spacing w:after="0"/>
              <w:rPr>
                <w:sz w:val="2"/>
                <w:szCs w:val="2"/>
                <w:color w:val="auto"/>
              </w:rPr>
            </w:pPr>
          </w:p>
        </w:tc>
        <w:tc>
          <w:tcPr>
            <w:tcW w:w="380" w:type="dxa"/>
            <w:vAlign w:val="bottom"/>
            <w:tcBorders>
              <w:bottom w:val="single" w:sz="8" w:color="B2B2B2"/>
            </w:tcBorders>
          </w:tcPr>
          <w:p>
            <w:pPr>
              <w:spacing w:after="0"/>
              <w:rPr>
                <w:sz w:val="2"/>
                <w:szCs w:val="2"/>
                <w:color w:val="auto"/>
              </w:rPr>
            </w:pPr>
          </w:p>
        </w:tc>
        <w:tc>
          <w:tcPr>
            <w:tcW w:w="1100" w:type="dxa"/>
            <w:vAlign w:val="bottom"/>
            <w:tcBorders>
              <w:bottom w:val="single" w:sz="8" w:color="B2B2B2"/>
              <w:right w:val="single" w:sz="8" w:color="B2B2B2"/>
            </w:tcBorders>
          </w:tcPr>
          <w:p>
            <w:pPr>
              <w:spacing w:after="0"/>
              <w:rPr>
                <w:sz w:val="2"/>
                <w:szCs w:val="2"/>
                <w:color w:val="auto"/>
              </w:rPr>
            </w:pPr>
          </w:p>
        </w:tc>
        <w:tc>
          <w:tcPr>
            <w:tcW w:w="1000" w:type="dxa"/>
            <w:vAlign w:val="bottom"/>
            <w:tcBorders>
              <w:bottom w:val="single" w:sz="8" w:color="B2B2B2"/>
            </w:tcBorders>
          </w:tcPr>
          <w:p>
            <w:pPr>
              <w:spacing w:after="0"/>
              <w:rPr>
                <w:sz w:val="2"/>
                <w:szCs w:val="2"/>
                <w:color w:val="auto"/>
              </w:rPr>
            </w:pPr>
          </w:p>
        </w:tc>
      </w:tr>
      <w:tr>
        <w:trPr>
          <w:trHeight w:val="241"/>
        </w:trPr>
        <w:tc>
          <w:tcPr>
            <w:tcW w:w="19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March 1, 2023</w:t>
            </w:r>
          </w:p>
        </w:tc>
        <w:tc>
          <w:tcPr>
            <w:tcW w:w="1360" w:type="dxa"/>
            <w:vAlign w:val="bottom"/>
            <w:tcBorders>
              <w:right w:val="single" w:sz="8" w:color="B2B2B2"/>
            </w:tcBorders>
          </w:tcPr>
          <w:p>
            <w:pPr>
              <w:jc w:val="right"/>
              <w:ind w:right="80"/>
              <w:spacing w:after="0"/>
              <w:rPr>
                <w:sz w:val="20"/>
                <w:szCs w:val="20"/>
                <w:color w:val="auto"/>
              </w:rPr>
            </w:pPr>
            <w:r>
              <w:rPr>
                <w:rFonts w:ascii="Arial" w:cs="Arial" w:eastAsia="Arial" w:hAnsi="Arial"/>
                <w:sz w:val="16"/>
                <w:szCs w:val="16"/>
                <w:color w:val="auto"/>
              </w:rPr>
              <w:t>5.0</w:t>
            </w:r>
          </w:p>
        </w:tc>
        <w:tc>
          <w:tcPr>
            <w:tcW w:w="560" w:type="dxa"/>
            <w:vAlign w:val="bottom"/>
          </w:tcPr>
          <w:p>
            <w:pPr>
              <w:ind w:left="140"/>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121.03</w:t>
            </w:r>
          </w:p>
        </w:tc>
        <w:tc>
          <w:tcPr>
            <w:tcW w:w="14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4.23%</w:t>
            </w:r>
          </w:p>
        </w:tc>
        <w:tc>
          <w:tcPr>
            <w:tcW w:w="104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21.95%</w:t>
            </w:r>
          </w:p>
        </w:tc>
        <w:tc>
          <w:tcPr>
            <w:tcW w:w="10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2.08%</w:t>
            </w: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25.97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21.46%</w:t>
            </w:r>
          </w:p>
        </w:tc>
      </w:tr>
      <w:tr>
        <w:trPr>
          <w:trHeight w:val="94"/>
        </w:trPr>
        <w:tc>
          <w:tcPr>
            <w:tcW w:w="1920" w:type="dxa"/>
            <w:vAlign w:val="bottom"/>
            <w:tcBorders>
              <w:bottom w:val="single" w:sz="8" w:color="D64000"/>
              <w:right w:val="single" w:sz="8" w:color="B2B2B2"/>
            </w:tcBorders>
          </w:tcPr>
          <w:p>
            <w:pPr>
              <w:spacing w:after="0"/>
              <w:rPr>
                <w:sz w:val="8"/>
                <w:szCs w:val="8"/>
                <w:color w:val="auto"/>
              </w:rPr>
            </w:pPr>
          </w:p>
        </w:tc>
        <w:tc>
          <w:tcPr>
            <w:tcW w:w="1360" w:type="dxa"/>
            <w:vAlign w:val="bottom"/>
            <w:tcBorders>
              <w:bottom w:val="single" w:sz="8" w:color="D64000"/>
              <w:right w:val="single" w:sz="8" w:color="B2B2B2"/>
            </w:tcBorders>
          </w:tcPr>
          <w:p>
            <w:pPr>
              <w:spacing w:after="0"/>
              <w:rPr>
                <w:sz w:val="8"/>
                <w:szCs w:val="8"/>
                <w:color w:val="auto"/>
              </w:rPr>
            </w:pPr>
          </w:p>
        </w:tc>
        <w:tc>
          <w:tcPr>
            <w:tcW w:w="560" w:type="dxa"/>
            <w:vAlign w:val="bottom"/>
            <w:tcBorders>
              <w:bottom w:val="single" w:sz="8" w:color="D64000"/>
            </w:tcBorders>
          </w:tcPr>
          <w:p>
            <w:pPr>
              <w:spacing w:after="0"/>
              <w:rPr>
                <w:sz w:val="8"/>
                <w:szCs w:val="8"/>
                <w:color w:val="auto"/>
              </w:rPr>
            </w:pPr>
          </w:p>
        </w:tc>
        <w:tc>
          <w:tcPr>
            <w:tcW w:w="1040" w:type="dxa"/>
            <w:vAlign w:val="bottom"/>
            <w:tcBorders>
              <w:bottom w:val="single" w:sz="8" w:color="D64000"/>
              <w:right w:val="single" w:sz="8" w:color="B2B2B2"/>
            </w:tcBorders>
          </w:tcPr>
          <w:p>
            <w:pPr>
              <w:spacing w:after="0"/>
              <w:rPr>
                <w:sz w:val="8"/>
                <w:szCs w:val="8"/>
                <w:color w:val="auto"/>
              </w:rPr>
            </w:pPr>
          </w:p>
        </w:tc>
        <w:tc>
          <w:tcPr>
            <w:tcW w:w="1460" w:type="dxa"/>
            <w:vAlign w:val="bottom"/>
            <w:tcBorders>
              <w:bottom w:val="single" w:sz="8" w:color="D64000"/>
              <w:right w:val="single" w:sz="8" w:color="B2B2B2"/>
            </w:tcBorders>
          </w:tcPr>
          <w:p>
            <w:pPr>
              <w:spacing w:after="0"/>
              <w:rPr>
                <w:sz w:val="8"/>
                <w:szCs w:val="8"/>
                <w:color w:val="auto"/>
              </w:rPr>
            </w:pPr>
          </w:p>
        </w:tc>
        <w:tc>
          <w:tcPr>
            <w:tcW w:w="1040" w:type="dxa"/>
            <w:vAlign w:val="bottom"/>
            <w:tcBorders>
              <w:bottom w:val="single" w:sz="8" w:color="D64000"/>
              <w:right w:val="single" w:sz="8" w:color="B2B2B2"/>
            </w:tcBorders>
          </w:tcPr>
          <w:p>
            <w:pPr>
              <w:spacing w:after="0"/>
              <w:rPr>
                <w:sz w:val="8"/>
                <w:szCs w:val="8"/>
                <w:color w:val="auto"/>
              </w:rPr>
            </w:pPr>
          </w:p>
        </w:tc>
        <w:tc>
          <w:tcPr>
            <w:tcW w:w="1060" w:type="dxa"/>
            <w:vAlign w:val="bottom"/>
            <w:tcBorders>
              <w:bottom w:val="single" w:sz="8" w:color="D64000"/>
              <w:right w:val="single" w:sz="8" w:color="B2B2B2"/>
            </w:tcBorders>
          </w:tcPr>
          <w:p>
            <w:pPr>
              <w:spacing w:after="0"/>
              <w:rPr>
                <w:sz w:val="8"/>
                <w:szCs w:val="8"/>
                <w:color w:val="auto"/>
              </w:rPr>
            </w:pPr>
          </w:p>
        </w:tc>
        <w:tc>
          <w:tcPr>
            <w:tcW w:w="380" w:type="dxa"/>
            <w:vAlign w:val="bottom"/>
            <w:tcBorders>
              <w:bottom w:val="single" w:sz="8" w:color="D64000"/>
            </w:tcBorders>
          </w:tcPr>
          <w:p>
            <w:pPr>
              <w:spacing w:after="0"/>
              <w:rPr>
                <w:sz w:val="8"/>
                <w:szCs w:val="8"/>
                <w:color w:val="auto"/>
              </w:rPr>
            </w:pPr>
          </w:p>
        </w:tc>
        <w:tc>
          <w:tcPr>
            <w:tcW w:w="1100" w:type="dxa"/>
            <w:vAlign w:val="bottom"/>
            <w:tcBorders>
              <w:bottom w:val="single" w:sz="8" w:color="D64000"/>
              <w:right w:val="single" w:sz="8" w:color="B2B2B2"/>
            </w:tcBorders>
          </w:tcPr>
          <w:p>
            <w:pPr>
              <w:spacing w:after="0"/>
              <w:rPr>
                <w:sz w:val="8"/>
                <w:szCs w:val="8"/>
                <w:color w:val="auto"/>
              </w:rPr>
            </w:pPr>
          </w:p>
        </w:tc>
        <w:tc>
          <w:tcPr>
            <w:tcW w:w="1000" w:type="dxa"/>
            <w:vAlign w:val="bottom"/>
            <w:tcBorders>
              <w:bottom w:val="single" w:sz="8" w:color="D64000"/>
            </w:tcBorders>
          </w:tcPr>
          <w:p>
            <w:pPr>
              <w:spacing w:after="0"/>
              <w:rPr>
                <w:sz w:val="8"/>
                <w:szCs w:val="8"/>
                <w:color w:val="auto"/>
              </w:rPr>
            </w:pPr>
          </w:p>
        </w:tc>
      </w:tr>
    </w:tbl>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right="100"/>
        <w:spacing w:after="0" w:line="268" w:lineRule="auto"/>
        <w:rPr>
          <w:sz w:val="20"/>
          <w:szCs w:val="20"/>
          <w:color w:val="auto"/>
        </w:rPr>
      </w:pPr>
      <w:r>
        <w:rPr>
          <w:rFonts w:ascii="Arial" w:cs="Arial" w:eastAsia="Arial" w:hAnsi="Arial"/>
          <w:sz w:val="13"/>
          <w:szCs w:val="13"/>
          <w:color w:val="auto"/>
        </w:rPr>
        <w:t>The number of stock options granted to each named executive officer that were outstanding as of December 31, 2025 is set forth in the “Incentive Plan Awards” subsection that follows later in this circular.</w:t>
      </w:r>
    </w:p>
    <w:p>
      <w:pPr>
        <w:ind w:left="220" w:right="120" w:hanging="213"/>
        <w:spacing w:after="0" w:line="268" w:lineRule="auto"/>
        <w:tabs>
          <w:tab w:leader="none" w:pos="2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Annual cash incentive payouts are with respect to performance during 2025, 2024 and 2023. Payouts were made in the first quarter of 2026, 2025 and 2024, respectively, following certification of the achievement of applicable performance goals. Additional information is provided in the “Compensation Discussion and Analysis” section of this circular.</w:t>
      </w:r>
    </w:p>
    <w:p>
      <w:pPr>
        <w:ind w:left="220" w:right="300" w:hanging="213"/>
        <w:spacing w:after="0" w:line="268" w:lineRule="auto"/>
        <w:tabs>
          <w:tab w:leader="none" w:pos="2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Pension value represents the compensatory portion of the change in the accrued defined benefit pension obligation. Additional information is provided in the “Pension and Other Retirement Benefits” section of this circular.</w:t>
      </w:r>
    </w:p>
    <w:p>
      <w:pPr>
        <w:ind w:left="220" w:hanging="213"/>
        <w:spacing w:after="0"/>
        <w:tabs>
          <w:tab w:leader="none" w:pos="2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All other compensation for 2025 for our named executive officers also includes the following perquisites:</w:t>
      </w:r>
    </w:p>
    <w:p>
      <w:pPr>
        <w:spacing w:after="0" w:line="22" w:lineRule="exact"/>
        <w:rPr>
          <w:rFonts w:ascii="Arial" w:cs="Arial" w:eastAsia="Arial" w:hAnsi="Arial"/>
          <w:sz w:val="13"/>
          <w:szCs w:val="13"/>
          <w:color w:val="auto"/>
        </w:rPr>
      </w:pPr>
    </w:p>
    <w:p>
      <w:pPr>
        <w:ind w:left="640" w:hanging="419"/>
        <w:spacing w:after="0"/>
        <w:tabs>
          <w:tab w:leader="none" w:pos="640" w:val="left"/>
        </w:tabs>
        <w:numPr>
          <w:ilvl w:val="1"/>
          <w:numId w:val="95"/>
        </w:numPr>
        <w:rPr>
          <w:rFonts w:ascii="Arial" w:cs="Arial" w:eastAsia="Arial" w:hAnsi="Arial"/>
          <w:sz w:val="13"/>
          <w:szCs w:val="13"/>
          <w:color w:val="D64000"/>
        </w:rPr>
      </w:pPr>
      <w:r>
        <w:rPr>
          <w:rFonts w:ascii="Arial" w:cs="Arial" w:eastAsia="Arial" w:hAnsi="Arial"/>
          <w:sz w:val="13"/>
          <w:szCs w:val="13"/>
          <w:color w:val="auto"/>
        </w:rPr>
        <w:t>For Steve Hasker, a supplemental retirement plan allocation of $169,428;</w:t>
      </w:r>
    </w:p>
    <w:p>
      <w:pPr>
        <w:spacing w:after="0" w:line="10" w:lineRule="exact"/>
        <w:rPr>
          <w:rFonts w:ascii="Arial" w:cs="Arial" w:eastAsia="Arial" w:hAnsi="Arial"/>
          <w:sz w:val="13"/>
          <w:szCs w:val="13"/>
          <w:color w:val="D64000"/>
        </w:rPr>
      </w:pPr>
    </w:p>
    <w:p>
      <w:pPr>
        <w:ind w:left="640" w:hanging="419"/>
        <w:spacing w:after="0"/>
        <w:tabs>
          <w:tab w:leader="none" w:pos="640" w:val="left"/>
        </w:tabs>
        <w:numPr>
          <w:ilvl w:val="1"/>
          <w:numId w:val="95"/>
        </w:numPr>
        <w:rPr>
          <w:rFonts w:ascii="Arial" w:cs="Arial" w:eastAsia="Arial" w:hAnsi="Arial"/>
          <w:sz w:val="13"/>
          <w:szCs w:val="13"/>
          <w:color w:val="D64000"/>
        </w:rPr>
      </w:pPr>
      <w:r>
        <w:rPr>
          <w:rFonts w:ascii="Arial" w:cs="Arial" w:eastAsia="Arial" w:hAnsi="Arial"/>
          <w:sz w:val="13"/>
          <w:szCs w:val="13"/>
          <w:color w:val="auto"/>
        </w:rPr>
        <w:t>For Mike Eastwood, a supplemental retirement plan allocation of $102,060;</w:t>
      </w:r>
    </w:p>
    <w:p>
      <w:pPr>
        <w:spacing w:after="0" w:line="10" w:lineRule="exact"/>
        <w:rPr>
          <w:rFonts w:ascii="Arial" w:cs="Arial" w:eastAsia="Arial" w:hAnsi="Arial"/>
          <w:sz w:val="13"/>
          <w:szCs w:val="13"/>
          <w:color w:val="D64000"/>
        </w:rPr>
      </w:pPr>
    </w:p>
    <w:p>
      <w:pPr>
        <w:ind w:left="640" w:hanging="419"/>
        <w:spacing w:after="0"/>
        <w:tabs>
          <w:tab w:leader="none" w:pos="640" w:val="left"/>
        </w:tabs>
        <w:numPr>
          <w:ilvl w:val="1"/>
          <w:numId w:val="95"/>
        </w:numPr>
        <w:rPr>
          <w:rFonts w:ascii="Arial" w:cs="Arial" w:eastAsia="Arial" w:hAnsi="Arial"/>
          <w:sz w:val="13"/>
          <w:szCs w:val="13"/>
          <w:color w:val="D64000"/>
        </w:rPr>
      </w:pPr>
      <w:r>
        <w:rPr>
          <w:rFonts w:ascii="Arial" w:cs="Arial" w:eastAsia="Arial" w:hAnsi="Arial"/>
          <w:sz w:val="13"/>
          <w:szCs w:val="13"/>
          <w:color w:val="auto"/>
        </w:rPr>
        <w:t>For David Wong, a supplemental retirement plan allocation of $91,317; and</w:t>
      </w:r>
    </w:p>
    <w:p>
      <w:pPr>
        <w:spacing w:after="0" w:line="10" w:lineRule="exact"/>
        <w:rPr>
          <w:rFonts w:ascii="Arial" w:cs="Arial" w:eastAsia="Arial" w:hAnsi="Arial"/>
          <w:sz w:val="13"/>
          <w:szCs w:val="13"/>
          <w:color w:val="D64000"/>
        </w:rPr>
      </w:pPr>
    </w:p>
    <w:p>
      <w:pPr>
        <w:ind w:left="640" w:hanging="419"/>
        <w:spacing w:after="0"/>
        <w:tabs>
          <w:tab w:leader="none" w:pos="640" w:val="left"/>
        </w:tabs>
        <w:numPr>
          <w:ilvl w:val="1"/>
          <w:numId w:val="95"/>
        </w:numPr>
        <w:rPr>
          <w:rFonts w:ascii="Arial" w:cs="Arial" w:eastAsia="Arial" w:hAnsi="Arial"/>
          <w:sz w:val="13"/>
          <w:szCs w:val="13"/>
          <w:color w:val="D64000"/>
        </w:rPr>
      </w:pPr>
      <w:r>
        <w:rPr>
          <w:rFonts w:ascii="Arial" w:cs="Arial" w:eastAsia="Arial" w:hAnsi="Arial"/>
          <w:sz w:val="13"/>
          <w:szCs w:val="13"/>
          <w:color w:val="auto"/>
        </w:rPr>
        <w:t>For Paul Bascobert, a supplemental retirement plan allocation of $37,500 and the cost of a company event (valued at $26,600 and an associated gross up value of $32,911).</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For additional information regarding the supplemental retirement plan allocations, please see the “Pension and Other Retirement Benefits” section of this circular.</w:t>
      </w:r>
    </w:p>
    <w:p>
      <w:pPr>
        <w:spacing w:after="0" w:line="37" w:lineRule="exact"/>
        <w:rPr>
          <w:sz w:val="20"/>
          <w:szCs w:val="20"/>
          <w:color w:val="auto"/>
        </w:rPr>
      </w:pPr>
    </w:p>
    <w:p>
      <w:pPr>
        <w:ind w:left="220" w:right="260"/>
        <w:spacing w:after="0" w:line="268" w:lineRule="auto"/>
        <w:rPr>
          <w:sz w:val="20"/>
          <w:szCs w:val="20"/>
          <w:color w:val="auto"/>
        </w:rPr>
      </w:pPr>
      <w:r>
        <w:rPr>
          <w:rFonts w:ascii="Arial" w:cs="Arial" w:eastAsia="Arial" w:hAnsi="Arial"/>
          <w:sz w:val="13"/>
          <w:szCs w:val="13"/>
          <w:color w:val="auto"/>
        </w:rPr>
        <w:t>The value of DSU and RSU dividend equivalents credited or paid to named executive officers is not included within “All other compensation” as the right to receive dividends has been factored into the reported grant date fair value of the awards.</w:t>
      </w:r>
    </w:p>
    <w:p>
      <w:pPr>
        <w:ind w:left="220"/>
        <w:spacing w:after="0"/>
        <w:rPr>
          <w:sz w:val="20"/>
          <w:szCs w:val="20"/>
          <w:color w:val="auto"/>
        </w:rPr>
      </w:pPr>
      <w:r>
        <w:rPr>
          <w:rFonts w:ascii="Arial" w:cs="Arial" w:eastAsia="Arial" w:hAnsi="Arial"/>
          <w:sz w:val="13"/>
          <w:szCs w:val="13"/>
          <w:color w:val="auto"/>
        </w:rPr>
        <w:t>Steve Hasker does not receive additional compensation for serving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2"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84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86" w:right="499" w:bottom="1440" w:gutter="0" w:footer="0" w:header="0"/>
        </w:sectPr>
      </w:pPr>
    </w:p>
    <w:bookmarkStart w:id="94" w:name="page95"/>
    <w:bookmarkEnd w:id="94"/>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Incentive Plan Awards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Outstanding Share-Based Awards and Option-Based Awards</w:t>
      </w:r>
    </w:p>
    <w:p>
      <w:pPr>
        <w:spacing w:after="0" w:line="10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following table sets forth certain information regarding outstanding stock option and RSU awards granted to our named executive officers as of December 31, 2025. The value of unexercised in-the-money options is based on the difference between the closing price of our common shares on the Nasdaq on December 31, 2025 and the exercise price of the applicable option. The market or payout value of share-based awards that have not vested is based on the total of TRSUs and the target amount of PRSUs granted for long-term incentive awards, using the closing price of our common shares on the Nasdaq on December 31, 2025. PRSU awards may or may not pay out, depending on our company’s performance against targets. For more information regarding these awards, please see the “Compensation Discussion and Analysis”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297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shd w:val="clear" w:color="auto" w:fill="E3F3EE"/>
          </w:tcPr>
          <w:p>
            <w:pPr>
              <w:spacing w:after="0"/>
              <w:rPr>
                <w:sz w:val="18"/>
                <w:szCs w:val="18"/>
                <w:color w:val="auto"/>
              </w:rPr>
            </w:pPr>
          </w:p>
        </w:tc>
        <w:tc>
          <w:tcPr>
            <w:tcW w:w="2720" w:type="dxa"/>
            <w:vAlign w:val="bottom"/>
            <w:gridSpan w:val="2"/>
            <w:shd w:val="clear" w:color="auto" w:fill="E3F3EE"/>
          </w:tcPr>
          <w:p>
            <w:pPr>
              <w:jc w:val="right"/>
              <w:ind w:right="460"/>
              <w:spacing w:after="0"/>
              <w:rPr>
                <w:sz w:val="20"/>
                <w:szCs w:val="20"/>
                <w:color w:val="auto"/>
              </w:rPr>
            </w:pPr>
            <w:r>
              <w:rPr>
                <w:rFonts w:ascii="Arial" w:cs="Arial" w:eastAsia="Arial" w:hAnsi="Arial"/>
                <w:sz w:val="15"/>
                <w:szCs w:val="15"/>
                <w:b w:val="1"/>
                <w:bCs w:val="1"/>
                <w:color w:val="auto"/>
              </w:rPr>
              <w:t>Option-Based Awards</w:t>
            </w:r>
          </w:p>
        </w:tc>
        <w:tc>
          <w:tcPr>
            <w:tcW w:w="1220" w:type="dxa"/>
            <w:vAlign w:val="bottom"/>
            <w:tcBorders>
              <w:right w:val="single" w:sz="8" w:color="B2B2B2"/>
            </w:tcBorders>
            <w:shd w:val="clear" w:color="auto" w:fill="E3F3EE"/>
          </w:tcPr>
          <w:p>
            <w:pPr>
              <w:spacing w:after="0"/>
              <w:rPr>
                <w:sz w:val="18"/>
                <w:szCs w:val="18"/>
                <w:color w:val="auto"/>
              </w:rPr>
            </w:pPr>
          </w:p>
        </w:tc>
        <w:tc>
          <w:tcPr>
            <w:tcW w:w="1340" w:type="dxa"/>
            <w:vAlign w:val="bottom"/>
            <w:tcBorders>
              <w:right w:val="single" w:sz="8" w:color="E3F3EE"/>
            </w:tcBorders>
            <w:shd w:val="clear" w:color="auto" w:fill="E3F3EE"/>
          </w:tcPr>
          <w:p>
            <w:pPr>
              <w:spacing w:after="0"/>
              <w:rPr>
                <w:sz w:val="18"/>
                <w:szCs w:val="18"/>
                <w:color w:val="auto"/>
              </w:rPr>
            </w:pPr>
          </w:p>
        </w:tc>
        <w:tc>
          <w:tcPr>
            <w:tcW w:w="1560" w:type="dxa"/>
            <w:vAlign w:val="bottom"/>
            <w:gridSpan w:val="3"/>
            <w:shd w:val="clear" w:color="auto" w:fill="E3F3EE"/>
          </w:tcPr>
          <w:p>
            <w:pPr>
              <w:spacing w:after="0"/>
              <w:rPr>
                <w:sz w:val="20"/>
                <w:szCs w:val="20"/>
                <w:color w:val="auto"/>
              </w:rPr>
            </w:pPr>
            <w:r>
              <w:rPr>
                <w:rFonts w:ascii="Arial" w:cs="Arial" w:eastAsia="Arial" w:hAnsi="Arial"/>
                <w:sz w:val="15"/>
                <w:szCs w:val="15"/>
                <w:b w:val="1"/>
                <w:bCs w:val="1"/>
                <w:color w:val="auto"/>
              </w:rPr>
              <w:t>Share-Based Awards</w:t>
            </w:r>
          </w:p>
        </w:tc>
        <w:tc>
          <w:tcPr>
            <w:tcW w:w="1220" w:type="dxa"/>
            <w:vAlign w:val="bottom"/>
            <w:shd w:val="clear" w:color="auto" w:fill="E3F3E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20" w:type="dxa"/>
            <w:vAlign w:val="bottom"/>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380" w:type="dxa"/>
            <w:vAlign w:val="bottom"/>
            <w:shd w:val="clear" w:color="auto" w:fill="1F473D"/>
          </w:tcPr>
          <w:p>
            <w:pPr>
              <w:spacing w:after="0"/>
              <w:rPr>
                <w:sz w:val="12"/>
                <w:szCs w:val="12"/>
                <w:color w:val="auto"/>
              </w:rPr>
            </w:pPr>
          </w:p>
        </w:tc>
        <w:tc>
          <w:tcPr>
            <w:tcW w:w="1340" w:type="dxa"/>
            <w:vAlign w:val="bottom"/>
            <w:shd w:val="clear" w:color="auto" w:fill="1F473D"/>
          </w:tcPr>
          <w:p>
            <w:pPr>
              <w:spacing w:after="0"/>
              <w:rPr>
                <w:sz w:val="12"/>
                <w:szCs w:val="12"/>
                <w:color w:val="auto"/>
              </w:rPr>
            </w:pPr>
          </w:p>
        </w:tc>
        <w:tc>
          <w:tcPr>
            <w:tcW w:w="1220" w:type="dxa"/>
            <w:vAlign w:val="bottom"/>
            <w:tcBorders>
              <w:right w:val="single" w:sz="8" w:color="B2B2B2"/>
            </w:tcBorders>
            <w:shd w:val="clear" w:color="auto" w:fill="1F473D"/>
          </w:tcPr>
          <w:p>
            <w:pPr>
              <w:spacing w:after="0"/>
              <w:rPr>
                <w:sz w:val="12"/>
                <w:szCs w:val="12"/>
                <w:color w:val="auto"/>
              </w:rPr>
            </w:pPr>
          </w:p>
        </w:tc>
        <w:tc>
          <w:tcPr>
            <w:tcW w:w="1340" w:type="dxa"/>
            <w:vAlign w:val="bottom"/>
            <w:tcBorders>
              <w:right w:val="single" w:sz="8" w:color="B2B2B2"/>
            </w:tcBorders>
            <w:shd w:val="clear" w:color="auto" w:fill="1F473D"/>
          </w:tcPr>
          <w:p>
            <w:pPr>
              <w:spacing w:after="0"/>
              <w:rPr>
                <w:sz w:val="12"/>
                <w:szCs w:val="12"/>
                <w:color w:val="auto"/>
              </w:rPr>
            </w:pPr>
          </w:p>
        </w:tc>
        <w:tc>
          <w:tcPr>
            <w:tcW w:w="220" w:type="dxa"/>
            <w:vAlign w:val="bottom"/>
            <w:shd w:val="clear" w:color="auto" w:fill="1F473D"/>
          </w:tcPr>
          <w:p>
            <w:pPr>
              <w:spacing w:after="0"/>
              <w:rPr>
                <w:sz w:val="12"/>
                <w:szCs w:val="12"/>
                <w:color w:val="auto"/>
              </w:rPr>
            </w:pPr>
          </w:p>
        </w:tc>
        <w:tc>
          <w:tcPr>
            <w:tcW w:w="1140" w:type="dxa"/>
            <w:vAlign w:val="bottom"/>
            <w:tcBorders>
              <w:right w:val="single" w:sz="8" w:color="B2B2B2"/>
            </w:tcBorders>
            <w:vMerge w:val="restart"/>
            <w:shd w:val="clear" w:color="auto" w:fill="1F473D"/>
          </w:tcPr>
          <w:p>
            <w:pPr>
              <w:jc w:val="right"/>
              <w:ind w:right="62"/>
              <w:spacing w:after="0"/>
              <w:rPr>
                <w:sz w:val="20"/>
                <w:szCs w:val="20"/>
                <w:color w:val="auto"/>
              </w:rPr>
            </w:pPr>
            <w:r>
              <w:rPr>
                <w:rFonts w:ascii="Arial" w:cs="Arial" w:eastAsia="Arial" w:hAnsi="Arial"/>
                <w:sz w:val="15"/>
                <w:szCs w:val="15"/>
                <w:b w:val="1"/>
                <w:bCs w:val="1"/>
                <w:color w:val="FFFFFF"/>
              </w:rPr>
              <w:t>Market or</w:t>
            </w:r>
          </w:p>
        </w:tc>
        <w:tc>
          <w:tcPr>
            <w:tcW w:w="200" w:type="dxa"/>
            <w:vAlign w:val="bottom"/>
            <w:shd w:val="clear" w:color="auto" w:fill="1F473D"/>
          </w:tcPr>
          <w:p>
            <w:pPr>
              <w:spacing w:after="0"/>
              <w:rPr>
                <w:sz w:val="12"/>
                <w:szCs w:val="12"/>
                <w:color w:val="auto"/>
              </w:rPr>
            </w:pPr>
          </w:p>
        </w:tc>
        <w:tc>
          <w:tcPr>
            <w:tcW w:w="1220" w:type="dxa"/>
            <w:vAlign w:val="bottom"/>
            <w:shd w:val="clear" w:color="auto" w:fill="1F473D"/>
          </w:tcPr>
          <w:p>
            <w:pPr>
              <w:jc w:val="right"/>
              <w:spacing w:after="0" w:line="144" w:lineRule="exact"/>
              <w:rPr>
                <w:sz w:val="20"/>
                <w:szCs w:val="20"/>
                <w:color w:val="auto"/>
              </w:rPr>
            </w:pPr>
            <w:r>
              <w:rPr>
                <w:rFonts w:ascii="Arial" w:cs="Arial" w:eastAsia="Arial" w:hAnsi="Arial"/>
                <w:sz w:val="15"/>
                <w:szCs w:val="15"/>
                <w:b w:val="1"/>
                <w:bCs w:val="1"/>
                <w:color w:val="FFFFFF"/>
              </w:rPr>
              <w:t>Market 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shd w:val="clear" w:color="auto" w:fill="1F473D"/>
          </w:tcPr>
          <w:p>
            <w:pPr>
              <w:spacing w:after="0"/>
              <w:rPr>
                <w:sz w:val="13"/>
                <w:szCs w:val="13"/>
                <w:color w:val="auto"/>
              </w:rPr>
            </w:pPr>
          </w:p>
        </w:tc>
        <w:tc>
          <w:tcPr>
            <w:tcW w:w="1120" w:type="dxa"/>
            <w:vAlign w:val="bottom"/>
            <w:vMerge w:val="restart"/>
            <w:shd w:val="clear" w:color="auto" w:fill="1F473D"/>
          </w:tcPr>
          <w:p>
            <w:pPr>
              <w:jc w:val="right"/>
              <w:ind w:right="41"/>
              <w:spacing w:after="0"/>
              <w:rPr>
                <w:sz w:val="20"/>
                <w:szCs w:val="20"/>
                <w:color w:val="auto"/>
              </w:rPr>
            </w:pPr>
            <w:r>
              <w:rPr>
                <w:rFonts w:ascii="Arial" w:cs="Arial" w:eastAsia="Arial" w:hAnsi="Arial"/>
                <w:sz w:val="15"/>
                <w:szCs w:val="15"/>
                <w:b w:val="1"/>
                <w:bCs w:val="1"/>
                <w:color w:val="FFFFFF"/>
              </w:rPr>
              <w:t>Number of</w:t>
            </w:r>
          </w:p>
        </w:tc>
        <w:tc>
          <w:tcPr>
            <w:tcW w:w="1380" w:type="dxa"/>
            <w:vAlign w:val="bottom"/>
            <w:shd w:val="clear" w:color="auto" w:fill="1F473D"/>
          </w:tcPr>
          <w:p>
            <w:pPr>
              <w:spacing w:after="0"/>
              <w:rPr>
                <w:sz w:val="13"/>
                <w:szCs w:val="13"/>
                <w:color w:val="auto"/>
              </w:rPr>
            </w:pPr>
          </w:p>
        </w:tc>
        <w:tc>
          <w:tcPr>
            <w:tcW w:w="1340" w:type="dxa"/>
            <w:vAlign w:val="bottom"/>
            <w:shd w:val="clear" w:color="auto" w:fill="1F473D"/>
          </w:tcPr>
          <w:p>
            <w:pPr>
              <w:spacing w:after="0"/>
              <w:rPr>
                <w:sz w:val="13"/>
                <w:szCs w:val="13"/>
                <w:color w:val="auto"/>
              </w:rPr>
            </w:pPr>
          </w:p>
        </w:tc>
        <w:tc>
          <w:tcPr>
            <w:tcW w:w="1220" w:type="dxa"/>
            <w:vAlign w:val="bottom"/>
            <w:tcBorders>
              <w:right w:val="single" w:sz="8" w:color="B2B2B2"/>
            </w:tcBorders>
            <w:shd w:val="clear" w:color="auto" w:fill="1F473D"/>
          </w:tcPr>
          <w:p>
            <w:pPr>
              <w:spacing w:after="0"/>
              <w:rPr>
                <w:sz w:val="13"/>
                <w:szCs w:val="13"/>
                <w:color w:val="auto"/>
              </w:rPr>
            </w:pPr>
          </w:p>
        </w:tc>
        <w:tc>
          <w:tcPr>
            <w:tcW w:w="1340" w:type="dxa"/>
            <w:vAlign w:val="bottom"/>
            <w:tcBorders>
              <w:right w:val="single" w:sz="8" w:color="B2B2B2"/>
            </w:tcBorders>
            <w:vMerge w:val="restart"/>
            <w:shd w:val="clear" w:color="auto" w:fill="1F473D"/>
          </w:tcPr>
          <w:p>
            <w:pPr>
              <w:jc w:val="right"/>
              <w:ind w:right="62"/>
              <w:spacing w:after="0"/>
              <w:rPr>
                <w:sz w:val="20"/>
                <w:szCs w:val="20"/>
                <w:color w:val="auto"/>
              </w:rPr>
            </w:pPr>
            <w:r>
              <w:rPr>
                <w:rFonts w:ascii="Arial" w:cs="Arial" w:eastAsia="Arial" w:hAnsi="Arial"/>
                <w:sz w:val="15"/>
                <w:szCs w:val="15"/>
                <w:b w:val="1"/>
                <w:bCs w:val="1"/>
                <w:color w:val="FFFFFF"/>
              </w:rPr>
              <w:t>Number of</w:t>
            </w:r>
          </w:p>
        </w:tc>
        <w:tc>
          <w:tcPr>
            <w:tcW w:w="220" w:type="dxa"/>
            <w:vAlign w:val="bottom"/>
            <w:shd w:val="clear" w:color="auto" w:fill="1F473D"/>
          </w:tcPr>
          <w:p>
            <w:pPr>
              <w:spacing w:after="0"/>
              <w:rPr>
                <w:sz w:val="13"/>
                <w:szCs w:val="13"/>
                <w:color w:val="auto"/>
              </w:rPr>
            </w:pPr>
          </w:p>
        </w:tc>
        <w:tc>
          <w:tcPr>
            <w:tcW w:w="1140" w:type="dxa"/>
            <w:vAlign w:val="bottom"/>
            <w:tcBorders>
              <w:right w:val="single" w:sz="8" w:color="B2B2B2"/>
            </w:tcBorders>
            <w:vMerge w:val="continue"/>
            <w:shd w:val="clear" w:color="auto" w:fill="1F473D"/>
          </w:tcPr>
          <w:p>
            <w:pPr>
              <w:spacing w:after="0"/>
              <w:rPr>
                <w:sz w:val="13"/>
                <w:szCs w:val="13"/>
                <w:color w:val="auto"/>
              </w:rPr>
            </w:pPr>
          </w:p>
        </w:tc>
        <w:tc>
          <w:tcPr>
            <w:tcW w:w="200" w:type="dxa"/>
            <w:vAlign w:val="bottom"/>
            <w:shd w:val="clear" w:color="auto" w:fill="1F473D"/>
          </w:tcPr>
          <w:p>
            <w:pPr>
              <w:spacing w:after="0"/>
              <w:rPr>
                <w:sz w:val="13"/>
                <w:szCs w:val="13"/>
                <w:color w:val="auto"/>
              </w:rPr>
            </w:pPr>
          </w:p>
        </w:tc>
        <w:tc>
          <w:tcPr>
            <w:tcW w:w="1220" w:type="dxa"/>
            <w:vAlign w:val="bottom"/>
            <w:shd w:val="clear" w:color="auto" w:fill="1F473D"/>
          </w:tcPr>
          <w:p>
            <w:pPr>
              <w:jc w:val="right"/>
              <w:spacing w:after="0" w:line="161" w:lineRule="exact"/>
              <w:rPr>
                <w:sz w:val="20"/>
                <w:szCs w:val="20"/>
                <w:color w:val="auto"/>
              </w:rPr>
            </w:pPr>
            <w:r>
              <w:rPr>
                <w:rFonts w:ascii="Arial" w:cs="Arial" w:eastAsia="Arial" w:hAnsi="Arial"/>
                <w:sz w:val="15"/>
                <w:szCs w:val="15"/>
                <w:b w:val="1"/>
                <w:bCs w:val="1"/>
                <w:color w:val="FFFFFF"/>
              </w:rPr>
              <w:t>Payout Value of</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shd w:val="clear" w:color="auto" w:fill="1F473D"/>
          </w:tcPr>
          <w:p>
            <w:pPr>
              <w:spacing w:after="0"/>
              <w:rPr>
                <w:sz w:val="13"/>
                <w:szCs w:val="13"/>
                <w:color w:val="auto"/>
              </w:rPr>
            </w:pPr>
          </w:p>
        </w:tc>
        <w:tc>
          <w:tcPr>
            <w:tcW w:w="1120" w:type="dxa"/>
            <w:vAlign w:val="bottom"/>
            <w:vMerge w:val="continue"/>
            <w:shd w:val="clear" w:color="auto" w:fill="1F473D"/>
          </w:tcPr>
          <w:p>
            <w:pPr>
              <w:spacing w:after="0"/>
              <w:rPr>
                <w:sz w:val="13"/>
                <w:szCs w:val="13"/>
                <w:color w:val="auto"/>
              </w:rPr>
            </w:pPr>
          </w:p>
        </w:tc>
        <w:tc>
          <w:tcPr>
            <w:tcW w:w="1380" w:type="dxa"/>
            <w:vAlign w:val="bottom"/>
            <w:shd w:val="clear" w:color="auto" w:fill="1F473D"/>
          </w:tcPr>
          <w:p>
            <w:pPr>
              <w:spacing w:after="0"/>
              <w:rPr>
                <w:sz w:val="13"/>
                <w:szCs w:val="13"/>
                <w:color w:val="auto"/>
              </w:rPr>
            </w:pPr>
          </w:p>
        </w:tc>
        <w:tc>
          <w:tcPr>
            <w:tcW w:w="1340" w:type="dxa"/>
            <w:vAlign w:val="bottom"/>
            <w:shd w:val="clear" w:color="auto" w:fill="1F473D"/>
          </w:tcPr>
          <w:p>
            <w:pPr>
              <w:spacing w:after="0"/>
              <w:rPr>
                <w:sz w:val="13"/>
                <w:szCs w:val="13"/>
                <w:color w:val="auto"/>
              </w:rPr>
            </w:pPr>
          </w:p>
        </w:tc>
        <w:tc>
          <w:tcPr>
            <w:tcW w:w="1220" w:type="dxa"/>
            <w:vAlign w:val="bottom"/>
            <w:tcBorders>
              <w:right w:val="single" w:sz="8" w:color="B2B2B2"/>
            </w:tcBorders>
            <w:vMerge w:val="restart"/>
            <w:shd w:val="clear" w:color="auto" w:fill="1F473D"/>
          </w:tcPr>
          <w:p>
            <w:pPr>
              <w:jc w:val="right"/>
              <w:ind w:right="60"/>
              <w:spacing w:after="0"/>
              <w:rPr>
                <w:sz w:val="20"/>
                <w:szCs w:val="20"/>
                <w:color w:val="auto"/>
              </w:rPr>
            </w:pPr>
            <w:r>
              <w:rPr>
                <w:rFonts w:ascii="Arial" w:cs="Arial" w:eastAsia="Arial" w:hAnsi="Arial"/>
                <w:sz w:val="15"/>
                <w:szCs w:val="15"/>
                <w:b w:val="1"/>
                <w:bCs w:val="1"/>
                <w:color w:val="FFFFFF"/>
              </w:rPr>
              <w:t>Value of</w:t>
            </w:r>
          </w:p>
        </w:tc>
        <w:tc>
          <w:tcPr>
            <w:tcW w:w="1340" w:type="dxa"/>
            <w:vAlign w:val="bottom"/>
            <w:tcBorders>
              <w:right w:val="single" w:sz="8" w:color="B2B2B2"/>
            </w:tcBorders>
            <w:vMerge w:val="continue"/>
            <w:shd w:val="clear" w:color="auto" w:fill="1F473D"/>
          </w:tcPr>
          <w:p>
            <w:pPr>
              <w:spacing w:after="0"/>
              <w:rPr>
                <w:sz w:val="13"/>
                <w:szCs w:val="13"/>
                <w:color w:val="auto"/>
              </w:rPr>
            </w:pPr>
          </w:p>
        </w:tc>
        <w:tc>
          <w:tcPr>
            <w:tcW w:w="1360" w:type="dxa"/>
            <w:vAlign w:val="bottom"/>
            <w:tcBorders>
              <w:right w:val="single" w:sz="8" w:color="B2B2B2"/>
            </w:tcBorders>
            <w:gridSpan w:val="2"/>
            <w:shd w:val="clear" w:color="auto" w:fill="1F473D"/>
          </w:tcPr>
          <w:p>
            <w:pPr>
              <w:ind w:left="80"/>
              <w:spacing w:after="0" w:line="161" w:lineRule="exact"/>
              <w:rPr>
                <w:sz w:val="20"/>
                <w:szCs w:val="20"/>
                <w:color w:val="auto"/>
              </w:rPr>
            </w:pPr>
            <w:r>
              <w:rPr>
                <w:rFonts w:ascii="Arial" w:cs="Arial" w:eastAsia="Arial" w:hAnsi="Arial"/>
                <w:sz w:val="15"/>
                <w:szCs w:val="15"/>
                <w:b w:val="1"/>
                <w:bCs w:val="1"/>
                <w:color w:val="FFFFFF"/>
              </w:rPr>
              <w:t>Payout Value of</w:t>
            </w:r>
          </w:p>
        </w:tc>
        <w:tc>
          <w:tcPr>
            <w:tcW w:w="200" w:type="dxa"/>
            <w:vAlign w:val="bottom"/>
            <w:shd w:val="clear" w:color="auto" w:fill="1F473D"/>
          </w:tcPr>
          <w:p>
            <w:pPr>
              <w:spacing w:after="0"/>
              <w:rPr>
                <w:sz w:val="13"/>
                <w:szCs w:val="13"/>
                <w:color w:val="auto"/>
              </w:rPr>
            </w:pPr>
          </w:p>
        </w:tc>
        <w:tc>
          <w:tcPr>
            <w:tcW w:w="1220" w:type="dxa"/>
            <w:vAlign w:val="bottom"/>
            <w:shd w:val="clear" w:color="auto" w:fill="1F473D"/>
          </w:tcPr>
          <w:p>
            <w:pPr>
              <w:jc w:val="right"/>
              <w:spacing w:after="0" w:line="161" w:lineRule="exact"/>
              <w:rPr>
                <w:sz w:val="20"/>
                <w:szCs w:val="20"/>
                <w:color w:val="auto"/>
              </w:rPr>
            </w:pPr>
            <w:r>
              <w:rPr>
                <w:rFonts w:ascii="Arial" w:cs="Arial" w:eastAsia="Arial" w:hAnsi="Arial"/>
                <w:sz w:val="15"/>
                <w:szCs w:val="15"/>
                <w:b w:val="1"/>
                <w:bCs w:val="1"/>
                <w:color w:val="FFFFFF"/>
              </w:rPr>
              <w:t>Vested Share-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shd w:val="clear" w:color="auto" w:fill="1F473D"/>
          </w:tcPr>
          <w:p>
            <w:pPr>
              <w:spacing w:after="0"/>
              <w:rPr>
                <w:sz w:val="13"/>
                <w:szCs w:val="13"/>
                <w:color w:val="auto"/>
              </w:rPr>
            </w:pPr>
          </w:p>
        </w:tc>
        <w:tc>
          <w:tcPr>
            <w:tcW w:w="1120" w:type="dxa"/>
            <w:vAlign w:val="bottom"/>
            <w:shd w:val="clear" w:color="auto" w:fill="1F473D"/>
          </w:tcPr>
          <w:p>
            <w:pPr>
              <w:jc w:val="right"/>
              <w:ind w:right="41"/>
              <w:spacing w:after="0" w:line="161" w:lineRule="exact"/>
              <w:rPr>
                <w:sz w:val="20"/>
                <w:szCs w:val="20"/>
                <w:color w:val="auto"/>
              </w:rPr>
            </w:pPr>
            <w:r>
              <w:rPr>
                <w:rFonts w:ascii="Arial" w:cs="Arial" w:eastAsia="Arial" w:hAnsi="Arial"/>
                <w:sz w:val="15"/>
                <w:szCs w:val="15"/>
                <w:b w:val="1"/>
                <w:bCs w:val="1"/>
                <w:color w:val="FFFFFF"/>
              </w:rPr>
              <w:t>Securities</w:t>
            </w:r>
          </w:p>
        </w:tc>
        <w:tc>
          <w:tcPr>
            <w:tcW w:w="1380" w:type="dxa"/>
            <w:vAlign w:val="bottom"/>
            <w:shd w:val="clear" w:color="auto" w:fill="1F473D"/>
          </w:tcPr>
          <w:p>
            <w:pPr>
              <w:spacing w:after="0"/>
              <w:rPr>
                <w:sz w:val="13"/>
                <w:szCs w:val="13"/>
                <w:color w:val="auto"/>
              </w:rPr>
            </w:pPr>
          </w:p>
        </w:tc>
        <w:tc>
          <w:tcPr>
            <w:tcW w:w="1340" w:type="dxa"/>
            <w:vAlign w:val="bottom"/>
            <w:shd w:val="clear" w:color="auto" w:fill="1F473D"/>
          </w:tcPr>
          <w:p>
            <w:pPr>
              <w:spacing w:after="0"/>
              <w:rPr>
                <w:sz w:val="13"/>
                <w:szCs w:val="13"/>
                <w:color w:val="auto"/>
              </w:rPr>
            </w:pPr>
          </w:p>
        </w:tc>
        <w:tc>
          <w:tcPr>
            <w:tcW w:w="1220" w:type="dxa"/>
            <w:vAlign w:val="bottom"/>
            <w:tcBorders>
              <w:right w:val="single" w:sz="8" w:color="B2B2B2"/>
            </w:tcBorders>
            <w:vMerge w:val="continue"/>
            <w:shd w:val="clear" w:color="auto" w:fill="1F473D"/>
          </w:tcPr>
          <w:p>
            <w:pPr>
              <w:spacing w:after="0"/>
              <w:rPr>
                <w:sz w:val="13"/>
                <w:szCs w:val="13"/>
                <w:color w:val="auto"/>
              </w:rPr>
            </w:pPr>
          </w:p>
        </w:tc>
        <w:tc>
          <w:tcPr>
            <w:tcW w:w="1340" w:type="dxa"/>
            <w:vAlign w:val="bottom"/>
            <w:tcBorders>
              <w:right w:val="single" w:sz="8" w:color="B2B2B2"/>
            </w:tcBorders>
            <w:shd w:val="clear" w:color="auto" w:fill="1F473D"/>
          </w:tcPr>
          <w:p>
            <w:pPr>
              <w:jc w:val="right"/>
              <w:ind w:right="62"/>
              <w:spacing w:after="0" w:line="161" w:lineRule="exact"/>
              <w:rPr>
                <w:sz w:val="20"/>
                <w:szCs w:val="20"/>
                <w:color w:val="auto"/>
              </w:rPr>
            </w:pPr>
            <w:r>
              <w:rPr>
                <w:rFonts w:ascii="Arial" w:cs="Arial" w:eastAsia="Arial" w:hAnsi="Arial"/>
                <w:sz w:val="15"/>
                <w:szCs w:val="15"/>
                <w:b w:val="1"/>
                <w:bCs w:val="1"/>
                <w:color w:val="FFFFFF"/>
              </w:rPr>
              <w:t>Shares or Units</w:t>
            </w:r>
          </w:p>
        </w:tc>
        <w:tc>
          <w:tcPr>
            <w:tcW w:w="220" w:type="dxa"/>
            <w:vAlign w:val="bottom"/>
            <w:shd w:val="clear" w:color="auto" w:fill="1F473D"/>
          </w:tcPr>
          <w:p>
            <w:pPr>
              <w:spacing w:after="0"/>
              <w:rPr>
                <w:sz w:val="13"/>
                <w:szCs w:val="13"/>
                <w:color w:val="auto"/>
              </w:rPr>
            </w:pPr>
          </w:p>
        </w:tc>
        <w:tc>
          <w:tcPr>
            <w:tcW w:w="1140" w:type="dxa"/>
            <w:vAlign w:val="bottom"/>
            <w:tcBorders>
              <w:right w:val="single" w:sz="8" w:color="B2B2B2"/>
            </w:tcBorders>
            <w:shd w:val="clear" w:color="auto" w:fill="1F473D"/>
          </w:tcPr>
          <w:p>
            <w:pPr>
              <w:jc w:val="right"/>
              <w:ind w:right="62"/>
              <w:spacing w:after="0" w:line="161" w:lineRule="exact"/>
              <w:rPr>
                <w:sz w:val="20"/>
                <w:szCs w:val="20"/>
                <w:color w:val="auto"/>
              </w:rPr>
            </w:pPr>
            <w:r>
              <w:rPr>
                <w:rFonts w:ascii="Arial" w:cs="Arial" w:eastAsia="Arial" w:hAnsi="Arial"/>
                <w:sz w:val="15"/>
                <w:szCs w:val="15"/>
                <w:b w:val="1"/>
                <w:bCs w:val="1"/>
                <w:color w:val="FFFFFF"/>
              </w:rPr>
              <w:t>Share-Based</w:t>
            </w:r>
          </w:p>
        </w:tc>
        <w:tc>
          <w:tcPr>
            <w:tcW w:w="200" w:type="dxa"/>
            <w:vAlign w:val="bottom"/>
            <w:shd w:val="clear" w:color="auto" w:fill="1F473D"/>
          </w:tcPr>
          <w:p>
            <w:pPr>
              <w:spacing w:after="0"/>
              <w:rPr>
                <w:sz w:val="13"/>
                <w:szCs w:val="13"/>
                <w:color w:val="auto"/>
              </w:rPr>
            </w:pPr>
          </w:p>
        </w:tc>
        <w:tc>
          <w:tcPr>
            <w:tcW w:w="1220" w:type="dxa"/>
            <w:vAlign w:val="bottom"/>
            <w:shd w:val="clear" w:color="auto" w:fill="1F473D"/>
          </w:tcPr>
          <w:p>
            <w:pPr>
              <w:jc w:val="right"/>
              <w:spacing w:after="0" w:line="161" w:lineRule="exact"/>
              <w:rPr>
                <w:sz w:val="20"/>
                <w:szCs w:val="20"/>
                <w:color w:val="auto"/>
              </w:rPr>
            </w:pPr>
            <w:r>
              <w:rPr>
                <w:rFonts w:ascii="Arial" w:cs="Arial" w:eastAsia="Arial" w:hAnsi="Arial"/>
                <w:sz w:val="15"/>
                <w:szCs w:val="15"/>
                <w:b w:val="1"/>
                <w:bCs w:val="1"/>
                <w:color w:val="FFFFFF"/>
              </w:rPr>
              <w:t>Based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shd w:val="clear" w:color="auto" w:fill="1F473D"/>
          </w:tcPr>
          <w:p>
            <w:pPr>
              <w:spacing w:after="0"/>
              <w:rPr>
                <w:sz w:val="13"/>
                <w:szCs w:val="13"/>
                <w:color w:val="auto"/>
              </w:rPr>
            </w:pPr>
          </w:p>
        </w:tc>
        <w:tc>
          <w:tcPr>
            <w:tcW w:w="1120" w:type="dxa"/>
            <w:vAlign w:val="bottom"/>
            <w:shd w:val="clear" w:color="auto" w:fill="1F473D"/>
          </w:tcPr>
          <w:p>
            <w:pPr>
              <w:jc w:val="right"/>
              <w:ind w:right="41"/>
              <w:spacing w:after="0" w:line="161" w:lineRule="exact"/>
              <w:rPr>
                <w:sz w:val="20"/>
                <w:szCs w:val="20"/>
                <w:color w:val="auto"/>
              </w:rPr>
            </w:pPr>
            <w:r>
              <w:rPr>
                <w:rFonts w:ascii="Arial" w:cs="Arial" w:eastAsia="Arial" w:hAnsi="Arial"/>
                <w:sz w:val="15"/>
                <w:szCs w:val="15"/>
                <w:b w:val="1"/>
                <w:bCs w:val="1"/>
                <w:color w:val="FFFFFF"/>
              </w:rPr>
              <w:t>Underlying</w:t>
            </w:r>
          </w:p>
        </w:tc>
        <w:tc>
          <w:tcPr>
            <w:tcW w:w="1380" w:type="dxa"/>
            <w:vAlign w:val="bottom"/>
            <w:vMerge w:val="restart"/>
            <w:shd w:val="clear" w:color="auto" w:fill="1F473D"/>
          </w:tcPr>
          <w:p>
            <w:pPr>
              <w:jc w:val="right"/>
              <w:ind w:right="40"/>
              <w:spacing w:after="0"/>
              <w:rPr>
                <w:sz w:val="20"/>
                <w:szCs w:val="20"/>
                <w:color w:val="auto"/>
              </w:rPr>
            </w:pPr>
            <w:r>
              <w:rPr>
                <w:rFonts w:ascii="Arial" w:cs="Arial" w:eastAsia="Arial" w:hAnsi="Arial"/>
                <w:sz w:val="15"/>
                <w:szCs w:val="15"/>
                <w:b w:val="1"/>
                <w:bCs w:val="1"/>
                <w:color w:val="FFFFFF"/>
              </w:rPr>
              <w:t>Option Exercise</w:t>
            </w:r>
          </w:p>
        </w:tc>
        <w:tc>
          <w:tcPr>
            <w:tcW w:w="1340" w:type="dxa"/>
            <w:vAlign w:val="bottom"/>
            <w:vMerge w:val="restart"/>
            <w:shd w:val="clear" w:color="auto" w:fill="1F473D"/>
          </w:tcPr>
          <w:p>
            <w:pPr>
              <w:jc w:val="right"/>
              <w:ind w:right="40"/>
              <w:spacing w:after="0"/>
              <w:rPr>
                <w:sz w:val="20"/>
                <w:szCs w:val="20"/>
                <w:color w:val="auto"/>
              </w:rPr>
            </w:pPr>
            <w:r>
              <w:rPr>
                <w:rFonts w:ascii="Arial" w:cs="Arial" w:eastAsia="Arial" w:hAnsi="Arial"/>
                <w:sz w:val="15"/>
                <w:szCs w:val="15"/>
                <w:b w:val="1"/>
                <w:bCs w:val="1"/>
                <w:color w:val="FFFFFF"/>
              </w:rPr>
              <w:t>Option</w:t>
            </w:r>
          </w:p>
        </w:tc>
        <w:tc>
          <w:tcPr>
            <w:tcW w:w="1220" w:type="dxa"/>
            <w:vAlign w:val="bottom"/>
            <w:tcBorders>
              <w:right w:val="single" w:sz="8" w:color="B2B2B2"/>
            </w:tcBorders>
            <w:shd w:val="clear" w:color="auto" w:fill="1F473D"/>
          </w:tcPr>
          <w:p>
            <w:pPr>
              <w:jc w:val="right"/>
              <w:ind w:right="60"/>
              <w:spacing w:after="0" w:line="161" w:lineRule="exact"/>
              <w:rPr>
                <w:sz w:val="20"/>
                <w:szCs w:val="20"/>
                <w:color w:val="auto"/>
              </w:rPr>
            </w:pPr>
            <w:r>
              <w:rPr>
                <w:rFonts w:ascii="Arial" w:cs="Arial" w:eastAsia="Arial" w:hAnsi="Arial"/>
                <w:sz w:val="15"/>
                <w:szCs w:val="15"/>
                <w:b w:val="1"/>
                <w:bCs w:val="1"/>
                <w:color w:val="FFFFFF"/>
              </w:rPr>
              <w:t>Unexercised</w:t>
            </w:r>
          </w:p>
        </w:tc>
        <w:tc>
          <w:tcPr>
            <w:tcW w:w="1340" w:type="dxa"/>
            <w:vAlign w:val="bottom"/>
            <w:tcBorders>
              <w:right w:val="single" w:sz="8" w:color="B2B2B2"/>
            </w:tcBorders>
            <w:shd w:val="clear" w:color="auto" w:fill="1F473D"/>
          </w:tcPr>
          <w:p>
            <w:pPr>
              <w:jc w:val="right"/>
              <w:ind w:right="62"/>
              <w:spacing w:after="0" w:line="161" w:lineRule="exact"/>
              <w:rPr>
                <w:sz w:val="20"/>
                <w:szCs w:val="20"/>
                <w:color w:val="auto"/>
              </w:rPr>
            </w:pPr>
            <w:r>
              <w:rPr>
                <w:rFonts w:ascii="Arial" w:cs="Arial" w:eastAsia="Arial" w:hAnsi="Arial"/>
                <w:sz w:val="15"/>
                <w:szCs w:val="15"/>
                <w:b w:val="1"/>
                <w:bCs w:val="1"/>
                <w:color w:val="FFFFFF"/>
              </w:rPr>
              <w:t>of Shares That</w:t>
            </w:r>
          </w:p>
        </w:tc>
        <w:tc>
          <w:tcPr>
            <w:tcW w:w="220" w:type="dxa"/>
            <w:vAlign w:val="bottom"/>
            <w:shd w:val="clear" w:color="auto" w:fill="1F473D"/>
          </w:tcPr>
          <w:p>
            <w:pPr>
              <w:spacing w:after="0"/>
              <w:rPr>
                <w:sz w:val="13"/>
                <w:szCs w:val="13"/>
                <w:color w:val="auto"/>
              </w:rPr>
            </w:pPr>
          </w:p>
        </w:tc>
        <w:tc>
          <w:tcPr>
            <w:tcW w:w="1140" w:type="dxa"/>
            <w:vAlign w:val="bottom"/>
            <w:tcBorders>
              <w:right w:val="single" w:sz="8" w:color="B2B2B2"/>
            </w:tcBorders>
            <w:shd w:val="clear" w:color="auto" w:fill="1F473D"/>
          </w:tcPr>
          <w:p>
            <w:pPr>
              <w:jc w:val="right"/>
              <w:ind w:right="62"/>
              <w:spacing w:after="0" w:line="161" w:lineRule="exact"/>
              <w:rPr>
                <w:sz w:val="20"/>
                <w:szCs w:val="20"/>
                <w:color w:val="auto"/>
              </w:rPr>
            </w:pPr>
            <w:r>
              <w:rPr>
                <w:rFonts w:ascii="Arial" w:cs="Arial" w:eastAsia="Arial" w:hAnsi="Arial"/>
                <w:sz w:val="15"/>
                <w:szCs w:val="15"/>
                <w:b w:val="1"/>
                <w:bCs w:val="1"/>
                <w:color w:val="FFFFFF"/>
              </w:rPr>
              <w:t>Awards That</w:t>
            </w:r>
          </w:p>
        </w:tc>
        <w:tc>
          <w:tcPr>
            <w:tcW w:w="200" w:type="dxa"/>
            <w:vAlign w:val="bottom"/>
            <w:shd w:val="clear" w:color="auto" w:fill="1F473D"/>
          </w:tcPr>
          <w:p>
            <w:pPr>
              <w:spacing w:after="0"/>
              <w:rPr>
                <w:sz w:val="13"/>
                <w:szCs w:val="13"/>
                <w:color w:val="auto"/>
              </w:rPr>
            </w:pPr>
          </w:p>
        </w:tc>
        <w:tc>
          <w:tcPr>
            <w:tcW w:w="1220" w:type="dxa"/>
            <w:vAlign w:val="bottom"/>
            <w:shd w:val="clear" w:color="auto" w:fill="1F473D"/>
          </w:tcPr>
          <w:p>
            <w:pPr>
              <w:jc w:val="right"/>
              <w:spacing w:after="0" w:line="161" w:lineRule="exact"/>
              <w:rPr>
                <w:sz w:val="20"/>
                <w:szCs w:val="20"/>
                <w:color w:val="auto"/>
              </w:rPr>
            </w:pPr>
            <w:r>
              <w:rPr>
                <w:rFonts w:ascii="Arial" w:cs="Arial" w:eastAsia="Arial" w:hAnsi="Arial"/>
                <w:sz w:val="15"/>
                <w:szCs w:val="15"/>
                <w:b w:val="1"/>
                <w:bCs w:val="1"/>
                <w:color w:val="FFFFFF"/>
              </w:rPr>
              <w:t>Awards Not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vMerge w:val="restart"/>
            <w:shd w:val="clear" w:color="auto" w:fill="1F473D"/>
          </w:tcPr>
          <w:p>
            <w:pPr>
              <w:spacing w:after="0"/>
              <w:rPr>
                <w:sz w:val="20"/>
                <w:szCs w:val="20"/>
                <w:color w:val="auto"/>
              </w:rPr>
            </w:pPr>
            <w:r>
              <w:rPr>
                <w:rFonts w:ascii="Arial" w:cs="Arial" w:eastAsia="Arial" w:hAnsi="Arial"/>
                <w:sz w:val="15"/>
                <w:szCs w:val="15"/>
                <w:b w:val="1"/>
                <w:bCs w:val="1"/>
                <w:color w:val="FFFFFF"/>
              </w:rPr>
              <w:t>  Name</w:t>
            </w:r>
          </w:p>
        </w:tc>
        <w:tc>
          <w:tcPr>
            <w:tcW w:w="1120" w:type="dxa"/>
            <w:vAlign w:val="bottom"/>
            <w:shd w:val="clear" w:color="auto" w:fill="1F473D"/>
          </w:tcPr>
          <w:p>
            <w:pPr>
              <w:jc w:val="right"/>
              <w:ind w:right="41"/>
              <w:spacing w:after="0" w:line="161" w:lineRule="exact"/>
              <w:rPr>
                <w:sz w:val="20"/>
                <w:szCs w:val="20"/>
                <w:color w:val="auto"/>
              </w:rPr>
            </w:pPr>
            <w:r>
              <w:rPr>
                <w:rFonts w:ascii="Arial" w:cs="Arial" w:eastAsia="Arial" w:hAnsi="Arial"/>
                <w:sz w:val="15"/>
                <w:szCs w:val="15"/>
                <w:b w:val="1"/>
                <w:bCs w:val="1"/>
                <w:color w:val="FFFFFF"/>
              </w:rPr>
              <w:t>Unexercised</w:t>
            </w:r>
          </w:p>
        </w:tc>
        <w:tc>
          <w:tcPr>
            <w:tcW w:w="1380" w:type="dxa"/>
            <w:vAlign w:val="bottom"/>
            <w:vMerge w:val="continue"/>
            <w:shd w:val="clear" w:color="auto" w:fill="1F473D"/>
          </w:tcPr>
          <w:p>
            <w:pPr>
              <w:spacing w:after="0"/>
              <w:rPr>
                <w:sz w:val="13"/>
                <w:szCs w:val="13"/>
                <w:color w:val="auto"/>
              </w:rPr>
            </w:pPr>
          </w:p>
        </w:tc>
        <w:tc>
          <w:tcPr>
            <w:tcW w:w="1340" w:type="dxa"/>
            <w:vAlign w:val="bottom"/>
            <w:vMerge w:val="continue"/>
            <w:shd w:val="clear" w:color="auto" w:fill="1F473D"/>
          </w:tcPr>
          <w:p>
            <w:pPr>
              <w:spacing w:after="0"/>
              <w:rPr>
                <w:sz w:val="13"/>
                <w:szCs w:val="13"/>
                <w:color w:val="auto"/>
              </w:rPr>
            </w:pPr>
          </w:p>
        </w:tc>
        <w:tc>
          <w:tcPr>
            <w:tcW w:w="1220" w:type="dxa"/>
            <w:vAlign w:val="bottom"/>
            <w:tcBorders>
              <w:right w:val="single" w:sz="8" w:color="B2B2B2"/>
            </w:tcBorders>
            <w:shd w:val="clear" w:color="auto" w:fill="1F473D"/>
          </w:tcPr>
          <w:p>
            <w:pPr>
              <w:jc w:val="right"/>
              <w:ind w:right="60"/>
              <w:spacing w:after="0" w:line="161" w:lineRule="exact"/>
              <w:rPr>
                <w:sz w:val="20"/>
                <w:szCs w:val="20"/>
                <w:color w:val="auto"/>
              </w:rPr>
            </w:pPr>
            <w:r>
              <w:rPr>
                <w:rFonts w:ascii="Arial" w:cs="Arial" w:eastAsia="Arial" w:hAnsi="Arial"/>
                <w:sz w:val="15"/>
                <w:szCs w:val="15"/>
                <w:b w:val="1"/>
                <w:bCs w:val="1"/>
                <w:color w:val="FFFFFF"/>
              </w:rPr>
              <w:t>In-The-Money</w:t>
            </w:r>
          </w:p>
        </w:tc>
        <w:tc>
          <w:tcPr>
            <w:tcW w:w="1340" w:type="dxa"/>
            <w:vAlign w:val="bottom"/>
            <w:tcBorders>
              <w:right w:val="single" w:sz="8" w:color="B2B2B2"/>
            </w:tcBorders>
            <w:shd w:val="clear" w:color="auto" w:fill="1F473D"/>
          </w:tcPr>
          <w:p>
            <w:pPr>
              <w:jc w:val="right"/>
              <w:ind w:right="62"/>
              <w:spacing w:after="0" w:line="161" w:lineRule="exact"/>
              <w:rPr>
                <w:sz w:val="20"/>
                <w:szCs w:val="20"/>
                <w:color w:val="auto"/>
              </w:rPr>
            </w:pPr>
            <w:r>
              <w:rPr>
                <w:rFonts w:ascii="Arial" w:cs="Arial" w:eastAsia="Arial" w:hAnsi="Arial"/>
                <w:sz w:val="15"/>
                <w:szCs w:val="15"/>
                <w:b w:val="1"/>
                <w:bCs w:val="1"/>
                <w:color w:val="FFFFFF"/>
              </w:rPr>
              <w:t>Have Not</w:t>
            </w:r>
          </w:p>
        </w:tc>
        <w:tc>
          <w:tcPr>
            <w:tcW w:w="220" w:type="dxa"/>
            <w:vAlign w:val="bottom"/>
            <w:shd w:val="clear" w:color="auto" w:fill="1F473D"/>
          </w:tcPr>
          <w:p>
            <w:pPr>
              <w:spacing w:after="0"/>
              <w:rPr>
                <w:sz w:val="13"/>
                <w:szCs w:val="13"/>
                <w:color w:val="auto"/>
              </w:rPr>
            </w:pPr>
          </w:p>
        </w:tc>
        <w:tc>
          <w:tcPr>
            <w:tcW w:w="1140" w:type="dxa"/>
            <w:vAlign w:val="bottom"/>
            <w:tcBorders>
              <w:right w:val="single" w:sz="8" w:color="B2B2B2"/>
            </w:tcBorders>
            <w:shd w:val="clear" w:color="auto" w:fill="1F473D"/>
          </w:tcPr>
          <w:p>
            <w:pPr>
              <w:jc w:val="right"/>
              <w:ind w:right="62"/>
              <w:spacing w:after="0" w:line="161" w:lineRule="exact"/>
              <w:rPr>
                <w:sz w:val="20"/>
                <w:szCs w:val="20"/>
                <w:color w:val="auto"/>
              </w:rPr>
            </w:pPr>
            <w:r>
              <w:rPr>
                <w:rFonts w:ascii="Arial" w:cs="Arial" w:eastAsia="Arial" w:hAnsi="Arial"/>
                <w:sz w:val="15"/>
                <w:szCs w:val="15"/>
                <w:b w:val="1"/>
                <w:bCs w:val="1"/>
                <w:color w:val="FFFFFF"/>
              </w:rPr>
              <w:t>Have Not</w:t>
            </w:r>
          </w:p>
        </w:tc>
        <w:tc>
          <w:tcPr>
            <w:tcW w:w="200" w:type="dxa"/>
            <w:vAlign w:val="bottom"/>
            <w:shd w:val="clear" w:color="auto" w:fill="1F473D"/>
          </w:tcPr>
          <w:p>
            <w:pPr>
              <w:spacing w:after="0"/>
              <w:rPr>
                <w:sz w:val="13"/>
                <w:szCs w:val="13"/>
                <w:color w:val="auto"/>
              </w:rPr>
            </w:pPr>
          </w:p>
        </w:tc>
        <w:tc>
          <w:tcPr>
            <w:tcW w:w="1220" w:type="dxa"/>
            <w:vAlign w:val="bottom"/>
            <w:shd w:val="clear" w:color="auto" w:fill="1F473D"/>
          </w:tcPr>
          <w:p>
            <w:pPr>
              <w:jc w:val="right"/>
              <w:spacing w:after="0" w:line="161" w:lineRule="exact"/>
              <w:rPr>
                <w:sz w:val="20"/>
                <w:szCs w:val="20"/>
                <w:color w:val="auto"/>
              </w:rPr>
            </w:pPr>
            <w:r>
              <w:rPr>
                <w:rFonts w:ascii="Arial" w:cs="Arial" w:eastAsia="Arial" w:hAnsi="Arial"/>
                <w:sz w:val="15"/>
                <w:szCs w:val="15"/>
                <w:b w:val="1"/>
                <w:bCs w:val="1"/>
                <w:color w:val="FFFFFF"/>
              </w:rPr>
              <w:t>Paid Out or</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20" w:type="dxa"/>
            <w:vAlign w:val="bottom"/>
            <w:tcBorders>
              <w:bottom w:val="single" w:sz="8" w:color="1F473D"/>
            </w:tcBorders>
            <w:vMerge w:val="continue"/>
            <w:shd w:val="clear" w:color="auto" w:fill="1F473D"/>
          </w:tcPr>
          <w:p>
            <w:pPr>
              <w:spacing w:after="0"/>
              <w:rPr>
                <w:sz w:val="23"/>
                <w:szCs w:val="23"/>
                <w:color w:val="auto"/>
              </w:rPr>
            </w:pPr>
          </w:p>
        </w:tc>
        <w:tc>
          <w:tcPr>
            <w:tcW w:w="1120" w:type="dxa"/>
            <w:vAlign w:val="bottom"/>
            <w:tcBorders>
              <w:bottom w:val="single" w:sz="8" w:color="1F473D"/>
            </w:tcBorders>
            <w:shd w:val="clear" w:color="auto" w:fill="1F473D"/>
          </w:tcPr>
          <w:p>
            <w:pPr>
              <w:jc w:val="right"/>
              <w:ind w:right="41"/>
              <w:spacing w:after="0"/>
              <w:rPr>
                <w:sz w:val="20"/>
                <w:szCs w:val="20"/>
                <w:color w:val="auto"/>
              </w:rPr>
            </w:pPr>
            <w:r>
              <w:rPr>
                <w:rFonts w:ascii="Arial" w:cs="Arial" w:eastAsia="Arial" w:hAnsi="Arial"/>
                <w:sz w:val="15"/>
                <w:szCs w:val="15"/>
                <w:b w:val="1"/>
                <w:bCs w:val="1"/>
                <w:color w:val="FFFFFF"/>
              </w:rPr>
              <w:t>Options (#)</w:t>
            </w:r>
          </w:p>
        </w:tc>
        <w:tc>
          <w:tcPr>
            <w:tcW w:w="1380" w:type="dxa"/>
            <w:vAlign w:val="bottom"/>
            <w:tcBorders>
              <w:bottom w:val="single" w:sz="8" w:color="1F473D"/>
            </w:tcBorders>
            <w:shd w:val="clear" w:color="auto" w:fill="1F473D"/>
          </w:tcPr>
          <w:p>
            <w:pPr>
              <w:jc w:val="right"/>
              <w:ind w:right="40"/>
              <w:spacing w:after="0"/>
              <w:rPr>
                <w:sz w:val="20"/>
                <w:szCs w:val="20"/>
                <w:color w:val="auto"/>
              </w:rPr>
            </w:pPr>
            <w:r>
              <w:rPr>
                <w:rFonts w:ascii="Arial" w:cs="Arial" w:eastAsia="Arial" w:hAnsi="Arial"/>
                <w:sz w:val="15"/>
                <w:szCs w:val="15"/>
                <w:b w:val="1"/>
                <w:bCs w:val="1"/>
                <w:color w:val="FFFFFF"/>
              </w:rPr>
              <w:t>Price ($)</w:t>
            </w:r>
          </w:p>
        </w:tc>
        <w:tc>
          <w:tcPr>
            <w:tcW w:w="1340" w:type="dxa"/>
            <w:vAlign w:val="bottom"/>
            <w:tcBorders>
              <w:bottom w:val="single" w:sz="8" w:color="1F473D"/>
            </w:tcBorders>
            <w:shd w:val="clear" w:color="auto" w:fill="1F473D"/>
          </w:tcPr>
          <w:p>
            <w:pPr>
              <w:jc w:val="right"/>
              <w:ind w:right="40"/>
              <w:spacing w:after="0"/>
              <w:rPr>
                <w:sz w:val="20"/>
                <w:szCs w:val="20"/>
                <w:color w:val="auto"/>
              </w:rPr>
            </w:pPr>
            <w:r>
              <w:rPr>
                <w:rFonts w:ascii="Arial" w:cs="Arial" w:eastAsia="Arial" w:hAnsi="Arial"/>
                <w:sz w:val="15"/>
                <w:szCs w:val="15"/>
                <w:b w:val="1"/>
                <w:bCs w:val="1"/>
                <w:color w:val="FFFFFF"/>
              </w:rPr>
              <w:t>Expiration Date</w:t>
            </w:r>
          </w:p>
        </w:tc>
        <w:tc>
          <w:tcPr>
            <w:tcW w:w="1220" w:type="dxa"/>
            <w:vAlign w:val="bottom"/>
            <w:tcBorders>
              <w:bottom w:val="single" w:sz="8" w:color="1F473D"/>
              <w:right w:val="single" w:sz="8" w:color="B2B2B2"/>
            </w:tcBorders>
            <w:shd w:val="clear" w:color="auto" w:fill="1F473D"/>
          </w:tcPr>
          <w:p>
            <w:pPr>
              <w:jc w:val="right"/>
              <w:ind w:right="60"/>
              <w:spacing w:after="0"/>
              <w:rPr>
                <w:sz w:val="20"/>
                <w:szCs w:val="20"/>
                <w:color w:val="auto"/>
              </w:rPr>
            </w:pPr>
            <w:r>
              <w:rPr>
                <w:rFonts w:ascii="Arial" w:cs="Arial" w:eastAsia="Arial" w:hAnsi="Arial"/>
                <w:sz w:val="15"/>
                <w:szCs w:val="15"/>
                <w:b w:val="1"/>
                <w:bCs w:val="1"/>
                <w:color w:val="FFFFFF"/>
              </w:rPr>
              <w:t>Options ($)</w:t>
            </w:r>
          </w:p>
        </w:tc>
        <w:tc>
          <w:tcPr>
            <w:tcW w:w="1340" w:type="dxa"/>
            <w:vAlign w:val="bottom"/>
            <w:tcBorders>
              <w:bottom w:val="single" w:sz="8" w:color="1F473D"/>
              <w:right w:val="single" w:sz="8" w:color="B2B2B2"/>
            </w:tcBorders>
            <w:shd w:val="clear" w:color="auto" w:fill="1F473D"/>
          </w:tcPr>
          <w:p>
            <w:pPr>
              <w:jc w:val="right"/>
              <w:ind w:right="62"/>
              <w:spacing w:after="0"/>
              <w:rPr>
                <w:sz w:val="20"/>
                <w:szCs w:val="20"/>
                <w:color w:val="auto"/>
              </w:rPr>
            </w:pPr>
            <w:r>
              <w:rPr>
                <w:rFonts w:ascii="Arial" w:cs="Arial" w:eastAsia="Arial" w:hAnsi="Arial"/>
                <w:sz w:val="15"/>
                <w:szCs w:val="15"/>
                <w:b w:val="1"/>
                <w:bCs w:val="1"/>
                <w:color w:val="FFFFFF"/>
              </w:rPr>
              <w:t>Vested (#)</w:t>
            </w:r>
          </w:p>
        </w:tc>
        <w:tc>
          <w:tcPr>
            <w:tcW w:w="220" w:type="dxa"/>
            <w:vAlign w:val="bottom"/>
            <w:tcBorders>
              <w:bottom w:val="single" w:sz="8" w:color="1F473D"/>
            </w:tcBorders>
            <w:shd w:val="clear" w:color="auto" w:fill="1F473D"/>
          </w:tcPr>
          <w:p>
            <w:pPr>
              <w:spacing w:after="0"/>
              <w:rPr>
                <w:sz w:val="23"/>
                <w:szCs w:val="23"/>
                <w:color w:val="auto"/>
              </w:rPr>
            </w:pPr>
          </w:p>
        </w:tc>
        <w:tc>
          <w:tcPr>
            <w:tcW w:w="1140" w:type="dxa"/>
            <w:vAlign w:val="bottom"/>
            <w:tcBorders>
              <w:bottom w:val="single" w:sz="8" w:color="1F473D"/>
              <w:right w:val="single" w:sz="8" w:color="B2B2B2"/>
            </w:tcBorders>
            <w:shd w:val="clear" w:color="auto" w:fill="1F473D"/>
          </w:tcPr>
          <w:p>
            <w:pPr>
              <w:jc w:val="right"/>
              <w:ind w:right="62"/>
              <w:spacing w:after="0"/>
              <w:rPr>
                <w:sz w:val="20"/>
                <w:szCs w:val="20"/>
                <w:color w:val="auto"/>
              </w:rPr>
            </w:pPr>
            <w:r>
              <w:rPr>
                <w:rFonts w:ascii="Arial" w:cs="Arial" w:eastAsia="Arial" w:hAnsi="Arial"/>
                <w:sz w:val="15"/>
                <w:szCs w:val="15"/>
                <w:b w:val="1"/>
                <w:bCs w:val="1"/>
                <w:color w:val="FFFFFF"/>
              </w:rPr>
              <w:t>Vested ($)</w:t>
            </w:r>
          </w:p>
        </w:tc>
        <w:tc>
          <w:tcPr>
            <w:tcW w:w="200" w:type="dxa"/>
            <w:vAlign w:val="bottom"/>
            <w:tcBorders>
              <w:bottom w:val="single" w:sz="8" w:color="1F473D"/>
            </w:tcBorders>
            <w:shd w:val="clear" w:color="auto" w:fill="1F473D"/>
          </w:tcPr>
          <w:p>
            <w:pPr>
              <w:spacing w:after="0"/>
              <w:rPr>
                <w:sz w:val="23"/>
                <w:szCs w:val="23"/>
                <w:color w:val="auto"/>
              </w:rPr>
            </w:pPr>
          </w:p>
        </w:tc>
        <w:tc>
          <w:tcPr>
            <w:tcW w:w="1220" w:type="dxa"/>
            <w:vAlign w:val="bottom"/>
            <w:tcBorders>
              <w:bottom w:val="single" w:sz="8" w:color="1F473D"/>
            </w:tcBorders>
            <w:shd w:val="clear" w:color="auto" w:fill="1F473D"/>
          </w:tcPr>
          <w:p>
            <w:pPr>
              <w:jc w:val="right"/>
              <w:spacing w:after="0"/>
              <w:rPr>
                <w:sz w:val="20"/>
                <w:szCs w:val="20"/>
                <w:color w:val="auto"/>
              </w:rPr>
            </w:pPr>
            <w:r>
              <w:rPr>
                <w:rFonts w:ascii="Arial" w:cs="Arial" w:eastAsia="Arial" w:hAnsi="Arial"/>
                <w:sz w:val="15"/>
                <w:szCs w:val="15"/>
                <w:b w:val="1"/>
                <w:bCs w:val="1"/>
                <w:color w:val="FFFFFF"/>
              </w:rPr>
              <w:t>Distributed ($)</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20" w:type="dxa"/>
            <w:vAlign w:val="bottom"/>
            <w:tcBorders>
              <w:top w:val="single" w:sz="8" w:color="D64000"/>
            </w:tcBorders>
          </w:tcPr>
          <w:p>
            <w:pPr>
              <w:spacing w:after="0"/>
              <w:rPr>
                <w:sz w:val="20"/>
                <w:szCs w:val="20"/>
                <w:color w:val="auto"/>
              </w:rPr>
            </w:pPr>
            <w:r>
              <w:rPr>
                <w:rFonts w:ascii="Arial" w:cs="Arial" w:eastAsia="Arial" w:hAnsi="Arial"/>
                <w:sz w:val="16"/>
                <w:szCs w:val="16"/>
                <w:b w:val="1"/>
                <w:bCs w:val="1"/>
                <w:color w:val="auto"/>
              </w:rPr>
              <w:t>  Steve Hasker</w:t>
            </w:r>
          </w:p>
        </w:tc>
        <w:tc>
          <w:tcPr>
            <w:tcW w:w="1120" w:type="dxa"/>
            <w:vAlign w:val="bottom"/>
            <w:tcBorders>
              <w:top w:val="single" w:sz="8" w:color="D64000"/>
              <w:bottom w:val="single" w:sz="8" w:color="B2B2B2"/>
            </w:tcBorders>
          </w:tcPr>
          <w:p>
            <w:pPr>
              <w:jc w:val="right"/>
              <w:ind w:right="41"/>
              <w:spacing w:after="0"/>
              <w:rPr>
                <w:sz w:val="20"/>
                <w:szCs w:val="20"/>
                <w:color w:val="auto"/>
              </w:rPr>
            </w:pPr>
            <w:r>
              <w:rPr>
                <w:rFonts w:ascii="Arial" w:cs="Arial" w:eastAsia="Arial" w:hAnsi="Arial"/>
                <w:sz w:val="16"/>
                <w:szCs w:val="16"/>
                <w:color w:val="auto"/>
              </w:rPr>
              <w:t>234,956</w:t>
            </w:r>
          </w:p>
        </w:tc>
        <w:tc>
          <w:tcPr>
            <w:tcW w:w="1380" w:type="dxa"/>
            <w:vAlign w:val="bottom"/>
            <w:tcBorders>
              <w:top w:val="single" w:sz="8" w:color="D64000"/>
              <w:bottom w:val="single" w:sz="8" w:color="B2B2B2"/>
            </w:tcBorders>
          </w:tcPr>
          <w:p>
            <w:pPr>
              <w:jc w:val="right"/>
              <w:ind w:right="40"/>
              <w:spacing w:after="0"/>
              <w:rPr>
                <w:sz w:val="20"/>
                <w:szCs w:val="20"/>
                <w:color w:val="auto"/>
              </w:rPr>
            </w:pPr>
            <w:r>
              <w:rPr>
                <w:rFonts w:ascii="Arial" w:cs="Arial" w:eastAsia="Arial" w:hAnsi="Arial"/>
                <w:sz w:val="16"/>
                <w:szCs w:val="16"/>
                <w:color w:val="auto"/>
              </w:rPr>
              <w:t>75.96</w:t>
            </w:r>
          </w:p>
        </w:tc>
        <w:tc>
          <w:tcPr>
            <w:tcW w:w="1340" w:type="dxa"/>
            <w:vAlign w:val="bottom"/>
            <w:tcBorders>
              <w:top w:val="single" w:sz="8" w:color="D64000"/>
              <w:bottom w:val="single" w:sz="8" w:color="B2B2B2"/>
            </w:tcBorders>
          </w:tcPr>
          <w:p>
            <w:pPr>
              <w:jc w:val="right"/>
              <w:ind w:right="40"/>
              <w:spacing w:after="0"/>
              <w:rPr>
                <w:sz w:val="20"/>
                <w:szCs w:val="20"/>
                <w:color w:val="auto"/>
              </w:rPr>
            </w:pPr>
            <w:r>
              <w:rPr>
                <w:rFonts w:ascii="Arial" w:cs="Arial" w:eastAsia="Arial" w:hAnsi="Arial"/>
                <w:sz w:val="16"/>
                <w:szCs w:val="16"/>
                <w:color w:val="auto"/>
              </w:rPr>
              <w:t>3/4/2030</w:t>
            </w:r>
          </w:p>
        </w:tc>
        <w:tc>
          <w:tcPr>
            <w:tcW w:w="1220" w:type="dxa"/>
            <w:vAlign w:val="bottom"/>
            <w:tcBorders>
              <w:top w:val="single" w:sz="8" w:color="D64000"/>
              <w:bottom w:val="single" w:sz="8" w:color="B2B2B2"/>
            </w:tcBorders>
          </w:tcPr>
          <w:p>
            <w:pPr>
              <w:jc w:val="right"/>
              <w:ind w:right="60"/>
              <w:spacing w:after="0"/>
              <w:rPr>
                <w:sz w:val="20"/>
                <w:szCs w:val="20"/>
                <w:color w:val="auto"/>
              </w:rPr>
            </w:pPr>
            <w:r>
              <w:rPr>
                <w:rFonts w:ascii="Arial" w:cs="Arial" w:eastAsia="Arial" w:hAnsi="Arial"/>
                <w:sz w:val="16"/>
                <w:szCs w:val="16"/>
                <w:color w:val="auto"/>
              </w:rPr>
              <w:t>13,141,089</w:t>
            </w:r>
          </w:p>
        </w:tc>
        <w:tc>
          <w:tcPr>
            <w:tcW w:w="1340" w:type="dxa"/>
            <w:vAlign w:val="bottom"/>
            <w:tcBorders>
              <w:top w:val="single" w:sz="8" w:color="D64000"/>
            </w:tcBorders>
          </w:tcPr>
          <w:p>
            <w:pPr>
              <w:jc w:val="right"/>
              <w:ind w:right="62"/>
              <w:spacing w:after="0"/>
              <w:rPr>
                <w:sz w:val="20"/>
                <w:szCs w:val="20"/>
                <w:color w:val="auto"/>
              </w:rPr>
            </w:pPr>
            <w:r>
              <w:rPr>
                <w:rFonts w:ascii="Arial" w:cs="Arial" w:eastAsia="Arial" w:hAnsi="Arial"/>
                <w:sz w:val="16"/>
                <w:szCs w:val="16"/>
                <w:color w:val="auto"/>
              </w:rPr>
              <w:t>114,998</w:t>
            </w:r>
          </w:p>
        </w:tc>
        <w:tc>
          <w:tcPr>
            <w:tcW w:w="220" w:type="dxa"/>
            <w:vAlign w:val="bottom"/>
            <w:tcBorders>
              <w:top w:val="single" w:sz="8" w:color="D64000"/>
            </w:tcBorders>
          </w:tcPr>
          <w:p>
            <w:pPr>
              <w:ind w:left="8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D64000"/>
            </w:tcBorders>
          </w:tcPr>
          <w:p>
            <w:pPr>
              <w:jc w:val="right"/>
              <w:ind w:right="62"/>
              <w:spacing w:after="0"/>
              <w:rPr>
                <w:sz w:val="20"/>
                <w:szCs w:val="20"/>
                <w:color w:val="auto"/>
              </w:rPr>
            </w:pPr>
            <w:r>
              <w:rPr>
                <w:rFonts w:ascii="Arial" w:cs="Arial" w:eastAsia="Arial" w:hAnsi="Arial"/>
                <w:sz w:val="16"/>
                <w:szCs w:val="16"/>
                <w:color w:val="auto"/>
              </w:rPr>
              <w:t>15,167,086</w:t>
            </w:r>
          </w:p>
        </w:tc>
        <w:tc>
          <w:tcPr>
            <w:tcW w:w="200" w:type="dxa"/>
            <w:vAlign w:val="bottom"/>
            <w:tcBorders>
              <w:top w:val="single" w:sz="8" w:color="D64000"/>
            </w:tcBorders>
          </w:tcPr>
          <w:p>
            <w:pPr>
              <w:spacing w:after="0"/>
              <w:rPr>
                <w:sz w:val="16"/>
                <w:szCs w:val="16"/>
                <w:color w:val="auto"/>
              </w:rPr>
            </w:pPr>
          </w:p>
        </w:tc>
        <w:tc>
          <w:tcPr>
            <w:tcW w:w="1220" w:type="dxa"/>
            <w:vAlign w:val="bottom"/>
            <w:tcBorders>
              <w:top w:val="single" w:sz="8" w:color="D64000"/>
            </w:tcBorders>
          </w:tcPr>
          <w:p>
            <w:pPr>
              <w:jc w:val="right"/>
              <w:ind w:right="5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141,911</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88.87</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3/3/2031</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6,105,011</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103,721</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102.00</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3/2/2032</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3,100,221</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63,730</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121.03</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3/1/2033</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692,108</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53,280</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156.94</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3/6/2034</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Borders>
              <w:bottom w:val="single" w:sz="8" w:color="B2B2B2"/>
            </w:tcBorders>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50,242</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175.82</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3/5/2035</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spacing w:after="0"/>
              <w:rPr>
                <w:sz w:val="15"/>
                <w:szCs w:val="15"/>
                <w:color w:val="auto"/>
              </w:rPr>
            </w:pPr>
          </w:p>
        </w:tc>
        <w:tc>
          <w:tcPr>
            <w:tcW w:w="220" w:type="dxa"/>
            <w:vAlign w:val="bottom"/>
            <w:tcBorders>
              <w:bottom w:val="single" w:sz="8" w:color="B2B2B2"/>
            </w:tcBorders>
          </w:tcPr>
          <w:p>
            <w:pPr>
              <w:spacing w:after="0"/>
              <w:rPr>
                <w:sz w:val="15"/>
                <w:szCs w:val="15"/>
                <w:color w:val="auto"/>
              </w:rPr>
            </w:pPr>
          </w:p>
        </w:tc>
        <w:tc>
          <w:tcPr>
            <w:tcW w:w="1140" w:type="dxa"/>
            <w:vAlign w:val="bottom"/>
            <w:tcBorders>
              <w:bottom w:val="single" w:sz="8" w:color="B2B2B2"/>
            </w:tcBorders>
          </w:tcPr>
          <w:p>
            <w:pPr>
              <w:spacing w:after="0"/>
              <w:rPr>
                <w:sz w:val="15"/>
                <w:szCs w:val="15"/>
                <w:color w:val="auto"/>
              </w:rPr>
            </w:pPr>
          </w:p>
        </w:tc>
        <w:tc>
          <w:tcPr>
            <w:tcW w:w="200" w:type="dxa"/>
            <w:vAlign w:val="bottom"/>
            <w:tcBorders>
              <w:bottom w:val="single" w:sz="8" w:color="B2B2B2"/>
            </w:tcBorders>
          </w:tcPr>
          <w:p>
            <w:pPr>
              <w:spacing w:after="0"/>
              <w:rPr>
                <w:sz w:val="15"/>
                <w:szCs w:val="15"/>
                <w:color w:val="auto"/>
              </w:rPr>
            </w:pPr>
          </w:p>
        </w:tc>
        <w:tc>
          <w:tcPr>
            <w:tcW w:w="1220" w:type="dxa"/>
            <w:vAlign w:val="bottom"/>
            <w:tcBorders>
              <w:bottom w:val="single" w:sz="8" w:color="B2B2B2"/>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line="181" w:lineRule="exact"/>
              <w:rPr>
                <w:sz w:val="20"/>
                <w:szCs w:val="20"/>
                <w:color w:val="auto"/>
              </w:rPr>
            </w:pPr>
            <w:r>
              <w:rPr>
                <w:rFonts w:ascii="Arial" w:cs="Arial" w:eastAsia="Arial" w:hAnsi="Arial"/>
                <w:sz w:val="16"/>
                <w:szCs w:val="16"/>
                <w:b w:val="1"/>
                <w:bCs w:val="1"/>
                <w:color w:val="auto"/>
              </w:rPr>
              <w:t>  Mike Eastwood</w:t>
            </w: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6,564</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102.00</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3/2/2032</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196,198</w:t>
            </w:r>
          </w:p>
        </w:tc>
        <w:tc>
          <w:tcPr>
            <w:tcW w:w="13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30,834</w:t>
            </w:r>
          </w:p>
        </w:tc>
        <w:tc>
          <w:tcPr>
            <w:tcW w:w="220" w:type="dxa"/>
            <w:vAlign w:val="bottom"/>
          </w:tcPr>
          <w:p>
            <w:pPr>
              <w:spacing w:after="0"/>
              <w:rPr>
                <w:sz w:val="15"/>
                <w:szCs w:val="15"/>
                <w:color w:val="auto"/>
              </w:rPr>
            </w:pPr>
          </w:p>
        </w:tc>
        <w:tc>
          <w:tcPr>
            <w:tcW w:w="11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4,066,696</w:t>
            </w:r>
          </w:p>
        </w:tc>
        <w:tc>
          <w:tcPr>
            <w:tcW w:w="200" w:type="dxa"/>
            <w:vAlign w:val="bottom"/>
          </w:tcPr>
          <w:p>
            <w:pPr>
              <w:spacing w:after="0"/>
              <w:rPr>
                <w:sz w:val="15"/>
                <w:szCs w:val="15"/>
                <w:color w:val="auto"/>
              </w:rPr>
            </w:pPr>
          </w:p>
        </w:tc>
        <w:tc>
          <w:tcPr>
            <w:tcW w:w="1220" w:type="dxa"/>
            <w:vAlign w:val="bottom"/>
          </w:tcPr>
          <w:p>
            <w:pPr>
              <w:jc w:val="right"/>
              <w:ind w:right="522"/>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8,215</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121.03</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3/1/2033</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89,215</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11,286</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156.94</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3/6/2034</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Borders>
              <w:bottom w:val="single" w:sz="8" w:color="B2B2B2"/>
            </w:tcBorders>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13,331</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175.82</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3/5/2035</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spacing w:after="0"/>
              <w:rPr>
                <w:sz w:val="15"/>
                <w:szCs w:val="15"/>
                <w:color w:val="auto"/>
              </w:rPr>
            </w:pPr>
          </w:p>
        </w:tc>
        <w:tc>
          <w:tcPr>
            <w:tcW w:w="220" w:type="dxa"/>
            <w:vAlign w:val="bottom"/>
            <w:tcBorders>
              <w:bottom w:val="single" w:sz="8" w:color="B2B2B2"/>
            </w:tcBorders>
          </w:tcPr>
          <w:p>
            <w:pPr>
              <w:spacing w:after="0"/>
              <w:rPr>
                <w:sz w:val="15"/>
                <w:szCs w:val="15"/>
                <w:color w:val="auto"/>
              </w:rPr>
            </w:pPr>
          </w:p>
        </w:tc>
        <w:tc>
          <w:tcPr>
            <w:tcW w:w="1140" w:type="dxa"/>
            <w:vAlign w:val="bottom"/>
            <w:tcBorders>
              <w:bottom w:val="single" w:sz="8" w:color="B2B2B2"/>
            </w:tcBorders>
          </w:tcPr>
          <w:p>
            <w:pPr>
              <w:spacing w:after="0"/>
              <w:rPr>
                <w:sz w:val="15"/>
                <w:szCs w:val="15"/>
                <w:color w:val="auto"/>
              </w:rPr>
            </w:pPr>
          </w:p>
        </w:tc>
        <w:tc>
          <w:tcPr>
            <w:tcW w:w="200" w:type="dxa"/>
            <w:vAlign w:val="bottom"/>
            <w:tcBorders>
              <w:bottom w:val="single" w:sz="8" w:color="B2B2B2"/>
            </w:tcBorders>
          </w:tcPr>
          <w:p>
            <w:pPr>
              <w:spacing w:after="0"/>
              <w:rPr>
                <w:sz w:val="15"/>
                <w:szCs w:val="15"/>
                <w:color w:val="auto"/>
              </w:rPr>
            </w:pPr>
          </w:p>
        </w:tc>
        <w:tc>
          <w:tcPr>
            <w:tcW w:w="1220" w:type="dxa"/>
            <w:vAlign w:val="bottom"/>
            <w:tcBorders>
              <w:bottom w:val="single" w:sz="8" w:color="B2B2B2"/>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line="181" w:lineRule="exact"/>
              <w:rPr>
                <w:sz w:val="20"/>
                <w:szCs w:val="20"/>
                <w:color w:val="auto"/>
              </w:rPr>
            </w:pPr>
            <w:r>
              <w:rPr>
                <w:rFonts w:ascii="Arial" w:cs="Arial" w:eastAsia="Arial" w:hAnsi="Arial"/>
                <w:sz w:val="16"/>
                <w:szCs w:val="16"/>
                <w:b w:val="1"/>
                <w:bCs w:val="1"/>
                <w:color w:val="auto"/>
              </w:rPr>
              <w:t>  Kirsty Roth</w:t>
            </w: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7,378</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102.00</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3/2/2032</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220,528</w:t>
            </w:r>
          </w:p>
        </w:tc>
        <w:tc>
          <w:tcPr>
            <w:tcW w:w="13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32,659</w:t>
            </w:r>
          </w:p>
        </w:tc>
        <w:tc>
          <w:tcPr>
            <w:tcW w:w="220" w:type="dxa"/>
            <w:vAlign w:val="bottom"/>
          </w:tcPr>
          <w:p>
            <w:pPr>
              <w:ind w:left="80"/>
              <w:spacing w:after="0" w:line="181"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4,307,396</w:t>
            </w:r>
          </w:p>
        </w:tc>
        <w:tc>
          <w:tcPr>
            <w:tcW w:w="200" w:type="dxa"/>
            <w:vAlign w:val="bottom"/>
          </w:tcPr>
          <w:p>
            <w:pPr>
              <w:spacing w:after="0"/>
              <w:rPr>
                <w:sz w:val="15"/>
                <w:szCs w:val="15"/>
                <w:color w:val="auto"/>
              </w:rPr>
            </w:pPr>
          </w:p>
        </w:tc>
        <w:tc>
          <w:tcPr>
            <w:tcW w:w="1220" w:type="dxa"/>
            <w:vAlign w:val="bottom"/>
          </w:tcPr>
          <w:p>
            <w:pPr>
              <w:jc w:val="right"/>
              <w:ind w:right="522"/>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8,910</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121.03</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3/1/2033</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96,763</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15,582</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156.94</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3/6/2034</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Borders>
              <w:bottom w:val="single" w:sz="8" w:color="B2B2B2"/>
            </w:tcBorders>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14,081</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175.82</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3/5/2035</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spacing w:after="0"/>
              <w:rPr>
                <w:sz w:val="15"/>
                <w:szCs w:val="15"/>
                <w:color w:val="auto"/>
              </w:rPr>
            </w:pPr>
          </w:p>
        </w:tc>
        <w:tc>
          <w:tcPr>
            <w:tcW w:w="220" w:type="dxa"/>
            <w:vAlign w:val="bottom"/>
            <w:tcBorders>
              <w:bottom w:val="single" w:sz="8" w:color="B2B2B2"/>
            </w:tcBorders>
          </w:tcPr>
          <w:p>
            <w:pPr>
              <w:spacing w:after="0"/>
              <w:rPr>
                <w:sz w:val="15"/>
                <w:szCs w:val="15"/>
                <w:color w:val="auto"/>
              </w:rPr>
            </w:pPr>
          </w:p>
        </w:tc>
        <w:tc>
          <w:tcPr>
            <w:tcW w:w="1140" w:type="dxa"/>
            <w:vAlign w:val="bottom"/>
            <w:tcBorders>
              <w:bottom w:val="single" w:sz="8" w:color="B2B2B2"/>
            </w:tcBorders>
          </w:tcPr>
          <w:p>
            <w:pPr>
              <w:spacing w:after="0"/>
              <w:rPr>
                <w:sz w:val="15"/>
                <w:szCs w:val="15"/>
                <w:color w:val="auto"/>
              </w:rPr>
            </w:pPr>
          </w:p>
        </w:tc>
        <w:tc>
          <w:tcPr>
            <w:tcW w:w="200" w:type="dxa"/>
            <w:vAlign w:val="bottom"/>
            <w:tcBorders>
              <w:bottom w:val="single" w:sz="8" w:color="B2B2B2"/>
            </w:tcBorders>
          </w:tcPr>
          <w:p>
            <w:pPr>
              <w:spacing w:after="0"/>
              <w:rPr>
                <w:sz w:val="15"/>
                <w:szCs w:val="15"/>
                <w:color w:val="auto"/>
              </w:rPr>
            </w:pPr>
          </w:p>
        </w:tc>
        <w:tc>
          <w:tcPr>
            <w:tcW w:w="1220" w:type="dxa"/>
            <w:vAlign w:val="bottom"/>
            <w:tcBorders>
              <w:bottom w:val="single" w:sz="8" w:color="B2B2B2"/>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line="181" w:lineRule="exact"/>
              <w:rPr>
                <w:sz w:val="20"/>
                <w:szCs w:val="20"/>
                <w:color w:val="auto"/>
              </w:rPr>
            </w:pPr>
            <w:r>
              <w:rPr>
                <w:rFonts w:ascii="Arial" w:cs="Arial" w:eastAsia="Arial" w:hAnsi="Arial"/>
                <w:sz w:val="16"/>
                <w:szCs w:val="16"/>
                <w:b w:val="1"/>
                <w:bCs w:val="1"/>
                <w:color w:val="auto"/>
              </w:rPr>
              <w:t>  David Wong</w:t>
            </w: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10,852</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88.87</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3/3/2031</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466,853</w:t>
            </w:r>
          </w:p>
        </w:tc>
        <w:tc>
          <w:tcPr>
            <w:tcW w:w="13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27,153</w:t>
            </w:r>
          </w:p>
        </w:tc>
        <w:tc>
          <w:tcPr>
            <w:tcW w:w="220" w:type="dxa"/>
            <w:vAlign w:val="bottom"/>
          </w:tcPr>
          <w:p>
            <w:pPr>
              <w:ind w:left="80"/>
              <w:spacing w:after="0" w:line="181"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3,581,209</w:t>
            </w:r>
          </w:p>
        </w:tc>
        <w:tc>
          <w:tcPr>
            <w:tcW w:w="200" w:type="dxa"/>
            <w:vAlign w:val="bottom"/>
          </w:tcPr>
          <w:p>
            <w:pPr>
              <w:spacing w:after="0"/>
              <w:rPr>
                <w:sz w:val="15"/>
                <w:szCs w:val="15"/>
                <w:color w:val="auto"/>
              </w:rPr>
            </w:pPr>
          </w:p>
        </w:tc>
        <w:tc>
          <w:tcPr>
            <w:tcW w:w="1220" w:type="dxa"/>
            <w:vAlign w:val="bottom"/>
          </w:tcPr>
          <w:p>
            <w:pPr>
              <w:jc w:val="right"/>
              <w:ind w:right="522"/>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22,479</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102.00</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3/2/2032</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671,897</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14,068</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121.03</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3/1/2033</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152,778</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12,545</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156.94</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3/6/2034</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Borders>
              <w:bottom w:val="single" w:sz="8" w:color="B2B2B2"/>
            </w:tcBorders>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12,845</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175.82</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3/5/2035</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2B2B2"/>
            </w:tcBorders>
          </w:tcPr>
          <w:p>
            <w:pPr>
              <w:spacing w:after="0"/>
              <w:rPr>
                <w:sz w:val="15"/>
                <w:szCs w:val="15"/>
                <w:color w:val="auto"/>
              </w:rPr>
            </w:pPr>
          </w:p>
        </w:tc>
        <w:tc>
          <w:tcPr>
            <w:tcW w:w="220" w:type="dxa"/>
            <w:vAlign w:val="bottom"/>
            <w:tcBorders>
              <w:bottom w:val="single" w:sz="8" w:color="B2B2B2"/>
            </w:tcBorders>
          </w:tcPr>
          <w:p>
            <w:pPr>
              <w:spacing w:after="0"/>
              <w:rPr>
                <w:sz w:val="15"/>
                <w:szCs w:val="15"/>
                <w:color w:val="auto"/>
              </w:rPr>
            </w:pPr>
          </w:p>
        </w:tc>
        <w:tc>
          <w:tcPr>
            <w:tcW w:w="1140" w:type="dxa"/>
            <w:vAlign w:val="bottom"/>
            <w:tcBorders>
              <w:bottom w:val="single" w:sz="8" w:color="B2B2B2"/>
            </w:tcBorders>
          </w:tcPr>
          <w:p>
            <w:pPr>
              <w:spacing w:after="0"/>
              <w:rPr>
                <w:sz w:val="15"/>
                <w:szCs w:val="15"/>
                <w:color w:val="auto"/>
              </w:rPr>
            </w:pPr>
          </w:p>
        </w:tc>
        <w:tc>
          <w:tcPr>
            <w:tcW w:w="200" w:type="dxa"/>
            <w:vAlign w:val="bottom"/>
            <w:tcBorders>
              <w:bottom w:val="single" w:sz="8" w:color="B2B2B2"/>
            </w:tcBorders>
          </w:tcPr>
          <w:p>
            <w:pPr>
              <w:spacing w:after="0"/>
              <w:rPr>
                <w:sz w:val="15"/>
                <w:szCs w:val="15"/>
                <w:color w:val="auto"/>
              </w:rPr>
            </w:pPr>
          </w:p>
        </w:tc>
        <w:tc>
          <w:tcPr>
            <w:tcW w:w="1220" w:type="dxa"/>
            <w:vAlign w:val="bottom"/>
            <w:tcBorders>
              <w:bottom w:val="single" w:sz="8" w:color="B2B2B2"/>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line="181" w:lineRule="exact"/>
              <w:rPr>
                <w:sz w:val="20"/>
                <w:szCs w:val="20"/>
                <w:color w:val="auto"/>
              </w:rPr>
            </w:pPr>
            <w:r>
              <w:rPr>
                <w:rFonts w:ascii="Arial" w:cs="Arial" w:eastAsia="Arial" w:hAnsi="Arial"/>
                <w:sz w:val="16"/>
                <w:szCs w:val="16"/>
                <w:b w:val="1"/>
                <w:bCs w:val="1"/>
                <w:color w:val="auto"/>
              </w:rPr>
              <w:t>  Paul Bascobert</w:t>
            </w: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14,440</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121.03</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3/1/2033</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156,818</w:t>
            </w:r>
          </w:p>
        </w:tc>
        <w:tc>
          <w:tcPr>
            <w:tcW w:w="13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23,472</w:t>
            </w:r>
          </w:p>
        </w:tc>
        <w:tc>
          <w:tcPr>
            <w:tcW w:w="220" w:type="dxa"/>
            <w:vAlign w:val="bottom"/>
          </w:tcPr>
          <w:p>
            <w:pPr>
              <w:ind w:left="80"/>
              <w:spacing w:after="0" w:line="181"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line="181" w:lineRule="exact"/>
              <w:rPr>
                <w:sz w:val="20"/>
                <w:szCs w:val="20"/>
                <w:color w:val="auto"/>
              </w:rPr>
            </w:pPr>
            <w:r>
              <w:rPr>
                <w:rFonts w:ascii="Arial" w:cs="Arial" w:eastAsia="Arial" w:hAnsi="Arial"/>
                <w:sz w:val="16"/>
                <w:szCs w:val="16"/>
                <w:color w:val="auto"/>
              </w:rPr>
              <w:t>3,095,722</w:t>
            </w:r>
          </w:p>
        </w:tc>
        <w:tc>
          <w:tcPr>
            <w:tcW w:w="200" w:type="dxa"/>
            <w:vAlign w:val="bottom"/>
          </w:tcPr>
          <w:p>
            <w:pPr>
              <w:spacing w:after="0"/>
              <w:rPr>
                <w:sz w:val="15"/>
                <w:szCs w:val="15"/>
                <w:color w:val="auto"/>
              </w:rPr>
            </w:pPr>
          </w:p>
        </w:tc>
        <w:tc>
          <w:tcPr>
            <w:tcW w:w="1220" w:type="dxa"/>
            <w:vAlign w:val="bottom"/>
          </w:tcPr>
          <w:p>
            <w:pPr>
              <w:jc w:val="right"/>
              <w:ind w:right="522"/>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Borders>
              <w:bottom w:val="single" w:sz="8" w:color="B2B2B2"/>
            </w:tcBorders>
          </w:tcPr>
          <w:p>
            <w:pPr>
              <w:jc w:val="right"/>
              <w:ind w:right="41"/>
              <w:spacing w:after="0" w:line="181" w:lineRule="exact"/>
              <w:rPr>
                <w:sz w:val="20"/>
                <w:szCs w:val="20"/>
                <w:color w:val="auto"/>
              </w:rPr>
            </w:pPr>
            <w:r>
              <w:rPr>
                <w:rFonts w:ascii="Arial" w:cs="Arial" w:eastAsia="Arial" w:hAnsi="Arial"/>
                <w:sz w:val="16"/>
                <w:szCs w:val="16"/>
                <w:color w:val="auto"/>
              </w:rPr>
              <w:t>10,443</w:t>
            </w:r>
          </w:p>
        </w:tc>
        <w:tc>
          <w:tcPr>
            <w:tcW w:w="138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156.94</w:t>
            </w:r>
          </w:p>
        </w:tc>
        <w:tc>
          <w:tcPr>
            <w:tcW w:w="1340" w:type="dxa"/>
            <w:vAlign w:val="bottom"/>
            <w:tcBorders>
              <w:bottom w:val="single" w:sz="8" w:color="B2B2B2"/>
            </w:tcBorders>
          </w:tcPr>
          <w:p>
            <w:pPr>
              <w:jc w:val="right"/>
              <w:ind w:right="40"/>
              <w:spacing w:after="0" w:line="181" w:lineRule="exact"/>
              <w:rPr>
                <w:sz w:val="20"/>
                <w:szCs w:val="20"/>
                <w:color w:val="auto"/>
              </w:rPr>
            </w:pPr>
            <w:r>
              <w:rPr>
                <w:rFonts w:ascii="Arial" w:cs="Arial" w:eastAsia="Arial" w:hAnsi="Arial"/>
                <w:sz w:val="16"/>
                <w:szCs w:val="16"/>
                <w:color w:val="auto"/>
              </w:rPr>
              <w:t>3/6/2034</w:t>
            </w:r>
          </w:p>
        </w:tc>
        <w:tc>
          <w:tcPr>
            <w:tcW w:w="1220" w:type="dxa"/>
            <w:vAlign w:val="bottom"/>
            <w:tcBorders>
              <w:bottom w:val="single" w:sz="8" w:color="B2B2B2"/>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20" w:type="dxa"/>
            <w:vAlign w:val="bottom"/>
            <w:tcBorders>
              <w:bottom w:val="single" w:sz="8" w:color="D64000"/>
            </w:tcBorders>
          </w:tcPr>
          <w:p>
            <w:pPr>
              <w:spacing w:after="0"/>
              <w:rPr>
                <w:sz w:val="16"/>
                <w:szCs w:val="16"/>
                <w:color w:val="auto"/>
              </w:rPr>
            </w:pPr>
          </w:p>
        </w:tc>
        <w:tc>
          <w:tcPr>
            <w:tcW w:w="1120" w:type="dxa"/>
            <w:vAlign w:val="bottom"/>
            <w:tcBorders>
              <w:bottom w:val="single" w:sz="8" w:color="D64000"/>
            </w:tcBorders>
          </w:tcPr>
          <w:p>
            <w:pPr>
              <w:jc w:val="right"/>
              <w:ind w:right="41"/>
              <w:spacing w:after="0" w:line="181" w:lineRule="exact"/>
              <w:rPr>
                <w:sz w:val="20"/>
                <w:szCs w:val="20"/>
                <w:color w:val="auto"/>
              </w:rPr>
            </w:pPr>
            <w:r>
              <w:rPr>
                <w:rFonts w:ascii="Arial" w:cs="Arial" w:eastAsia="Arial" w:hAnsi="Arial"/>
                <w:sz w:val="16"/>
                <w:szCs w:val="16"/>
                <w:color w:val="auto"/>
              </w:rPr>
              <w:t>9,315</w:t>
            </w:r>
          </w:p>
        </w:tc>
        <w:tc>
          <w:tcPr>
            <w:tcW w:w="1380" w:type="dxa"/>
            <w:vAlign w:val="bottom"/>
            <w:tcBorders>
              <w:bottom w:val="single" w:sz="8" w:color="D64000"/>
            </w:tcBorders>
          </w:tcPr>
          <w:p>
            <w:pPr>
              <w:jc w:val="right"/>
              <w:ind w:right="40"/>
              <w:spacing w:after="0" w:line="181" w:lineRule="exact"/>
              <w:rPr>
                <w:sz w:val="20"/>
                <w:szCs w:val="20"/>
                <w:color w:val="auto"/>
              </w:rPr>
            </w:pPr>
            <w:r>
              <w:rPr>
                <w:rFonts w:ascii="Arial" w:cs="Arial" w:eastAsia="Arial" w:hAnsi="Arial"/>
                <w:sz w:val="16"/>
                <w:szCs w:val="16"/>
                <w:color w:val="auto"/>
              </w:rPr>
              <w:t>175.82</w:t>
            </w:r>
          </w:p>
        </w:tc>
        <w:tc>
          <w:tcPr>
            <w:tcW w:w="1340" w:type="dxa"/>
            <w:vAlign w:val="bottom"/>
            <w:tcBorders>
              <w:bottom w:val="single" w:sz="8" w:color="D64000"/>
            </w:tcBorders>
          </w:tcPr>
          <w:p>
            <w:pPr>
              <w:jc w:val="right"/>
              <w:ind w:right="40"/>
              <w:spacing w:after="0" w:line="181" w:lineRule="exact"/>
              <w:rPr>
                <w:sz w:val="20"/>
                <w:szCs w:val="20"/>
                <w:color w:val="auto"/>
              </w:rPr>
            </w:pPr>
            <w:r>
              <w:rPr>
                <w:rFonts w:ascii="Arial" w:cs="Arial" w:eastAsia="Arial" w:hAnsi="Arial"/>
                <w:sz w:val="16"/>
                <w:szCs w:val="16"/>
                <w:color w:val="auto"/>
              </w:rPr>
              <w:t>3/5/2035</w:t>
            </w:r>
          </w:p>
        </w:tc>
        <w:tc>
          <w:tcPr>
            <w:tcW w:w="1220" w:type="dxa"/>
            <w:vAlign w:val="bottom"/>
            <w:tcBorders>
              <w:bottom w:val="single" w:sz="8" w:color="D64000"/>
            </w:tcBorders>
          </w:tcPr>
          <w:p>
            <w:pPr>
              <w:jc w:val="right"/>
              <w:ind w:right="60"/>
              <w:spacing w:after="0" w:line="18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D64000"/>
            </w:tcBorders>
          </w:tcPr>
          <w:p>
            <w:pPr>
              <w:spacing w:after="0"/>
              <w:rPr>
                <w:sz w:val="16"/>
                <w:szCs w:val="16"/>
                <w:color w:val="auto"/>
              </w:rPr>
            </w:pPr>
          </w:p>
        </w:tc>
        <w:tc>
          <w:tcPr>
            <w:tcW w:w="220" w:type="dxa"/>
            <w:vAlign w:val="bottom"/>
            <w:tcBorders>
              <w:bottom w:val="single" w:sz="8" w:color="D64000"/>
            </w:tcBorders>
          </w:tcPr>
          <w:p>
            <w:pPr>
              <w:spacing w:after="0"/>
              <w:rPr>
                <w:sz w:val="16"/>
                <w:szCs w:val="16"/>
                <w:color w:val="auto"/>
              </w:rPr>
            </w:pPr>
          </w:p>
        </w:tc>
        <w:tc>
          <w:tcPr>
            <w:tcW w:w="1140" w:type="dxa"/>
            <w:vAlign w:val="bottom"/>
            <w:tcBorders>
              <w:bottom w:val="single" w:sz="8" w:color="D64000"/>
            </w:tcBorders>
          </w:tcPr>
          <w:p>
            <w:pPr>
              <w:spacing w:after="0"/>
              <w:rPr>
                <w:sz w:val="16"/>
                <w:szCs w:val="16"/>
                <w:color w:val="auto"/>
              </w:rPr>
            </w:pPr>
          </w:p>
        </w:tc>
        <w:tc>
          <w:tcPr>
            <w:tcW w:w="200" w:type="dxa"/>
            <w:vAlign w:val="bottom"/>
            <w:tcBorders>
              <w:bottom w:val="single" w:sz="8" w:color="D64000"/>
            </w:tcBorders>
          </w:tcPr>
          <w:p>
            <w:pPr>
              <w:spacing w:after="0"/>
              <w:rPr>
                <w:sz w:val="16"/>
                <w:szCs w:val="16"/>
                <w:color w:val="auto"/>
              </w:rPr>
            </w:pPr>
          </w:p>
        </w:tc>
        <w:tc>
          <w:tcPr>
            <w:tcW w:w="1220" w:type="dxa"/>
            <w:vAlign w:val="bottom"/>
            <w:tcBorders>
              <w:bottom w:val="single" w:sz="8" w:color="D6400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The closing price of our common shares on December 31, 2025 on the Nasdaq was $131.89. During 2025, the high and low closing prices for our common shares on the Nasdaq were $214.21 and $128.65,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69297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85</w:t>
      </w:r>
    </w:p>
    <w:p>
      <w:pPr>
        <w:sectPr>
          <w:pgSz w:w="11900" w:h="16838" w:orient="portrait"/>
          <w:cols w:equalWidth="0" w:num="1">
            <w:col w:w="10920"/>
          </w:cols>
          <w:pgMar w:left="480" w:top="262" w:right="499" w:bottom="1440" w:gutter="0" w:footer="0" w:header="0"/>
        </w:sectPr>
      </w:pPr>
    </w:p>
    <w:bookmarkStart w:id="95" w:name="page96"/>
    <w:bookmarkEnd w:id="95"/>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Restricted Share Units – Aggregate Number and Value</w:t>
      </w:r>
    </w:p>
    <w:p>
      <w:pPr>
        <w:spacing w:after="0" w:line="10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following table sets forth the aggregate number and the value of RSUs held by our named executive officers as of December 31, 2025, based on the closing price of our common shares on the Nasdaq on that day. RSU amounts below include additional units received from notional dividend equivalents. In 2025, we granted the following additional units from notional dividend equivalents to our named executive officers: Steve Hasker – 1,598; Mike Eastwood – 428; Kirsty Roth – 457; David Wong – 372; and Paul Bascobert – 316. Those additional units do not vest until the underlying RSUs vest. For additional information about our RSUs, please see the “Compensation Discussion and Analysis” section of this circular.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40" w:type="dxa"/>
            <w:vAlign w:val="bottom"/>
            <w:tcBorders>
              <w:bottom w:val="single" w:sz="8" w:color="D64000"/>
              <w:right w:val="single" w:sz="8" w:color="B2B2B2"/>
            </w:tcBorders>
            <w:shd w:val="clear" w:color="auto" w:fill="1F473D"/>
          </w:tcPr>
          <w:p>
            <w:pPr>
              <w:spacing w:after="0"/>
              <w:rPr>
                <w:sz w:val="20"/>
                <w:szCs w:val="20"/>
                <w:color w:val="auto"/>
              </w:rPr>
            </w:pPr>
            <w:r>
              <w:rPr>
                <w:rFonts w:ascii="Arial" w:cs="Arial" w:eastAsia="Arial" w:hAnsi="Arial"/>
                <w:sz w:val="16"/>
                <w:szCs w:val="16"/>
                <w:b w:val="1"/>
                <w:bCs w:val="1"/>
                <w:color w:val="FFFFFF"/>
              </w:rPr>
              <w:t>  Name</w:t>
            </w:r>
          </w:p>
        </w:tc>
        <w:tc>
          <w:tcPr>
            <w:tcW w:w="1160" w:type="dxa"/>
            <w:vAlign w:val="bottom"/>
            <w:tcBorders>
              <w:bottom w:val="single" w:sz="8" w:color="D64000"/>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TRSUs (#)</w:t>
            </w:r>
          </w:p>
        </w:tc>
        <w:tc>
          <w:tcPr>
            <w:tcW w:w="1320" w:type="dxa"/>
            <w:vAlign w:val="bottom"/>
            <w:tcBorders>
              <w:bottom w:val="single" w:sz="8" w:color="D64000"/>
              <w:right w:val="single" w:sz="8" w:color="B2B2B2"/>
            </w:tcBorders>
            <w:shd w:val="clear" w:color="auto" w:fill="1F473D"/>
          </w:tcPr>
          <w:p>
            <w:pPr>
              <w:jc w:val="right"/>
              <w:ind w:right="220"/>
              <w:spacing w:after="0"/>
              <w:rPr>
                <w:sz w:val="20"/>
                <w:szCs w:val="20"/>
                <w:color w:val="auto"/>
              </w:rPr>
            </w:pPr>
            <w:r>
              <w:rPr>
                <w:rFonts w:ascii="Arial" w:cs="Arial" w:eastAsia="Arial" w:hAnsi="Arial"/>
                <w:sz w:val="16"/>
                <w:szCs w:val="16"/>
                <w:b w:val="1"/>
                <w:bCs w:val="1"/>
                <w:color w:val="FFFFFF"/>
              </w:rPr>
              <w:t>PRSUs (#)*</w:t>
            </w:r>
          </w:p>
        </w:tc>
        <w:tc>
          <w:tcPr>
            <w:tcW w:w="1620" w:type="dxa"/>
            <w:vAlign w:val="bottom"/>
            <w:tcBorders>
              <w:bottom w:val="single" w:sz="8" w:color="D64000"/>
              <w:right w:val="single" w:sz="8" w:color="1F473D"/>
            </w:tcBorders>
            <w:shd w:val="clear" w:color="auto" w:fill="1F473D"/>
          </w:tcPr>
          <w:p>
            <w:pPr>
              <w:jc w:val="right"/>
              <w:ind w:right="220"/>
              <w:spacing w:after="0"/>
              <w:rPr>
                <w:sz w:val="20"/>
                <w:szCs w:val="20"/>
                <w:color w:val="auto"/>
              </w:rPr>
            </w:pPr>
            <w:r>
              <w:rPr>
                <w:rFonts w:ascii="Arial" w:cs="Arial" w:eastAsia="Arial" w:hAnsi="Arial"/>
                <w:sz w:val="16"/>
                <w:szCs w:val="16"/>
                <w:b w:val="1"/>
                <w:bCs w:val="1"/>
                <w:color w:val="FFFFFF"/>
              </w:rPr>
              <w:t>Total RSUs (#)*</w:t>
            </w:r>
          </w:p>
        </w:tc>
        <w:tc>
          <w:tcPr>
            <w:tcW w:w="380" w:type="dxa"/>
            <w:vAlign w:val="bottom"/>
            <w:tcBorders>
              <w:bottom w:val="single" w:sz="8" w:color="D64000"/>
            </w:tcBorders>
            <w:shd w:val="clear" w:color="auto" w:fill="1F473D"/>
          </w:tcPr>
          <w:p>
            <w:pPr>
              <w:spacing w:after="0"/>
              <w:rPr>
                <w:sz w:val="21"/>
                <w:szCs w:val="21"/>
                <w:color w:val="auto"/>
              </w:rPr>
            </w:pPr>
          </w:p>
        </w:tc>
        <w:tc>
          <w:tcPr>
            <w:tcW w:w="1000" w:type="dxa"/>
            <w:vAlign w:val="bottom"/>
            <w:tcBorders>
              <w:bottom w:val="single" w:sz="8" w:color="D64000"/>
            </w:tcBorders>
            <w:shd w:val="clear" w:color="auto" w:fill="1F473D"/>
          </w:tcPr>
          <w:p>
            <w:pPr>
              <w:jc w:val="right"/>
              <w:ind w:right="100"/>
              <w:spacing w:after="0"/>
              <w:rPr>
                <w:sz w:val="20"/>
                <w:szCs w:val="20"/>
                <w:color w:val="auto"/>
              </w:rPr>
            </w:pPr>
            <w:r>
              <w:rPr>
                <w:rFonts w:ascii="Arial" w:cs="Arial" w:eastAsia="Arial" w:hAnsi="Arial"/>
                <w:sz w:val="16"/>
                <w:szCs w:val="16"/>
                <w:b w:val="1"/>
                <w:bCs w:val="1"/>
                <w:color w:val="FFFFFF"/>
              </w:rPr>
              <w:t>Value ($)*</w:t>
            </w:r>
          </w:p>
        </w:tc>
      </w:tr>
      <w:tr>
        <w:trPr>
          <w:trHeight w:val="187"/>
        </w:trPr>
        <w:tc>
          <w:tcPr>
            <w:tcW w:w="544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  Steve Hasker</w:t>
            </w:r>
          </w:p>
        </w:tc>
        <w:tc>
          <w:tcPr>
            <w:tcW w:w="11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38,332</w:t>
            </w:r>
          </w:p>
        </w:tc>
        <w:tc>
          <w:tcPr>
            <w:tcW w:w="1320" w:type="dxa"/>
            <w:vAlign w:val="bottom"/>
            <w:tcBorders>
              <w:bottom w:val="single" w:sz="8" w:color="B2B2B2"/>
              <w:right w:val="single" w:sz="8" w:color="B2B2B2"/>
            </w:tcBorders>
          </w:tcPr>
          <w:p>
            <w:pPr>
              <w:jc w:val="right"/>
              <w:ind w:right="220"/>
              <w:spacing w:after="0"/>
              <w:rPr>
                <w:sz w:val="20"/>
                <w:szCs w:val="20"/>
                <w:color w:val="auto"/>
              </w:rPr>
            </w:pPr>
            <w:r>
              <w:rPr>
                <w:rFonts w:ascii="Arial" w:cs="Arial" w:eastAsia="Arial" w:hAnsi="Arial"/>
                <w:sz w:val="16"/>
                <w:szCs w:val="16"/>
                <w:color w:val="auto"/>
              </w:rPr>
              <w:t>76,666</w:t>
            </w:r>
          </w:p>
        </w:tc>
        <w:tc>
          <w:tcPr>
            <w:tcW w:w="1620" w:type="dxa"/>
            <w:vAlign w:val="bottom"/>
            <w:tcBorders>
              <w:bottom w:val="single" w:sz="8" w:color="B2B2B2"/>
              <w:right w:val="single" w:sz="8" w:color="B2B2B2"/>
            </w:tcBorders>
          </w:tcPr>
          <w:p>
            <w:pPr>
              <w:jc w:val="right"/>
              <w:ind w:right="220"/>
              <w:spacing w:after="0"/>
              <w:rPr>
                <w:sz w:val="20"/>
                <w:szCs w:val="20"/>
                <w:color w:val="auto"/>
              </w:rPr>
            </w:pPr>
            <w:r>
              <w:rPr>
                <w:rFonts w:ascii="Arial" w:cs="Arial" w:eastAsia="Arial" w:hAnsi="Arial"/>
                <w:sz w:val="16"/>
                <w:szCs w:val="16"/>
                <w:color w:val="auto"/>
              </w:rPr>
              <w:t>114,998</w:t>
            </w:r>
          </w:p>
        </w:tc>
        <w:tc>
          <w:tcPr>
            <w:tcW w:w="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2B2B2"/>
            </w:tcBorders>
          </w:tcPr>
          <w:p>
            <w:pPr>
              <w:jc w:val="right"/>
              <w:ind w:right="100"/>
              <w:spacing w:after="0"/>
              <w:rPr>
                <w:sz w:val="20"/>
                <w:szCs w:val="20"/>
                <w:color w:val="auto"/>
              </w:rPr>
            </w:pPr>
            <w:r>
              <w:rPr>
                <w:rFonts w:ascii="Arial" w:cs="Arial" w:eastAsia="Arial" w:hAnsi="Arial"/>
                <w:sz w:val="16"/>
                <w:szCs w:val="16"/>
                <w:color w:val="auto"/>
                <w:w w:val="99"/>
              </w:rPr>
              <w:t>15,167,086</w:t>
            </w:r>
          </w:p>
        </w:tc>
      </w:tr>
      <w:tr>
        <w:trPr>
          <w:trHeight w:val="181"/>
        </w:trPr>
        <w:tc>
          <w:tcPr>
            <w:tcW w:w="5440" w:type="dxa"/>
            <w:vAlign w:val="bottom"/>
            <w:tcBorders>
              <w:bottom w:val="single" w:sz="8" w:color="B2B2B2"/>
              <w:right w:val="single" w:sz="8" w:color="B2B2B2"/>
            </w:tcBorders>
          </w:tcPr>
          <w:p>
            <w:pPr>
              <w:spacing w:after="0" w:line="181" w:lineRule="exact"/>
              <w:rPr>
                <w:sz w:val="20"/>
                <w:szCs w:val="20"/>
                <w:color w:val="auto"/>
              </w:rPr>
            </w:pPr>
            <w:r>
              <w:rPr>
                <w:rFonts w:ascii="Arial" w:cs="Arial" w:eastAsia="Arial" w:hAnsi="Arial"/>
                <w:sz w:val="16"/>
                <w:szCs w:val="16"/>
                <w:b w:val="1"/>
                <w:bCs w:val="1"/>
                <w:color w:val="auto"/>
              </w:rPr>
              <w:t>  Mike Eastwood</w:t>
            </w:r>
          </w:p>
        </w:tc>
        <w:tc>
          <w:tcPr>
            <w:tcW w:w="116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10,278</w:t>
            </w:r>
          </w:p>
        </w:tc>
        <w:tc>
          <w:tcPr>
            <w:tcW w:w="1320" w:type="dxa"/>
            <w:vAlign w:val="bottom"/>
            <w:tcBorders>
              <w:bottom w:val="single" w:sz="8" w:color="B2B2B2"/>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20,556</w:t>
            </w:r>
          </w:p>
        </w:tc>
        <w:tc>
          <w:tcPr>
            <w:tcW w:w="1620" w:type="dxa"/>
            <w:vAlign w:val="bottom"/>
            <w:tcBorders>
              <w:bottom w:val="single" w:sz="8" w:color="B2B2B2"/>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30,834</w:t>
            </w:r>
          </w:p>
        </w:tc>
        <w:tc>
          <w:tcPr>
            <w:tcW w:w="380" w:type="dxa"/>
            <w:vAlign w:val="bottom"/>
            <w:tcBorders>
              <w:bottom w:val="single" w:sz="8" w:color="B2B2B2"/>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2B2B2"/>
            </w:tcBorders>
          </w:tcPr>
          <w:p>
            <w:pPr>
              <w:jc w:val="right"/>
              <w:ind w:right="100"/>
              <w:spacing w:after="0" w:line="181" w:lineRule="exact"/>
              <w:rPr>
                <w:sz w:val="20"/>
                <w:szCs w:val="20"/>
                <w:color w:val="auto"/>
              </w:rPr>
            </w:pPr>
            <w:r>
              <w:rPr>
                <w:rFonts w:ascii="Arial" w:cs="Arial" w:eastAsia="Arial" w:hAnsi="Arial"/>
                <w:sz w:val="16"/>
                <w:szCs w:val="16"/>
                <w:color w:val="auto"/>
              </w:rPr>
              <w:t>4,066,696</w:t>
            </w:r>
          </w:p>
        </w:tc>
      </w:tr>
      <w:tr>
        <w:trPr>
          <w:trHeight w:val="181"/>
        </w:trPr>
        <w:tc>
          <w:tcPr>
            <w:tcW w:w="5440" w:type="dxa"/>
            <w:vAlign w:val="bottom"/>
            <w:tcBorders>
              <w:bottom w:val="single" w:sz="8" w:color="B2B2B2"/>
              <w:right w:val="single" w:sz="8" w:color="B2B2B2"/>
            </w:tcBorders>
          </w:tcPr>
          <w:p>
            <w:pPr>
              <w:spacing w:after="0" w:line="181" w:lineRule="exact"/>
              <w:rPr>
                <w:sz w:val="20"/>
                <w:szCs w:val="20"/>
                <w:color w:val="auto"/>
              </w:rPr>
            </w:pPr>
            <w:r>
              <w:rPr>
                <w:rFonts w:ascii="Arial" w:cs="Arial" w:eastAsia="Arial" w:hAnsi="Arial"/>
                <w:sz w:val="16"/>
                <w:szCs w:val="16"/>
                <w:b w:val="1"/>
                <w:bCs w:val="1"/>
                <w:color w:val="auto"/>
              </w:rPr>
              <w:t>  Kirsty Roth</w:t>
            </w:r>
          </w:p>
        </w:tc>
        <w:tc>
          <w:tcPr>
            <w:tcW w:w="116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10,887</w:t>
            </w:r>
          </w:p>
        </w:tc>
        <w:tc>
          <w:tcPr>
            <w:tcW w:w="1320" w:type="dxa"/>
            <w:vAlign w:val="bottom"/>
            <w:tcBorders>
              <w:bottom w:val="single" w:sz="8" w:color="B2B2B2"/>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21,772</w:t>
            </w:r>
          </w:p>
        </w:tc>
        <w:tc>
          <w:tcPr>
            <w:tcW w:w="1620" w:type="dxa"/>
            <w:vAlign w:val="bottom"/>
            <w:tcBorders>
              <w:bottom w:val="single" w:sz="8" w:color="B2B2B2"/>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32,659</w:t>
            </w:r>
          </w:p>
        </w:tc>
        <w:tc>
          <w:tcPr>
            <w:tcW w:w="380" w:type="dxa"/>
            <w:vAlign w:val="bottom"/>
            <w:tcBorders>
              <w:bottom w:val="single" w:sz="8" w:color="B2B2B2"/>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2B2B2"/>
            </w:tcBorders>
          </w:tcPr>
          <w:p>
            <w:pPr>
              <w:jc w:val="right"/>
              <w:ind w:right="100"/>
              <w:spacing w:after="0" w:line="181" w:lineRule="exact"/>
              <w:rPr>
                <w:sz w:val="20"/>
                <w:szCs w:val="20"/>
                <w:color w:val="auto"/>
              </w:rPr>
            </w:pPr>
            <w:r>
              <w:rPr>
                <w:rFonts w:ascii="Arial" w:cs="Arial" w:eastAsia="Arial" w:hAnsi="Arial"/>
                <w:sz w:val="16"/>
                <w:szCs w:val="16"/>
                <w:color w:val="auto"/>
              </w:rPr>
              <w:t>4,307,396</w:t>
            </w:r>
          </w:p>
        </w:tc>
      </w:tr>
      <w:tr>
        <w:trPr>
          <w:trHeight w:val="181"/>
        </w:trPr>
        <w:tc>
          <w:tcPr>
            <w:tcW w:w="5440" w:type="dxa"/>
            <w:vAlign w:val="bottom"/>
            <w:tcBorders>
              <w:bottom w:val="single" w:sz="8" w:color="B2B2B2"/>
              <w:right w:val="single" w:sz="8" w:color="B2B2B2"/>
            </w:tcBorders>
          </w:tcPr>
          <w:p>
            <w:pPr>
              <w:spacing w:after="0" w:line="181" w:lineRule="exact"/>
              <w:rPr>
                <w:sz w:val="20"/>
                <w:szCs w:val="20"/>
                <w:color w:val="auto"/>
              </w:rPr>
            </w:pPr>
            <w:r>
              <w:rPr>
                <w:rFonts w:ascii="Arial" w:cs="Arial" w:eastAsia="Arial" w:hAnsi="Arial"/>
                <w:sz w:val="16"/>
                <w:szCs w:val="16"/>
                <w:b w:val="1"/>
                <w:bCs w:val="1"/>
                <w:color w:val="auto"/>
              </w:rPr>
              <w:t>  David Wong</w:t>
            </w:r>
          </w:p>
        </w:tc>
        <w:tc>
          <w:tcPr>
            <w:tcW w:w="116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9,051</w:t>
            </w:r>
          </w:p>
        </w:tc>
        <w:tc>
          <w:tcPr>
            <w:tcW w:w="1320" w:type="dxa"/>
            <w:vAlign w:val="bottom"/>
            <w:tcBorders>
              <w:bottom w:val="single" w:sz="8" w:color="B2B2B2"/>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18,102</w:t>
            </w:r>
          </w:p>
        </w:tc>
        <w:tc>
          <w:tcPr>
            <w:tcW w:w="1620" w:type="dxa"/>
            <w:vAlign w:val="bottom"/>
            <w:tcBorders>
              <w:bottom w:val="single" w:sz="8" w:color="B2B2B2"/>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27,153</w:t>
            </w:r>
          </w:p>
        </w:tc>
        <w:tc>
          <w:tcPr>
            <w:tcW w:w="380" w:type="dxa"/>
            <w:vAlign w:val="bottom"/>
            <w:tcBorders>
              <w:bottom w:val="single" w:sz="8" w:color="B2B2B2"/>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2B2B2"/>
            </w:tcBorders>
          </w:tcPr>
          <w:p>
            <w:pPr>
              <w:jc w:val="right"/>
              <w:ind w:right="100"/>
              <w:spacing w:after="0" w:line="181" w:lineRule="exact"/>
              <w:rPr>
                <w:sz w:val="20"/>
                <w:szCs w:val="20"/>
                <w:color w:val="auto"/>
              </w:rPr>
            </w:pPr>
            <w:r>
              <w:rPr>
                <w:rFonts w:ascii="Arial" w:cs="Arial" w:eastAsia="Arial" w:hAnsi="Arial"/>
                <w:sz w:val="16"/>
                <w:szCs w:val="16"/>
                <w:color w:val="auto"/>
              </w:rPr>
              <w:t>3,581,209</w:t>
            </w:r>
          </w:p>
        </w:tc>
      </w:tr>
      <w:tr>
        <w:trPr>
          <w:trHeight w:val="187"/>
        </w:trPr>
        <w:tc>
          <w:tcPr>
            <w:tcW w:w="5440" w:type="dxa"/>
            <w:vAlign w:val="bottom"/>
            <w:tcBorders>
              <w:bottom w:val="single" w:sz="8" w:color="D64000"/>
              <w:right w:val="single" w:sz="8" w:color="B2B2B2"/>
            </w:tcBorders>
          </w:tcPr>
          <w:p>
            <w:pPr>
              <w:spacing w:after="0" w:line="181" w:lineRule="exact"/>
              <w:rPr>
                <w:sz w:val="20"/>
                <w:szCs w:val="20"/>
                <w:color w:val="auto"/>
              </w:rPr>
            </w:pPr>
            <w:r>
              <w:rPr>
                <w:rFonts w:ascii="Arial" w:cs="Arial" w:eastAsia="Arial" w:hAnsi="Arial"/>
                <w:sz w:val="16"/>
                <w:szCs w:val="16"/>
                <w:b w:val="1"/>
                <w:bCs w:val="1"/>
                <w:color w:val="auto"/>
              </w:rPr>
              <w:t>  Paul Bascobert</w:t>
            </w:r>
          </w:p>
        </w:tc>
        <w:tc>
          <w:tcPr>
            <w:tcW w:w="1160" w:type="dxa"/>
            <w:vAlign w:val="bottom"/>
            <w:tcBorders>
              <w:bottom w:val="single" w:sz="8" w:color="D64000"/>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7,824</w:t>
            </w:r>
          </w:p>
        </w:tc>
        <w:tc>
          <w:tcPr>
            <w:tcW w:w="1320" w:type="dxa"/>
            <w:vAlign w:val="bottom"/>
            <w:tcBorders>
              <w:bottom w:val="single" w:sz="8" w:color="D64000"/>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15,648</w:t>
            </w:r>
          </w:p>
        </w:tc>
        <w:tc>
          <w:tcPr>
            <w:tcW w:w="1620" w:type="dxa"/>
            <w:vAlign w:val="bottom"/>
            <w:tcBorders>
              <w:bottom w:val="single" w:sz="8" w:color="D64000"/>
              <w:right w:val="single" w:sz="8" w:color="B2B2B2"/>
            </w:tcBorders>
          </w:tcPr>
          <w:p>
            <w:pPr>
              <w:jc w:val="right"/>
              <w:ind w:right="220"/>
              <w:spacing w:after="0" w:line="181" w:lineRule="exact"/>
              <w:rPr>
                <w:sz w:val="20"/>
                <w:szCs w:val="20"/>
                <w:color w:val="auto"/>
              </w:rPr>
            </w:pPr>
            <w:r>
              <w:rPr>
                <w:rFonts w:ascii="Arial" w:cs="Arial" w:eastAsia="Arial" w:hAnsi="Arial"/>
                <w:sz w:val="16"/>
                <w:szCs w:val="16"/>
                <w:color w:val="auto"/>
              </w:rPr>
              <w:t>23,472</w:t>
            </w:r>
          </w:p>
        </w:tc>
        <w:tc>
          <w:tcPr>
            <w:tcW w:w="380" w:type="dxa"/>
            <w:vAlign w:val="bottom"/>
            <w:tcBorders>
              <w:bottom w:val="single" w:sz="8" w:color="D64000"/>
            </w:tcBorders>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D64000"/>
            </w:tcBorders>
          </w:tcPr>
          <w:p>
            <w:pPr>
              <w:jc w:val="right"/>
              <w:ind w:right="100"/>
              <w:spacing w:after="0" w:line="181" w:lineRule="exact"/>
              <w:rPr>
                <w:sz w:val="20"/>
                <w:szCs w:val="20"/>
                <w:color w:val="auto"/>
              </w:rPr>
            </w:pPr>
            <w:r>
              <w:rPr>
                <w:rFonts w:ascii="Arial" w:cs="Arial" w:eastAsia="Arial" w:hAnsi="Arial"/>
                <w:sz w:val="16"/>
                <w:szCs w:val="16"/>
                <w:color w:val="auto"/>
              </w:rPr>
              <w:t>3,095,722</w:t>
            </w:r>
          </w:p>
        </w:tc>
      </w:tr>
    </w:tbl>
    <w:p>
      <w:pPr>
        <w:spacing w:after="0" w:line="108" w:lineRule="exact"/>
        <w:rPr>
          <w:sz w:val="20"/>
          <w:szCs w:val="20"/>
          <w:color w:val="auto"/>
        </w:rPr>
      </w:pPr>
    </w:p>
    <w:p>
      <w:pPr>
        <w:ind w:left="220" w:hanging="213"/>
        <w:spacing w:after="0"/>
        <w:tabs>
          <w:tab w:leader="none" w:pos="2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Assumes vesting of PRSUs at the target amount (100%).</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Incentive Plan Awards – Value Vested or Earned in 2025</w:t>
      </w:r>
    </w:p>
    <w:p>
      <w:pPr>
        <w:spacing w:after="0" w:line="89"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following table sets forth information regarding incentive plan awards that vested or were earned in 2025. The dollar value of share-based awards (PRSUs and TRSUs) reflects the number of units vested multiplied by the closing price of our common shares on the Nasdaq on the vesting date. The dollar value of vested options reflects the difference between the closing price of our common shares on the Nasdaq on the vesting date and the exercise price of the applicable options. Non-equity incentive plan compensation reflects the value of annual cash incentive awards earned for 2025. For more information regarding these awards, please see the “Compensation Discussion and Analysis” section of this circular.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60" w:type="dxa"/>
            <w:vAlign w:val="bottom"/>
            <w:tcBorders>
              <w:right w:val="single" w:sz="8" w:color="1F473D"/>
            </w:tcBorders>
            <w:shd w:val="clear" w:color="auto" w:fill="1F473D"/>
          </w:tcPr>
          <w:p>
            <w:pPr>
              <w:spacing w:after="0"/>
              <w:rPr>
                <w:sz w:val="19"/>
                <w:szCs w:val="19"/>
                <w:color w:val="auto"/>
              </w:rPr>
            </w:pPr>
          </w:p>
        </w:tc>
        <w:tc>
          <w:tcPr>
            <w:tcW w:w="3000" w:type="dxa"/>
            <w:vAlign w:val="bottom"/>
            <w:tcBorders>
              <w:right w:val="single" w:sz="8" w:color="B2B2B2"/>
            </w:tcBorders>
            <w:shd w:val="clear" w:color="auto" w:fill="1F473D"/>
          </w:tcPr>
          <w:p>
            <w:pPr>
              <w:spacing w:after="0"/>
              <w:rPr>
                <w:sz w:val="19"/>
                <w:szCs w:val="19"/>
                <w:color w:val="auto"/>
              </w:rPr>
            </w:pPr>
          </w:p>
        </w:tc>
        <w:tc>
          <w:tcPr>
            <w:tcW w:w="2940" w:type="dxa"/>
            <w:vAlign w:val="bottom"/>
            <w:tcBorders>
              <w:right w:val="single" w:sz="8" w:color="B2B2B2"/>
            </w:tcBorders>
            <w:shd w:val="clear" w:color="auto" w:fill="1F473D"/>
          </w:tcPr>
          <w:p>
            <w:pPr>
              <w:spacing w:after="0"/>
              <w:rPr>
                <w:sz w:val="19"/>
                <w:szCs w:val="19"/>
                <w:color w:val="auto"/>
              </w:rPr>
            </w:pPr>
          </w:p>
        </w:tc>
        <w:tc>
          <w:tcPr>
            <w:tcW w:w="312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Non-equity incentive plan</w:t>
            </w:r>
          </w:p>
        </w:tc>
      </w:tr>
      <w:tr>
        <w:trPr>
          <w:trHeight w:val="187"/>
        </w:trPr>
        <w:tc>
          <w:tcPr>
            <w:tcW w:w="1860" w:type="dxa"/>
            <w:vAlign w:val="bottom"/>
            <w:tcBorders>
              <w:right w:val="single" w:sz="8" w:color="1F473D"/>
            </w:tcBorders>
            <w:shd w:val="clear" w:color="auto" w:fill="1F473D"/>
          </w:tcPr>
          <w:p>
            <w:pPr>
              <w:spacing w:after="0"/>
              <w:rPr>
                <w:sz w:val="16"/>
                <w:szCs w:val="16"/>
                <w:color w:val="auto"/>
              </w:rPr>
            </w:pPr>
          </w:p>
        </w:tc>
        <w:tc>
          <w:tcPr>
            <w:tcW w:w="3000" w:type="dxa"/>
            <w:vAlign w:val="bottom"/>
            <w:tcBorders>
              <w:right w:val="single" w:sz="8" w:color="B2B2B2"/>
            </w:tcBorders>
            <w:shd w:val="clear" w:color="auto" w:fill="1F473D"/>
          </w:tcPr>
          <w:p>
            <w:pPr>
              <w:jc w:val="right"/>
              <w:ind w:right="320"/>
              <w:spacing w:after="0"/>
              <w:rPr>
                <w:sz w:val="20"/>
                <w:szCs w:val="20"/>
                <w:color w:val="auto"/>
              </w:rPr>
            </w:pPr>
            <w:r>
              <w:rPr>
                <w:rFonts w:ascii="Arial" w:cs="Arial" w:eastAsia="Arial" w:hAnsi="Arial"/>
                <w:sz w:val="16"/>
                <w:szCs w:val="16"/>
                <w:b w:val="1"/>
                <w:bCs w:val="1"/>
                <w:color w:val="FFFFFF"/>
              </w:rPr>
              <w:t>Option-based awards – value</w:t>
            </w:r>
          </w:p>
        </w:tc>
        <w:tc>
          <w:tcPr>
            <w:tcW w:w="2940" w:type="dxa"/>
            <w:vAlign w:val="bottom"/>
            <w:tcBorders>
              <w:right w:val="single" w:sz="8" w:color="B2B2B2"/>
            </w:tcBorders>
            <w:shd w:val="clear" w:color="auto" w:fill="1F473D"/>
          </w:tcPr>
          <w:p>
            <w:pPr>
              <w:jc w:val="right"/>
              <w:ind w:right="320"/>
              <w:spacing w:after="0"/>
              <w:rPr>
                <w:sz w:val="20"/>
                <w:szCs w:val="20"/>
                <w:color w:val="auto"/>
              </w:rPr>
            </w:pPr>
            <w:r>
              <w:rPr>
                <w:rFonts w:ascii="Arial" w:cs="Arial" w:eastAsia="Arial" w:hAnsi="Arial"/>
                <w:sz w:val="16"/>
                <w:szCs w:val="16"/>
                <w:b w:val="1"/>
                <w:bCs w:val="1"/>
                <w:color w:val="FFFFFF"/>
              </w:rPr>
              <w:t>Share-based awards – value</w:t>
            </w:r>
          </w:p>
        </w:tc>
        <w:tc>
          <w:tcPr>
            <w:tcW w:w="312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compensation – value earned</w:t>
            </w:r>
          </w:p>
        </w:tc>
      </w:tr>
      <w:tr>
        <w:trPr>
          <w:trHeight w:val="221"/>
        </w:trPr>
        <w:tc>
          <w:tcPr>
            <w:tcW w:w="1860" w:type="dxa"/>
            <w:vAlign w:val="bottom"/>
            <w:tcBorders>
              <w:bottom w:val="single" w:sz="8" w:color="D64000"/>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Name</w:t>
            </w:r>
          </w:p>
        </w:tc>
        <w:tc>
          <w:tcPr>
            <w:tcW w:w="3000" w:type="dxa"/>
            <w:vAlign w:val="bottom"/>
            <w:tcBorders>
              <w:bottom w:val="single" w:sz="8" w:color="D64000"/>
              <w:right w:val="single" w:sz="8" w:color="B2B2B2"/>
            </w:tcBorders>
            <w:shd w:val="clear" w:color="auto" w:fill="1F473D"/>
          </w:tcPr>
          <w:p>
            <w:pPr>
              <w:jc w:val="right"/>
              <w:ind w:right="320"/>
              <w:spacing w:after="0"/>
              <w:rPr>
                <w:sz w:val="20"/>
                <w:szCs w:val="20"/>
                <w:color w:val="auto"/>
              </w:rPr>
            </w:pPr>
            <w:r>
              <w:rPr>
                <w:rFonts w:ascii="Arial" w:cs="Arial" w:eastAsia="Arial" w:hAnsi="Arial"/>
                <w:sz w:val="16"/>
                <w:szCs w:val="16"/>
                <w:b w:val="1"/>
                <w:bCs w:val="1"/>
                <w:color w:val="FFFFFF"/>
              </w:rPr>
              <w:t>vested during the year ($)</w:t>
            </w:r>
          </w:p>
        </w:tc>
        <w:tc>
          <w:tcPr>
            <w:tcW w:w="2940" w:type="dxa"/>
            <w:vAlign w:val="bottom"/>
            <w:tcBorders>
              <w:bottom w:val="single" w:sz="8" w:color="D64000"/>
              <w:right w:val="single" w:sz="8" w:color="B2B2B2"/>
            </w:tcBorders>
            <w:shd w:val="clear" w:color="auto" w:fill="1F473D"/>
          </w:tcPr>
          <w:p>
            <w:pPr>
              <w:jc w:val="right"/>
              <w:ind w:right="320"/>
              <w:spacing w:after="0"/>
              <w:rPr>
                <w:sz w:val="20"/>
                <w:szCs w:val="20"/>
                <w:color w:val="auto"/>
              </w:rPr>
            </w:pPr>
            <w:r>
              <w:rPr>
                <w:rFonts w:ascii="Arial" w:cs="Arial" w:eastAsia="Arial" w:hAnsi="Arial"/>
                <w:sz w:val="16"/>
                <w:szCs w:val="16"/>
                <w:b w:val="1"/>
                <w:bCs w:val="1"/>
                <w:color w:val="FFFFFF"/>
              </w:rPr>
              <w:t>vested during the year ($)</w:t>
            </w:r>
          </w:p>
        </w:tc>
        <w:tc>
          <w:tcPr>
            <w:tcW w:w="3120" w:type="dxa"/>
            <w:vAlign w:val="bottom"/>
            <w:tcBorders>
              <w:bottom w:val="single" w:sz="8" w:color="D64000"/>
            </w:tcBorders>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 xml:space="preserve">during the year ($) </w:t>
            </w:r>
          </w:p>
        </w:tc>
      </w:tr>
      <w:tr>
        <w:trPr>
          <w:trHeight w:val="221"/>
        </w:trPr>
        <w:tc>
          <w:tcPr>
            <w:tcW w:w="18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Steve Hasker</w:t>
            </w:r>
          </w:p>
        </w:tc>
        <w:tc>
          <w:tcPr>
            <w:tcW w:w="3000" w:type="dxa"/>
            <w:vAlign w:val="bottom"/>
            <w:tcBorders>
              <w:right w:val="single" w:sz="8" w:color="B2B2B2"/>
            </w:tcBorders>
          </w:tcPr>
          <w:p>
            <w:pPr>
              <w:jc w:val="right"/>
              <w:ind w:right="320"/>
              <w:spacing w:after="0"/>
              <w:rPr>
                <w:sz w:val="20"/>
                <w:szCs w:val="20"/>
                <w:color w:val="auto"/>
              </w:rPr>
            </w:pPr>
            <w:r>
              <w:rPr>
                <w:rFonts w:ascii="Arial" w:cs="Arial" w:eastAsia="Arial" w:hAnsi="Arial"/>
                <w:sz w:val="16"/>
                <w:szCs w:val="16"/>
                <w:color w:val="auto"/>
              </w:rPr>
              <w:t>5,934,840</w:t>
            </w:r>
          </w:p>
        </w:tc>
        <w:tc>
          <w:tcPr>
            <w:tcW w:w="2940" w:type="dxa"/>
            <w:vAlign w:val="bottom"/>
            <w:tcBorders>
              <w:right w:val="single" w:sz="8" w:color="B2B2B2"/>
            </w:tcBorders>
          </w:tcPr>
          <w:p>
            <w:pPr>
              <w:jc w:val="right"/>
              <w:ind w:right="340"/>
              <w:spacing w:after="0"/>
              <w:rPr>
                <w:sz w:val="20"/>
                <w:szCs w:val="20"/>
                <w:color w:val="auto"/>
              </w:rPr>
            </w:pPr>
            <w:r>
              <w:rPr>
                <w:rFonts w:ascii="Arial" w:cs="Arial" w:eastAsia="Arial" w:hAnsi="Arial"/>
                <w:sz w:val="16"/>
                <w:szCs w:val="16"/>
                <w:color w:val="auto"/>
              </w:rPr>
              <w:t>8,610,728</w:t>
            </w:r>
          </w:p>
        </w:tc>
        <w:tc>
          <w:tcPr>
            <w:tcW w:w="3120" w:type="dxa"/>
            <w:vAlign w:val="bottom"/>
          </w:tcPr>
          <w:p>
            <w:pPr>
              <w:jc w:val="right"/>
              <w:ind w:right="20"/>
              <w:spacing w:after="0"/>
              <w:rPr>
                <w:sz w:val="20"/>
                <w:szCs w:val="20"/>
                <w:color w:val="auto"/>
              </w:rPr>
            </w:pPr>
            <w:r>
              <w:rPr>
                <w:rFonts w:ascii="Arial" w:cs="Arial" w:eastAsia="Arial" w:hAnsi="Arial"/>
                <w:sz w:val="16"/>
                <w:szCs w:val="16"/>
                <w:color w:val="auto"/>
              </w:rPr>
              <w:t>2,282,784 </w:t>
            </w:r>
          </w:p>
        </w:tc>
      </w:tr>
      <w:tr>
        <w:trPr>
          <w:trHeight w:val="73"/>
        </w:trPr>
        <w:tc>
          <w:tcPr>
            <w:tcW w:w="1860" w:type="dxa"/>
            <w:vAlign w:val="bottom"/>
            <w:tcBorders>
              <w:bottom w:val="single" w:sz="8" w:color="B2B2B2"/>
              <w:right w:val="single" w:sz="8" w:color="B2B2B2"/>
            </w:tcBorders>
          </w:tcPr>
          <w:p>
            <w:pPr>
              <w:spacing w:after="0"/>
              <w:rPr>
                <w:sz w:val="6"/>
                <w:szCs w:val="6"/>
                <w:color w:val="auto"/>
              </w:rPr>
            </w:pPr>
          </w:p>
        </w:tc>
        <w:tc>
          <w:tcPr>
            <w:tcW w:w="3000" w:type="dxa"/>
            <w:vAlign w:val="bottom"/>
            <w:tcBorders>
              <w:bottom w:val="single" w:sz="8" w:color="B2B2B2"/>
              <w:right w:val="single" w:sz="8" w:color="B2B2B2"/>
            </w:tcBorders>
          </w:tcPr>
          <w:p>
            <w:pPr>
              <w:spacing w:after="0"/>
              <w:rPr>
                <w:sz w:val="6"/>
                <w:szCs w:val="6"/>
                <w:color w:val="auto"/>
              </w:rPr>
            </w:pPr>
          </w:p>
        </w:tc>
        <w:tc>
          <w:tcPr>
            <w:tcW w:w="2940" w:type="dxa"/>
            <w:vAlign w:val="bottom"/>
            <w:tcBorders>
              <w:bottom w:val="single" w:sz="8" w:color="B2B2B2"/>
              <w:right w:val="single" w:sz="8" w:color="B2B2B2"/>
            </w:tcBorders>
          </w:tcPr>
          <w:p>
            <w:pPr>
              <w:spacing w:after="0"/>
              <w:rPr>
                <w:sz w:val="6"/>
                <w:szCs w:val="6"/>
                <w:color w:val="auto"/>
              </w:rPr>
            </w:pPr>
          </w:p>
        </w:tc>
        <w:tc>
          <w:tcPr>
            <w:tcW w:w="3120" w:type="dxa"/>
            <w:vAlign w:val="bottom"/>
            <w:tcBorders>
              <w:bottom w:val="single" w:sz="8" w:color="B2B2B2"/>
            </w:tcBorders>
          </w:tcPr>
          <w:p>
            <w:pPr>
              <w:spacing w:after="0"/>
              <w:rPr>
                <w:sz w:val="6"/>
                <w:szCs w:val="6"/>
                <w:color w:val="auto"/>
              </w:rPr>
            </w:pPr>
          </w:p>
        </w:tc>
      </w:tr>
      <w:tr>
        <w:trPr>
          <w:trHeight w:val="215"/>
        </w:trPr>
        <w:tc>
          <w:tcPr>
            <w:tcW w:w="18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Mike Eastwood</w:t>
            </w:r>
          </w:p>
        </w:tc>
        <w:tc>
          <w:tcPr>
            <w:tcW w:w="3000" w:type="dxa"/>
            <w:vAlign w:val="bottom"/>
            <w:tcBorders>
              <w:right w:val="single" w:sz="8" w:color="B2B2B2"/>
            </w:tcBorders>
          </w:tcPr>
          <w:p>
            <w:pPr>
              <w:jc w:val="right"/>
              <w:ind w:right="320"/>
              <w:spacing w:after="0"/>
              <w:rPr>
                <w:sz w:val="20"/>
                <w:szCs w:val="20"/>
                <w:color w:val="auto"/>
              </w:rPr>
            </w:pPr>
            <w:r>
              <w:rPr>
                <w:rFonts w:ascii="Arial" w:cs="Arial" w:eastAsia="Arial" w:hAnsi="Arial"/>
                <w:sz w:val="16"/>
                <w:szCs w:val="16"/>
                <w:color w:val="auto"/>
              </w:rPr>
              <w:t>1,512,697</w:t>
            </w:r>
          </w:p>
        </w:tc>
        <w:tc>
          <w:tcPr>
            <w:tcW w:w="2940" w:type="dxa"/>
            <w:vAlign w:val="bottom"/>
            <w:tcBorders>
              <w:right w:val="single" w:sz="8" w:color="B2B2B2"/>
            </w:tcBorders>
          </w:tcPr>
          <w:p>
            <w:pPr>
              <w:jc w:val="right"/>
              <w:ind w:right="340"/>
              <w:spacing w:after="0"/>
              <w:rPr>
                <w:sz w:val="20"/>
                <w:szCs w:val="20"/>
                <w:color w:val="auto"/>
              </w:rPr>
            </w:pPr>
            <w:r>
              <w:rPr>
                <w:rFonts w:ascii="Arial" w:cs="Arial" w:eastAsia="Arial" w:hAnsi="Arial"/>
                <w:sz w:val="16"/>
                <w:szCs w:val="16"/>
                <w:color w:val="auto"/>
              </w:rPr>
              <w:t>2,179,568</w:t>
            </w:r>
          </w:p>
        </w:tc>
        <w:tc>
          <w:tcPr>
            <w:tcW w:w="3120" w:type="dxa"/>
            <w:vAlign w:val="bottom"/>
          </w:tcPr>
          <w:p>
            <w:pPr>
              <w:jc w:val="right"/>
              <w:ind w:right="20"/>
              <w:spacing w:after="0"/>
              <w:rPr>
                <w:sz w:val="20"/>
                <w:szCs w:val="20"/>
                <w:color w:val="auto"/>
              </w:rPr>
            </w:pPr>
            <w:r>
              <w:rPr>
                <w:rFonts w:ascii="Arial" w:cs="Arial" w:eastAsia="Arial" w:hAnsi="Arial"/>
                <w:sz w:val="16"/>
                <w:szCs w:val="16"/>
                <w:color w:val="auto"/>
              </w:rPr>
              <w:t>859,004 </w:t>
            </w:r>
          </w:p>
        </w:tc>
      </w:tr>
      <w:tr>
        <w:trPr>
          <w:trHeight w:val="73"/>
        </w:trPr>
        <w:tc>
          <w:tcPr>
            <w:tcW w:w="1860" w:type="dxa"/>
            <w:vAlign w:val="bottom"/>
            <w:tcBorders>
              <w:bottom w:val="single" w:sz="8" w:color="B2B2B2"/>
              <w:right w:val="single" w:sz="8" w:color="B2B2B2"/>
            </w:tcBorders>
          </w:tcPr>
          <w:p>
            <w:pPr>
              <w:spacing w:after="0"/>
              <w:rPr>
                <w:sz w:val="6"/>
                <w:szCs w:val="6"/>
                <w:color w:val="auto"/>
              </w:rPr>
            </w:pPr>
          </w:p>
        </w:tc>
        <w:tc>
          <w:tcPr>
            <w:tcW w:w="3000" w:type="dxa"/>
            <w:vAlign w:val="bottom"/>
            <w:tcBorders>
              <w:bottom w:val="single" w:sz="8" w:color="B2B2B2"/>
              <w:right w:val="single" w:sz="8" w:color="B2B2B2"/>
            </w:tcBorders>
          </w:tcPr>
          <w:p>
            <w:pPr>
              <w:spacing w:after="0"/>
              <w:rPr>
                <w:sz w:val="6"/>
                <w:szCs w:val="6"/>
                <w:color w:val="auto"/>
              </w:rPr>
            </w:pPr>
          </w:p>
        </w:tc>
        <w:tc>
          <w:tcPr>
            <w:tcW w:w="2940" w:type="dxa"/>
            <w:vAlign w:val="bottom"/>
            <w:tcBorders>
              <w:bottom w:val="single" w:sz="8" w:color="B2B2B2"/>
              <w:right w:val="single" w:sz="8" w:color="B2B2B2"/>
            </w:tcBorders>
          </w:tcPr>
          <w:p>
            <w:pPr>
              <w:spacing w:after="0"/>
              <w:rPr>
                <w:sz w:val="6"/>
                <w:szCs w:val="6"/>
                <w:color w:val="auto"/>
              </w:rPr>
            </w:pPr>
          </w:p>
        </w:tc>
        <w:tc>
          <w:tcPr>
            <w:tcW w:w="3120" w:type="dxa"/>
            <w:vAlign w:val="bottom"/>
            <w:tcBorders>
              <w:bottom w:val="single" w:sz="8" w:color="B2B2B2"/>
            </w:tcBorders>
          </w:tcPr>
          <w:p>
            <w:pPr>
              <w:spacing w:after="0"/>
              <w:rPr>
                <w:sz w:val="6"/>
                <w:szCs w:val="6"/>
                <w:color w:val="auto"/>
              </w:rPr>
            </w:pPr>
          </w:p>
        </w:tc>
      </w:tr>
      <w:tr>
        <w:trPr>
          <w:trHeight w:val="215"/>
        </w:trPr>
        <w:tc>
          <w:tcPr>
            <w:tcW w:w="18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Kirsty Roth</w:t>
            </w:r>
          </w:p>
        </w:tc>
        <w:tc>
          <w:tcPr>
            <w:tcW w:w="3000" w:type="dxa"/>
            <w:vAlign w:val="bottom"/>
            <w:tcBorders>
              <w:right w:val="single" w:sz="8" w:color="B2B2B2"/>
            </w:tcBorders>
          </w:tcPr>
          <w:p>
            <w:pPr>
              <w:jc w:val="right"/>
              <w:ind w:right="320"/>
              <w:spacing w:after="0"/>
              <w:rPr>
                <w:sz w:val="20"/>
                <w:szCs w:val="20"/>
                <w:color w:val="auto"/>
              </w:rPr>
            </w:pPr>
            <w:r>
              <w:rPr>
                <w:rFonts w:ascii="Arial" w:cs="Arial" w:eastAsia="Arial" w:hAnsi="Arial"/>
                <w:sz w:val="16"/>
                <w:szCs w:val="16"/>
                <w:color w:val="auto"/>
              </w:rPr>
              <w:t>1,631,154</w:t>
            </w:r>
          </w:p>
        </w:tc>
        <w:tc>
          <w:tcPr>
            <w:tcW w:w="2940" w:type="dxa"/>
            <w:vAlign w:val="bottom"/>
            <w:tcBorders>
              <w:right w:val="single" w:sz="8" w:color="B2B2B2"/>
            </w:tcBorders>
          </w:tcPr>
          <w:p>
            <w:pPr>
              <w:jc w:val="right"/>
              <w:ind w:right="340"/>
              <w:spacing w:after="0"/>
              <w:rPr>
                <w:sz w:val="20"/>
                <w:szCs w:val="20"/>
                <w:color w:val="auto"/>
              </w:rPr>
            </w:pPr>
            <w:r>
              <w:rPr>
                <w:rFonts w:ascii="Arial" w:cs="Arial" w:eastAsia="Arial" w:hAnsi="Arial"/>
                <w:sz w:val="16"/>
                <w:szCs w:val="16"/>
                <w:color w:val="auto"/>
              </w:rPr>
              <w:t>2,450,081</w:t>
            </w:r>
          </w:p>
        </w:tc>
        <w:tc>
          <w:tcPr>
            <w:tcW w:w="3120" w:type="dxa"/>
            <w:vAlign w:val="bottom"/>
          </w:tcPr>
          <w:p>
            <w:pPr>
              <w:jc w:val="right"/>
              <w:ind w:right="20"/>
              <w:spacing w:after="0"/>
              <w:rPr>
                <w:sz w:val="20"/>
                <w:szCs w:val="20"/>
                <w:color w:val="auto"/>
              </w:rPr>
            </w:pPr>
            <w:r>
              <w:rPr>
                <w:rFonts w:ascii="Arial" w:cs="Arial" w:eastAsia="Arial" w:hAnsi="Arial"/>
                <w:sz w:val="16"/>
                <w:szCs w:val="16"/>
                <w:color w:val="auto"/>
              </w:rPr>
              <w:t>1,046,668 </w:t>
            </w:r>
          </w:p>
        </w:tc>
      </w:tr>
      <w:tr>
        <w:trPr>
          <w:trHeight w:val="73"/>
        </w:trPr>
        <w:tc>
          <w:tcPr>
            <w:tcW w:w="1860" w:type="dxa"/>
            <w:vAlign w:val="bottom"/>
            <w:tcBorders>
              <w:bottom w:val="single" w:sz="8" w:color="B2B2B2"/>
              <w:right w:val="single" w:sz="8" w:color="B2B2B2"/>
            </w:tcBorders>
          </w:tcPr>
          <w:p>
            <w:pPr>
              <w:spacing w:after="0"/>
              <w:rPr>
                <w:sz w:val="6"/>
                <w:szCs w:val="6"/>
                <w:color w:val="auto"/>
              </w:rPr>
            </w:pPr>
          </w:p>
        </w:tc>
        <w:tc>
          <w:tcPr>
            <w:tcW w:w="3000" w:type="dxa"/>
            <w:vAlign w:val="bottom"/>
            <w:tcBorders>
              <w:bottom w:val="single" w:sz="8" w:color="B2B2B2"/>
              <w:right w:val="single" w:sz="8" w:color="B2B2B2"/>
            </w:tcBorders>
          </w:tcPr>
          <w:p>
            <w:pPr>
              <w:spacing w:after="0"/>
              <w:rPr>
                <w:sz w:val="6"/>
                <w:szCs w:val="6"/>
                <w:color w:val="auto"/>
              </w:rPr>
            </w:pPr>
          </w:p>
        </w:tc>
        <w:tc>
          <w:tcPr>
            <w:tcW w:w="2940" w:type="dxa"/>
            <w:vAlign w:val="bottom"/>
            <w:tcBorders>
              <w:bottom w:val="single" w:sz="8" w:color="B2B2B2"/>
              <w:right w:val="single" w:sz="8" w:color="B2B2B2"/>
            </w:tcBorders>
          </w:tcPr>
          <w:p>
            <w:pPr>
              <w:spacing w:after="0"/>
              <w:rPr>
                <w:sz w:val="6"/>
                <w:szCs w:val="6"/>
                <w:color w:val="auto"/>
              </w:rPr>
            </w:pPr>
          </w:p>
        </w:tc>
        <w:tc>
          <w:tcPr>
            <w:tcW w:w="3120" w:type="dxa"/>
            <w:vAlign w:val="bottom"/>
            <w:tcBorders>
              <w:bottom w:val="single" w:sz="8" w:color="B2B2B2"/>
            </w:tcBorders>
          </w:tcPr>
          <w:p>
            <w:pPr>
              <w:spacing w:after="0"/>
              <w:rPr>
                <w:sz w:val="6"/>
                <w:szCs w:val="6"/>
                <w:color w:val="auto"/>
              </w:rPr>
            </w:pPr>
          </w:p>
        </w:tc>
      </w:tr>
      <w:tr>
        <w:trPr>
          <w:trHeight w:val="215"/>
        </w:trPr>
        <w:tc>
          <w:tcPr>
            <w:tcW w:w="18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David Wong</w:t>
            </w:r>
          </w:p>
        </w:tc>
        <w:tc>
          <w:tcPr>
            <w:tcW w:w="3000" w:type="dxa"/>
            <w:vAlign w:val="bottom"/>
            <w:tcBorders>
              <w:right w:val="single" w:sz="8" w:color="B2B2B2"/>
            </w:tcBorders>
          </w:tcPr>
          <w:p>
            <w:pPr>
              <w:jc w:val="right"/>
              <w:ind w:right="320"/>
              <w:spacing w:after="0"/>
              <w:rPr>
                <w:sz w:val="20"/>
                <w:szCs w:val="20"/>
                <w:color w:val="auto"/>
              </w:rPr>
            </w:pPr>
            <w:r>
              <w:rPr>
                <w:rFonts w:ascii="Arial" w:cs="Arial" w:eastAsia="Arial" w:hAnsi="Arial"/>
                <w:sz w:val="16"/>
                <w:szCs w:val="16"/>
                <w:color w:val="auto"/>
              </w:rPr>
              <w:t>1,293,810</w:t>
            </w:r>
          </w:p>
        </w:tc>
        <w:tc>
          <w:tcPr>
            <w:tcW w:w="2940" w:type="dxa"/>
            <w:vAlign w:val="bottom"/>
            <w:tcBorders>
              <w:right w:val="single" w:sz="8" w:color="B2B2B2"/>
            </w:tcBorders>
          </w:tcPr>
          <w:p>
            <w:pPr>
              <w:jc w:val="right"/>
              <w:ind w:right="340"/>
              <w:spacing w:after="0"/>
              <w:rPr>
                <w:sz w:val="20"/>
                <w:szCs w:val="20"/>
                <w:color w:val="auto"/>
              </w:rPr>
            </w:pPr>
            <w:r>
              <w:rPr>
                <w:rFonts w:ascii="Arial" w:cs="Arial" w:eastAsia="Arial" w:hAnsi="Arial"/>
                <w:sz w:val="16"/>
                <w:szCs w:val="16"/>
                <w:color w:val="auto"/>
              </w:rPr>
              <w:t>1,866,141</w:t>
            </w:r>
          </w:p>
        </w:tc>
        <w:tc>
          <w:tcPr>
            <w:tcW w:w="3120" w:type="dxa"/>
            <w:vAlign w:val="bottom"/>
          </w:tcPr>
          <w:p>
            <w:pPr>
              <w:jc w:val="right"/>
              <w:ind w:right="20"/>
              <w:spacing w:after="0"/>
              <w:rPr>
                <w:sz w:val="20"/>
                <w:szCs w:val="20"/>
                <w:color w:val="auto"/>
              </w:rPr>
            </w:pPr>
            <w:r>
              <w:rPr>
                <w:rFonts w:ascii="Arial" w:cs="Arial" w:eastAsia="Arial" w:hAnsi="Arial"/>
                <w:sz w:val="16"/>
                <w:szCs w:val="16"/>
                <w:color w:val="auto"/>
              </w:rPr>
              <w:t>768,583 </w:t>
            </w:r>
          </w:p>
        </w:tc>
      </w:tr>
      <w:tr>
        <w:trPr>
          <w:trHeight w:val="73"/>
        </w:trPr>
        <w:tc>
          <w:tcPr>
            <w:tcW w:w="1860" w:type="dxa"/>
            <w:vAlign w:val="bottom"/>
            <w:tcBorders>
              <w:bottom w:val="single" w:sz="8" w:color="B2B2B2"/>
              <w:right w:val="single" w:sz="8" w:color="B2B2B2"/>
            </w:tcBorders>
          </w:tcPr>
          <w:p>
            <w:pPr>
              <w:spacing w:after="0"/>
              <w:rPr>
                <w:sz w:val="6"/>
                <w:szCs w:val="6"/>
                <w:color w:val="auto"/>
              </w:rPr>
            </w:pPr>
          </w:p>
        </w:tc>
        <w:tc>
          <w:tcPr>
            <w:tcW w:w="3000" w:type="dxa"/>
            <w:vAlign w:val="bottom"/>
            <w:tcBorders>
              <w:bottom w:val="single" w:sz="8" w:color="B2B2B2"/>
              <w:right w:val="single" w:sz="8" w:color="B2B2B2"/>
            </w:tcBorders>
          </w:tcPr>
          <w:p>
            <w:pPr>
              <w:spacing w:after="0"/>
              <w:rPr>
                <w:sz w:val="6"/>
                <w:szCs w:val="6"/>
                <w:color w:val="auto"/>
              </w:rPr>
            </w:pPr>
          </w:p>
        </w:tc>
        <w:tc>
          <w:tcPr>
            <w:tcW w:w="2940" w:type="dxa"/>
            <w:vAlign w:val="bottom"/>
            <w:tcBorders>
              <w:bottom w:val="single" w:sz="8" w:color="B2B2B2"/>
              <w:right w:val="single" w:sz="8" w:color="B2B2B2"/>
            </w:tcBorders>
          </w:tcPr>
          <w:p>
            <w:pPr>
              <w:spacing w:after="0"/>
              <w:rPr>
                <w:sz w:val="6"/>
                <w:szCs w:val="6"/>
                <w:color w:val="auto"/>
              </w:rPr>
            </w:pPr>
          </w:p>
        </w:tc>
        <w:tc>
          <w:tcPr>
            <w:tcW w:w="3120" w:type="dxa"/>
            <w:vAlign w:val="bottom"/>
            <w:tcBorders>
              <w:bottom w:val="single" w:sz="8" w:color="B2B2B2"/>
            </w:tcBorders>
          </w:tcPr>
          <w:p>
            <w:pPr>
              <w:spacing w:after="0"/>
              <w:rPr>
                <w:sz w:val="6"/>
                <w:szCs w:val="6"/>
                <w:color w:val="auto"/>
              </w:rPr>
            </w:pPr>
          </w:p>
        </w:tc>
      </w:tr>
      <w:tr>
        <w:trPr>
          <w:trHeight w:val="215"/>
        </w:trPr>
        <w:tc>
          <w:tcPr>
            <w:tcW w:w="186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Paul Bascobert</w:t>
            </w:r>
          </w:p>
        </w:tc>
        <w:tc>
          <w:tcPr>
            <w:tcW w:w="3000" w:type="dxa"/>
            <w:vAlign w:val="bottom"/>
            <w:tcBorders>
              <w:right w:val="single" w:sz="8" w:color="B2B2B2"/>
            </w:tcBorders>
          </w:tcPr>
          <w:p>
            <w:pPr>
              <w:jc w:val="right"/>
              <w:ind w:right="320"/>
              <w:spacing w:after="0"/>
              <w:rPr>
                <w:sz w:val="20"/>
                <w:szCs w:val="20"/>
                <w:color w:val="auto"/>
              </w:rPr>
            </w:pPr>
            <w:r>
              <w:rPr>
                <w:rFonts w:ascii="Arial" w:cs="Arial" w:eastAsia="Arial" w:hAnsi="Arial"/>
                <w:sz w:val="16"/>
                <w:szCs w:val="16"/>
                <w:color w:val="auto"/>
              </w:rPr>
              <w:t>234,131</w:t>
            </w:r>
          </w:p>
        </w:tc>
        <w:tc>
          <w:tcPr>
            <w:tcW w:w="2940" w:type="dxa"/>
            <w:vAlign w:val="bottom"/>
            <w:tcBorders>
              <w:right w:val="single" w:sz="8" w:color="B2B2B2"/>
            </w:tcBorders>
          </w:tcPr>
          <w:p>
            <w:pPr>
              <w:jc w:val="right"/>
              <w:ind w:right="340"/>
              <w:spacing w:after="0"/>
              <w:rPr>
                <w:sz w:val="20"/>
                <w:szCs w:val="20"/>
                <w:color w:val="auto"/>
              </w:rPr>
            </w:pPr>
            <w:r>
              <w:rPr>
                <w:rFonts w:ascii="Arial" w:cs="Arial" w:eastAsia="Arial" w:hAnsi="Arial"/>
                <w:sz w:val="16"/>
                <w:szCs w:val="16"/>
                <w:color w:val="auto"/>
              </w:rPr>
              <w:t>0</w:t>
            </w:r>
          </w:p>
        </w:tc>
        <w:tc>
          <w:tcPr>
            <w:tcW w:w="3120" w:type="dxa"/>
            <w:vAlign w:val="bottom"/>
          </w:tcPr>
          <w:p>
            <w:pPr>
              <w:jc w:val="right"/>
              <w:ind w:right="20"/>
              <w:spacing w:after="0"/>
              <w:rPr>
                <w:sz w:val="20"/>
                <w:szCs w:val="20"/>
                <w:color w:val="auto"/>
              </w:rPr>
            </w:pPr>
            <w:r>
              <w:rPr>
                <w:rFonts w:ascii="Arial" w:cs="Arial" w:eastAsia="Arial" w:hAnsi="Arial"/>
                <w:sz w:val="16"/>
                <w:szCs w:val="16"/>
                <w:color w:val="auto"/>
              </w:rPr>
              <w:t>946,875 </w:t>
            </w:r>
          </w:p>
        </w:tc>
      </w:tr>
      <w:tr>
        <w:trPr>
          <w:trHeight w:val="80"/>
        </w:trPr>
        <w:tc>
          <w:tcPr>
            <w:tcW w:w="1860" w:type="dxa"/>
            <w:vAlign w:val="bottom"/>
            <w:tcBorders>
              <w:bottom w:val="single" w:sz="8" w:color="D64000"/>
              <w:right w:val="single" w:sz="8" w:color="B2B2B2"/>
            </w:tcBorders>
          </w:tcPr>
          <w:p>
            <w:pPr>
              <w:spacing w:after="0"/>
              <w:rPr>
                <w:sz w:val="6"/>
                <w:szCs w:val="6"/>
                <w:color w:val="auto"/>
              </w:rPr>
            </w:pPr>
          </w:p>
        </w:tc>
        <w:tc>
          <w:tcPr>
            <w:tcW w:w="3000" w:type="dxa"/>
            <w:vAlign w:val="bottom"/>
            <w:tcBorders>
              <w:bottom w:val="single" w:sz="8" w:color="D64000"/>
              <w:right w:val="single" w:sz="8" w:color="B2B2B2"/>
            </w:tcBorders>
          </w:tcPr>
          <w:p>
            <w:pPr>
              <w:spacing w:after="0"/>
              <w:rPr>
                <w:sz w:val="6"/>
                <w:szCs w:val="6"/>
                <w:color w:val="auto"/>
              </w:rPr>
            </w:pPr>
          </w:p>
        </w:tc>
        <w:tc>
          <w:tcPr>
            <w:tcW w:w="2940" w:type="dxa"/>
            <w:vAlign w:val="bottom"/>
            <w:tcBorders>
              <w:bottom w:val="single" w:sz="8" w:color="D64000"/>
              <w:right w:val="single" w:sz="8" w:color="B2B2B2"/>
            </w:tcBorders>
          </w:tcPr>
          <w:p>
            <w:pPr>
              <w:spacing w:after="0"/>
              <w:rPr>
                <w:sz w:val="6"/>
                <w:szCs w:val="6"/>
                <w:color w:val="auto"/>
              </w:rPr>
            </w:pPr>
          </w:p>
        </w:tc>
        <w:tc>
          <w:tcPr>
            <w:tcW w:w="3120" w:type="dxa"/>
            <w:vAlign w:val="bottom"/>
            <w:tcBorders>
              <w:bottom w:val="single" w:sz="8" w:color="D64000"/>
            </w:tcBorders>
          </w:tcPr>
          <w:p>
            <w:pPr>
              <w:spacing w:after="0"/>
              <w:rPr>
                <w:sz w:val="6"/>
                <w:szCs w:val="6"/>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Stock Options – Exercises in 2025</w:t>
      </w:r>
    </w:p>
    <w:p>
      <w:pPr>
        <w:spacing w:after="0" w:line="103"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As indicated in the table below, Mike Eastwood, Kirsty Roth, and David Wong were the only named executive officers who exercised stock options in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20" w:type="dxa"/>
            <w:vAlign w:val="bottom"/>
            <w:tcBorders>
              <w:right w:val="single" w:sz="8" w:color="B2B2B2"/>
            </w:tcBorders>
            <w:shd w:val="clear" w:color="auto" w:fill="1F473D"/>
          </w:tcPr>
          <w:p>
            <w:pPr>
              <w:spacing w:after="0"/>
              <w:rPr>
                <w:sz w:val="19"/>
                <w:szCs w:val="19"/>
                <w:color w:val="auto"/>
              </w:rPr>
            </w:pPr>
          </w:p>
        </w:tc>
        <w:tc>
          <w:tcPr>
            <w:tcW w:w="1260" w:type="dxa"/>
            <w:vAlign w:val="bottom"/>
            <w:tcBorders>
              <w:right w:val="single" w:sz="8" w:color="B2B2B2"/>
            </w:tcBorders>
            <w:shd w:val="clear" w:color="auto" w:fill="1F473D"/>
          </w:tcPr>
          <w:p>
            <w:pPr>
              <w:spacing w:after="0"/>
              <w:rPr>
                <w:sz w:val="19"/>
                <w:szCs w:val="19"/>
                <w:color w:val="auto"/>
              </w:rPr>
            </w:pPr>
          </w:p>
        </w:tc>
        <w:tc>
          <w:tcPr>
            <w:tcW w:w="1380" w:type="dxa"/>
            <w:vAlign w:val="bottom"/>
            <w:tcBorders>
              <w:right w:val="single" w:sz="8" w:color="1F473D"/>
            </w:tcBorders>
            <w:shd w:val="clear" w:color="auto" w:fill="1F473D"/>
          </w:tcPr>
          <w:p>
            <w:pPr>
              <w:spacing w:after="0"/>
              <w:rPr>
                <w:sz w:val="19"/>
                <w:szCs w:val="19"/>
                <w:color w:val="auto"/>
              </w:rPr>
            </w:pPr>
          </w:p>
        </w:tc>
        <w:tc>
          <w:tcPr>
            <w:tcW w:w="1120" w:type="dxa"/>
            <w:vAlign w:val="bottom"/>
            <w:tcBorders>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Number of</w:t>
            </w:r>
          </w:p>
        </w:tc>
        <w:tc>
          <w:tcPr>
            <w:tcW w:w="980" w:type="dxa"/>
            <w:vAlign w:val="bottom"/>
            <w:tcBorders>
              <w:right w:val="single" w:sz="8" w:color="B2B2B2"/>
            </w:tcBorders>
            <w:gridSpan w:val="2"/>
            <w:shd w:val="clear" w:color="auto" w:fill="1F473D"/>
          </w:tcPr>
          <w:p>
            <w:pPr>
              <w:ind w:left="100"/>
              <w:spacing w:after="0"/>
              <w:rPr>
                <w:sz w:val="20"/>
                <w:szCs w:val="20"/>
                <w:color w:val="auto"/>
              </w:rPr>
            </w:pPr>
            <w:r>
              <w:rPr>
                <w:rFonts w:ascii="Arial" w:cs="Arial" w:eastAsia="Arial" w:hAnsi="Arial"/>
                <w:sz w:val="16"/>
                <w:szCs w:val="16"/>
                <w:b w:val="1"/>
                <w:bCs w:val="1"/>
                <w:color w:val="FFFFFF"/>
              </w:rPr>
              <w:t>Exercise</w:t>
            </w:r>
          </w:p>
        </w:tc>
        <w:tc>
          <w:tcPr>
            <w:tcW w:w="900" w:type="dxa"/>
            <w:vAlign w:val="bottom"/>
            <w:tcBorders>
              <w:right w:val="single" w:sz="8" w:color="1F473D"/>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Sale</w:t>
            </w:r>
          </w:p>
        </w:tc>
        <w:tc>
          <w:tcPr>
            <w:tcW w:w="180" w:type="dxa"/>
            <w:vAlign w:val="bottom"/>
            <w:shd w:val="clear" w:color="auto" w:fill="1F473D"/>
          </w:tcPr>
          <w:p>
            <w:pPr>
              <w:spacing w:after="0"/>
              <w:rPr>
                <w:sz w:val="19"/>
                <w:szCs w:val="19"/>
                <w:color w:val="auto"/>
              </w:rPr>
            </w:pPr>
          </w:p>
        </w:tc>
        <w:tc>
          <w:tcPr>
            <w:tcW w:w="780" w:type="dxa"/>
            <w:vAlign w:val="bottom"/>
            <w:shd w:val="clear" w:color="auto" w:fill="1F473D"/>
          </w:tcPr>
          <w:p>
            <w:pPr>
              <w:spacing w:after="0"/>
              <w:rPr>
                <w:sz w:val="19"/>
                <w:szCs w:val="19"/>
                <w:color w:val="auto"/>
              </w:rPr>
            </w:pPr>
          </w:p>
        </w:tc>
      </w:tr>
      <w:tr>
        <w:trPr>
          <w:trHeight w:val="221"/>
        </w:trPr>
        <w:tc>
          <w:tcPr>
            <w:tcW w:w="4320" w:type="dxa"/>
            <w:vAlign w:val="bottom"/>
            <w:tcBorders>
              <w:bottom w:val="single" w:sz="8" w:color="D64000"/>
              <w:right w:val="single" w:sz="8" w:color="B2B2B2"/>
            </w:tcBorders>
            <w:shd w:val="clear" w:color="auto" w:fill="1F473D"/>
          </w:tcPr>
          <w:p>
            <w:pPr>
              <w:spacing w:after="0"/>
              <w:rPr>
                <w:sz w:val="20"/>
                <w:szCs w:val="20"/>
                <w:color w:val="auto"/>
              </w:rPr>
            </w:pPr>
            <w:r>
              <w:rPr>
                <w:rFonts w:ascii="Arial" w:cs="Arial" w:eastAsia="Arial" w:hAnsi="Arial"/>
                <w:sz w:val="16"/>
                <w:szCs w:val="16"/>
                <w:b w:val="1"/>
                <w:bCs w:val="1"/>
                <w:color w:val="FFFFFF"/>
              </w:rPr>
              <w:t>  Name</w:t>
            </w:r>
          </w:p>
        </w:tc>
        <w:tc>
          <w:tcPr>
            <w:tcW w:w="1260" w:type="dxa"/>
            <w:vAlign w:val="bottom"/>
            <w:tcBorders>
              <w:bottom w:val="single" w:sz="8" w:color="D64000"/>
              <w:right w:val="single" w:sz="8" w:color="B2B2B2"/>
            </w:tcBorders>
            <w:shd w:val="clear" w:color="auto" w:fill="1F473D"/>
          </w:tcPr>
          <w:p>
            <w:pPr>
              <w:jc w:val="right"/>
              <w:ind w:right="39"/>
              <w:spacing w:after="0"/>
              <w:rPr>
                <w:sz w:val="20"/>
                <w:szCs w:val="20"/>
                <w:color w:val="auto"/>
              </w:rPr>
            </w:pPr>
            <w:r>
              <w:rPr>
                <w:rFonts w:ascii="Arial" w:cs="Arial" w:eastAsia="Arial" w:hAnsi="Arial"/>
                <w:sz w:val="16"/>
                <w:szCs w:val="16"/>
                <w:b w:val="1"/>
                <w:bCs w:val="1"/>
                <w:color w:val="FFFFFF"/>
              </w:rPr>
              <w:t>Exercise date</w:t>
            </w:r>
          </w:p>
        </w:tc>
        <w:tc>
          <w:tcPr>
            <w:tcW w:w="1380" w:type="dxa"/>
            <w:vAlign w:val="bottom"/>
            <w:tcBorders>
              <w:bottom w:val="single" w:sz="8" w:color="D64000"/>
              <w:right w:val="single" w:sz="8" w:color="1F473D"/>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Grant date</w:t>
            </w:r>
          </w:p>
        </w:tc>
        <w:tc>
          <w:tcPr>
            <w:tcW w:w="1120" w:type="dxa"/>
            <w:vAlign w:val="bottom"/>
            <w:tcBorders>
              <w:bottom w:val="single" w:sz="8" w:color="D64000"/>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options</w:t>
            </w:r>
          </w:p>
        </w:tc>
        <w:tc>
          <w:tcPr>
            <w:tcW w:w="220" w:type="dxa"/>
            <w:vAlign w:val="bottom"/>
            <w:tcBorders>
              <w:bottom w:val="single" w:sz="8" w:color="D64000"/>
            </w:tcBorders>
            <w:shd w:val="clear" w:color="auto" w:fill="1F473D"/>
          </w:tcPr>
          <w:p>
            <w:pPr>
              <w:spacing w:after="0"/>
              <w:rPr>
                <w:sz w:val="19"/>
                <w:szCs w:val="19"/>
                <w:color w:val="auto"/>
              </w:rPr>
            </w:pPr>
          </w:p>
        </w:tc>
        <w:tc>
          <w:tcPr>
            <w:tcW w:w="760" w:type="dxa"/>
            <w:vAlign w:val="bottom"/>
            <w:tcBorders>
              <w:bottom w:val="single" w:sz="8" w:color="D64000"/>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price</w:t>
            </w:r>
          </w:p>
        </w:tc>
        <w:tc>
          <w:tcPr>
            <w:tcW w:w="900" w:type="dxa"/>
            <w:vAlign w:val="bottom"/>
            <w:tcBorders>
              <w:bottom w:val="single" w:sz="8" w:color="D64000"/>
              <w:right w:val="single" w:sz="8" w:color="1F473D"/>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Price</w:t>
            </w:r>
          </w:p>
        </w:tc>
        <w:tc>
          <w:tcPr>
            <w:tcW w:w="180" w:type="dxa"/>
            <w:vAlign w:val="bottom"/>
            <w:tcBorders>
              <w:bottom w:val="single" w:sz="8" w:color="D64000"/>
            </w:tcBorders>
            <w:shd w:val="clear" w:color="auto" w:fill="1F473D"/>
          </w:tcPr>
          <w:p>
            <w:pPr>
              <w:spacing w:after="0"/>
              <w:rPr>
                <w:sz w:val="19"/>
                <w:szCs w:val="19"/>
                <w:color w:val="auto"/>
              </w:rPr>
            </w:pPr>
          </w:p>
        </w:tc>
        <w:tc>
          <w:tcPr>
            <w:tcW w:w="780" w:type="dxa"/>
            <w:vAlign w:val="bottom"/>
            <w:tcBorders>
              <w:bottom w:val="single" w:sz="8" w:color="D64000"/>
            </w:tcBorders>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Gain</w:t>
            </w:r>
          </w:p>
        </w:tc>
      </w:tr>
      <w:tr>
        <w:trPr>
          <w:trHeight w:val="187"/>
        </w:trPr>
        <w:tc>
          <w:tcPr>
            <w:tcW w:w="432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Michael Eastwood</w:t>
            </w:r>
          </w:p>
        </w:tc>
        <w:tc>
          <w:tcPr>
            <w:tcW w:w="1260" w:type="dxa"/>
            <w:vAlign w:val="bottom"/>
            <w:tcBorders>
              <w:bottom w:val="single" w:sz="8" w:color="B2B2B2"/>
              <w:right w:val="single" w:sz="8" w:color="B2B2B2"/>
            </w:tcBorders>
          </w:tcPr>
          <w:p>
            <w:pPr>
              <w:jc w:val="right"/>
              <w:ind w:right="39"/>
              <w:spacing w:after="0"/>
              <w:rPr>
                <w:sz w:val="20"/>
                <w:szCs w:val="20"/>
                <w:color w:val="auto"/>
              </w:rPr>
            </w:pPr>
            <w:r>
              <w:rPr>
                <w:rFonts w:ascii="Arial" w:cs="Arial" w:eastAsia="Arial" w:hAnsi="Arial"/>
                <w:sz w:val="16"/>
                <w:szCs w:val="16"/>
                <w:color w:val="auto"/>
              </w:rPr>
              <w:t>May 2, 2025</w:t>
            </w:r>
          </w:p>
        </w:tc>
        <w:tc>
          <w:tcPr>
            <w:tcW w:w="138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March 3, 2021</w:t>
            </w:r>
          </w:p>
        </w:tc>
        <w:tc>
          <w:tcPr>
            <w:tcW w:w="112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8,980</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88.87</w:t>
            </w:r>
          </w:p>
        </w:tc>
        <w:tc>
          <w:tcPr>
            <w:tcW w:w="90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$183.31</w:t>
            </w:r>
          </w:p>
        </w:tc>
        <w:tc>
          <w:tcPr>
            <w:tcW w:w="1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color w:val="auto"/>
                <w:w w:val="96"/>
              </w:rPr>
              <w:t>848,028</w:t>
            </w:r>
          </w:p>
        </w:tc>
      </w:tr>
      <w:tr>
        <w:trPr>
          <w:trHeight w:val="181"/>
        </w:trPr>
        <w:tc>
          <w:tcPr>
            <w:tcW w:w="4320" w:type="dxa"/>
            <w:vAlign w:val="bottom"/>
            <w:tcBorders>
              <w:right w:val="single" w:sz="8" w:color="B2B2B2"/>
            </w:tcBorders>
          </w:tcPr>
          <w:p>
            <w:pPr>
              <w:spacing w:after="0"/>
              <w:rPr>
                <w:sz w:val="15"/>
                <w:szCs w:val="15"/>
                <w:color w:val="auto"/>
              </w:rPr>
            </w:pPr>
          </w:p>
        </w:tc>
        <w:tc>
          <w:tcPr>
            <w:tcW w:w="1260" w:type="dxa"/>
            <w:vAlign w:val="bottom"/>
            <w:tcBorders>
              <w:bottom w:val="single" w:sz="8" w:color="B2B2B2"/>
              <w:right w:val="single" w:sz="8" w:color="B2B2B2"/>
            </w:tcBorders>
          </w:tcPr>
          <w:p>
            <w:pPr>
              <w:jc w:val="right"/>
              <w:ind w:right="39"/>
              <w:spacing w:after="0" w:line="181" w:lineRule="exact"/>
              <w:rPr>
                <w:sz w:val="20"/>
                <w:szCs w:val="20"/>
                <w:color w:val="auto"/>
              </w:rPr>
            </w:pPr>
            <w:r>
              <w:rPr>
                <w:rFonts w:ascii="Arial" w:cs="Arial" w:eastAsia="Arial" w:hAnsi="Arial"/>
                <w:sz w:val="16"/>
                <w:szCs w:val="16"/>
                <w:color w:val="auto"/>
              </w:rPr>
              <w:t>May 2, 2025</w:t>
            </w:r>
          </w:p>
        </w:tc>
        <w:tc>
          <w:tcPr>
            <w:tcW w:w="138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March 2, 2022</w:t>
            </w:r>
          </w:p>
        </w:tc>
        <w:tc>
          <w:tcPr>
            <w:tcW w:w="112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1,552</w:t>
            </w:r>
          </w:p>
        </w:tc>
        <w:tc>
          <w:tcPr>
            <w:tcW w:w="220" w:type="dxa"/>
            <w:vAlign w:val="bottom"/>
            <w:tcBorders>
              <w:bottom w:val="single" w:sz="8" w:color="B2B2B2"/>
            </w:tcBorders>
          </w:tcPr>
          <w:p>
            <w:pPr>
              <w:ind w:left="80"/>
              <w:spacing w:after="0" w:line="181"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102.00</w:t>
            </w:r>
          </w:p>
        </w:tc>
        <w:tc>
          <w:tcPr>
            <w:tcW w:w="90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$183.31</w:t>
            </w:r>
          </w:p>
        </w:tc>
        <w:tc>
          <w:tcPr>
            <w:tcW w:w="180" w:type="dxa"/>
            <w:vAlign w:val="bottom"/>
            <w:tcBorders>
              <w:bottom w:val="single" w:sz="8" w:color="B2B2B2"/>
            </w:tcBorders>
          </w:tcPr>
          <w:p>
            <w:pPr>
              <w:jc w:val="right"/>
              <w:spacing w:after="0" w:line="18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ind w:right="120"/>
              <w:spacing w:after="0" w:line="181" w:lineRule="exact"/>
              <w:rPr>
                <w:sz w:val="20"/>
                <w:szCs w:val="20"/>
                <w:color w:val="auto"/>
              </w:rPr>
            </w:pPr>
            <w:r>
              <w:rPr>
                <w:rFonts w:ascii="Arial" w:cs="Arial" w:eastAsia="Arial" w:hAnsi="Arial"/>
                <w:sz w:val="16"/>
                <w:szCs w:val="16"/>
                <w:color w:val="auto"/>
                <w:w w:val="96"/>
              </w:rPr>
              <w:t>126,186</w:t>
            </w:r>
          </w:p>
        </w:tc>
      </w:tr>
      <w:tr>
        <w:trPr>
          <w:trHeight w:val="181"/>
        </w:trPr>
        <w:tc>
          <w:tcPr>
            <w:tcW w:w="4320" w:type="dxa"/>
            <w:vAlign w:val="bottom"/>
            <w:tcBorders>
              <w:right w:val="single" w:sz="8" w:color="B2B2B2"/>
            </w:tcBorders>
          </w:tcPr>
          <w:p>
            <w:pPr>
              <w:spacing w:after="0"/>
              <w:rPr>
                <w:sz w:val="15"/>
                <w:szCs w:val="15"/>
                <w:color w:val="auto"/>
              </w:rPr>
            </w:pPr>
          </w:p>
        </w:tc>
        <w:tc>
          <w:tcPr>
            <w:tcW w:w="1260" w:type="dxa"/>
            <w:vAlign w:val="bottom"/>
            <w:tcBorders>
              <w:bottom w:val="single" w:sz="8" w:color="B2B2B2"/>
              <w:right w:val="single" w:sz="8" w:color="B2B2B2"/>
            </w:tcBorders>
          </w:tcPr>
          <w:p>
            <w:pPr>
              <w:jc w:val="right"/>
              <w:ind w:right="39"/>
              <w:spacing w:after="0" w:line="181" w:lineRule="exact"/>
              <w:rPr>
                <w:sz w:val="20"/>
                <w:szCs w:val="20"/>
                <w:color w:val="auto"/>
              </w:rPr>
            </w:pPr>
            <w:r>
              <w:rPr>
                <w:rFonts w:ascii="Arial" w:cs="Arial" w:eastAsia="Arial" w:hAnsi="Arial"/>
                <w:sz w:val="16"/>
                <w:szCs w:val="16"/>
                <w:color w:val="auto"/>
              </w:rPr>
              <w:t>May 2, 2025</w:t>
            </w:r>
          </w:p>
        </w:tc>
        <w:tc>
          <w:tcPr>
            <w:tcW w:w="138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March 2, 2022</w:t>
            </w:r>
          </w:p>
        </w:tc>
        <w:tc>
          <w:tcPr>
            <w:tcW w:w="112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5,011</w:t>
            </w:r>
          </w:p>
        </w:tc>
        <w:tc>
          <w:tcPr>
            <w:tcW w:w="220" w:type="dxa"/>
            <w:vAlign w:val="bottom"/>
            <w:tcBorders>
              <w:bottom w:val="single" w:sz="8" w:color="B2B2B2"/>
            </w:tcBorders>
          </w:tcPr>
          <w:p>
            <w:pPr>
              <w:ind w:left="80"/>
              <w:spacing w:after="0" w:line="181"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102.00</w:t>
            </w:r>
          </w:p>
        </w:tc>
        <w:tc>
          <w:tcPr>
            <w:tcW w:w="90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$183.31</w:t>
            </w:r>
          </w:p>
        </w:tc>
        <w:tc>
          <w:tcPr>
            <w:tcW w:w="180" w:type="dxa"/>
            <w:vAlign w:val="bottom"/>
            <w:tcBorders>
              <w:bottom w:val="single" w:sz="8" w:color="B2B2B2"/>
            </w:tcBorders>
          </w:tcPr>
          <w:p>
            <w:pPr>
              <w:jc w:val="right"/>
              <w:spacing w:after="0" w:line="18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ind w:right="120"/>
              <w:spacing w:after="0" w:line="181" w:lineRule="exact"/>
              <w:rPr>
                <w:sz w:val="20"/>
                <w:szCs w:val="20"/>
                <w:color w:val="auto"/>
              </w:rPr>
            </w:pPr>
            <w:r>
              <w:rPr>
                <w:rFonts w:ascii="Arial" w:cs="Arial" w:eastAsia="Arial" w:hAnsi="Arial"/>
                <w:sz w:val="16"/>
                <w:szCs w:val="16"/>
                <w:color w:val="auto"/>
                <w:w w:val="96"/>
              </w:rPr>
              <w:t>407,420</w:t>
            </w:r>
          </w:p>
        </w:tc>
      </w:tr>
      <w:tr>
        <w:trPr>
          <w:trHeight w:val="181"/>
        </w:trPr>
        <w:tc>
          <w:tcPr>
            <w:tcW w:w="4320" w:type="dxa"/>
            <w:vAlign w:val="bottom"/>
            <w:tcBorders>
              <w:right w:val="single" w:sz="8" w:color="B2B2B2"/>
            </w:tcBorders>
          </w:tcPr>
          <w:p>
            <w:pPr>
              <w:spacing w:after="0"/>
              <w:rPr>
                <w:sz w:val="15"/>
                <w:szCs w:val="15"/>
                <w:color w:val="auto"/>
              </w:rPr>
            </w:pPr>
          </w:p>
        </w:tc>
        <w:tc>
          <w:tcPr>
            <w:tcW w:w="1260" w:type="dxa"/>
            <w:vAlign w:val="bottom"/>
            <w:tcBorders>
              <w:bottom w:val="single" w:sz="8" w:color="B2B2B2"/>
              <w:right w:val="single" w:sz="8" w:color="B2B2B2"/>
            </w:tcBorders>
          </w:tcPr>
          <w:p>
            <w:pPr>
              <w:jc w:val="right"/>
              <w:ind w:right="39"/>
              <w:spacing w:after="0" w:line="181" w:lineRule="exact"/>
              <w:rPr>
                <w:sz w:val="20"/>
                <w:szCs w:val="20"/>
                <w:color w:val="auto"/>
              </w:rPr>
            </w:pPr>
            <w:r>
              <w:rPr>
                <w:rFonts w:ascii="Arial" w:cs="Arial" w:eastAsia="Arial" w:hAnsi="Arial"/>
                <w:sz w:val="16"/>
                <w:szCs w:val="16"/>
                <w:color w:val="auto"/>
              </w:rPr>
              <w:t>May 2, 2025</w:t>
            </w:r>
          </w:p>
        </w:tc>
        <w:tc>
          <w:tcPr>
            <w:tcW w:w="138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March 1, 2023</w:t>
            </w:r>
          </w:p>
        </w:tc>
        <w:tc>
          <w:tcPr>
            <w:tcW w:w="112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4,108</w:t>
            </w:r>
          </w:p>
        </w:tc>
        <w:tc>
          <w:tcPr>
            <w:tcW w:w="220" w:type="dxa"/>
            <w:vAlign w:val="bottom"/>
            <w:tcBorders>
              <w:bottom w:val="single" w:sz="8" w:color="B2B2B2"/>
            </w:tcBorders>
          </w:tcPr>
          <w:p>
            <w:pPr>
              <w:ind w:left="80"/>
              <w:spacing w:after="0" w:line="181"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121.03</w:t>
            </w:r>
          </w:p>
        </w:tc>
        <w:tc>
          <w:tcPr>
            <w:tcW w:w="90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$183.31</w:t>
            </w:r>
          </w:p>
        </w:tc>
        <w:tc>
          <w:tcPr>
            <w:tcW w:w="180" w:type="dxa"/>
            <w:vAlign w:val="bottom"/>
            <w:tcBorders>
              <w:bottom w:val="single" w:sz="8" w:color="B2B2B2"/>
            </w:tcBorders>
          </w:tcPr>
          <w:p>
            <w:pPr>
              <w:jc w:val="right"/>
              <w:spacing w:after="0" w:line="18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ind w:right="120"/>
              <w:spacing w:after="0" w:line="181" w:lineRule="exact"/>
              <w:rPr>
                <w:sz w:val="20"/>
                <w:szCs w:val="20"/>
                <w:color w:val="auto"/>
              </w:rPr>
            </w:pPr>
            <w:r>
              <w:rPr>
                <w:rFonts w:ascii="Arial" w:cs="Arial" w:eastAsia="Arial" w:hAnsi="Arial"/>
                <w:sz w:val="16"/>
                <w:szCs w:val="16"/>
                <w:color w:val="auto"/>
                <w:w w:val="96"/>
              </w:rPr>
              <w:t>255,826</w:t>
            </w:r>
          </w:p>
        </w:tc>
      </w:tr>
      <w:tr>
        <w:trPr>
          <w:trHeight w:val="181"/>
        </w:trPr>
        <w:tc>
          <w:tcPr>
            <w:tcW w:w="4320" w:type="dxa"/>
            <w:vAlign w:val="bottom"/>
            <w:tcBorders>
              <w:bottom w:val="single" w:sz="8" w:color="B2B2B2"/>
              <w:right w:val="single" w:sz="8" w:color="B2B2B2"/>
            </w:tcBorders>
          </w:tcPr>
          <w:p>
            <w:pPr>
              <w:spacing w:after="0"/>
              <w:rPr>
                <w:sz w:val="15"/>
                <w:szCs w:val="15"/>
                <w:color w:val="auto"/>
              </w:rPr>
            </w:pPr>
          </w:p>
        </w:tc>
        <w:tc>
          <w:tcPr>
            <w:tcW w:w="1260" w:type="dxa"/>
            <w:vAlign w:val="bottom"/>
            <w:tcBorders>
              <w:bottom w:val="single" w:sz="8" w:color="B2B2B2"/>
              <w:right w:val="single" w:sz="8" w:color="B2B2B2"/>
            </w:tcBorders>
          </w:tcPr>
          <w:p>
            <w:pPr>
              <w:jc w:val="right"/>
              <w:ind w:right="39"/>
              <w:spacing w:after="0" w:line="181" w:lineRule="exact"/>
              <w:rPr>
                <w:sz w:val="20"/>
                <w:szCs w:val="20"/>
                <w:color w:val="auto"/>
              </w:rPr>
            </w:pPr>
            <w:r>
              <w:rPr>
                <w:rFonts w:ascii="Arial" w:cs="Arial" w:eastAsia="Arial" w:hAnsi="Arial"/>
                <w:sz w:val="16"/>
                <w:szCs w:val="16"/>
                <w:color w:val="auto"/>
              </w:rPr>
              <w:t>May 2, 2025</w:t>
            </w:r>
          </w:p>
        </w:tc>
        <w:tc>
          <w:tcPr>
            <w:tcW w:w="138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March 6, 2024</w:t>
            </w:r>
          </w:p>
        </w:tc>
        <w:tc>
          <w:tcPr>
            <w:tcW w:w="112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3,762</w:t>
            </w:r>
          </w:p>
        </w:tc>
        <w:tc>
          <w:tcPr>
            <w:tcW w:w="220" w:type="dxa"/>
            <w:vAlign w:val="bottom"/>
            <w:tcBorders>
              <w:bottom w:val="single" w:sz="8" w:color="B2B2B2"/>
            </w:tcBorders>
          </w:tcPr>
          <w:p>
            <w:pPr>
              <w:ind w:left="80"/>
              <w:spacing w:after="0" w:line="181"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156.94</w:t>
            </w:r>
          </w:p>
        </w:tc>
        <w:tc>
          <w:tcPr>
            <w:tcW w:w="900" w:type="dxa"/>
            <w:vAlign w:val="bottom"/>
            <w:tcBorders>
              <w:bottom w:val="single" w:sz="8" w:color="B2B2B2"/>
              <w:right w:val="single" w:sz="8" w:color="B2B2B2"/>
            </w:tcBorders>
          </w:tcPr>
          <w:p>
            <w:pPr>
              <w:jc w:val="right"/>
              <w:ind w:right="140"/>
              <w:spacing w:after="0" w:line="181" w:lineRule="exact"/>
              <w:rPr>
                <w:sz w:val="20"/>
                <w:szCs w:val="20"/>
                <w:color w:val="auto"/>
              </w:rPr>
            </w:pPr>
            <w:r>
              <w:rPr>
                <w:rFonts w:ascii="Arial" w:cs="Arial" w:eastAsia="Arial" w:hAnsi="Arial"/>
                <w:sz w:val="16"/>
                <w:szCs w:val="16"/>
                <w:color w:val="auto"/>
              </w:rPr>
              <w:t>$183.31</w:t>
            </w:r>
          </w:p>
        </w:tc>
        <w:tc>
          <w:tcPr>
            <w:tcW w:w="180" w:type="dxa"/>
            <w:vAlign w:val="bottom"/>
            <w:tcBorders>
              <w:bottom w:val="single" w:sz="8" w:color="B2B2B2"/>
            </w:tcBorders>
          </w:tcPr>
          <w:p>
            <w:pPr>
              <w:jc w:val="right"/>
              <w:spacing w:after="0" w:line="18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ind w:right="120"/>
              <w:spacing w:after="0" w:line="181" w:lineRule="exact"/>
              <w:rPr>
                <w:sz w:val="20"/>
                <w:szCs w:val="20"/>
                <w:color w:val="auto"/>
              </w:rPr>
            </w:pPr>
            <w:r>
              <w:rPr>
                <w:rFonts w:ascii="Arial" w:cs="Arial" w:eastAsia="Arial" w:hAnsi="Arial"/>
                <w:sz w:val="16"/>
                <w:szCs w:val="16"/>
                <w:color w:val="auto"/>
              </w:rPr>
              <w:t>99,186</w:t>
            </w:r>
          </w:p>
        </w:tc>
      </w:tr>
      <w:tr>
        <w:trPr>
          <w:trHeight w:val="154"/>
        </w:trPr>
        <w:tc>
          <w:tcPr>
            <w:tcW w:w="4320" w:type="dxa"/>
            <w:vAlign w:val="bottom"/>
            <w:tcBorders>
              <w:bottom w:val="single" w:sz="8" w:color="7F7F7F"/>
            </w:tcBorders>
          </w:tcPr>
          <w:p>
            <w:pPr>
              <w:spacing w:after="0"/>
              <w:rPr>
                <w:sz w:val="13"/>
                <w:szCs w:val="13"/>
                <w:color w:val="auto"/>
              </w:rPr>
            </w:pPr>
          </w:p>
        </w:tc>
        <w:tc>
          <w:tcPr>
            <w:tcW w:w="6600" w:type="dxa"/>
            <w:vAlign w:val="bottom"/>
            <w:tcBorders>
              <w:bottom w:val="single" w:sz="8" w:color="7F7F7F"/>
            </w:tcBorders>
            <w:gridSpan w:val="8"/>
          </w:tcPr>
          <w:p>
            <w:pPr>
              <w:spacing w:after="0"/>
              <w:rPr>
                <w:sz w:val="13"/>
                <w:szCs w:val="13"/>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7"/>
                <w:szCs w:val="17"/>
                <w:color w:val="auto"/>
              </w:rPr>
              <w:t>Page 86</w:t>
            </w:r>
          </w:p>
        </w:tc>
        <w:tc>
          <w:tcPr>
            <w:tcW w:w="6600" w:type="dxa"/>
            <w:vAlign w:val="bottom"/>
            <w:gridSpan w:val="8"/>
          </w:tcPr>
          <w:p>
            <w:pPr>
              <w:jc w:val="right"/>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r>
    </w:tbl>
    <w:p>
      <w:pPr>
        <w:sectPr>
          <w:pgSz w:w="11900" w:h="16838" w:orient="portrait"/>
          <w:cols w:equalWidth="0" w:num="1">
            <w:col w:w="10920"/>
          </w:cols>
          <w:pgMar w:left="480" w:top="262" w:right="499" w:bottom="1440" w:gutter="0" w:footer="0" w:header="0"/>
        </w:sectPr>
      </w:pPr>
    </w:p>
    <w:bookmarkStart w:id="96" w:name="page97"/>
    <w:bookmarkEnd w:id="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4180" w:type="dxa"/>
            <w:vAlign w:val="bottom"/>
            <w:tcBorders>
              <w:right w:val="single" w:sz="8" w:color="B2B2B2"/>
            </w:tcBorders>
            <w:shd w:val="clear" w:color="auto" w:fill="1F473D"/>
          </w:tcPr>
          <w:p>
            <w:pPr>
              <w:spacing w:after="0"/>
              <w:rPr>
                <w:sz w:val="19"/>
                <w:szCs w:val="19"/>
                <w:color w:val="auto"/>
              </w:rPr>
            </w:pPr>
          </w:p>
        </w:tc>
        <w:tc>
          <w:tcPr>
            <w:tcW w:w="1580" w:type="dxa"/>
            <w:vAlign w:val="bottom"/>
            <w:tcBorders>
              <w:right w:val="single" w:sz="8" w:color="B2B2B2"/>
            </w:tcBorders>
            <w:shd w:val="clear" w:color="auto" w:fill="1F473D"/>
          </w:tcPr>
          <w:p>
            <w:pPr>
              <w:spacing w:after="0"/>
              <w:rPr>
                <w:sz w:val="19"/>
                <w:szCs w:val="19"/>
                <w:color w:val="auto"/>
              </w:rPr>
            </w:pPr>
          </w:p>
        </w:tc>
        <w:tc>
          <w:tcPr>
            <w:tcW w:w="1160" w:type="dxa"/>
            <w:vAlign w:val="bottom"/>
            <w:tcBorders>
              <w:right w:val="single" w:sz="8" w:color="B2B2B2"/>
            </w:tcBorders>
            <w:shd w:val="clear" w:color="auto" w:fill="1F473D"/>
          </w:tcPr>
          <w:p>
            <w:pPr>
              <w:spacing w:after="0"/>
              <w:rPr>
                <w:sz w:val="19"/>
                <w:szCs w:val="19"/>
                <w:color w:val="auto"/>
              </w:rPr>
            </w:pPr>
          </w:p>
        </w:tc>
        <w:tc>
          <w:tcPr>
            <w:tcW w:w="1120" w:type="dxa"/>
            <w:vAlign w:val="bottom"/>
            <w:tcBorders>
              <w:right w:val="single" w:sz="8" w:color="B2B2B2"/>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Number of</w:t>
            </w:r>
          </w:p>
        </w:tc>
        <w:tc>
          <w:tcPr>
            <w:tcW w:w="980" w:type="dxa"/>
            <w:vAlign w:val="bottom"/>
            <w:tcBorders>
              <w:right w:val="single" w:sz="8" w:color="B2B2B2"/>
            </w:tcBorders>
            <w:gridSpan w:val="2"/>
            <w:shd w:val="clear" w:color="auto" w:fill="1F473D"/>
          </w:tcPr>
          <w:p>
            <w:pPr>
              <w:ind w:left="100"/>
              <w:spacing w:after="0"/>
              <w:rPr>
                <w:sz w:val="20"/>
                <w:szCs w:val="20"/>
                <w:color w:val="auto"/>
              </w:rPr>
            </w:pPr>
            <w:r>
              <w:rPr>
                <w:rFonts w:ascii="Arial" w:cs="Arial" w:eastAsia="Arial" w:hAnsi="Arial"/>
                <w:sz w:val="16"/>
                <w:szCs w:val="16"/>
                <w:b w:val="1"/>
                <w:bCs w:val="1"/>
                <w:color w:val="FFFFFF"/>
              </w:rPr>
              <w:t>Exercise</w:t>
            </w:r>
          </w:p>
        </w:tc>
        <w:tc>
          <w:tcPr>
            <w:tcW w:w="920" w:type="dxa"/>
            <w:vAlign w:val="bottom"/>
            <w:tcBorders>
              <w:right w:val="single" w:sz="8" w:color="B2B2B2"/>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Sale</w:t>
            </w:r>
          </w:p>
        </w:tc>
        <w:tc>
          <w:tcPr>
            <w:tcW w:w="980" w:type="dxa"/>
            <w:vAlign w:val="bottom"/>
            <w:shd w:val="clear" w:color="auto" w:fill="1F473D"/>
          </w:tcPr>
          <w:p>
            <w:pPr>
              <w:spacing w:after="0"/>
              <w:rPr>
                <w:sz w:val="19"/>
                <w:szCs w:val="19"/>
                <w:color w:val="auto"/>
              </w:rPr>
            </w:pPr>
          </w:p>
        </w:tc>
      </w:tr>
      <w:tr>
        <w:trPr>
          <w:trHeight w:val="221"/>
        </w:trPr>
        <w:tc>
          <w:tcPr>
            <w:tcW w:w="4180" w:type="dxa"/>
            <w:vAlign w:val="bottom"/>
            <w:tcBorders>
              <w:bottom w:val="single" w:sz="8" w:color="D64000"/>
              <w:right w:val="single" w:sz="8" w:color="B2B2B2"/>
            </w:tcBorders>
            <w:shd w:val="clear" w:color="auto" w:fill="1F473D"/>
          </w:tcPr>
          <w:p>
            <w:pPr>
              <w:spacing w:after="0"/>
              <w:rPr>
                <w:sz w:val="20"/>
                <w:szCs w:val="20"/>
                <w:color w:val="auto"/>
              </w:rPr>
            </w:pPr>
            <w:r>
              <w:rPr>
                <w:rFonts w:ascii="Arial" w:cs="Arial" w:eastAsia="Arial" w:hAnsi="Arial"/>
                <w:sz w:val="16"/>
                <w:szCs w:val="16"/>
                <w:b w:val="1"/>
                <w:bCs w:val="1"/>
                <w:color w:val="FFFFFF"/>
              </w:rPr>
              <w:t>  Name</w:t>
            </w:r>
          </w:p>
        </w:tc>
        <w:tc>
          <w:tcPr>
            <w:tcW w:w="1580" w:type="dxa"/>
            <w:vAlign w:val="bottom"/>
            <w:tcBorders>
              <w:bottom w:val="single" w:sz="8" w:color="D64000"/>
              <w:right w:val="single" w:sz="8" w:color="B2B2B2"/>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Exercise date</w:t>
            </w:r>
          </w:p>
        </w:tc>
        <w:tc>
          <w:tcPr>
            <w:tcW w:w="1160" w:type="dxa"/>
            <w:vAlign w:val="bottom"/>
            <w:tcBorders>
              <w:bottom w:val="single" w:sz="8" w:color="D64000"/>
              <w:right w:val="single" w:sz="8" w:color="B2B2B2"/>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Grant date</w:t>
            </w:r>
          </w:p>
        </w:tc>
        <w:tc>
          <w:tcPr>
            <w:tcW w:w="1120" w:type="dxa"/>
            <w:vAlign w:val="bottom"/>
            <w:tcBorders>
              <w:bottom w:val="single" w:sz="8" w:color="D64000"/>
              <w:right w:val="single" w:sz="8" w:color="B2B2B2"/>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options</w:t>
            </w:r>
          </w:p>
        </w:tc>
        <w:tc>
          <w:tcPr>
            <w:tcW w:w="220" w:type="dxa"/>
            <w:vAlign w:val="bottom"/>
            <w:tcBorders>
              <w:bottom w:val="single" w:sz="8" w:color="D64000"/>
            </w:tcBorders>
            <w:shd w:val="clear" w:color="auto" w:fill="1F473D"/>
          </w:tcPr>
          <w:p>
            <w:pPr>
              <w:spacing w:after="0"/>
              <w:rPr>
                <w:sz w:val="19"/>
                <w:szCs w:val="19"/>
                <w:color w:val="auto"/>
              </w:rPr>
            </w:pPr>
          </w:p>
        </w:tc>
        <w:tc>
          <w:tcPr>
            <w:tcW w:w="760" w:type="dxa"/>
            <w:vAlign w:val="bottom"/>
            <w:tcBorders>
              <w:bottom w:val="single" w:sz="8" w:color="D64000"/>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price</w:t>
            </w:r>
          </w:p>
        </w:tc>
        <w:tc>
          <w:tcPr>
            <w:tcW w:w="920" w:type="dxa"/>
            <w:vAlign w:val="bottom"/>
            <w:tcBorders>
              <w:bottom w:val="single" w:sz="8" w:color="D64000"/>
              <w:right w:val="single" w:sz="8" w:color="B2B2B2"/>
            </w:tcBorders>
            <w:shd w:val="clear" w:color="auto" w:fill="1F473D"/>
          </w:tcPr>
          <w:p>
            <w:pPr>
              <w:jc w:val="right"/>
              <w:ind w:right="160"/>
              <w:spacing w:after="0"/>
              <w:rPr>
                <w:sz w:val="20"/>
                <w:szCs w:val="20"/>
                <w:color w:val="auto"/>
              </w:rPr>
            </w:pPr>
            <w:r>
              <w:rPr>
                <w:rFonts w:ascii="Arial" w:cs="Arial" w:eastAsia="Arial" w:hAnsi="Arial"/>
                <w:sz w:val="16"/>
                <w:szCs w:val="16"/>
                <w:b w:val="1"/>
                <w:bCs w:val="1"/>
                <w:color w:val="FFFFFF"/>
              </w:rPr>
              <w:t>Price</w:t>
            </w:r>
          </w:p>
        </w:tc>
        <w:tc>
          <w:tcPr>
            <w:tcW w:w="980" w:type="dxa"/>
            <w:vAlign w:val="bottom"/>
            <w:tcBorders>
              <w:bottom w:val="single" w:sz="8" w:color="D64000"/>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Gain</w:t>
            </w:r>
          </w:p>
        </w:tc>
      </w:tr>
      <w:tr>
        <w:trPr>
          <w:trHeight w:val="173"/>
        </w:trPr>
        <w:tc>
          <w:tcPr>
            <w:tcW w:w="4180" w:type="dxa"/>
            <w:vAlign w:val="bottom"/>
            <w:tcBorders>
              <w:right w:val="single" w:sz="8" w:color="B2B2B2"/>
            </w:tcBorders>
          </w:tcPr>
          <w:p>
            <w:pPr>
              <w:spacing w:after="0"/>
              <w:rPr>
                <w:sz w:val="15"/>
                <w:szCs w:val="15"/>
                <w:color w:val="auto"/>
              </w:rPr>
            </w:pPr>
          </w:p>
        </w:tc>
        <w:tc>
          <w:tcPr>
            <w:tcW w:w="1580" w:type="dxa"/>
            <w:vAlign w:val="bottom"/>
            <w:tcBorders>
              <w:right w:val="single" w:sz="8" w:color="B2B2B2"/>
            </w:tcBorders>
          </w:tcPr>
          <w:p>
            <w:pPr>
              <w:spacing w:after="0"/>
              <w:rPr>
                <w:sz w:val="15"/>
                <w:szCs w:val="15"/>
                <w:color w:val="auto"/>
              </w:rPr>
            </w:pPr>
          </w:p>
        </w:tc>
        <w:tc>
          <w:tcPr>
            <w:tcW w:w="1160" w:type="dxa"/>
            <w:vAlign w:val="bottom"/>
            <w:tcBorders>
              <w:right w:val="single" w:sz="8" w:color="B2B2B2"/>
            </w:tcBorders>
          </w:tcPr>
          <w:p>
            <w:pPr>
              <w:jc w:val="right"/>
              <w:ind w:right="160"/>
              <w:spacing w:after="0" w:line="173" w:lineRule="exact"/>
              <w:rPr>
                <w:sz w:val="20"/>
                <w:szCs w:val="20"/>
                <w:color w:val="auto"/>
              </w:rPr>
            </w:pPr>
            <w:r>
              <w:rPr>
                <w:rFonts w:ascii="Arial" w:cs="Arial" w:eastAsia="Arial" w:hAnsi="Arial"/>
                <w:sz w:val="16"/>
                <w:szCs w:val="16"/>
                <w:color w:val="auto"/>
              </w:rPr>
              <w:t>March 3,</w:t>
            </w:r>
          </w:p>
        </w:tc>
        <w:tc>
          <w:tcPr>
            <w:tcW w:w="1120" w:type="dxa"/>
            <w:vAlign w:val="bottom"/>
            <w:tcBorders>
              <w:right w:val="single" w:sz="8" w:color="B2B2B2"/>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B2B2B2"/>
            </w:tcBorders>
          </w:tcPr>
          <w:p>
            <w:pPr>
              <w:spacing w:after="0"/>
              <w:rPr>
                <w:sz w:val="15"/>
                <w:szCs w:val="15"/>
                <w:color w:val="auto"/>
              </w:rPr>
            </w:pPr>
          </w:p>
        </w:tc>
        <w:tc>
          <w:tcPr>
            <w:tcW w:w="920" w:type="dxa"/>
            <w:vAlign w:val="bottom"/>
            <w:tcBorders>
              <w:right w:val="single" w:sz="8" w:color="B2B2B2"/>
            </w:tcBorders>
          </w:tcPr>
          <w:p>
            <w:pPr>
              <w:spacing w:after="0"/>
              <w:rPr>
                <w:sz w:val="15"/>
                <w:szCs w:val="15"/>
                <w:color w:val="auto"/>
              </w:rPr>
            </w:pPr>
          </w:p>
        </w:tc>
        <w:tc>
          <w:tcPr>
            <w:tcW w:w="980" w:type="dxa"/>
            <w:vAlign w:val="bottom"/>
          </w:tcPr>
          <w:p>
            <w:pPr>
              <w:spacing w:after="0"/>
              <w:rPr>
                <w:sz w:val="15"/>
                <w:szCs w:val="15"/>
                <w:color w:val="auto"/>
              </w:rPr>
            </w:pPr>
          </w:p>
        </w:tc>
      </w:tr>
      <w:tr>
        <w:trPr>
          <w:trHeight w:val="201"/>
        </w:trPr>
        <w:tc>
          <w:tcPr>
            <w:tcW w:w="41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Kirsty Roth</w:t>
            </w: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February 14,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9,444</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88.87</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$176.66</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$829,045</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2,</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1"/>
        </w:trPr>
        <w:tc>
          <w:tcPr>
            <w:tcW w:w="4180" w:type="dxa"/>
            <w:vAlign w:val="bottom"/>
            <w:tcBorders>
              <w:right w:val="single" w:sz="8" w:color="B2B2B2"/>
            </w:tcBorders>
          </w:tcPr>
          <w:p>
            <w:pPr>
              <w:spacing w:after="0"/>
              <w:rPr>
                <w:sz w:val="17"/>
                <w:szCs w:val="17"/>
                <w:color w:val="auto"/>
              </w:rPr>
            </w:pP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February 14,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2022</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7,378</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102.00</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$176.66</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$550,807</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3,</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1"/>
        </w:trPr>
        <w:tc>
          <w:tcPr>
            <w:tcW w:w="4180" w:type="dxa"/>
            <w:vAlign w:val="bottom"/>
            <w:tcBorders>
              <w:right w:val="single" w:sz="8" w:color="B2B2B2"/>
            </w:tcBorders>
          </w:tcPr>
          <w:p>
            <w:pPr>
              <w:spacing w:after="0"/>
              <w:rPr>
                <w:sz w:val="17"/>
                <w:szCs w:val="17"/>
                <w:color w:val="auto"/>
              </w:rPr>
            </w:pP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May 2,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9,445</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88.87</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$182.99</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$888,917</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2,</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1"/>
        </w:trPr>
        <w:tc>
          <w:tcPr>
            <w:tcW w:w="4180" w:type="dxa"/>
            <w:vAlign w:val="bottom"/>
            <w:tcBorders>
              <w:right w:val="single" w:sz="8" w:color="B2B2B2"/>
            </w:tcBorders>
          </w:tcPr>
          <w:p>
            <w:pPr>
              <w:spacing w:after="0"/>
              <w:rPr>
                <w:sz w:val="17"/>
                <w:szCs w:val="17"/>
                <w:color w:val="auto"/>
              </w:rPr>
            </w:pP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May 2,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2022</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7,378</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102.00</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$182.99</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$597,508</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1,</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1"/>
        </w:trPr>
        <w:tc>
          <w:tcPr>
            <w:tcW w:w="4180" w:type="dxa"/>
            <w:vAlign w:val="bottom"/>
            <w:tcBorders>
              <w:bottom w:val="single" w:sz="8" w:color="B2B2B2"/>
              <w:right w:val="single" w:sz="8" w:color="B2B2B2"/>
            </w:tcBorders>
          </w:tcPr>
          <w:p>
            <w:pPr>
              <w:spacing w:after="0"/>
              <w:rPr>
                <w:sz w:val="17"/>
                <w:szCs w:val="17"/>
                <w:color w:val="auto"/>
              </w:rPr>
            </w:pP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May 2,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2023</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8,909</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121.03</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$182.99</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$551,958</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3,</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1"/>
        </w:trPr>
        <w:tc>
          <w:tcPr>
            <w:tcW w:w="41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David Wong</w:t>
            </w: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February 14,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2,256</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88.87</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$177.44</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$199,815</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3,</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1"/>
        </w:trPr>
        <w:tc>
          <w:tcPr>
            <w:tcW w:w="4180" w:type="dxa"/>
            <w:vAlign w:val="bottom"/>
            <w:tcBorders>
              <w:right w:val="single" w:sz="8" w:color="B2B2B2"/>
            </w:tcBorders>
          </w:tcPr>
          <w:p>
            <w:pPr>
              <w:spacing w:after="0"/>
              <w:rPr>
                <w:sz w:val="17"/>
                <w:szCs w:val="17"/>
                <w:color w:val="auto"/>
              </w:rPr>
            </w:pP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May 2,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3,552</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88.87</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$184.92</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$341,154</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3,</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1"/>
        </w:trPr>
        <w:tc>
          <w:tcPr>
            <w:tcW w:w="4180" w:type="dxa"/>
            <w:vAlign w:val="bottom"/>
            <w:tcBorders>
              <w:right w:val="single" w:sz="8" w:color="B2B2B2"/>
            </w:tcBorders>
          </w:tcPr>
          <w:p>
            <w:pPr>
              <w:spacing w:after="0"/>
              <w:rPr>
                <w:sz w:val="17"/>
                <w:szCs w:val="17"/>
                <w:color w:val="auto"/>
              </w:rPr>
            </w:pPr>
          </w:p>
        </w:tc>
        <w:tc>
          <w:tcPr>
            <w:tcW w:w="1580" w:type="dxa"/>
            <w:vAlign w:val="bottom"/>
            <w:tcBorders>
              <w:bottom w:val="single" w:sz="8" w:color="B2B2B2"/>
              <w:right w:val="single" w:sz="8" w:color="B2B2B2"/>
            </w:tcBorders>
          </w:tcPr>
          <w:p>
            <w:pPr>
              <w:jc w:val="right"/>
              <w:ind w:right="40"/>
              <w:spacing w:after="0"/>
              <w:rPr>
                <w:sz w:val="20"/>
                <w:szCs w:val="20"/>
                <w:color w:val="auto"/>
              </w:rPr>
            </w:pPr>
            <w:r>
              <w:rPr>
                <w:rFonts w:ascii="Arial" w:cs="Arial" w:eastAsia="Arial" w:hAnsi="Arial"/>
                <w:sz w:val="16"/>
                <w:szCs w:val="16"/>
                <w:color w:val="auto"/>
              </w:rPr>
              <w:t>August 7, 2025</w:t>
            </w:r>
          </w:p>
        </w:tc>
        <w:tc>
          <w:tcPr>
            <w:tcW w:w="116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2,322</w:t>
            </w:r>
          </w:p>
        </w:tc>
        <w:tc>
          <w:tcPr>
            <w:tcW w:w="2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right w:val="single" w:sz="8" w:color="B2B2B2"/>
            </w:tcBorders>
          </w:tcPr>
          <w:p>
            <w:pPr>
              <w:jc w:val="right"/>
              <w:ind w:right="140"/>
              <w:spacing w:after="0"/>
              <w:rPr>
                <w:sz w:val="20"/>
                <w:szCs w:val="20"/>
                <w:color w:val="auto"/>
              </w:rPr>
            </w:pPr>
            <w:r>
              <w:rPr>
                <w:rFonts w:ascii="Arial" w:cs="Arial" w:eastAsia="Arial" w:hAnsi="Arial"/>
                <w:sz w:val="16"/>
                <w:szCs w:val="16"/>
                <w:color w:val="auto"/>
              </w:rPr>
              <w:t>88.87</w:t>
            </w:r>
          </w:p>
        </w:tc>
        <w:tc>
          <w:tcPr>
            <w:tcW w:w="920" w:type="dxa"/>
            <w:vAlign w:val="bottom"/>
            <w:tcBorders>
              <w:bottom w:val="single" w:sz="8" w:color="B2B2B2"/>
              <w:right w:val="single" w:sz="8" w:color="B2B2B2"/>
            </w:tcBorders>
          </w:tcPr>
          <w:p>
            <w:pPr>
              <w:jc w:val="right"/>
              <w:ind w:right="160"/>
              <w:spacing w:after="0"/>
              <w:rPr>
                <w:sz w:val="20"/>
                <w:szCs w:val="20"/>
                <w:color w:val="auto"/>
              </w:rPr>
            </w:pPr>
            <w:r>
              <w:rPr>
                <w:rFonts w:ascii="Arial" w:cs="Arial" w:eastAsia="Arial" w:hAnsi="Arial"/>
                <w:sz w:val="16"/>
                <w:szCs w:val="16"/>
                <w:color w:val="auto"/>
              </w:rPr>
              <w:t>$181.10</w:t>
            </w:r>
          </w:p>
        </w:tc>
        <w:tc>
          <w:tcPr>
            <w:tcW w:w="980" w:type="dxa"/>
            <w:vAlign w:val="bottom"/>
            <w:tcBorders>
              <w:bottom w:val="single" w:sz="8" w:color="B2B2B2"/>
            </w:tcBorders>
          </w:tcPr>
          <w:p>
            <w:pPr>
              <w:jc w:val="right"/>
              <w:ind w:right="140"/>
              <w:spacing w:after="0"/>
              <w:rPr>
                <w:sz w:val="20"/>
                <w:szCs w:val="20"/>
                <w:color w:val="auto"/>
              </w:rPr>
            </w:pPr>
            <w:r>
              <w:rPr>
                <w:rFonts w:ascii="Arial" w:cs="Arial" w:eastAsia="Arial" w:hAnsi="Arial"/>
                <w:sz w:val="16"/>
                <w:szCs w:val="16"/>
                <w:color w:val="auto"/>
              </w:rPr>
              <w:t>$214,153</w:t>
            </w:r>
          </w:p>
        </w:tc>
      </w:tr>
      <w:tr>
        <w:trPr>
          <w:trHeight w:val="166"/>
        </w:trPr>
        <w:tc>
          <w:tcPr>
            <w:tcW w:w="4180" w:type="dxa"/>
            <w:vAlign w:val="bottom"/>
            <w:tcBorders>
              <w:right w:val="single" w:sz="8" w:color="B2B2B2"/>
            </w:tcBorders>
          </w:tcPr>
          <w:p>
            <w:pPr>
              <w:spacing w:after="0"/>
              <w:rPr>
                <w:sz w:val="14"/>
                <w:szCs w:val="14"/>
                <w:color w:val="auto"/>
              </w:rPr>
            </w:pPr>
          </w:p>
        </w:tc>
        <w:tc>
          <w:tcPr>
            <w:tcW w:w="158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right"/>
              <w:ind w:right="160"/>
              <w:spacing w:after="0" w:line="167" w:lineRule="exact"/>
              <w:rPr>
                <w:sz w:val="20"/>
                <w:szCs w:val="20"/>
                <w:color w:val="auto"/>
              </w:rPr>
            </w:pPr>
            <w:r>
              <w:rPr>
                <w:rFonts w:ascii="Arial" w:cs="Arial" w:eastAsia="Arial" w:hAnsi="Arial"/>
                <w:sz w:val="16"/>
                <w:szCs w:val="16"/>
                <w:color w:val="auto"/>
              </w:rPr>
              <w:t>March 3,</w:t>
            </w:r>
          </w:p>
        </w:tc>
        <w:tc>
          <w:tcPr>
            <w:tcW w:w="1120" w:type="dxa"/>
            <w:vAlign w:val="bottom"/>
            <w:tcBorders>
              <w:right w:val="single" w:sz="8" w:color="B2B2B2"/>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right w:val="single" w:sz="8" w:color="B2B2B2"/>
            </w:tcBorders>
          </w:tcPr>
          <w:p>
            <w:pPr>
              <w:spacing w:after="0"/>
              <w:rPr>
                <w:sz w:val="14"/>
                <w:szCs w:val="14"/>
                <w:color w:val="auto"/>
              </w:rPr>
            </w:pPr>
          </w:p>
        </w:tc>
        <w:tc>
          <w:tcPr>
            <w:tcW w:w="92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11"/>
        </w:trPr>
        <w:tc>
          <w:tcPr>
            <w:tcW w:w="4180" w:type="dxa"/>
            <w:vAlign w:val="bottom"/>
            <w:tcBorders>
              <w:right w:val="single" w:sz="8" w:color="B2B2B2"/>
            </w:tcBorders>
          </w:tcPr>
          <w:p>
            <w:pPr>
              <w:spacing w:after="0"/>
              <w:rPr>
                <w:sz w:val="18"/>
                <w:szCs w:val="18"/>
                <w:color w:val="auto"/>
              </w:rPr>
            </w:pPr>
          </w:p>
        </w:tc>
        <w:tc>
          <w:tcPr>
            <w:tcW w:w="15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November 5, 2025</w:t>
            </w:r>
          </w:p>
        </w:tc>
        <w:tc>
          <w:tcPr>
            <w:tcW w:w="11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2021</w:t>
            </w:r>
          </w:p>
        </w:tc>
        <w:tc>
          <w:tcPr>
            <w:tcW w:w="112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2,619</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88.87</w:t>
            </w:r>
          </w:p>
        </w:tc>
        <w:tc>
          <w:tcPr>
            <w:tcW w:w="92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$147.81</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$154,375</w:t>
            </w:r>
          </w:p>
        </w:tc>
      </w:tr>
      <w:tr>
        <w:trPr>
          <w:trHeight w:val="104"/>
        </w:trPr>
        <w:tc>
          <w:tcPr>
            <w:tcW w:w="4180" w:type="dxa"/>
            <w:vAlign w:val="bottom"/>
            <w:tcBorders>
              <w:bottom w:val="single" w:sz="8" w:color="D64000"/>
              <w:right w:val="single" w:sz="8" w:color="B2B2B2"/>
            </w:tcBorders>
          </w:tcPr>
          <w:p>
            <w:pPr>
              <w:spacing w:after="0"/>
              <w:rPr>
                <w:sz w:val="9"/>
                <w:szCs w:val="9"/>
                <w:color w:val="auto"/>
              </w:rPr>
            </w:pPr>
          </w:p>
        </w:tc>
        <w:tc>
          <w:tcPr>
            <w:tcW w:w="1580" w:type="dxa"/>
            <w:vAlign w:val="bottom"/>
            <w:tcBorders>
              <w:bottom w:val="single" w:sz="8" w:color="D64000"/>
              <w:right w:val="single" w:sz="8" w:color="B2B2B2"/>
            </w:tcBorders>
          </w:tcPr>
          <w:p>
            <w:pPr>
              <w:spacing w:after="0"/>
              <w:rPr>
                <w:sz w:val="9"/>
                <w:szCs w:val="9"/>
                <w:color w:val="auto"/>
              </w:rPr>
            </w:pPr>
          </w:p>
        </w:tc>
        <w:tc>
          <w:tcPr>
            <w:tcW w:w="1160" w:type="dxa"/>
            <w:vAlign w:val="bottom"/>
            <w:tcBorders>
              <w:bottom w:val="single" w:sz="8" w:color="D64000"/>
              <w:right w:val="single" w:sz="8" w:color="B2B2B2"/>
            </w:tcBorders>
          </w:tcPr>
          <w:p>
            <w:pPr>
              <w:spacing w:after="0"/>
              <w:rPr>
                <w:sz w:val="9"/>
                <w:szCs w:val="9"/>
                <w:color w:val="auto"/>
              </w:rPr>
            </w:pPr>
          </w:p>
        </w:tc>
        <w:tc>
          <w:tcPr>
            <w:tcW w:w="1120" w:type="dxa"/>
            <w:vAlign w:val="bottom"/>
            <w:tcBorders>
              <w:bottom w:val="single" w:sz="8" w:color="D64000"/>
              <w:right w:val="single" w:sz="8" w:color="B2B2B2"/>
            </w:tcBorders>
          </w:tcPr>
          <w:p>
            <w:pPr>
              <w:spacing w:after="0"/>
              <w:rPr>
                <w:sz w:val="9"/>
                <w:szCs w:val="9"/>
                <w:color w:val="auto"/>
              </w:rPr>
            </w:pPr>
          </w:p>
        </w:tc>
        <w:tc>
          <w:tcPr>
            <w:tcW w:w="220" w:type="dxa"/>
            <w:vAlign w:val="bottom"/>
            <w:tcBorders>
              <w:bottom w:val="single" w:sz="8" w:color="D64000"/>
            </w:tcBorders>
          </w:tcPr>
          <w:p>
            <w:pPr>
              <w:spacing w:after="0"/>
              <w:rPr>
                <w:sz w:val="9"/>
                <w:szCs w:val="9"/>
                <w:color w:val="auto"/>
              </w:rPr>
            </w:pPr>
          </w:p>
        </w:tc>
        <w:tc>
          <w:tcPr>
            <w:tcW w:w="760" w:type="dxa"/>
            <w:vAlign w:val="bottom"/>
            <w:tcBorders>
              <w:bottom w:val="single" w:sz="8" w:color="D64000"/>
              <w:right w:val="single" w:sz="8" w:color="B2B2B2"/>
            </w:tcBorders>
          </w:tcPr>
          <w:p>
            <w:pPr>
              <w:spacing w:after="0"/>
              <w:rPr>
                <w:sz w:val="9"/>
                <w:szCs w:val="9"/>
                <w:color w:val="auto"/>
              </w:rPr>
            </w:pPr>
          </w:p>
        </w:tc>
        <w:tc>
          <w:tcPr>
            <w:tcW w:w="920" w:type="dxa"/>
            <w:vAlign w:val="bottom"/>
            <w:tcBorders>
              <w:bottom w:val="single" w:sz="8" w:color="D64000"/>
              <w:right w:val="single" w:sz="8" w:color="B2B2B2"/>
            </w:tcBorders>
          </w:tcPr>
          <w:p>
            <w:pPr>
              <w:spacing w:after="0"/>
              <w:rPr>
                <w:sz w:val="9"/>
                <w:szCs w:val="9"/>
                <w:color w:val="auto"/>
              </w:rPr>
            </w:pPr>
          </w:p>
        </w:tc>
        <w:tc>
          <w:tcPr>
            <w:tcW w:w="980" w:type="dxa"/>
            <w:vAlign w:val="bottom"/>
            <w:tcBorders>
              <w:bottom w:val="single" w:sz="8" w:color="D64000"/>
            </w:tcBorders>
          </w:tcPr>
          <w:p>
            <w:pPr>
              <w:spacing w:after="0"/>
              <w:rPr>
                <w:sz w:val="9"/>
                <w:szCs w:val="9"/>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Equity Compensation Plan Information</w:t>
      </w:r>
    </w:p>
    <w:p>
      <w:pPr>
        <w:spacing w:after="0" w:line="103"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The following table provides information as of December 31, 2025 regarding our common shares that may be issued under our stock incentive plan. For more information about our stock incentive plan and other plans under which we may issue common shares, please see the “Description of Equity Compensation and Other Plans” section below and Appendix A to this circular.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680" w:type="dxa"/>
            <w:vAlign w:val="bottom"/>
            <w:tcBorders>
              <w:right w:val="single" w:sz="8" w:color="1F473D"/>
            </w:tcBorders>
            <w:shd w:val="clear" w:color="auto" w:fill="1F473D"/>
          </w:tcPr>
          <w:p>
            <w:pPr>
              <w:spacing w:after="0"/>
              <w:rPr>
                <w:sz w:val="19"/>
                <w:szCs w:val="19"/>
                <w:color w:val="auto"/>
              </w:rPr>
            </w:pPr>
          </w:p>
        </w:tc>
        <w:tc>
          <w:tcPr>
            <w:tcW w:w="2520" w:type="dxa"/>
            <w:vAlign w:val="bottom"/>
            <w:tcBorders>
              <w:right w:val="single" w:sz="8" w:color="1F473D"/>
            </w:tcBorders>
            <w:shd w:val="clear" w:color="auto" w:fill="1F473D"/>
          </w:tcPr>
          <w:p>
            <w:pPr>
              <w:jc w:val="right"/>
              <w:ind w:right="180"/>
              <w:spacing w:after="0"/>
              <w:rPr>
                <w:sz w:val="20"/>
                <w:szCs w:val="20"/>
                <w:color w:val="auto"/>
              </w:rPr>
            </w:pPr>
            <w:r>
              <w:rPr>
                <w:rFonts w:ascii="Arial" w:cs="Arial" w:eastAsia="Arial" w:hAnsi="Arial"/>
                <w:sz w:val="16"/>
                <w:szCs w:val="16"/>
                <w:b w:val="1"/>
                <w:bCs w:val="1"/>
                <w:color w:val="FFFFFF"/>
              </w:rPr>
              <w:t>(a)</w:t>
            </w:r>
          </w:p>
        </w:tc>
        <w:tc>
          <w:tcPr>
            <w:tcW w:w="2180" w:type="dxa"/>
            <w:vAlign w:val="bottom"/>
            <w:tcBorders>
              <w:right w:val="single" w:sz="8" w:color="B2B2B2"/>
            </w:tcBorders>
            <w:shd w:val="clear" w:color="auto" w:fill="1F473D"/>
          </w:tcPr>
          <w:p>
            <w:pPr>
              <w:jc w:val="right"/>
              <w:ind w:right="260"/>
              <w:spacing w:after="0"/>
              <w:rPr>
                <w:sz w:val="20"/>
                <w:szCs w:val="20"/>
                <w:color w:val="auto"/>
              </w:rPr>
            </w:pPr>
            <w:r>
              <w:rPr>
                <w:rFonts w:ascii="Arial" w:cs="Arial" w:eastAsia="Arial" w:hAnsi="Arial"/>
                <w:sz w:val="16"/>
                <w:szCs w:val="16"/>
                <w:b w:val="1"/>
                <w:bCs w:val="1"/>
                <w:color w:val="FFFFFF"/>
              </w:rPr>
              <w:t>(b)</w:t>
            </w:r>
          </w:p>
        </w:tc>
        <w:tc>
          <w:tcPr>
            <w:tcW w:w="352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(c)</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Borders>
              <w:right w:val="single" w:sz="8" w:color="1F473D"/>
            </w:tcBorders>
            <w:shd w:val="clear" w:color="auto" w:fill="1F473D"/>
          </w:tcPr>
          <w:p>
            <w:pPr>
              <w:spacing w:after="0"/>
              <w:rPr>
                <w:sz w:val="16"/>
                <w:szCs w:val="16"/>
                <w:color w:val="auto"/>
              </w:rPr>
            </w:pPr>
          </w:p>
        </w:tc>
        <w:tc>
          <w:tcPr>
            <w:tcW w:w="2520" w:type="dxa"/>
            <w:vAlign w:val="bottom"/>
            <w:tcBorders>
              <w:right w:val="single" w:sz="8" w:color="1F473D"/>
            </w:tcBorders>
            <w:shd w:val="clear" w:color="auto" w:fill="1F473D"/>
          </w:tcPr>
          <w:p>
            <w:pPr>
              <w:jc w:val="right"/>
              <w:ind w:right="180"/>
              <w:spacing w:after="0"/>
              <w:rPr>
                <w:sz w:val="20"/>
                <w:szCs w:val="20"/>
                <w:color w:val="auto"/>
              </w:rPr>
            </w:pPr>
            <w:r>
              <w:rPr>
                <w:rFonts w:ascii="Arial" w:cs="Arial" w:eastAsia="Arial" w:hAnsi="Arial"/>
                <w:sz w:val="16"/>
                <w:szCs w:val="16"/>
                <w:b w:val="1"/>
                <w:bCs w:val="1"/>
                <w:color w:val="FFFFFF"/>
              </w:rPr>
              <w:t>Number of securities to be</w:t>
            </w:r>
          </w:p>
        </w:tc>
        <w:tc>
          <w:tcPr>
            <w:tcW w:w="2180" w:type="dxa"/>
            <w:vAlign w:val="bottom"/>
            <w:tcBorders>
              <w:right w:val="single" w:sz="8" w:color="B2B2B2"/>
            </w:tcBorders>
            <w:shd w:val="clear" w:color="auto" w:fill="1F473D"/>
          </w:tcPr>
          <w:p>
            <w:pPr>
              <w:jc w:val="right"/>
              <w:ind w:right="260"/>
              <w:spacing w:after="0"/>
              <w:rPr>
                <w:sz w:val="20"/>
                <w:szCs w:val="20"/>
                <w:color w:val="auto"/>
              </w:rPr>
            </w:pPr>
            <w:r>
              <w:rPr>
                <w:rFonts w:ascii="Arial" w:cs="Arial" w:eastAsia="Arial" w:hAnsi="Arial"/>
                <w:sz w:val="16"/>
                <w:szCs w:val="16"/>
                <w:b w:val="1"/>
                <w:bCs w:val="1"/>
                <w:color w:val="FFFFFF"/>
              </w:rPr>
              <w:t>Weighted average</w:t>
            </w:r>
          </w:p>
        </w:tc>
        <w:tc>
          <w:tcPr>
            <w:tcW w:w="352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Number of securities remaining</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Borders>
              <w:right w:val="single" w:sz="8" w:color="1F473D"/>
            </w:tcBorders>
            <w:shd w:val="clear" w:color="auto" w:fill="1F473D"/>
          </w:tcPr>
          <w:p>
            <w:pPr>
              <w:spacing w:after="0"/>
              <w:rPr>
                <w:sz w:val="16"/>
                <w:szCs w:val="16"/>
                <w:color w:val="auto"/>
              </w:rPr>
            </w:pPr>
          </w:p>
        </w:tc>
        <w:tc>
          <w:tcPr>
            <w:tcW w:w="2520" w:type="dxa"/>
            <w:vAlign w:val="bottom"/>
            <w:tcBorders>
              <w:right w:val="single" w:sz="8" w:color="1F473D"/>
            </w:tcBorders>
            <w:shd w:val="clear" w:color="auto" w:fill="1F473D"/>
          </w:tcPr>
          <w:p>
            <w:pPr>
              <w:jc w:val="right"/>
              <w:ind w:right="180"/>
              <w:spacing w:after="0"/>
              <w:rPr>
                <w:sz w:val="20"/>
                <w:szCs w:val="20"/>
                <w:color w:val="auto"/>
              </w:rPr>
            </w:pPr>
            <w:r>
              <w:rPr>
                <w:rFonts w:ascii="Arial" w:cs="Arial" w:eastAsia="Arial" w:hAnsi="Arial"/>
                <w:sz w:val="16"/>
                <w:szCs w:val="16"/>
                <w:b w:val="1"/>
                <w:bCs w:val="1"/>
                <w:color w:val="FFFFFF"/>
              </w:rPr>
              <w:t>issued upon exercise of</w:t>
            </w:r>
          </w:p>
        </w:tc>
        <w:tc>
          <w:tcPr>
            <w:tcW w:w="2180" w:type="dxa"/>
            <w:vAlign w:val="bottom"/>
            <w:tcBorders>
              <w:right w:val="single" w:sz="8" w:color="B2B2B2"/>
            </w:tcBorders>
            <w:shd w:val="clear" w:color="auto" w:fill="1F473D"/>
          </w:tcPr>
          <w:p>
            <w:pPr>
              <w:jc w:val="right"/>
              <w:ind w:right="260"/>
              <w:spacing w:after="0"/>
              <w:rPr>
                <w:sz w:val="20"/>
                <w:szCs w:val="20"/>
                <w:color w:val="auto"/>
              </w:rPr>
            </w:pPr>
            <w:r>
              <w:rPr>
                <w:rFonts w:ascii="Arial" w:cs="Arial" w:eastAsia="Arial" w:hAnsi="Arial"/>
                <w:sz w:val="16"/>
                <w:szCs w:val="16"/>
                <w:b w:val="1"/>
                <w:bCs w:val="1"/>
                <w:color w:val="FFFFFF"/>
              </w:rPr>
              <w:t>exercise price of</w:t>
            </w:r>
          </w:p>
        </w:tc>
        <w:tc>
          <w:tcPr>
            <w:tcW w:w="352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available for future issuance under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Borders>
              <w:right w:val="single" w:sz="8" w:color="1F473D"/>
            </w:tcBorders>
            <w:shd w:val="clear" w:color="auto" w:fill="1F473D"/>
          </w:tcPr>
          <w:p>
            <w:pPr>
              <w:spacing w:after="0"/>
              <w:rPr>
                <w:sz w:val="16"/>
                <w:szCs w:val="16"/>
                <w:color w:val="auto"/>
              </w:rPr>
            </w:pPr>
          </w:p>
        </w:tc>
        <w:tc>
          <w:tcPr>
            <w:tcW w:w="2520" w:type="dxa"/>
            <w:vAlign w:val="bottom"/>
            <w:tcBorders>
              <w:right w:val="single" w:sz="8" w:color="1F473D"/>
            </w:tcBorders>
            <w:shd w:val="clear" w:color="auto" w:fill="1F473D"/>
          </w:tcPr>
          <w:p>
            <w:pPr>
              <w:jc w:val="right"/>
              <w:ind w:right="180"/>
              <w:spacing w:after="0"/>
              <w:rPr>
                <w:sz w:val="20"/>
                <w:szCs w:val="20"/>
                <w:color w:val="auto"/>
              </w:rPr>
            </w:pPr>
            <w:r>
              <w:rPr>
                <w:rFonts w:ascii="Arial" w:cs="Arial" w:eastAsia="Arial" w:hAnsi="Arial"/>
                <w:sz w:val="16"/>
                <w:szCs w:val="16"/>
                <w:b w:val="1"/>
                <w:bCs w:val="1"/>
                <w:color w:val="FFFFFF"/>
              </w:rPr>
              <w:t>outstanding options,</w:t>
            </w:r>
          </w:p>
        </w:tc>
        <w:tc>
          <w:tcPr>
            <w:tcW w:w="2180" w:type="dxa"/>
            <w:vAlign w:val="bottom"/>
            <w:tcBorders>
              <w:right w:val="single" w:sz="8" w:color="B2B2B2"/>
            </w:tcBorders>
            <w:shd w:val="clear" w:color="auto" w:fill="1F473D"/>
          </w:tcPr>
          <w:p>
            <w:pPr>
              <w:jc w:val="right"/>
              <w:ind w:right="260"/>
              <w:spacing w:after="0"/>
              <w:rPr>
                <w:sz w:val="20"/>
                <w:szCs w:val="20"/>
                <w:color w:val="auto"/>
              </w:rPr>
            </w:pPr>
            <w:r>
              <w:rPr>
                <w:rFonts w:ascii="Arial" w:cs="Arial" w:eastAsia="Arial" w:hAnsi="Arial"/>
                <w:sz w:val="16"/>
                <w:szCs w:val="16"/>
                <w:b w:val="1"/>
                <w:bCs w:val="1"/>
                <w:color w:val="FFFFFF"/>
              </w:rPr>
              <w:t>outstanding options,</w:t>
            </w:r>
          </w:p>
        </w:tc>
        <w:tc>
          <w:tcPr>
            <w:tcW w:w="3520" w:type="dxa"/>
            <w:vAlign w:val="bottom"/>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equity compensation plans (excluding</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80" w:type="dxa"/>
            <w:vAlign w:val="bottom"/>
            <w:tcBorders>
              <w:bottom w:val="single" w:sz="8" w:color="D64000"/>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Plan category</w:t>
            </w:r>
          </w:p>
        </w:tc>
        <w:tc>
          <w:tcPr>
            <w:tcW w:w="2520" w:type="dxa"/>
            <w:vAlign w:val="bottom"/>
            <w:tcBorders>
              <w:bottom w:val="single" w:sz="8" w:color="D64000"/>
              <w:right w:val="single" w:sz="8" w:color="1F473D"/>
            </w:tcBorders>
            <w:shd w:val="clear" w:color="auto" w:fill="1F473D"/>
          </w:tcPr>
          <w:p>
            <w:pPr>
              <w:jc w:val="right"/>
              <w:ind w:right="180"/>
              <w:spacing w:after="0"/>
              <w:rPr>
                <w:sz w:val="20"/>
                <w:szCs w:val="20"/>
                <w:color w:val="auto"/>
              </w:rPr>
            </w:pPr>
            <w:r>
              <w:rPr>
                <w:rFonts w:ascii="Arial" w:cs="Arial" w:eastAsia="Arial" w:hAnsi="Arial"/>
                <w:sz w:val="16"/>
                <w:szCs w:val="16"/>
                <w:b w:val="1"/>
                <w:bCs w:val="1"/>
                <w:color w:val="FFFFFF"/>
              </w:rPr>
              <w:t>warrants and rights</w:t>
            </w:r>
          </w:p>
        </w:tc>
        <w:tc>
          <w:tcPr>
            <w:tcW w:w="2180" w:type="dxa"/>
            <w:vAlign w:val="bottom"/>
            <w:tcBorders>
              <w:bottom w:val="single" w:sz="8" w:color="D64000"/>
              <w:right w:val="single" w:sz="8" w:color="B2B2B2"/>
            </w:tcBorders>
            <w:shd w:val="clear" w:color="auto" w:fill="1F473D"/>
          </w:tcPr>
          <w:p>
            <w:pPr>
              <w:jc w:val="right"/>
              <w:ind w:right="260"/>
              <w:spacing w:after="0"/>
              <w:rPr>
                <w:sz w:val="20"/>
                <w:szCs w:val="20"/>
                <w:color w:val="auto"/>
              </w:rPr>
            </w:pPr>
            <w:r>
              <w:rPr>
                <w:rFonts w:ascii="Arial" w:cs="Arial" w:eastAsia="Arial" w:hAnsi="Arial"/>
                <w:sz w:val="16"/>
                <w:szCs w:val="16"/>
                <w:b w:val="1"/>
                <w:bCs w:val="1"/>
                <w:color w:val="FFFFFF"/>
              </w:rPr>
              <w:t>warrants and rights</w:t>
            </w:r>
          </w:p>
        </w:tc>
        <w:tc>
          <w:tcPr>
            <w:tcW w:w="3520" w:type="dxa"/>
            <w:vAlign w:val="bottom"/>
            <w:tcBorders>
              <w:bottom w:val="single" w:sz="8" w:color="D64000"/>
            </w:tcBorders>
            <w:shd w:val="clear" w:color="auto" w:fill="1F473D"/>
          </w:tcPr>
          <w:p>
            <w:pPr>
              <w:jc w:val="right"/>
              <w:ind w:right="60"/>
              <w:spacing w:after="0"/>
              <w:rPr>
                <w:sz w:val="20"/>
                <w:szCs w:val="20"/>
                <w:color w:val="auto"/>
              </w:rPr>
            </w:pPr>
            <w:r>
              <w:rPr>
                <w:rFonts w:ascii="Arial" w:cs="Arial" w:eastAsia="Arial" w:hAnsi="Arial"/>
                <w:sz w:val="16"/>
                <w:szCs w:val="16"/>
                <w:b w:val="1"/>
                <w:bCs w:val="1"/>
                <w:color w:val="FFFFFF"/>
              </w:rPr>
              <w:t>securities reflected in column (a))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80" w:type="dxa"/>
            <w:vAlign w:val="bottom"/>
            <w:tcBorders>
              <w:right w:val="single" w:sz="8" w:color="B2B2B2"/>
            </w:tcBorders>
          </w:tcPr>
          <w:p>
            <w:pPr>
              <w:spacing w:after="0" w:line="173" w:lineRule="exact"/>
              <w:rPr>
                <w:sz w:val="20"/>
                <w:szCs w:val="20"/>
                <w:color w:val="auto"/>
              </w:rPr>
            </w:pPr>
            <w:r>
              <w:rPr>
                <w:rFonts w:ascii="Arial" w:cs="Arial" w:eastAsia="Arial" w:hAnsi="Arial"/>
                <w:sz w:val="16"/>
                <w:szCs w:val="16"/>
                <w:b w:val="1"/>
                <w:bCs w:val="1"/>
                <w:color w:val="auto"/>
              </w:rPr>
              <w:t>  Equity compensation plans</w:t>
            </w:r>
          </w:p>
        </w:tc>
        <w:tc>
          <w:tcPr>
            <w:tcW w:w="2520" w:type="dxa"/>
            <w:vAlign w:val="bottom"/>
            <w:tcBorders>
              <w:right w:val="single" w:sz="8" w:color="B2B2B2"/>
            </w:tcBorders>
          </w:tcPr>
          <w:p>
            <w:pPr>
              <w:spacing w:after="0"/>
              <w:rPr>
                <w:sz w:val="15"/>
                <w:szCs w:val="15"/>
                <w:color w:val="auto"/>
              </w:rPr>
            </w:pPr>
          </w:p>
        </w:tc>
        <w:tc>
          <w:tcPr>
            <w:tcW w:w="2180" w:type="dxa"/>
            <w:vAlign w:val="bottom"/>
            <w:tcBorders>
              <w:right w:val="single" w:sz="8" w:color="B2B2B2"/>
            </w:tcBorders>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approved by security holders:</w:t>
            </w:r>
          </w:p>
        </w:tc>
        <w:tc>
          <w:tcPr>
            <w:tcW w:w="2520" w:type="dxa"/>
            <w:vAlign w:val="bottom"/>
            <w:tcBorders>
              <w:right w:val="single" w:sz="8" w:color="B2B2B2"/>
            </w:tcBorders>
          </w:tcPr>
          <w:p>
            <w:pPr>
              <w:spacing w:after="0"/>
              <w:rPr>
                <w:sz w:val="19"/>
                <w:szCs w:val="19"/>
                <w:color w:val="auto"/>
              </w:rPr>
            </w:pPr>
          </w:p>
        </w:tc>
        <w:tc>
          <w:tcPr>
            <w:tcW w:w="2180" w:type="dxa"/>
            <w:vAlign w:val="bottom"/>
            <w:tcBorders>
              <w:right w:val="single" w:sz="8" w:color="B2B2B2"/>
            </w:tcBorders>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80" w:type="dxa"/>
            <w:vAlign w:val="bottom"/>
            <w:tcBorders>
              <w:bottom w:val="single" w:sz="8" w:color="B2B2B2"/>
              <w:right w:val="single" w:sz="8" w:color="B2B2B2"/>
            </w:tcBorders>
          </w:tcPr>
          <w:p>
            <w:pPr>
              <w:spacing w:after="0"/>
              <w:rPr>
                <w:sz w:val="7"/>
                <w:szCs w:val="7"/>
                <w:color w:val="auto"/>
              </w:rPr>
            </w:pPr>
          </w:p>
        </w:tc>
        <w:tc>
          <w:tcPr>
            <w:tcW w:w="2520" w:type="dxa"/>
            <w:vAlign w:val="bottom"/>
            <w:tcBorders>
              <w:bottom w:val="single" w:sz="8" w:color="B2B2B2"/>
              <w:right w:val="single" w:sz="8" w:color="B2B2B2"/>
            </w:tcBorders>
          </w:tcPr>
          <w:p>
            <w:pPr>
              <w:spacing w:after="0"/>
              <w:rPr>
                <w:sz w:val="7"/>
                <w:szCs w:val="7"/>
                <w:color w:val="auto"/>
              </w:rPr>
            </w:pPr>
          </w:p>
        </w:tc>
        <w:tc>
          <w:tcPr>
            <w:tcW w:w="2180" w:type="dxa"/>
            <w:vAlign w:val="bottom"/>
            <w:tcBorders>
              <w:bottom w:val="single" w:sz="8" w:color="B2B2B2"/>
              <w:right w:val="single" w:sz="8" w:color="B2B2B2"/>
            </w:tcBorders>
          </w:tcPr>
          <w:p>
            <w:pPr>
              <w:spacing w:after="0"/>
              <w:rPr>
                <w:sz w:val="7"/>
                <w:szCs w:val="7"/>
                <w:color w:val="auto"/>
              </w:rPr>
            </w:pPr>
          </w:p>
        </w:tc>
        <w:tc>
          <w:tcPr>
            <w:tcW w:w="3520" w:type="dxa"/>
            <w:vAlign w:val="bottom"/>
            <w:tcBorders>
              <w:bottom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80" w:type="dxa"/>
            <w:vAlign w:val="bottom"/>
            <w:tcBorders>
              <w:right w:val="single" w:sz="8" w:color="B2B2B2"/>
            </w:tcBorders>
          </w:tcPr>
          <w:p>
            <w:pPr>
              <w:ind w:left="300"/>
              <w:spacing w:after="0"/>
              <w:rPr>
                <w:sz w:val="20"/>
                <w:szCs w:val="20"/>
                <w:color w:val="auto"/>
              </w:rPr>
            </w:pPr>
            <w:r>
              <w:rPr>
                <w:rFonts w:ascii="Arial" w:cs="Arial" w:eastAsia="Arial" w:hAnsi="Arial"/>
                <w:sz w:val="16"/>
                <w:szCs w:val="16"/>
                <w:b w:val="1"/>
                <w:bCs w:val="1"/>
                <w:color w:val="auto"/>
              </w:rPr>
              <w:t>  Stock options</w:t>
            </w:r>
          </w:p>
        </w:tc>
        <w:tc>
          <w:tcPr>
            <w:tcW w:w="2520" w:type="dxa"/>
            <w:vAlign w:val="bottom"/>
            <w:tcBorders>
              <w:right w:val="single" w:sz="8" w:color="B2B2B2"/>
            </w:tcBorders>
          </w:tcPr>
          <w:p>
            <w:pPr>
              <w:jc w:val="right"/>
              <w:ind w:right="180"/>
              <w:spacing w:after="0"/>
              <w:rPr>
                <w:sz w:val="20"/>
                <w:szCs w:val="20"/>
                <w:color w:val="auto"/>
              </w:rPr>
            </w:pPr>
            <w:r>
              <w:rPr>
                <w:rFonts w:ascii="Arial" w:cs="Arial" w:eastAsia="Arial" w:hAnsi="Arial"/>
                <w:sz w:val="16"/>
                <w:szCs w:val="16"/>
                <w:color w:val="auto"/>
              </w:rPr>
              <w:t>1,196,152</w:t>
            </w:r>
          </w:p>
        </w:tc>
        <w:tc>
          <w:tcPr>
            <w:tcW w:w="2180" w:type="dxa"/>
            <w:vAlign w:val="bottom"/>
            <w:tcBorders>
              <w:right w:val="single" w:sz="8" w:color="B2B2B2"/>
            </w:tcBorders>
          </w:tcPr>
          <w:p>
            <w:pPr>
              <w:jc w:val="right"/>
              <w:ind w:right="260"/>
              <w:spacing w:after="0"/>
              <w:rPr>
                <w:sz w:val="20"/>
                <w:szCs w:val="20"/>
                <w:color w:val="auto"/>
              </w:rPr>
            </w:pPr>
            <w:r>
              <w:rPr>
                <w:rFonts w:ascii="Arial" w:cs="Arial" w:eastAsia="Arial" w:hAnsi="Arial"/>
                <w:sz w:val="16"/>
                <w:szCs w:val="16"/>
                <w:color w:val="auto"/>
              </w:rPr>
              <w:t>US$115.75</w:t>
            </w:r>
          </w:p>
        </w:tc>
        <w:tc>
          <w:tcPr>
            <w:tcW w:w="3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80" w:type="dxa"/>
            <w:vAlign w:val="bottom"/>
            <w:tcBorders>
              <w:bottom w:val="single" w:sz="8" w:color="B2B2B2"/>
              <w:right w:val="single" w:sz="8" w:color="B2B2B2"/>
            </w:tcBorders>
          </w:tcPr>
          <w:p>
            <w:pPr>
              <w:spacing w:after="0"/>
              <w:rPr>
                <w:sz w:val="6"/>
                <w:szCs w:val="6"/>
                <w:color w:val="auto"/>
              </w:rPr>
            </w:pPr>
          </w:p>
        </w:tc>
        <w:tc>
          <w:tcPr>
            <w:tcW w:w="2520" w:type="dxa"/>
            <w:vAlign w:val="bottom"/>
            <w:tcBorders>
              <w:bottom w:val="single" w:sz="8" w:color="B2B2B2"/>
              <w:right w:val="single" w:sz="8" w:color="B2B2B2"/>
            </w:tcBorders>
          </w:tcPr>
          <w:p>
            <w:pPr>
              <w:spacing w:after="0"/>
              <w:rPr>
                <w:sz w:val="6"/>
                <w:szCs w:val="6"/>
                <w:color w:val="auto"/>
              </w:rPr>
            </w:pPr>
          </w:p>
        </w:tc>
        <w:tc>
          <w:tcPr>
            <w:tcW w:w="2180" w:type="dxa"/>
            <w:vAlign w:val="bottom"/>
            <w:tcBorders>
              <w:bottom w:val="single" w:sz="8" w:color="B2B2B2"/>
              <w:right w:val="single" w:sz="8" w:color="B2B2B2"/>
            </w:tcBorders>
          </w:tcPr>
          <w:p>
            <w:pPr>
              <w:spacing w:after="0"/>
              <w:rPr>
                <w:sz w:val="6"/>
                <w:szCs w:val="6"/>
                <w:color w:val="auto"/>
              </w:rPr>
            </w:pPr>
          </w:p>
        </w:tc>
        <w:tc>
          <w:tcPr>
            <w:tcW w:w="3520" w:type="dxa"/>
            <w:vAlign w:val="bottom"/>
            <w:tcBorders>
              <w:bottom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680" w:type="dxa"/>
            <w:vAlign w:val="bottom"/>
            <w:tcBorders>
              <w:bottom w:val="single" w:sz="8" w:color="B2B2B2"/>
              <w:right w:val="single" w:sz="8" w:color="B2B2B2"/>
            </w:tcBorders>
          </w:tcPr>
          <w:p>
            <w:pPr>
              <w:ind w:left="300"/>
              <w:spacing w:after="0"/>
              <w:rPr>
                <w:sz w:val="20"/>
                <w:szCs w:val="20"/>
                <w:color w:val="auto"/>
              </w:rPr>
            </w:pPr>
            <w:r>
              <w:rPr>
                <w:rFonts w:ascii="Arial" w:cs="Arial" w:eastAsia="Arial" w:hAnsi="Arial"/>
                <w:sz w:val="16"/>
                <w:szCs w:val="16"/>
                <w:b w:val="1"/>
                <w:bCs w:val="1"/>
                <w:color w:val="auto"/>
              </w:rPr>
              <w:t>  TRSUs</w:t>
            </w:r>
          </w:p>
        </w:tc>
        <w:tc>
          <w:tcPr>
            <w:tcW w:w="2520" w:type="dxa"/>
            <w:vAlign w:val="bottom"/>
            <w:tcBorders>
              <w:bottom w:val="single" w:sz="8" w:color="B2B2B2"/>
              <w:right w:val="single" w:sz="8" w:color="B2B2B2"/>
            </w:tcBorders>
          </w:tcPr>
          <w:p>
            <w:pPr>
              <w:jc w:val="right"/>
              <w:ind w:right="180"/>
              <w:spacing w:after="0"/>
              <w:rPr>
                <w:sz w:val="20"/>
                <w:szCs w:val="20"/>
                <w:color w:val="auto"/>
              </w:rPr>
            </w:pPr>
            <w:r>
              <w:rPr>
                <w:rFonts w:ascii="Arial" w:cs="Arial" w:eastAsia="Arial" w:hAnsi="Arial"/>
                <w:sz w:val="16"/>
                <w:szCs w:val="16"/>
                <w:color w:val="auto"/>
              </w:rPr>
              <w:t>915,382</w:t>
            </w:r>
          </w:p>
        </w:tc>
        <w:tc>
          <w:tcPr>
            <w:tcW w:w="2180" w:type="dxa"/>
            <w:vAlign w:val="bottom"/>
            <w:tcBorders>
              <w:bottom w:val="single" w:sz="8" w:color="B2B2B2"/>
              <w:right w:val="single" w:sz="8" w:color="B2B2B2"/>
            </w:tcBorders>
          </w:tcPr>
          <w:p>
            <w:pPr>
              <w:jc w:val="right"/>
              <w:ind w:right="180"/>
              <w:spacing w:after="0"/>
              <w:rPr>
                <w:sz w:val="20"/>
                <w:szCs w:val="20"/>
                <w:color w:val="auto"/>
              </w:rPr>
            </w:pPr>
            <w:r>
              <w:rPr>
                <w:rFonts w:ascii="Arial" w:cs="Arial" w:eastAsia="Arial" w:hAnsi="Arial"/>
                <w:sz w:val="16"/>
                <w:szCs w:val="16"/>
                <w:color w:val="auto"/>
              </w:rPr>
              <w:t>N/A</w:t>
            </w:r>
            <w:r>
              <w:rPr>
                <w:rFonts w:ascii="Arial" w:cs="Arial" w:eastAsia="Arial" w:hAnsi="Arial"/>
                <w:sz w:val="24"/>
                <w:szCs w:val="24"/>
                <w:color w:val="auto"/>
                <w:vertAlign w:val="superscript"/>
              </w:rPr>
              <w:t>1</w:t>
            </w:r>
          </w:p>
        </w:tc>
        <w:tc>
          <w:tcPr>
            <w:tcW w:w="3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680" w:type="dxa"/>
            <w:vAlign w:val="bottom"/>
            <w:tcBorders>
              <w:bottom w:val="single" w:sz="8" w:color="D64000"/>
              <w:right w:val="single" w:sz="8" w:color="B2B2B2"/>
            </w:tcBorders>
          </w:tcPr>
          <w:p>
            <w:pPr>
              <w:ind w:left="300"/>
              <w:spacing w:after="0"/>
              <w:rPr>
                <w:sz w:val="20"/>
                <w:szCs w:val="20"/>
                <w:color w:val="auto"/>
              </w:rPr>
            </w:pPr>
            <w:r>
              <w:rPr>
                <w:rFonts w:ascii="Arial" w:cs="Arial" w:eastAsia="Arial" w:hAnsi="Arial"/>
                <w:sz w:val="16"/>
                <w:szCs w:val="16"/>
                <w:b w:val="1"/>
                <w:bCs w:val="1"/>
                <w:color w:val="auto"/>
              </w:rPr>
              <w:t>  PRSUs</w:t>
            </w:r>
          </w:p>
        </w:tc>
        <w:tc>
          <w:tcPr>
            <w:tcW w:w="2520" w:type="dxa"/>
            <w:vAlign w:val="bottom"/>
            <w:tcBorders>
              <w:bottom w:val="single" w:sz="8" w:color="D64000"/>
              <w:right w:val="single" w:sz="8" w:color="B2B2B2"/>
            </w:tcBorders>
          </w:tcPr>
          <w:p>
            <w:pPr>
              <w:jc w:val="right"/>
              <w:ind w:right="180"/>
              <w:spacing w:after="0"/>
              <w:rPr>
                <w:sz w:val="20"/>
                <w:szCs w:val="20"/>
                <w:color w:val="auto"/>
              </w:rPr>
            </w:pPr>
            <w:r>
              <w:rPr>
                <w:rFonts w:ascii="Arial" w:cs="Arial" w:eastAsia="Arial" w:hAnsi="Arial"/>
                <w:sz w:val="16"/>
                <w:szCs w:val="16"/>
                <w:color w:val="auto"/>
              </w:rPr>
              <w:t>531,773</w:t>
            </w:r>
          </w:p>
        </w:tc>
        <w:tc>
          <w:tcPr>
            <w:tcW w:w="2180" w:type="dxa"/>
            <w:vAlign w:val="bottom"/>
            <w:tcBorders>
              <w:bottom w:val="single" w:sz="8" w:color="D64000"/>
              <w:right w:val="single" w:sz="8" w:color="B2B2B2"/>
            </w:tcBorders>
          </w:tcPr>
          <w:p>
            <w:pPr>
              <w:jc w:val="right"/>
              <w:ind w:right="180"/>
              <w:spacing w:after="0"/>
              <w:rPr>
                <w:sz w:val="20"/>
                <w:szCs w:val="20"/>
                <w:color w:val="auto"/>
              </w:rPr>
            </w:pPr>
            <w:r>
              <w:rPr>
                <w:rFonts w:ascii="Arial" w:cs="Arial" w:eastAsia="Arial" w:hAnsi="Arial"/>
                <w:sz w:val="16"/>
                <w:szCs w:val="16"/>
                <w:color w:val="auto"/>
              </w:rPr>
              <w:t>N/A</w:t>
            </w:r>
            <w:r>
              <w:rPr>
                <w:rFonts w:ascii="Arial" w:cs="Arial" w:eastAsia="Arial" w:hAnsi="Arial"/>
                <w:sz w:val="24"/>
                <w:szCs w:val="24"/>
                <w:color w:val="auto"/>
                <w:vertAlign w:val="superscript"/>
              </w:rPr>
              <w:t>1</w:t>
            </w:r>
          </w:p>
        </w:tc>
        <w:tc>
          <w:tcPr>
            <w:tcW w:w="352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80" w:type="dxa"/>
            <w:vAlign w:val="bottom"/>
            <w:tcBorders>
              <w:right w:val="single" w:sz="8" w:color="B2B2B2"/>
            </w:tcBorders>
          </w:tcPr>
          <w:p>
            <w:pPr>
              <w:ind w:left="300"/>
              <w:spacing w:after="0"/>
              <w:rPr>
                <w:sz w:val="20"/>
                <w:szCs w:val="20"/>
                <w:color w:val="auto"/>
              </w:rPr>
            </w:pPr>
            <w:r>
              <w:rPr>
                <w:rFonts w:ascii="Arial" w:cs="Arial" w:eastAsia="Arial" w:hAnsi="Arial"/>
                <w:sz w:val="16"/>
                <w:szCs w:val="16"/>
                <w:b w:val="1"/>
                <w:bCs w:val="1"/>
                <w:color w:val="auto"/>
              </w:rPr>
              <w:t>  Total</w:t>
            </w:r>
          </w:p>
        </w:tc>
        <w:tc>
          <w:tcPr>
            <w:tcW w:w="2520" w:type="dxa"/>
            <w:vAlign w:val="bottom"/>
            <w:tcBorders>
              <w:right w:val="single" w:sz="8" w:color="B2B2B2"/>
            </w:tcBorders>
          </w:tcPr>
          <w:p>
            <w:pPr>
              <w:jc w:val="right"/>
              <w:ind w:right="180"/>
              <w:spacing w:after="0"/>
              <w:rPr>
                <w:sz w:val="20"/>
                <w:szCs w:val="20"/>
                <w:color w:val="auto"/>
              </w:rPr>
            </w:pPr>
            <w:r>
              <w:rPr>
                <w:rFonts w:ascii="Arial" w:cs="Arial" w:eastAsia="Arial" w:hAnsi="Arial"/>
                <w:sz w:val="16"/>
                <w:szCs w:val="16"/>
                <w:color w:val="auto"/>
              </w:rPr>
              <w:t>2,643,307</w:t>
            </w:r>
          </w:p>
        </w:tc>
        <w:tc>
          <w:tcPr>
            <w:tcW w:w="2180" w:type="dxa"/>
            <w:vAlign w:val="bottom"/>
            <w:tcBorders>
              <w:right w:val="single" w:sz="8" w:color="B2B2B2"/>
            </w:tcBorders>
          </w:tcPr>
          <w:p>
            <w:pPr>
              <w:jc w:val="right"/>
              <w:ind w:right="260"/>
              <w:spacing w:after="0"/>
              <w:rPr>
                <w:sz w:val="20"/>
                <w:szCs w:val="20"/>
                <w:color w:val="auto"/>
              </w:rPr>
            </w:pPr>
            <w:r>
              <w:rPr>
                <w:rFonts w:ascii="Arial" w:cs="Arial" w:eastAsia="Arial" w:hAnsi="Arial"/>
                <w:sz w:val="16"/>
                <w:szCs w:val="16"/>
                <w:color w:val="auto"/>
              </w:rPr>
              <w:t>–</w:t>
            </w:r>
          </w:p>
        </w:tc>
        <w:tc>
          <w:tcPr>
            <w:tcW w:w="3520" w:type="dxa"/>
            <w:vAlign w:val="bottom"/>
          </w:tcPr>
          <w:p>
            <w:pPr>
              <w:jc w:val="right"/>
              <w:spacing w:after="0"/>
              <w:rPr>
                <w:sz w:val="20"/>
                <w:szCs w:val="20"/>
                <w:color w:val="auto"/>
              </w:rPr>
            </w:pPr>
            <w:r>
              <w:rPr>
                <w:rFonts w:ascii="Arial" w:cs="Arial" w:eastAsia="Arial" w:hAnsi="Arial"/>
                <w:sz w:val="16"/>
                <w:szCs w:val="16"/>
                <w:color w:val="auto"/>
              </w:rPr>
              <w:t>6,788,711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680" w:type="dxa"/>
            <w:vAlign w:val="bottom"/>
            <w:tcBorders>
              <w:bottom w:val="single" w:sz="8" w:color="D64000"/>
              <w:right w:val="single" w:sz="8" w:color="B2B2B2"/>
            </w:tcBorders>
          </w:tcPr>
          <w:p>
            <w:pPr>
              <w:spacing w:after="0"/>
              <w:rPr>
                <w:sz w:val="6"/>
                <w:szCs w:val="6"/>
                <w:color w:val="auto"/>
              </w:rPr>
            </w:pPr>
          </w:p>
        </w:tc>
        <w:tc>
          <w:tcPr>
            <w:tcW w:w="2520" w:type="dxa"/>
            <w:vAlign w:val="bottom"/>
            <w:tcBorders>
              <w:bottom w:val="single" w:sz="8" w:color="D64000"/>
              <w:right w:val="single" w:sz="8" w:color="B2B2B2"/>
            </w:tcBorders>
          </w:tcPr>
          <w:p>
            <w:pPr>
              <w:spacing w:after="0"/>
              <w:rPr>
                <w:sz w:val="6"/>
                <w:szCs w:val="6"/>
                <w:color w:val="auto"/>
              </w:rPr>
            </w:pPr>
          </w:p>
        </w:tc>
        <w:tc>
          <w:tcPr>
            <w:tcW w:w="2180" w:type="dxa"/>
            <w:vAlign w:val="bottom"/>
            <w:tcBorders>
              <w:bottom w:val="single" w:sz="8" w:color="D64000"/>
              <w:right w:val="single" w:sz="8" w:color="B2B2B2"/>
            </w:tcBorders>
          </w:tcPr>
          <w:p>
            <w:pPr>
              <w:spacing w:after="0"/>
              <w:rPr>
                <w:sz w:val="6"/>
                <w:szCs w:val="6"/>
                <w:color w:val="auto"/>
              </w:rPr>
            </w:pPr>
          </w:p>
        </w:tc>
        <w:tc>
          <w:tcPr>
            <w:tcW w:w="3520" w:type="dxa"/>
            <w:vAlign w:val="bottom"/>
            <w:tcBorders>
              <w:bottom w:val="single" w:sz="8" w:color="D64000"/>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680" w:type="dxa"/>
            <w:vAlign w:val="bottom"/>
            <w:tcBorders>
              <w:right w:val="single" w:sz="8" w:color="B2B2B2"/>
            </w:tcBorders>
          </w:tcPr>
          <w:p>
            <w:pPr>
              <w:spacing w:after="0" w:line="167" w:lineRule="exact"/>
              <w:rPr>
                <w:sz w:val="20"/>
                <w:szCs w:val="20"/>
                <w:color w:val="auto"/>
              </w:rPr>
            </w:pPr>
            <w:r>
              <w:rPr>
                <w:rFonts w:ascii="Arial" w:cs="Arial" w:eastAsia="Arial" w:hAnsi="Arial"/>
                <w:sz w:val="16"/>
                <w:szCs w:val="16"/>
                <w:b w:val="1"/>
                <w:bCs w:val="1"/>
                <w:color w:val="auto"/>
              </w:rPr>
              <w:t>  Equity compensation plans not</w:t>
            </w:r>
          </w:p>
        </w:tc>
        <w:tc>
          <w:tcPr>
            <w:tcW w:w="2520" w:type="dxa"/>
            <w:vAlign w:val="bottom"/>
            <w:tcBorders>
              <w:right w:val="single" w:sz="8" w:color="B2B2B2"/>
            </w:tcBorders>
          </w:tcPr>
          <w:p>
            <w:pPr>
              <w:spacing w:after="0"/>
              <w:rPr>
                <w:sz w:val="14"/>
                <w:szCs w:val="14"/>
                <w:color w:val="auto"/>
              </w:rPr>
            </w:pPr>
          </w:p>
        </w:tc>
        <w:tc>
          <w:tcPr>
            <w:tcW w:w="2180" w:type="dxa"/>
            <w:vAlign w:val="bottom"/>
            <w:tcBorders>
              <w:right w:val="single" w:sz="8" w:color="B2B2B2"/>
            </w:tcBorders>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7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approved by security holders</w:t>
            </w:r>
          </w:p>
        </w:tc>
        <w:tc>
          <w:tcPr>
            <w:tcW w:w="2520" w:type="dxa"/>
            <w:vAlign w:val="bottom"/>
            <w:tcBorders>
              <w:right w:val="single" w:sz="8" w:color="B2B2B2"/>
            </w:tcBorders>
          </w:tcPr>
          <w:p>
            <w:pPr>
              <w:jc w:val="right"/>
              <w:ind w:right="180"/>
              <w:spacing w:after="0"/>
              <w:rPr>
                <w:sz w:val="20"/>
                <w:szCs w:val="20"/>
                <w:color w:val="auto"/>
              </w:rPr>
            </w:pPr>
            <w:r>
              <w:rPr>
                <w:rFonts w:ascii="Arial" w:cs="Arial" w:eastAsia="Arial" w:hAnsi="Arial"/>
                <w:sz w:val="16"/>
                <w:szCs w:val="16"/>
                <w:color w:val="auto"/>
              </w:rPr>
              <w:t>–</w:t>
            </w:r>
          </w:p>
        </w:tc>
        <w:tc>
          <w:tcPr>
            <w:tcW w:w="2180" w:type="dxa"/>
            <w:vAlign w:val="bottom"/>
            <w:tcBorders>
              <w:right w:val="single" w:sz="8" w:color="B2B2B2"/>
            </w:tcBorders>
          </w:tcPr>
          <w:p>
            <w:pPr>
              <w:jc w:val="right"/>
              <w:ind w:right="260"/>
              <w:spacing w:after="0"/>
              <w:rPr>
                <w:sz w:val="20"/>
                <w:szCs w:val="20"/>
                <w:color w:val="auto"/>
              </w:rPr>
            </w:pPr>
            <w:r>
              <w:rPr>
                <w:rFonts w:ascii="Arial" w:cs="Arial" w:eastAsia="Arial" w:hAnsi="Arial"/>
                <w:sz w:val="16"/>
                <w:szCs w:val="16"/>
                <w:color w:val="auto"/>
              </w:rPr>
              <w:t>–</w:t>
            </w:r>
          </w:p>
        </w:tc>
        <w:tc>
          <w:tcPr>
            <w:tcW w:w="3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7"/>
        </w:trPr>
        <w:tc>
          <w:tcPr>
            <w:tcW w:w="2700" w:type="dxa"/>
            <w:vAlign w:val="bottom"/>
            <w:tcBorders>
              <w:bottom w:val="single" w:sz="8" w:color="D64000"/>
              <w:right w:val="single" w:sz="8" w:color="B2B2B2"/>
            </w:tcBorders>
            <w:gridSpan w:val="2"/>
          </w:tcPr>
          <w:p>
            <w:pPr>
              <w:spacing w:after="0"/>
              <w:rPr>
                <w:sz w:val="7"/>
                <w:szCs w:val="7"/>
                <w:color w:val="auto"/>
              </w:rPr>
            </w:pPr>
          </w:p>
        </w:tc>
        <w:tc>
          <w:tcPr>
            <w:tcW w:w="2520" w:type="dxa"/>
            <w:vAlign w:val="bottom"/>
            <w:tcBorders>
              <w:bottom w:val="single" w:sz="8" w:color="D64000"/>
              <w:right w:val="single" w:sz="8" w:color="B2B2B2"/>
            </w:tcBorders>
          </w:tcPr>
          <w:p>
            <w:pPr>
              <w:spacing w:after="0"/>
              <w:rPr>
                <w:sz w:val="7"/>
                <w:szCs w:val="7"/>
                <w:color w:val="auto"/>
              </w:rPr>
            </w:pPr>
          </w:p>
        </w:tc>
        <w:tc>
          <w:tcPr>
            <w:tcW w:w="2180" w:type="dxa"/>
            <w:vAlign w:val="bottom"/>
            <w:tcBorders>
              <w:bottom w:val="single" w:sz="8" w:color="D64000"/>
              <w:right w:val="single" w:sz="8" w:color="B2B2B2"/>
            </w:tcBorders>
          </w:tcPr>
          <w:p>
            <w:pPr>
              <w:spacing w:after="0"/>
              <w:rPr>
                <w:sz w:val="7"/>
                <w:szCs w:val="7"/>
                <w:color w:val="auto"/>
              </w:rPr>
            </w:pPr>
          </w:p>
        </w:tc>
        <w:tc>
          <w:tcPr>
            <w:tcW w:w="3520" w:type="dxa"/>
            <w:vAlign w:val="bottom"/>
            <w:tcBorders>
              <w:bottom w:val="single" w:sz="8" w:color="D64000"/>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7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Total</w:t>
            </w:r>
          </w:p>
        </w:tc>
        <w:tc>
          <w:tcPr>
            <w:tcW w:w="2520" w:type="dxa"/>
            <w:vAlign w:val="bottom"/>
            <w:tcBorders>
              <w:right w:val="single" w:sz="8" w:color="B2B2B2"/>
            </w:tcBorders>
          </w:tcPr>
          <w:p>
            <w:pPr>
              <w:jc w:val="right"/>
              <w:ind w:right="180"/>
              <w:spacing w:after="0"/>
              <w:rPr>
                <w:sz w:val="20"/>
                <w:szCs w:val="20"/>
                <w:color w:val="auto"/>
              </w:rPr>
            </w:pPr>
            <w:r>
              <w:rPr>
                <w:rFonts w:ascii="Arial" w:cs="Arial" w:eastAsia="Arial" w:hAnsi="Arial"/>
                <w:sz w:val="16"/>
                <w:szCs w:val="16"/>
                <w:color w:val="auto"/>
              </w:rPr>
              <w:t>2,643,307</w:t>
            </w:r>
          </w:p>
        </w:tc>
        <w:tc>
          <w:tcPr>
            <w:tcW w:w="2180" w:type="dxa"/>
            <w:vAlign w:val="bottom"/>
            <w:tcBorders>
              <w:right w:val="single" w:sz="8" w:color="B2B2B2"/>
            </w:tcBorders>
          </w:tcPr>
          <w:p>
            <w:pPr>
              <w:jc w:val="right"/>
              <w:ind w:right="260"/>
              <w:spacing w:after="0"/>
              <w:rPr>
                <w:sz w:val="20"/>
                <w:szCs w:val="20"/>
                <w:color w:val="auto"/>
              </w:rPr>
            </w:pPr>
            <w:r>
              <w:rPr>
                <w:rFonts w:ascii="Arial" w:cs="Arial" w:eastAsia="Arial" w:hAnsi="Arial"/>
                <w:sz w:val="16"/>
                <w:szCs w:val="16"/>
                <w:color w:val="auto"/>
              </w:rPr>
              <w:t>–</w:t>
            </w:r>
          </w:p>
        </w:tc>
        <w:tc>
          <w:tcPr>
            <w:tcW w:w="3520" w:type="dxa"/>
            <w:vAlign w:val="bottom"/>
          </w:tcPr>
          <w:p>
            <w:pPr>
              <w:jc w:val="right"/>
              <w:spacing w:after="0"/>
              <w:rPr>
                <w:sz w:val="20"/>
                <w:szCs w:val="20"/>
                <w:color w:val="auto"/>
              </w:rPr>
            </w:pPr>
            <w:r>
              <w:rPr>
                <w:rFonts w:ascii="Arial" w:cs="Arial" w:eastAsia="Arial" w:hAnsi="Arial"/>
                <w:sz w:val="16"/>
                <w:szCs w:val="16"/>
                <w:color w:val="auto"/>
              </w:rPr>
              <w:t>6,788,711</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tcBorders>
              <w:bottom w:val="single" w:sz="8" w:color="D64000"/>
              <w:right w:val="single" w:sz="8" w:color="B2B2B2"/>
            </w:tcBorders>
          </w:tcPr>
          <w:p>
            <w:pPr>
              <w:spacing w:after="0"/>
              <w:rPr>
                <w:sz w:val="6"/>
                <w:szCs w:val="6"/>
                <w:color w:val="auto"/>
              </w:rPr>
            </w:pPr>
          </w:p>
        </w:tc>
        <w:tc>
          <w:tcPr>
            <w:tcW w:w="2520" w:type="dxa"/>
            <w:vAlign w:val="bottom"/>
            <w:tcBorders>
              <w:bottom w:val="single" w:sz="8" w:color="D64000"/>
              <w:right w:val="single" w:sz="8" w:color="B2B2B2"/>
            </w:tcBorders>
          </w:tcPr>
          <w:p>
            <w:pPr>
              <w:spacing w:after="0"/>
              <w:rPr>
                <w:sz w:val="6"/>
                <w:szCs w:val="6"/>
                <w:color w:val="auto"/>
              </w:rPr>
            </w:pPr>
          </w:p>
        </w:tc>
        <w:tc>
          <w:tcPr>
            <w:tcW w:w="2180" w:type="dxa"/>
            <w:vAlign w:val="bottom"/>
            <w:tcBorders>
              <w:bottom w:val="single" w:sz="8" w:color="D64000"/>
              <w:right w:val="single" w:sz="8" w:color="B2B2B2"/>
            </w:tcBorders>
          </w:tcPr>
          <w:p>
            <w:pPr>
              <w:spacing w:after="0"/>
              <w:rPr>
                <w:sz w:val="6"/>
                <w:szCs w:val="6"/>
                <w:color w:val="auto"/>
              </w:rPr>
            </w:pPr>
          </w:p>
        </w:tc>
        <w:tc>
          <w:tcPr>
            <w:tcW w:w="3520" w:type="dxa"/>
            <w:vAlign w:val="bottom"/>
            <w:tcBorders>
              <w:bottom w:val="single" w:sz="8" w:color="D6400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3"/>
        <w:spacing w:after="0"/>
        <w:tabs>
          <w:tab w:leader="none" w:pos="2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Unlike stock options, RSUs do not have an applicable exercise price.</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Description of Equity Compensation and Other Plans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We are authorized to issue common shares under the following plans:</w:t>
      </w:r>
    </w:p>
    <w:p>
      <w:pPr>
        <w:spacing w:after="0" w:line="21" w:lineRule="exact"/>
        <w:rPr>
          <w:sz w:val="20"/>
          <w:szCs w:val="20"/>
          <w:color w:val="auto"/>
        </w:rPr>
      </w:pPr>
    </w:p>
    <w:p>
      <w:pPr>
        <w:ind w:left="440" w:hanging="433"/>
        <w:spacing w:after="0"/>
        <w:tabs>
          <w:tab w:leader="none" w:pos="440" w:val="left"/>
        </w:tabs>
        <w:numPr>
          <w:ilvl w:val="0"/>
          <w:numId w:val="98"/>
        </w:numPr>
        <w:rPr>
          <w:rFonts w:ascii="Arial" w:cs="Arial" w:eastAsia="Arial" w:hAnsi="Arial"/>
          <w:sz w:val="17"/>
          <w:szCs w:val="17"/>
          <w:color w:val="D64000"/>
        </w:rPr>
      </w:pPr>
      <w:r>
        <w:rPr>
          <w:rFonts w:ascii="Arial" w:cs="Arial" w:eastAsia="Arial" w:hAnsi="Arial"/>
          <w:sz w:val="17"/>
          <w:szCs w:val="17"/>
          <w:color w:val="auto"/>
        </w:rPr>
        <w:t>Stock incentive plan;</w:t>
      </w:r>
    </w:p>
    <w:p>
      <w:pPr>
        <w:spacing w:after="0" w:line="5" w:lineRule="exact"/>
        <w:rPr>
          <w:rFonts w:ascii="Arial" w:cs="Arial" w:eastAsia="Arial" w:hAnsi="Arial"/>
          <w:sz w:val="17"/>
          <w:szCs w:val="17"/>
          <w:color w:val="D64000"/>
        </w:rPr>
      </w:pPr>
    </w:p>
    <w:p>
      <w:pPr>
        <w:ind w:left="440" w:hanging="433"/>
        <w:spacing w:after="0"/>
        <w:tabs>
          <w:tab w:leader="none" w:pos="440" w:val="left"/>
        </w:tabs>
        <w:numPr>
          <w:ilvl w:val="0"/>
          <w:numId w:val="98"/>
        </w:numPr>
        <w:rPr>
          <w:rFonts w:ascii="Arial" w:cs="Arial" w:eastAsia="Arial" w:hAnsi="Arial"/>
          <w:sz w:val="17"/>
          <w:szCs w:val="17"/>
          <w:color w:val="D64000"/>
        </w:rPr>
      </w:pPr>
      <w:r>
        <w:rPr>
          <w:rFonts w:ascii="Arial" w:cs="Arial" w:eastAsia="Arial" w:hAnsi="Arial"/>
          <w:sz w:val="17"/>
          <w:szCs w:val="17"/>
          <w:color w:val="auto"/>
        </w:rPr>
        <w:t>Deferred compensation plan; and</w:t>
      </w:r>
    </w:p>
    <w:p>
      <w:pPr>
        <w:spacing w:after="0" w:line="5" w:lineRule="exact"/>
        <w:rPr>
          <w:rFonts w:ascii="Arial" w:cs="Arial" w:eastAsia="Arial" w:hAnsi="Arial"/>
          <w:sz w:val="17"/>
          <w:szCs w:val="17"/>
          <w:color w:val="D64000"/>
        </w:rPr>
      </w:pPr>
    </w:p>
    <w:p>
      <w:pPr>
        <w:ind w:left="440" w:hanging="433"/>
        <w:spacing w:after="0"/>
        <w:tabs>
          <w:tab w:leader="none" w:pos="440" w:val="left"/>
        </w:tabs>
        <w:numPr>
          <w:ilvl w:val="0"/>
          <w:numId w:val="98"/>
        </w:numPr>
        <w:rPr>
          <w:rFonts w:ascii="Arial" w:cs="Arial" w:eastAsia="Arial" w:hAnsi="Arial"/>
          <w:sz w:val="17"/>
          <w:szCs w:val="17"/>
          <w:color w:val="D64000"/>
        </w:rPr>
      </w:pPr>
      <w:r>
        <w:rPr>
          <w:rFonts w:ascii="Arial" w:cs="Arial" w:eastAsia="Arial" w:hAnsi="Arial"/>
          <w:sz w:val="17"/>
          <w:szCs w:val="17"/>
          <w:color w:val="auto"/>
        </w:rPr>
        <w:t>Employee stock purchase plans.</w:t>
      </w:r>
    </w:p>
    <w:p>
      <w:pPr>
        <w:spacing w:after="0" w:line="73"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We also maintain a share plan for our non-employee directors but any shares needed to satisfy our obligations under those plans are purchased in the open market, so there is no dilutive effect. We also grant cash-based awards under our phantom stock plan.</w:t>
      </w:r>
    </w:p>
    <w:p>
      <w:pPr>
        <w:spacing w:after="0" w:line="34"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Copies of our stock incentive plan, deferred compensation plan and employee stock purchase plans are available to any shareholder upon request by writing to: Thomson Reuters, Attention: Chief Legal Officer and Company Secretary, 19 Duncan Street, Toronto, Ontario M5H 3H1, Canada.</w:t>
      </w:r>
    </w:p>
    <w:p>
      <w:pPr>
        <w:spacing w:after="0" w:line="68"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tables set forth in Appendix A to this circular provide information regarding the key features of our plans. Our director compensation plan is described in the “About Our Directors – Director Compensation and Share Ownership” section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87</w:t>
      </w:r>
    </w:p>
    <w:p>
      <w:pPr>
        <w:sectPr>
          <w:pgSz w:w="11900" w:h="16838" w:orient="portrait"/>
          <w:cols w:equalWidth="0" w:num="1">
            <w:col w:w="10920"/>
          </w:cols>
          <w:pgMar w:left="480" w:top="287" w:right="499" w:bottom="1440" w:gutter="0" w:footer="0" w:header="0"/>
        </w:sectPr>
      </w:pPr>
    </w:p>
    <w:bookmarkStart w:id="97" w:name="page98"/>
    <w:bookmarkEnd w:id="97"/>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Pension and Other Retirement Benefits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describes pension and other retirement benefits provided to our named 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Defined Benefit Pension Plans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Steve Hasker, David Wong, and Paul Bascobert do not participate in a defined benefit pension plan.</w:t>
      </w:r>
    </w:p>
    <w:p>
      <w:pPr>
        <w:spacing w:after="0" w:line="85"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Thomson Reuters has a broad based, U.S. defined benefit pension plan which has been closed to new participants since 2006. Mike Eastwood participated in the plan through April 2019. In 2020, we announced that we froze benefit accruals in the plan for participating employees effective as of January 1, 2023. The plan is funded by one of our wholly owned U.S. subsidiaries and is qualified under U.S. federal income tax laws.</w:t>
      </w:r>
    </w:p>
    <w:p>
      <w:pPr>
        <w:spacing w:after="0" w:line="3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Kirsty Roth participates in a Swiss cash balance pension plan. Participating employees contribute up to 10% of their insured (pensionable) salary and the company contributes 17% of the employee’s insured (pensionable) salary. The maximum pensionable salary is CHF 860,400.</w:t>
      </w:r>
    </w:p>
    <w:p>
      <w:pPr>
        <w:spacing w:after="0" w:line="2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following table sets forth information related to our two named executive officers who participate or participated in a defined benefit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69297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Borders>
              <w:right w:val="single" w:sz="8" w:color="E3F3EE"/>
            </w:tcBorders>
          </w:tcPr>
          <w:p>
            <w:pPr>
              <w:spacing w:after="0"/>
              <w:rPr>
                <w:sz w:val="17"/>
                <w:szCs w:val="17"/>
                <w:color w:val="auto"/>
              </w:rPr>
            </w:pPr>
          </w:p>
        </w:tc>
        <w:tc>
          <w:tcPr>
            <w:tcW w:w="2040" w:type="dxa"/>
            <w:vAlign w:val="bottom"/>
            <w:tcBorders>
              <w:right w:val="single" w:sz="8" w:color="E3F3EE"/>
            </w:tcBorders>
            <w:gridSpan w:val="2"/>
            <w:shd w:val="clear" w:color="auto" w:fill="E3F3EE"/>
          </w:tcPr>
          <w:p>
            <w:pPr>
              <w:jc w:val="right"/>
              <w:ind w:right="360"/>
              <w:spacing w:after="0"/>
              <w:rPr>
                <w:sz w:val="20"/>
                <w:szCs w:val="20"/>
                <w:color w:val="auto"/>
              </w:rPr>
            </w:pPr>
            <w:r>
              <w:rPr>
                <w:rFonts w:ascii="Arial" w:cs="Arial" w:eastAsia="Arial" w:hAnsi="Arial"/>
                <w:sz w:val="16"/>
                <w:szCs w:val="16"/>
                <w:b w:val="1"/>
                <w:bCs w:val="1"/>
                <w:color w:val="auto"/>
              </w:rPr>
              <w:t>Annual benefits</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Borders>
              <w:right w:val="single" w:sz="8" w:color="E3F3EE"/>
            </w:tcBorders>
          </w:tcPr>
          <w:p>
            <w:pPr>
              <w:spacing w:after="0"/>
              <w:rPr>
                <w:sz w:val="18"/>
                <w:szCs w:val="18"/>
                <w:color w:val="auto"/>
              </w:rPr>
            </w:pPr>
          </w:p>
        </w:tc>
        <w:tc>
          <w:tcPr>
            <w:tcW w:w="2040" w:type="dxa"/>
            <w:vAlign w:val="bottom"/>
            <w:tcBorders>
              <w:right w:val="single" w:sz="8" w:color="E3F3EE"/>
            </w:tcBorders>
            <w:gridSpan w:val="2"/>
            <w:shd w:val="clear" w:color="auto" w:fill="E3F3EE"/>
          </w:tcPr>
          <w:p>
            <w:pPr>
              <w:jc w:val="right"/>
              <w:ind w:right="500"/>
              <w:spacing w:after="0" w:line="214" w:lineRule="exact"/>
              <w:rPr>
                <w:sz w:val="20"/>
                <w:szCs w:val="20"/>
                <w:color w:val="auto"/>
              </w:rPr>
            </w:pPr>
            <w:r>
              <w:rPr>
                <w:rFonts w:ascii="Arial" w:cs="Arial" w:eastAsia="Arial" w:hAnsi="Arial"/>
                <w:sz w:val="16"/>
                <w:szCs w:val="16"/>
                <w:b w:val="1"/>
                <w:bCs w:val="1"/>
                <w:color w:val="auto"/>
              </w:rPr>
              <w:t>payable ($)</w:t>
            </w:r>
            <w:r>
              <w:rPr>
                <w:rFonts w:ascii="Arial" w:cs="Arial" w:eastAsia="Arial" w:hAnsi="Arial"/>
                <w:sz w:val="24"/>
                <w:szCs w:val="24"/>
                <w:b w:val="1"/>
                <w:bCs w:val="1"/>
                <w:color w:val="auto"/>
                <w:vertAlign w:val="superscript"/>
              </w:rPr>
              <w:t>2</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80" w:type="dxa"/>
            <w:vAlign w:val="bottom"/>
            <w:tcBorders>
              <w:right w:val="single" w:sz="8" w:color="B2B2B2"/>
            </w:tcBorders>
            <w:shd w:val="clear" w:color="auto" w:fill="1F473D"/>
          </w:tcPr>
          <w:p>
            <w:pPr>
              <w:spacing w:after="0"/>
              <w:rPr>
                <w:sz w:val="15"/>
                <w:szCs w:val="15"/>
                <w:color w:val="auto"/>
              </w:rPr>
            </w:pPr>
          </w:p>
        </w:tc>
        <w:tc>
          <w:tcPr>
            <w:tcW w:w="1480" w:type="dxa"/>
            <w:vAlign w:val="bottom"/>
            <w:tcBorders>
              <w:right w:val="single" w:sz="8" w:color="1F473D"/>
            </w:tcBorders>
            <w:shd w:val="clear" w:color="auto" w:fill="1F473D"/>
          </w:tcPr>
          <w:p>
            <w:pPr>
              <w:spacing w:after="0"/>
              <w:rPr>
                <w:sz w:val="15"/>
                <w:szCs w:val="15"/>
                <w:color w:val="auto"/>
              </w:rPr>
            </w:pPr>
          </w:p>
        </w:tc>
        <w:tc>
          <w:tcPr>
            <w:tcW w:w="1100" w:type="dxa"/>
            <w:vAlign w:val="bottom"/>
            <w:tcBorders>
              <w:right w:val="single" w:sz="8" w:color="B2B2B2"/>
            </w:tcBorders>
            <w:shd w:val="clear" w:color="auto" w:fill="1F473D"/>
          </w:tcPr>
          <w:p>
            <w:pPr>
              <w:spacing w:after="0"/>
              <w:rPr>
                <w:sz w:val="15"/>
                <w:szCs w:val="15"/>
                <w:color w:val="auto"/>
              </w:rPr>
            </w:pPr>
          </w:p>
        </w:tc>
        <w:tc>
          <w:tcPr>
            <w:tcW w:w="940" w:type="dxa"/>
            <w:vAlign w:val="bottom"/>
            <w:tcBorders>
              <w:right w:val="single" w:sz="8" w:color="1F473D"/>
            </w:tcBorders>
            <w:shd w:val="clear" w:color="auto" w:fill="1F473D"/>
          </w:tcPr>
          <w:p>
            <w:pPr>
              <w:spacing w:after="0"/>
              <w:rPr>
                <w:sz w:val="15"/>
                <w:szCs w:val="15"/>
                <w:color w:val="auto"/>
              </w:rPr>
            </w:pPr>
          </w:p>
        </w:tc>
        <w:tc>
          <w:tcPr>
            <w:tcW w:w="1520" w:type="dxa"/>
            <w:vAlign w:val="bottom"/>
            <w:tcBorders>
              <w:right w:val="single" w:sz="8" w:color="B2B2B2"/>
            </w:tcBorders>
            <w:shd w:val="clear" w:color="auto" w:fill="1F473D"/>
          </w:tcPr>
          <w:p>
            <w:pPr>
              <w:jc w:val="right"/>
              <w:ind w:right="40"/>
              <w:spacing w:after="0" w:line="173" w:lineRule="exact"/>
              <w:rPr>
                <w:sz w:val="20"/>
                <w:szCs w:val="20"/>
                <w:color w:val="auto"/>
              </w:rPr>
            </w:pPr>
            <w:r>
              <w:rPr>
                <w:rFonts w:ascii="Arial" w:cs="Arial" w:eastAsia="Arial" w:hAnsi="Arial"/>
                <w:sz w:val="16"/>
                <w:szCs w:val="16"/>
                <w:b w:val="1"/>
                <w:bCs w:val="1"/>
                <w:color w:val="FFFFFF"/>
              </w:rPr>
              <w:t>Opening present</w:t>
            </w:r>
          </w:p>
        </w:tc>
        <w:tc>
          <w:tcPr>
            <w:tcW w:w="1360" w:type="dxa"/>
            <w:vAlign w:val="bottom"/>
            <w:tcBorders>
              <w:right w:val="single" w:sz="8" w:color="1F473D"/>
            </w:tcBorders>
            <w:shd w:val="clear" w:color="auto" w:fill="1F473D"/>
          </w:tcPr>
          <w:p>
            <w:pPr>
              <w:spacing w:after="0"/>
              <w:rPr>
                <w:sz w:val="15"/>
                <w:szCs w:val="15"/>
                <w:color w:val="auto"/>
              </w:rPr>
            </w:pPr>
          </w:p>
        </w:tc>
        <w:tc>
          <w:tcPr>
            <w:tcW w:w="1380" w:type="dxa"/>
            <w:vAlign w:val="bottom"/>
            <w:tcBorders>
              <w:right w:val="single" w:sz="8" w:color="B2B2B2"/>
            </w:tcBorders>
            <w:vMerge w:val="restart"/>
            <w:shd w:val="clear" w:color="auto" w:fill="1F473D"/>
          </w:tcPr>
          <w:p>
            <w:pPr>
              <w:jc w:val="right"/>
              <w:ind w:right="80"/>
              <w:spacing w:after="0"/>
              <w:rPr>
                <w:sz w:val="20"/>
                <w:szCs w:val="20"/>
                <w:color w:val="auto"/>
              </w:rPr>
            </w:pPr>
            <w:r>
              <w:rPr>
                <w:rFonts w:ascii="Arial" w:cs="Arial" w:eastAsia="Arial" w:hAnsi="Arial"/>
                <w:sz w:val="16"/>
                <w:szCs w:val="16"/>
                <w:b w:val="1"/>
                <w:bCs w:val="1"/>
                <w:color w:val="FFFFFF"/>
              </w:rPr>
              <w:t>Non-</w:t>
            </w:r>
          </w:p>
        </w:tc>
        <w:tc>
          <w:tcPr>
            <w:tcW w:w="1440" w:type="dxa"/>
            <w:vAlign w:val="bottom"/>
            <w:shd w:val="clear" w:color="auto" w:fill="1F473D"/>
          </w:tcPr>
          <w:p>
            <w:pPr>
              <w:jc w:val="right"/>
              <w:ind w:right="20"/>
              <w:spacing w:after="0" w:line="173" w:lineRule="exact"/>
              <w:rPr>
                <w:sz w:val="20"/>
                <w:szCs w:val="20"/>
                <w:color w:val="auto"/>
              </w:rPr>
            </w:pPr>
            <w:r>
              <w:rPr>
                <w:rFonts w:ascii="Arial" w:cs="Arial" w:eastAsia="Arial" w:hAnsi="Arial"/>
                <w:sz w:val="16"/>
                <w:szCs w:val="16"/>
                <w:b w:val="1"/>
                <w:bCs w:val="1"/>
                <w:color w:val="FFFFFF"/>
              </w:rPr>
              <w:t>Closing present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Borders>
              <w:right w:val="single" w:sz="8" w:color="B2B2B2"/>
            </w:tcBorders>
            <w:shd w:val="clear" w:color="auto" w:fill="1F473D"/>
          </w:tcPr>
          <w:p>
            <w:pPr>
              <w:spacing w:after="0"/>
              <w:rPr>
                <w:sz w:val="15"/>
                <w:szCs w:val="15"/>
                <w:color w:val="auto"/>
              </w:rPr>
            </w:pPr>
          </w:p>
        </w:tc>
        <w:tc>
          <w:tcPr>
            <w:tcW w:w="1480" w:type="dxa"/>
            <w:vAlign w:val="bottom"/>
            <w:tcBorders>
              <w:right w:val="single" w:sz="8" w:color="1F473D"/>
            </w:tcBorders>
            <w:shd w:val="clear" w:color="auto" w:fill="1F473D"/>
          </w:tcPr>
          <w:p>
            <w:pPr>
              <w:jc w:val="right"/>
              <w:ind w:right="40"/>
              <w:spacing w:after="0" w:line="174" w:lineRule="exact"/>
              <w:rPr>
                <w:sz w:val="20"/>
                <w:szCs w:val="20"/>
                <w:color w:val="auto"/>
              </w:rPr>
            </w:pPr>
            <w:r>
              <w:rPr>
                <w:rFonts w:ascii="Arial" w:cs="Arial" w:eastAsia="Arial" w:hAnsi="Arial"/>
                <w:sz w:val="16"/>
                <w:szCs w:val="16"/>
                <w:b w:val="1"/>
                <w:bCs w:val="1"/>
                <w:color w:val="FFFFFF"/>
              </w:rPr>
              <w:t>Number of years</w:t>
            </w:r>
          </w:p>
        </w:tc>
        <w:tc>
          <w:tcPr>
            <w:tcW w:w="1100" w:type="dxa"/>
            <w:vAlign w:val="bottom"/>
            <w:tcBorders>
              <w:right w:val="single" w:sz="8" w:color="B2B2B2"/>
            </w:tcBorders>
            <w:shd w:val="clear" w:color="auto" w:fill="1F473D"/>
          </w:tcPr>
          <w:p>
            <w:pPr>
              <w:spacing w:after="0"/>
              <w:rPr>
                <w:sz w:val="15"/>
                <w:szCs w:val="15"/>
                <w:color w:val="auto"/>
              </w:rPr>
            </w:pPr>
          </w:p>
        </w:tc>
        <w:tc>
          <w:tcPr>
            <w:tcW w:w="940" w:type="dxa"/>
            <w:vAlign w:val="bottom"/>
            <w:tcBorders>
              <w:right w:val="single" w:sz="8" w:color="1F473D"/>
            </w:tcBorders>
            <w:shd w:val="clear" w:color="auto" w:fill="1F473D"/>
          </w:tcPr>
          <w:p>
            <w:pPr>
              <w:spacing w:after="0"/>
              <w:rPr>
                <w:sz w:val="15"/>
                <w:szCs w:val="15"/>
                <w:color w:val="auto"/>
              </w:rPr>
            </w:pPr>
          </w:p>
        </w:tc>
        <w:tc>
          <w:tcPr>
            <w:tcW w:w="1520" w:type="dxa"/>
            <w:vAlign w:val="bottom"/>
            <w:tcBorders>
              <w:right w:val="single" w:sz="8" w:color="B2B2B2"/>
            </w:tcBorders>
            <w:shd w:val="clear" w:color="auto" w:fill="1F473D"/>
          </w:tcPr>
          <w:p>
            <w:pPr>
              <w:jc w:val="right"/>
              <w:ind w:right="40"/>
              <w:spacing w:after="0" w:line="174" w:lineRule="exact"/>
              <w:rPr>
                <w:sz w:val="20"/>
                <w:szCs w:val="20"/>
                <w:color w:val="auto"/>
              </w:rPr>
            </w:pPr>
            <w:r>
              <w:rPr>
                <w:rFonts w:ascii="Arial" w:cs="Arial" w:eastAsia="Arial" w:hAnsi="Arial"/>
                <w:sz w:val="16"/>
                <w:szCs w:val="16"/>
                <w:b w:val="1"/>
                <w:bCs w:val="1"/>
                <w:color w:val="FFFFFF"/>
              </w:rPr>
              <w:t>value of defined</w:t>
            </w:r>
          </w:p>
        </w:tc>
        <w:tc>
          <w:tcPr>
            <w:tcW w:w="1360" w:type="dxa"/>
            <w:vAlign w:val="bottom"/>
            <w:tcBorders>
              <w:right w:val="single" w:sz="8" w:color="1F473D"/>
            </w:tcBorders>
            <w:shd w:val="clear" w:color="auto" w:fill="1F473D"/>
          </w:tcPr>
          <w:p>
            <w:pPr>
              <w:spacing w:after="0"/>
              <w:rPr>
                <w:sz w:val="15"/>
                <w:szCs w:val="15"/>
                <w:color w:val="auto"/>
              </w:rPr>
            </w:pPr>
          </w:p>
        </w:tc>
        <w:tc>
          <w:tcPr>
            <w:tcW w:w="1380" w:type="dxa"/>
            <w:vAlign w:val="bottom"/>
            <w:tcBorders>
              <w:right w:val="single" w:sz="8" w:color="B2B2B2"/>
            </w:tcBorders>
            <w:vMerge w:val="continue"/>
            <w:shd w:val="clear" w:color="auto" w:fill="1F473D"/>
          </w:tcPr>
          <w:p>
            <w:pPr>
              <w:spacing w:after="0"/>
              <w:rPr>
                <w:sz w:val="15"/>
                <w:szCs w:val="15"/>
                <w:color w:val="auto"/>
              </w:rPr>
            </w:pPr>
          </w:p>
        </w:tc>
        <w:tc>
          <w:tcPr>
            <w:tcW w:w="1440" w:type="dxa"/>
            <w:vAlign w:val="bottom"/>
            <w:shd w:val="clear" w:color="auto" w:fill="1F473D"/>
          </w:tcPr>
          <w:p>
            <w:pPr>
              <w:jc w:val="right"/>
              <w:ind w:right="20"/>
              <w:spacing w:after="0" w:line="174" w:lineRule="exact"/>
              <w:rPr>
                <w:sz w:val="20"/>
                <w:szCs w:val="20"/>
                <w:color w:val="auto"/>
              </w:rPr>
            </w:pPr>
            <w:r>
              <w:rPr>
                <w:rFonts w:ascii="Arial" w:cs="Arial" w:eastAsia="Arial" w:hAnsi="Arial"/>
                <w:sz w:val="16"/>
                <w:szCs w:val="16"/>
                <w:b w:val="1"/>
                <w:bCs w:val="1"/>
                <w:color w:val="FFFFFF"/>
              </w:rPr>
              <w:t>value of defined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80" w:type="dxa"/>
            <w:vAlign w:val="bottom"/>
            <w:tcBorders>
              <w:right w:val="single" w:sz="8" w:color="B2B2B2"/>
            </w:tcBorders>
            <w:shd w:val="clear" w:color="auto" w:fill="1F473D"/>
          </w:tcPr>
          <w:p>
            <w:pPr>
              <w:spacing w:after="0"/>
              <w:rPr>
                <w:sz w:val="16"/>
                <w:szCs w:val="16"/>
                <w:color w:val="auto"/>
              </w:rPr>
            </w:pPr>
          </w:p>
        </w:tc>
        <w:tc>
          <w:tcPr>
            <w:tcW w:w="1480" w:type="dxa"/>
            <w:vAlign w:val="bottom"/>
            <w:tcBorders>
              <w:right w:val="single" w:sz="8" w:color="1F473D"/>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credited service</w:t>
            </w:r>
          </w:p>
        </w:tc>
        <w:tc>
          <w:tcPr>
            <w:tcW w:w="1100" w:type="dxa"/>
            <w:vAlign w:val="bottom"/>
            <w:tcBorders>
              <w:right w:val="single" w:sz="8" w:color="B2B2B2"/>
            </w:tcBorders>
            <w:shd w:val="clear" w:color="auto" w:fill="1F473D"/>
          </w:tcPr>
          <w:p>
            <w:pPr>
              <w:spacing w:after="0"/>
              <w:rPr>
                <w:sz w:val="16"/>
                <w:szCs w:val="16"/>
                <w:color w:val="auto"/>
              </w:rPr>
            </w:pPr>
          </w:p>
        </w:tc>
        <w:tc>
          <w:tcPr>
            <w:tcW w:w="940" w:type="dxa"/>
            <w:vAlign w:val="bottom"/>
            <w:tcBorders>
              <w:right w:val="single" w:sz="8" w:color="1F473D"/>
            </w:tcBorders>
            <w:shd w:val="clear" w:color="auto" w:fill="1F473D"/>
          </w:tcPr>
          <w:p>
            <w:pPr>
              <w:spacing w:after="0"/>
              <w:rPr>
                <w:sz w:val="16"/>
                <w:szCs w:val="16"/>
                <w:color w:val="auto"/>
              </w:rPr>
            </w:pPr>
          </w:p>
        </w:tc>
        <w:tc>
          <w:tcPr>
            <w:tcW w:w="1520" w:type="dxa"/>
            <w:vAlign w:val="bottom"/>
            <w:tcBorders>
              <w:right w:val="single" w:sz="8" w:color="B2B2B2"/>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benefit</w:t>
            </w:r>
          </w:p>
        </w:tc>
        <w:tc>
          <w:tcPr>
            <w:tcW w:w="1360" w:type="dxa"/>
            <w:vAlign w:val="bottom"/>
            <w:tcBorders>
              <w:right w:val="single" w:sz="8" w:color="1F473D"/>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Compensatory</w:t>
            </w:r>
          </w:p>
        </w:tc>
        <w:tc>
          <w:tcPr>
            <w:tcW w:w="1380" w:type="dxa"/>
            <w:vAlign w:val="bottom"/>
            <w:tcBorders>
              <w:right w:val="single" w:sz="8" w:color="B2B2B2"/>
            </w:tcBorders>
            <w:shd w:val="clear" w:color="auto" w:fill="1F473D"/>
          </w:tcPr>
          <w:p>
            <w:pPr>
              <w:jc w:val="right"/>
              <w:ind w:right="80"/>
              <w:spacing w:after="0"/>
              <w:rPr>
                <w:sz w:val="20"/>
                <w:szCs w:val="20"/>
                <w:color w:val="auto"/>
              </w:rPr>
            </w:pPr>
            <w:r>
              <w:rPr>
                <w:rFonts w:ascii="Arial" w:cs="Arial" w:eastAsia="Arial" w:hAnsi="Arial"/>
                <w:sz w:val="16"/>
                <w:szCs w:val="16"/>
                <w:b w:val="1"/>
                <w:bCs w:val="1"/>
                <w:color w:val="FFFFFF"/>
              </w:rPr>
              <w:t>compensatory</w:t>
            </w:r>
          </w:p>
        </w:tc>
        <w:tc>
          <w:tcPr>
            <w:tcW w:w="1440" w:type="dxa"/>
            <w:vAlign w:val="bottom"/>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benefit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Borders>
              <w:bottom w:val="single" w:sz="8" w:color="D64000"/>
              <w:right w:val="single" w:sz="8" w:color="B2B2B2"/>
            </w:tcBorders>
            <w:shd w:val="clear" w:color="auto" w:fill="1F473D"/>
          </w:tcPr>
          <w:p>
            <w:pPr>
              <w:spacing w:after="0"/>
              <w:rPr>
                <w:sz w:val="20"/>
                <w:szCs w:val="20"/>
                <w:color w:val="auto"/>
              </w:rPr>
            </w:pPr>
            <w:r>
              <w:rPr>
                <w:rFonts w:ascii="Arial" w:cs="Arial" w:eastAsia="Arial" w:hAnsi="Arial"/>
                <w:sz w:val="16"/>
                <w:szCs w:val="16"/>
                <w:b w:val="1"/>
                <w:bCs w:val="1"/>
                <w:color w:val="FFFFFF"/>
              </w:rPr>
              <w:t>  Name</w:t>
            </w:r>
          </w:p>
        </w:tc>
        <w:tc>
          <w:tcPr>
            <w:tcW w:w="1480" w:type="dxa"/>
            <w:vAlign w:val="bottom"/>
            <w:tcBorders>
              <w:bottom w:val="single" w:sz="8" w:color="D64000"/>
              <w:right w:val="single" w:sz="8" w:color="1F473D"/>
            </w:tcBorders>
            <w:shd w:val="clear" w:color="auto" w:fill="1F473D"/>
          </w:tcPr>
          <w:p>
            <w:pPr>
              <w:jc w:val="right"/>
              <w:ind w:right="40"/>
              <w:spacing w:after="0" w:line="214"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1</w:t>
            </w:r>
          </w:p>
        </w:tc>
        <w:tc>
          <w:tcPr>
            <w:tcW w:w="1100" w:type="dxa"/>
            <w:vAlign w:val="bottom"/>
            <w:tcBorders>
              <w:bottom w:val="single" w:sz="8" w:color="D64000"/>
              <w:right w:val="single" w:sz="8" w:color="B2B2B2"/>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At year end</w:t>
            </w:r>
          </w:p>
        </w:tc>
        <w:tc>
          <w:tcPr>
            <w:tcW w:w="940" w:type="dxa"/>
            <w:vAlign w:val="bottom"/>
            <w:tcBorders>
              <w:bottom w:val="single" w:sz="8" w:color="D64000"/>
              <w:right w:val="single" w:sz="8" w:color="1F473D"/>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At age 65</w:t>
            </w:r>
          </w:p>
        </w:tc>
        <w:tc>
          <w:tcPr>
            <w:tcW w:w="1520" w:type="dxa"/>
            <w:vAlign w:val="bottom"/>
            <w:tcBorders>
              <w:bottom w:val="single" w:sz="8" w:color="D64000"/>
              <w:right w:val="single" w:sz="8" w:color="B2B2B2"/>
            </w:tcBorders>
            <w:shd w:val="clear" w:color="auto" w:fill="1F473D"/>
          </w:tcPr>
          <w:p>
            <w:pPr>
              <w:jc w:val="right"/>
              <w:ind w:right="40"/>
              <w:spacing w:after="0" w:line="214" w:lineRule="exact"/>
              <w:rPr>
                <w:sz w:val="20"/>
                <w:szCs w:val="20"/>
                <w:color w:val="auto"/>
              </w:rPr>
            </w:pPr>
            <w:r>
              <w:rPr>
                <w:rFonts w:ascii="Arial" w:cs="Arial" w:eastAsia="Arial" w:hAnsi="Arial"/>
                <w:sz w:val="16"/>
                <w:szCs w:val="16"/>
                <w:b w:val="1"/>
                <w:bCs w:val="1"/>
                <w:color w:val="FFFFFF"/>
              </w:rPr>
              <w:t>obligation ($)</w:t>
            </w:r>
            <w:r>
              <w:rPr>
                <w:rFonts w:ascii="Arial" w:cs="Arial" w:eastAsia="Arial" w:hAnsi="Arial"/>
                <w:sz w:val="24"/>
                <w:szCs w:val="24"/>
                <w:b w:val="1"/>
                <w:bCs w:val="1"/>
                <w:color w:val="FFFFFF"/>
                <w:vertAlign w:val="superscript"/>
              </w:rPr>
              <w:t>3</w:t>
            </w:r>
          </w:p>
        </w:tc>
        <w:tc>
          <w:tcPr>
            <w:tcW w:w="1360" w:type="dxa"/>
            <w:vAlign w:val="bottom"/>
            <w:tcBorders>
              <w:bottom w:val="single" w:sz="8" w:color="D64000"/>
              <w:right w:val="single" w:sz="8" w:color="1F473D"/>
            </w:tcBorders>
            <w:shd w:val="clear" w:color="auto" w:fill="1F473D"/>
          </w:tcPr>
          <w:p>
            <w:pPr>
              <w:jc w:val="right"/>
              <w:ind w:right="40"/>
              <w:spacing w:after="0" w:line="214" w:lineRule="exact"/>
              <w:rPr>
                <w:sz w:val="20"/>
                <w:szCs w:val="20"/>
                <w:color w:val="auto"/>
              </w:rPr>
            </w:pPr>
            <w:r>
              <w:rPr>
                <w:rFonts w:ascii="Arial" w:cs="Arial" w:eastAsia="Arial" w:hAnsi="Arial"/>
                <w:sz w:val="16"/>
                <w:szCs w:val="16"/>
                <w:b w:val="1"/>
                <w:bCs w:val="1"/>
                <w:color w:val="FFFFFF"/>
              </w:rPr>
              <w:t>change ($)</w:t>
            </w:r>
            <w:r>
              <w:rPr>
                <w:rFonts w:ascii="Arial" w:cs="Arial" w:eastAsia="Arial" w:hAnsi="Arial"/>
                <w:sz w:val="24"/>
                <w:szCs w:val="24"/>
                <w:b w:val="1"/>
                <w:bCs w:val="1"/>
                <w:color w:val="FFFFFF"/>
                <w:vertAlign w:val="superscript"/>
              </w:rPr>
              <w:t>4</w:t>
            </w:r>
          </w:p>
        </w:tc>
        <w:tc>
          <w:tcPr>
            <w:tcW w:w="1380" w:type="dxa"/>
            <w:vAlign w:val="bottom"/>
            <w:tcBorders>
              <w:bottom w:val="single" w:sz="8" w:color="D64000"/>
              <w:right w:val="single" w:sz="8" w:color="B2B2B2"/>
            </w:tcBorders>
            <w:shd w:val="clear" w:color="auto" w:fill="1F473D"/>
          </w:tcPr>
          <w:p>
            <w:pPr>
              <w:jc w:val="right"/>
              <w:ind w:right="80"/>
              <w:spacing w:after="0" w:line="214" w:lineRule="exact"/>
              <w:rPr>
                <w:sz w:val="20"/>
                <w:szCs w:val="20"/>
                <w:color w:val="auto"/>
              </w:rPr>
            </w:pPr>
            <w:r>
              <w:rPr>
                <w:rFonts w:ascii="Arial" w:cs="Arial" w:eastAsia="Arial" w:hAnsi="Arial"/>
                <w:sz w:val="16"/>
                <w:szCs w:val="16"/>
                <w:b w:val="1"/>
                <w:bCs w:val="1"/>
                <w:color w:val="FFFFFF"/>
              </w:rPr>
              <w:t>change ($)</w:t>
            </w:r>
            <w:r>
              <w:rPr>
                <w:rFonts w:ascii="Arial" w:cs="Arial" w:eastAsia="Arial" w:hAnsi="Arial"/>
                <w:sz w:val="24"/>
                <w:szCs w:val="24"/>
                <w:b w:val="1"/>
                <w:bCs w:val="1"/>
                <w:color w:val="FFFFFF"/>
                <w:vertAlign w:val="superscript"/>
              </w:rPr>
              <w:t>5</w:t>
            </w:r>
          </w:p>
        </w:tc>
        <w:tc>
          <w:tcPr>
            <w:tcW w:w="1440" w:type="dxa"/>
            <w:vAlign w:val="bottom"/>
            <w:tcBorders>
              <w:bottom w:val="single" w:sz="8" w:color="D64000"/>
            </w:tcBorders>
            <w:shd w:val="clear" w:color="auto" w:fill="1F473D"/>
          </w:tcPr>
          <w:p>
            <w:pPr>
              <w:jc w:val="right"/>
              <w:ind w:right="20"/>
              <w:spacing w:after="0" w:line="214" w:lineRule="exact"/>
              <w:rPr>
                <w:sz w:val="20"/>
                <w:szCs w:val="20"/>
                <w:color w:val="auto"/>
              </w:rPr>
            </w:pPr>
            <w:r>
              <w:rPr>
                <w:rFonts w:ascii="Arial" w:cs="Arial" w:eastAsia="Arial" w:hAnsi="Arial"/>
                <w:sz w:val="16"/>
                <w:szCs w:val="16"/>
                <w:b w:val="1"/>
                <w:bCs w:val="1"/>
                <w:color w:val="FFFFFF"/>
              </w:rPr>
              <w:t>obligation ($)</w:t>
            </w:r>
            <w:r>
              <w:rPr>
                <w:rFonts w:ascii="Arial" w:cs="Arial" w:eastAsia="Arial" w:hAnsi="Arial"/>
                <w:sz w:val="24"/>
                <w:szCs w:val="24"/>
                <w:b w:val="1"/>
                <w:bCs w:val="1"/>
                <w:color w:val="FFFFFF"/>
                <w:vertAlign w:val="superscript"/>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Mike Eastwood</w:t>
            </w:r>
          </w:p>
        </w:tc>
        <w:tc>
          <w:tcPr>
            <w:tcW w:w="14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13.58</w:t>
            </w:r>
          </w:p>
        </w:tc>
        <w:tc>
          <w:tcPr>
            <w:tcW w:w="11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58,000</w:t>
            </w:r>
          </w:p>
        </w:tc>
        <w:tc>
          <w:tcPr>
            <w:tcW w:w="94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58,000</w:t>
            </w:r>
          </w:p>
        </w:tc>
        <w:tc>
          <w:tcPr>
            <w:tcW w:w="152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475,000</w:t>
            </w:r>
          </w:p>
        </w:tc>
        <w:tc>
          <w:tcPr>
            <w:tcW w:w="136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B2B2B2"/>
            </w:tcBorders>
          </w:tcPr>
          <w:p>
            <w:pPr>
              <w:jc w:val="right"/>
              <w:ind w:right="80"/>
              <w:spacing w:after="0"/>
              <w:rPr>
                <w:sz w:val="20"/>
                <w:szCs w:val="20"/>
                <w:color w:val="auto"/>
              </w:rPr>
            </w:pPr>
            <w:r>
              <w:rPr>
                <w:rFonts w:ascii="Arial" w:cs="Arial" w:eastAsia="Arial" w:hAnsi="Arial"/>
                <w:sz w:val="16"/>
                <w:szCs w:val="16"/>
                <w:color w:val="auto"/>
              </w:rPr>
              <w:t>42,000</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517,000</w:t>
            </w:r>
          </w:p>
        </w:tc>
        <w:tc>
          <w:tcPr>
            <w:tcW w:w="0" w:type="dxa"/>
            <w:vAlign w:val="bottom"/>
          </w:tcPr>
          <w:p>
            <w:pPr>
              <w:spacing w:after="0"/>
              <w:rPr>
                <w:sz w:val="1"/>
                <w:szCs w:val="1"/>
                <w:color w:val="auto"/>
              </w:rPr>
            </w:pPr>
          </w:p>
        </w:tc>
      </w:tr>
      <w:tr>
        <w:trPr>
          <w:trHeight w:val="46"/>
        </w:trPr>
        <w:tc>
          <w:tcPr>
            <w:tcW w:w="1700" w:type="dxa"/>
            <w:vAlign w:val="bottom"/>
            <w:tcBorders>
              <w:bottom w:val="single" w:sz="8" w:color="B2B2B2"/>
              <w:right w:val="single" w:sz="8" w:color="B2B2B2"/>
            </w:tcBorders>
            <w:gridSpan w:val="2"/>
          </w:tcPr>
          <w:p>
            <w:pPr>
              <w:spacing w:after="0"/>
              <w:rPr>
                <w:sz w:val="4"/>
                <w:szCs w:val="4"/>
                <w:color w:val="auto"/>
              </w:rPr>
            </w:pPr>
          </w:p>
        </w:tc>
        <w:tc>
          <w:tcPr>
            <w:tcW w:w="1480" w:type="dxa"/>
            <w:vAlign w:val="bottom"/>
            <w:tcBorders>
              <w:bottom w:val="single" w:sz="8" w:color="B2B2B2"/>
              <w:right w:val="single" w:sz="8" w:color="B2B2B2"/>
            </w:tcBorders>
          </w:tcPr>
          <w:p>
            <w:pPr>
              <w:spacing w:after="0"/>
              <w:rPr>
                <w:sz w:val="4"/>
                <w:szCs w:val="4"/>
                <w:color w:val="auto"/>
              </w:rPr>
            </w:pPr>
          </w:p>
        </w:tc>
        <w:tc>
          <w:tcPr>
            <w:tcW w:w="1100" w:type="dxa"/>
            <w:vAlign w:val="bottom"/>
            <w:tcBorders>
              <w:bottom w:val="single" w:sz="8" w:color="B2B2B2"/>
              <w:right w:val="single" w:sz="8" w:color="B2B2B2"/>
            </w:tcBorders>
          </w:tcPr>
          <w:p>
            <w:pPr>
              <w:spacing w:after="0"/>
              <w:rPr>
                <w:sz w:val="4"/>
                <w:szCs w:val="4"/>
                <w:color w:val="auto"/>
              </w:rPr>
            </w:pPr>
          </w:p>
        </w:tc>
        <w:tc>
          <w:tcPr>
            <w:tcW w:w="940" w:type="dxa"/>
            <w:vAlign w:val="bottom"/>
            <w:tcBorders>
              <w:bottom w:val="single" w:sz="8" w:color="B2B2B2"/>
              <w:right w:val="single" w:sz="8" w:color="B2B2B2"/>
            </w:tcBorders>
          </w:tcPr>
          <w:p>
            <w:pPr>
              <w:spacing w:after="0"/>
              <w:rPr>
                <w:sz w:val="4"/>
                <w:szCs w:val="4"/>
                <w:color w:val="auto"/>
              </w:rPr>
            </w:pPr>
          </w:p>
        </w:tc>
        <w:tc>
          <w:tcPr>
            <w:tcW w:w="1520" w:type="dxa"/>
            <w:vAlign w:val="bottom"/>
            <w:tcBorders>
              <w:bottom w:val="single" w:sz="8" w:color="B2B2B2"/>
              <w:right w:val="single" w:sz="8" w:color="B2B2B2"/>
            </w:tcBorders>
          </w:tcPr>
          <w:p>
            <w:pPr>
              <w:spacing w:after="0"/>
              <w:rPr>
                <w:sz w:val="4"/>
                <w:szCs w:val="4"/>
                <w:color w:val="auto"/>
              </w:rPr>
            </w:pPr>
          </w:p>
        </w:tc>
        <w:tc>
          <w:tcPr>
            <w:tcW w:w="1360" w:type="dxa"/>
            <w:vAlign w:val="bottom"/>
            <w:tcBorders>
              <w:bottom w:val="single" w:sz="8" w:color="B2B2B2"/>
              <w:right w:val="single" w:sz="8" w:color="B2B2B2"/>
            </w:tcBorders>
          </w:tcPr>
          <w:p>
            <w:pPr>
              <w:spacing w:after="0"/>
              <w:rPr>
                <w:sz w:val="4"/>
                <w:szCs w:val="4"/>
                <w:color w:val="auto"/>
              </w:rPr>
            </w:pPr>
          </w:p>
        </w:tc>
        <w:tc>
          <w:tcPr>
            <w:tcW w:w="1380" w:type="dxa"/>
            <w:vAlign w:val="bottom"/>
            <w:tcBorders>
              <w:bottom w:val="single" w:sz="8" w:color="B2B2B2"/>
              <w:right w:val="single" w:sz="8" w:color="B2B2B2"/>
            </w:tcBorders>
          </w:tcPr>
          <w:p>
            <w:pPr>
              <w:spacing w:after="0"/>
              <w:rPr>
                <w:sz w:val="4"/>
                <w:szCs w:val="4"/>
                <w:color w:val="auto"/>
              </w:rPr>
            </w:pPr>
          </w:p>
        </w:tc>
        <w:tc>
          <w:tcPr>
            <w:tcW w:w="144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7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Kirsty Roth</w:t>
            </w:r>
          </w:p>
        </w:tc>
        <w:tc>
          <w:tcPr>
            <w:tcW w:w="14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5.33</w:t>
            </w:r>
          </w:p>
        </w:tc>
        <w:tc>
          <w:tcPr>
            <w:tcW w:w="110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68,435</w:t>
            </w:r>
          </w:p>
        </w:tc>
        <w:tc>
          <w:tcPr>
            <w:tcW w:w="94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254,726</w:t>
            </w:r>
          </w:p>
        </w:tc>
        <w:tc>
          <w:tcPr>
            <w:tcW w:w="152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1,249,189</w:t>
            </w:r>
          </w:p>
        </w:tc>
        <w:tc>
          <w:tcPr>
            <w:tcW w:w="136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150,254</w:t>
            </w:r>
          </w:p>
        </w:tc>
        <w:tc>
          <w:tcPr>
            <w:tcW w:w="1380" w:type="dxa"/>
            <w:vAlign w:val="bottom"/>
            <w:tcBorders>
              <w:right w:val="single" w:sz="8" w:color="B2B2B2"/>
            </w:tcBorders>
          </w:tcPr>
          <w:p>
            <w:pPr>
              <w:jc w:val="right"/>
              <w:ind w:right="40"/>
              <w:spacing w:after="0"/>
              <w:rPr>
                <w:sz w:val="20"/>
                <w:szCs w:val="20"/>
                <w:color w:val="auto"/>
              </w:rPr>
            </w:pPr>
            <w:r>
              <w:rPr>
                <w:rFonts w:ascii="Arial" w:cs="Arial" w:eastAsia="Arial" w:hAnsi="Arial"/>
                <w:sz w:val="16"/>
                <w:szCs w:val="16"/>
                <w:color w:val="auto"/>
              </w:rPr>
              <w:t>(96,733)</w:t>
            </w: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1,302,711</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80" w:type="dxa"/>
            <w:vAlign w:val="bottom"/>
            <w:tcBorders>
              <w:bottom w:val="single" w:sz="8" w:color="D64000"/>
              <w:right w:val="single" w:sz="8" w:color="B2B2B2"/>
            </w:tcBorders>
          </w:tcPr>
          <w:p>
            <w:pPr>
              <w:spacing w:after="0"/>
              <w:rPr>
                <w:sz w:val="6"/>
                <w:szCs w:val="6"/>
                <w:color w:val="auto"/>
              </w:rPr>
            </w:pPr>
          </w:p>
        </w:tc>
        <w:tc>
          <w:tcPr>
            <w:tcW w:w="1480" w:type="dxa"/>
            <w:vAlign w:val="bottom"/>
            <w:tcBorders>
              <w:bottom w:val="single" w:sz="8" w:color="D64000"/>
              <w:right w:val="single" w:sz="8" w:color="B2B2B2"/>
            </w:tcBorders>
          </w:tcPr>
          <w:p>
            <w:pPr>
              <w:spacing w:after="0"/>
              <w:rPr>
                <w:sz w:val="6"/>
                <w:szCs w:val="6"/>
                <w:color w:val="auto"/>
              </w:rPr>
            </w:pPr>
          </w:p>
        </w:tc>
        <w:tc>
          <w:tcPr>
            <w:tcW w:w="1100" w:type="dxa"/>
            <w:vAlign w:val="bottom"/>
            <w:tcBorders>
              <w:bottom w:val="single" w:sz="8" w:color="D64000"/>
              <w:right w:val="single" w:sz="8" w:color="B2B2B2"/>
            </w:tcBorders>
          </w:tcPr>
          <w:p>
            <w:pPr>
              <w:spacing w:after="0"/>
              <w:rPr>
                <w:sz w:val="6"/>
                <w:szCs w:val="6"/>
                <w:color w:val="auto"/>
              </w:rPr>
            </w:pPr>
          </w:p>
        </w:tc>
        <w:tc>
          <w:tcPr>
            <w:tcW w:w="940" w:type="dxa"/>
            <w:vAlign w:val="bottom"/>
            <w:tcBorders>
              <w:bottom w:val="single" w:sz="8" w:color="D64000"/>
              <w:right w:val="single" w:sz="8" w:color="B2B2B2"/>
            </w:tcBorders>
          </w:tcPr>
          <w:p>
            <w:pPr>
              <w:spacing w:after="0"/>
              <w:rPr>
                <w:sz w:val="6"/>
                <w:szCs w:val="6"/>
                <w:color w:val="auto"/>
              </w:rPr>
            </w:pPr>
          </w:p>
        </w:tc>
        <w:tc>
          <w:tcPr>
            <w:tcW w:w="1520" w:type="dxa"/>
            <w:vAlign w:val="bottom"/>
            <w:tcBorders>
              <w:bottom w:val="single" w:sz="8" w:color="D64000"/>
              <w:right w:val="single" w:sz="8" w:color="B2B2B2"/>
            </w:tcBorders>
          </w:tcPr>
          <w:p>
            <w:pPr>
              <w:spacing w:after="0"/>
              <w:rPr>
                <w:sz w:val="6"/>
                <w:szCs w:val="6"/>
                <w:color w:val="auto"/>
              </w:rPr>
            </w:pPr>
          </w:p>
        </w:tc>
        <w:tc>
          <w:tcPr>
            <w:tcW w:w="1360" w:type="dxa"/>
            <w:vAlign w:val="bottom"/>
            <w:tcBorders>
              <w:bottom w:val="single" w:sz="8" w:color="D64000"/>
              <w:right w:val="single" w:sz="8" w:color="B2B2B2"/>
            </w:tcBorders>
          </w:tcPr>
          <w:p>
            <w:pPr>
              <w:spacing w:after="0"/>
              <w:rPr>
                <w:sz w:val="6"/>
                <w:szCs w:val="6"/>
                <w:color w:val="auto"/>
              </w:rPr>
            </w:pPr>
          </w:p>
        </w:tc>
        <w:tc>
          <w:tcPr>
            <w:tcW w:w="1380" w:type="dxa"/>
            <w:vAlign w:val="bottom"/>
            <w:tcBorders>
              <w:bottom w:val="single" w:sz="8" w:color="D64000"/>
              <w:right w:val="single" w:sz="8" w:color="B2B2B2"/>
            </w:tcBorders>
          </w:tcPr>
          <w:p>
            <w:pPr>
              <w:spacing w:after="0"/>
              <w:rPr>
                <w:sz w:val="6"/>
                <w:szCs w:val="6"/>
                <w:color w:val="auto"/>
              </w:rPr>
            </w:pPr>
          </w:p>
        </w:tc>
        <w:tc>
          <w:tcPr>
            <w:tcW w:w="1440" w:type="dxa"/>
            <w:vAlign w:val="bottom"/>
            <w:tcBorders>
              <w:bottom w:val="single" w:sz="8" w:color="D6400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right="40" w:hanging="213"/>
        <w:spacing w:after="0" w:line="268" w:lineRule="auto"/>
        <w:tabs>
          <w:tab w:leader="none" w:pos="2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Kirsty Roth has 5.33 years of credited service with Thomson Reuters for her pension plan benefit and an additional 6.0 years of credit service that she earned while participating in a prior employer’s pension plan and which was transferred into the Thomson Reuters plan during 2021. The table above only reflects amounts earned by Kirsty at Thomson Reuters.</w:t>
      </w:r>
    </w:p>
    <w:p>
      <w:pPr>
        <w:ind w:left="220" w:right="40" w:hanging="213"/>
        <w:spacing w:after="0" w:line="256" w:lineRule="auto"/>
        <w:tabs>
          <w:tab w:leader="none" w:pos="22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Annual benefits payable at year-end represent the estimated pension earned for all service up to December 31, 2022 for the pension plan and Retirement Plus Plan. Benefits payable at year-end do not include any reduction that may apply if a named executive officer retires prior to his or her normal retirement date and are payable on a single life annuity benefit. Since the plans were frozen effective December 31, 2022, the benefits payable at age 65 are the same as the benefits payable at year-end.</w:t>
      </w:r>
    </w:p>
    <w:p>
      <w:pPr>
        <w:spacing w:after="0" w:line="3" w:lineRule="exact"/>
        <w:rPr>
          <w:sz w:val="20"/>
          <w:szCs w:val="20"/>
          <w:color w:val="auto"/>
        </w:rPr>
      </w:pPr>
    </w:p>
    <w:p>
      <w:pPr>
        <w:ind w:left="220" w:right="40" w:hanging="213"/>
        <w:spacing w:after="0" w:line="244" w:lineRule="auto"/>
        <w:tabs>
          <w:tab w:leader="none" w:pos="2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 xml:space="preserve">For Mike Eastwood, the accrued obligation, as of December 31, 2024 represents the estimated value of the projected pension benefit from the pension plan and Retirement Plus plan, earned for all service through December 31, 2022 (the pension freeze date). The key assumptions include a discount rate of 5.65% and the Pri 2012 mortality table with MP2021 generational improvement scale. For Kirsty Roth, the amount is based on December 31, 2024, IAS 19, </w:t>
      </w:r>
      <w:r>
        <w:rPr>
          <w:rFonts w:ascii="Arial" w:cs="Arial" w:eastAsia="Arial" w:hAnsi="Arial"/>
          <w:sz w:val="13"/>
          <w:szCs w:val="13"/>
          <w:i w:val="1"/>
          <w:iCs w:val="1"/>
          <w:color w:val="auto"/>
        </w:rPr>
        <w:t>Employee Benefits</w:t>
      </w:r>
      <w:r>
        <w:rPr>
          <w:rFonts w:ascii="Arial" w:cs="Arial" w:eastAsia="Arial" w:hAnsi="Arial"/>
          <w:sz w:val="13"/>
          <w:szCs w:val="13"/>
          <w:color w:val="auto"/>
        </w:rPr>
        <w:t xml:space="preserve"> reporting assumptions. The key assumptions are a discount rate of 0.75%, a rate of compensation increase of 2.25%, a cash balance interest crediting rate of 3.30%, and the BVG 2020 mortality with CMI mortality improvements including a long-term rate of 1.50% per year. Value is based on benefits earned during employment with Thomson Reuters, not including amounts transferred in from prior employers.</w:t>
      </w:r>
    </w:p>
    <w:p>
      <w:pPr>
        <w:spacing w:after="0" w:line="163" w:lineRule="exact"/>
        <w:rPr>
          <w:sz w:val="20"/>
          <w:szCs w:val="20"/>
          <w:color w:val="auto"/>
        </w:rPr>
      </w:pPr>
    </w:p>
    <w:p>
      <w:pPr>
        <w:ind w:left="220" w:hanging="213"/>
        <w:spacing w:after="0" w:line="249" w:lineRule="auto"/>
        <w:tabs>
          <w:tab w:leader="none" w:pos="2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 xml:space="preserve">The amount shown above includes service cost (with interest to end of year) plus plan changes and differences between actual and estimated earnings. For Kirsty Roth, the compensatory change reflects the present value of the company contribution of CHF 111,952, projected until retirement at a growth rate of 3.30% and discounted back to current age at a rate of 1.20% and other actuarial assumptions in accordance with IAS, </w:t>
      </w:r>
      <w:r>
        <w:rPr>
          <w:rFonts w:ascii="Arial" w:cs="Arial" w:eastAsia="Arial" w:hAnsi="Arial"/>
          <w:sz w:val="13"/>
          <w:szCs w:val="13"/>
          <w:i w:val="1"/>
          <w:iCs w:val="1"/>
          <w:color w:val="auto"/>
        </w:rPr>
        <w:t>Employee Benefits</w:t>
      </w:r>
      <w:r>
        <w:rPr>
          <w:rFonts w:ascii="Arial" w:cs="Arial" w:eastAsia="Arial" w:hAnsi="Arial"/>
          <w:sz w:val="13"/>
          <w:szCs w:val="13"/>
          <w:color w:val="auto"/>
        </w:rPr>
        <w:t>; as well as the change in the present value of her benefits due to a plan change adopted during 2024 which increased the retirement age under the plan from age 62 to age 65.</w:t>
      </w:r>
    </w:p>
    <w:p>
      <w:pPr>
        <w:spacing w:after="0" w:line="8" w:lineRule="exact"/>
        <w:rPr>
          <w:sz w:val="20"/>
          <w:szCs w:val="20"/>
          <w:color w:val="auto"/>
        </w:rPr>
      </w:pPr>
    </w:p>
    <w:p>
      <w:pPr>
        <w:ind w:left="220" w:right="220" w:hanging="213"/>
        <w:spacing w:after="0" w:line="249" w:lineRule="auto"/>
        <w:tabs>
          <w:tab w:leader="none" w:pos="2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For Mike Eastwood, the amount shown above includes the interest cost on the accrued obligation, and the impact of the change in discount rate from 5.65% to 5.45%. For Kirsty Roth, the amount shown includes interest on the opening present value of the defined benefit obligation, the impact of the change in discount rate from 0.75% to 1.20%, in cash balance interest crediting rate from 3.30% to 2.20% and in the compensation increase assumption from 2.25% to 2.00% and the value of the member’s contributions into the plan during the year.</w:t>
      </w:r>
    </w:p>
    <w:p>
      <w:pPr>
        <w:spacing w:after="0" w:line="8" w:lineRule="exact"/>
        <w:rPr>
          <w:sz w:val="20"/>
          <w:szCs w:val="20"/>
          <w:color w:val="auto"/>
        </w:rPr>
      </w:pPr>
    </w:p>
    <w:p>
      <w:pPr>
        <w:ind w:left="220" w:right="240" w:hanging="213"/>
        <w:spacing w:after="0" w:line="246" w:lineRule="auto"/>
        <w:tabs>
          <w:tab w:leader="none" w:pos="2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For Mike Eastwood, the accrued obligation as of December 31, 2025 represents the estimated value of the projected pension benefit from the pension plan and Retirement Plus plan, earned for all service through December 31, 2022. The key assumptions include a discount rate of 5.45% and the Pri2012 mortality table with MP2021 generational improvement scale. For Kirsty Roth, the amount is based on December 31, 2025 IAS 19, </w:t>
      </w:r>
      <w:r>
        <w:rPr>
          <w:rFonts w:ascii="Arial" w:cs="Arial" w:eastAsia="Arial" w:hAnsi="Arial"/>
          <w:sz w:val="13"/>
          <w:szCs w:val="13"/>
          <w:i w:val="1"/>
          <w:iCs w:val="1"/>
          <w:color w:val="auto"/>
        </w:rPr>
        <w:t>Employee Benefits</w:t>
      </w:r>
      <w:r>
        <w:rPr>
          <w:rFonts w:ascii="Arial" w:cs="Arial" w:eastAsia="Arial" w:hAnsi="Arial"/>
          <w:sz w:val="13"/>
          <w:szCs w:val="13"/>
          <w:color w:val="auto"/>
        </w:rPr>
        <w:t xml:space="preserve"> reporting assumptions. The key assumptions are a discount rate of 1.20%, a rate of compensation increase of 2.00%, a cash balance interest crediting rate of 2.20%, and the BVG 2020 mortality with CMI mortality improvements including a long-term rate of 1.50% per year. Value is based on benefits earned during employment with Thomson Reuters, not including amounts transferred in from prior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69297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4"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88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98" w:name="page99"/>
    <w:bookmarkEnd w:id="98"/>
    <w:p>
      <w:pPr>
        <w:spacing w:after="0"/>
        <w:rPr>
          <w:sz w:val="20"/>
          <w:szCs w:val="20"/>
          <w:color w:val="auto"/>
        </w:rPr>
      </w:pPr>
      <w:r>
        <w:rPr>
          <w:rFonts w:ascii="Arial" w:cs="Arial" w:eastAsia="Arial" w:hAnsi="Arial"/>
          <w:sz w:val="25"/>
          <w:szCs w:val="25"/>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Defined Contribution Plans</w:t>
      </w:r>
    </w:p>
    <w:p>
      <w:pPr>
        <w:spacing w:after="0" w:line="103"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Steve Hasker, Mike Eastwood, and David Wong participate in a Canadian defined contribution pension plan (DCPP). Our company contributes 15% of each of their base salary to their individual DCPP account, up to the Canada Income Tax Act (ITA) contribution limit (C$33,810 in 2025). Once the ITA limit is reached, the 15% allocation continues in a Supplemental Retirement Plan (SRP), where a notional account is tracked and held in the executive’s name. There is no cap to the dollar value that can be allocated to the SRP. In 2025, Steve, Mike, and David received SRP allocations of C$202,752, C$108,690, and C$93,690, respectively. The following table sets forth information related to Steve, Mike, and David’s participation in the DCPP and SRP.</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0" w:type="dxa"/>
            <w:vAlign w:val="bottom"/>
            <w:shd w:val="clear" w:color="auto" w:fill="1F473D"/>
          </w:tcPr>
          <w:p>
            <w:pPr>
              <w:spacing w:after="0"/>
              <w:rPr>
                <w:sz w:val="19"/>
                <w:szCs w:val="19"/>
                <w:color w:val="auto"/>
              </w:rPr>
            </w:pPr>
          </w:p>
        </w:tc>
        <w:tc>
          <w:tcPr>
            <w:tcW w:w="2940" w:type="dxa"/>
            <w:vAlign w:val="bottom"/>
            <w:shd w:val="clear" w:color="auto" w:fill="1F473D"/>
          </w:tcPr>
          <w:p>
            <w:pPr>
              <w:jc w:val="right"/>
              <w:ind w:right="420"/>
              <w:spacing w:after="0"/>
              <w:rPr>
                <w:sz w:val="20"/>
                <w:szCs w:val="20"/>
                <w:color w:val="auto"/>
              </w:rPr>
            </w:pPr>
            <w:r>
              <w:rPr>
                <w:rFonts w:ascii="Arial" w:cs="Arial" w:eastAsia="Arial" w:hAnsi="Arial"/>
                <w:sz w:val="16"/>
                <w:szCs w:val="16"/>
                <w:b w:val="1"/>
                <w:bCs w:val="1"/>
                <w:color w:val="FFFFFF"/>
              </w:rPr>
              <w:t>Accumulated value</w:t>
            </w:r>
          </w:p>
        </w:tc>
        <w:tc>
          <w:tcPr>
            <w:tcW w:w="2340" w:type="dxa"/>
            <w:vAlign w:val="bottom"/>
            <w:shd w:val="clear" w:color="auto" w:fill="1F473D"/>
          </w:tcPr>
          <w:p>
            <w:pPr>
              <w:spacing w:after="0"/>
              <w:rPr>
                <w:sz w:val="19"/>
                <w:szCs w:val="19"/>
                <w:color w:val="auto"/>
              </w:rPr>
            </w:pPr>
          </w:p>
        </w:tc>
        <w:tc>
          <w:tcPr>
            <w:tcW w:w="2240" w:type="dxa"/>
            <w:vAlign w:val="bottom"/>
            <w:shd w:val="clear" w:color="auto" w:fill="1F473D"/>
          </w:tcPr>
          <w:p>
            <w:pPr>
              <w:jc w:val="right"/>
              <w:spacing w:after="0"/>
              <w:rPr>
                <w:sz w:val="20"/>
                <w:szCs w:val="20"/>
                <w:color w:val="auto"/>
              </w:rPr>
            </w:pPr>
            <w:r>
              <w:rPr>
                <w:rFonts w:ascii="Arial" w:cs="Arial" w:eastAsia="Arial" w:hAnsi="Arial"/>
                <w:sz w:val="16"/>
                <w:szCs w:val="16"/>
                <w:b w:val="1"/>
                <w:bCs w:val="1"/>
                <w:color w:val="FFFFFF"/>
              </w:rPr>
              <w:t>Accumulated value at</w:t>
            </w:r>
          </w:p>
        </w:tc>
      </w:tr>
      <w:tr>
        <w:trPr>
          <w:trHeight w:val="208"/>
        </w:trPr>
        <w:tc>
          <w:tcPr>
            <w:tcW w:w="34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Name</w:t>
            </w:r>
          </w:p>
        </w:tc>
        <w:tc>
          <w:tcPr>
            <w:tcW w:w="2940" w:type="dxa"/>
            <w:vAlign w:val="bottom"/>
            <w:tcBorders>
              <w:bottom w:val="single" w:sz="8" w:color="D64000"/>
            </w:tcBorders>
            <w:shd w:val="clear" w:color="auto" w:fill="1F473D"/>
          </w:tcPr>
          <w:p>
            <w:pPr>
              <w:jc w:val="right"/>
              <w:ind w:right="420"/>
              <w:spacing w:after="0"/>
              <w:rPr>
                <w:sz w:val="20"/>
                <w:szCs w:val="20"/>
                <w:color w:val="auto"/>
              </w:rPr>
            </w:pPr>
            <w:r>
              <w:rPr>
                <w:rFonts w:ascii="Arial" w:cs="Arial" w:eastAsia="Arial" w:hAnsi="Arial"/>
                <w:sz w:val="16"/>
                <w:szCs w:val="16"/>
                <w:b w:val="1"/>
                <w:bCs w:val="1"/>
                <w:color w:val="FFFFFF"/>
              </w:rPr>
              <w:t>at start of year ($)</w:t>
            </w:r>
          </w:p>
        </w:tc>
        <w:tc>
          <w:tcPr>
            <w:tcW w:w="2340" w:type="dxa"/>
            <w:vAlign w:val="bottom"/>
            <w:tcBorders>
              <w:bottom w:val="single" w:sz="8" w:color="D64000"/>
            </w:tcBorders>
            <w:shd w:val="clear" w:color="auto" w:fill="1F473D"/>
          </w:tcPr>
          <w:p>
            <w:pPr>
              <w:jc w:val="right"/>
              <w:ind w:right="400"/>
              <w:spacing w:after="0"/>
              <w:rPr>
                <w:sz w:val="20"/>
                <w:szCs w:val="20"/>
                <w:color w:val="auto"/>
              </w:rPr>
            </w:pPr>
            <w:r>
              <w:rPr>
                <w:rFonts w:ascii="Arial" w:cs="Arial" w:eastAsia="Arial" w:hAnsi="Arial"/>
                <w:sz w:val="16"/>
                <w:szCs w:val="16"/>
                <w:b w:val="1"/>
                <w:bCs w:val="1"/>
                <w:color w:val="FFFFFF"/>
              </w:rPr>
              <w:t>Compensatory ($)</w:t>
            </w:r>
          </w:p>
        </w:tc>
        <w:tc>
          <w:tcPr>
            <w:tcW w:w="2240" w:type="dxa"/>
            <w:vAlign w:val="bottom"/>
            <w:tcBorders>
              <w:bottom w:val="single" w:sz="8" w:color="D64000"/>
            </w:tcBorders>
            <w:shd w:val="clear" w:color="auto" w:fill="1F473D"/>
          </w:tcPr>
          <w:p>
            <w:pPr>
              <w:jc w:val="right"/>
              <w:spacing w:after="0" w:line="201" w:lineRule="exact"/>
              <w:rPr>
                <w:sz w:val="20"/>
                <w:szCs w:val="20"/>
                <w:color w:val="auto"/>
              </w:rPr>
            </w:pPr>
            <w:r>
              <w:rPr>
                <w:rFonts w:ascii="Arial" w:cs="Arial" w:eastAsia="Arial" w:hAnsi="Arial"/>
                <w:sz w:val="15"/>
                <w:szCs w:val="15"/>
                <w:b w:val="1"/>
                <w:bCs w:val="1"/>
                <w:color w:val="FFFFFF"/>
              </w:rPr>
              <w:t>year end ($)</w:t>
            </w:r>
            <w:r>
              <w:rPr>
                <w:rFonts w:ascii="Arial" w:cs="Arial" w:eastAsia="Arial" w:hAnsi="Arial"/>
                <w:sz w:val="23"/>
                <w:szCs w:val="23"/>
                <w:b w:val="1"/>
                <w:bCs w:val="1"/>
                <w:color w:val="FFFFFF"/>
                <w:vertAlign w:val="superscript"/>
              </w:rPr>
              <w:t>1</w:t>
            </w:r>
          </w:p>
        </w:tc>
      </w:tr>
      <w:tr>
        <w:trPr>
          <w:trHeight w:val="221"/>
        </w:trPr>
        <w:tc>
          <w:tcPr>
            <w:tcW w:w="3400" w:type="dxa"/>
            <w:vAlign w:val="bottom"/>
          </w:tcPr>
          <w:p>
            <w:pPr>
              <w:spacing w:after="0"/>
              <w:rPr>
                <w:sz w:val="20"/>
                <w:szCs w:val="20"/>
                <w:color w:val="auto"/>
              </w:rPr>
            </w:pPr>
            <w:r>
              <w:rPr>
                <w:rFonts w:ascii="Arial" w:cs="Arial" w:eastAsia="Arial" w:hAnsi="Arial"/>
                <w:sz w:val="16"/>
                <w:szCs w:val="16"/>
                <w:b w:val="1"/>
                <w:bCs w:val="1"/>
                <w:color w:val="auto"/>
              </w:rPr>
              <w:t>  Steve Hasker</w:t>
            </w:r>
          </w:p>
        </w:tc>
        <w:tc>
          <w:tcPr>
            <w:tcW w:w="2940" w:type="dxa"/>
            <w:vAlign w:val="bottom"/>
          </w:tcPr>
          <w:p>
            <w:pPr>
              <w:jc w:val="right"/>
              <w:ind w:right="420"/>
              <w:spacing w:after="0"/>
              <w:rPr>
                <w:sz w:val="20"/>
                <w:szCs w:val="20"/>
                <w:color w:val="auto"/>
              </w:rPr>
            </w:pPr>
            <w:r>
              <w:rPr>
                <w:rFonts w:ascii="Arial" w:cs="Arial" w:eastAsia="Arial" w:hAnsi="Arial"/>
                <w:sz w:val="16"/>
                <w:szCs w:val="16"/>
                <w:color w:val="auto"/>
              </w:rPr>
              <w:t>665,480</w:t>
            </w:r>
          </w:p>
        </w:tc>
        <w:tc>
          <w:tcPr>
            <w:tcW w:w="2340" w:type="dxa"/>
            <w:vAlign w:val="bottom"/>
          </w:tcPr>
          <w:p>
            <w:pPr>
              <w:jc w:val="right"/>
              <w:ind w:right="400"/>
              <w:spacing w:after="0"/>
              <w:rPr>
                <w:sz w:val="20"/>
                <w:szCs w:val="20"/>
                <w:color w:val="auto"/>
              </w:rPr>
            </w:pPr>
            <w:r>
              <w:rPr>
                <w:rFonts w:ascii="Arial" w:cs="Arial" w:eastAsia="Arial" w:hAnsi="Arial"/>
                <w:sz w:val="16"/>
                <w:szCs w:val="16"/>
                <w:color w:val="auto"/>
              </w:rPr>
              <w:t>160,610</w:t>
            </w:r>
          </w:p>
        </w:tc>
        <w:tc>
          <w:tcPr>
            <w:tcW w:w="2240" w:type="dxa"/>
            <w:vAlign w:val="bottom"/>
          </w:tcPr>
          <w:p>
            <w:pPr>
              <w:jc w:val="right"/>
              <w:spacing w:after="0"/>
              <w:rPr>
                <w:sz w:val="20"/>
                <w:szCs w:val="20"/>
                <w:color w:val="auto"/>
              </w:rPr>
            </w:pPr>
            <w:r>
              <w:rPr>
                <w:rFonts w:ascii="Arial" w:cs="Arial" w:eastAsia="Arial" w:hAnsi="Arial"/>
                <w:sz w:val="16"/>
                <w:szCs w:val="16"/>
                <w:color w:val="auto"/>
              </w:rPr>
              <w:t>943,815</w:t>
            </w:r>
          </w:p>
        </w:tc>
      </w:tr>
      <w:tr>
        <w:trPr>
          <w:trHeight w:val="73"/>
        </w:trPr>
        <w:tc>
          <w:tcPr>
            <w:tcW w:w="3400" w:type="dxa"/>
            <w:vAlign w:val="bottom"/>
            <w:tcBorders>
              <w:bottom w:val="single" w:sz="8" w:color="B2B2B2"/>
            </w:tcBorders>
          </w:tcPr>
          <w:p>
            <w:pPr>
              <w:spacing w:after="0"/>
              <w:rPr>
                <w:sz w:val="6"/>
                <w:szCs w:val="6"/>
                <w:color w:val="auto"/>
              </w:rPr>
            </w:pPr>
          </w:p>
        </w:tc>
        <w:tc>
          <w:tcPr>
            <w:tcW w:w="2940" w:type="dxa"/>
            <w:vAlign w:val="bottom"/>
            <w:tcBorders>
              <w:bottom w:val="single" w:sz="8" w:color="B2B2B2"/>
            </w:tcBorders>
          </w:tcPr>
          <w:p>
            <w:pPr>
              <w:spacing w:after="0"/>
              <w:rPr>
                <w:sz w:val="6"/>
                <w:szCs w:val="6"/>
                <w:color w:val="auto"/>
              </w:rPr>
            </w:pPr>
          </w:p>
        </w:tc>
        <w:tc>
          <w:tcPr>
            <w:tcW w:w="2340" w:type="dxa"/>
            <w:vAlign w:val="bottom"/>
            <w:tcBorders>
              <w:bottom w:val="single" w:sz="8" w:color="B2B2B2"/>
            </w:tcBorders>
          </w:tcPr>
          <w:p>
            <w:pPr>
              <w:spacing w:after="0"/>
              <w:rPr>
                <w:sz w:val="6"/>
                <w:szCs w:val="6"/>
                <w:color w:val="auto"/>
              </w:rPr>
            </w:pPr>
          </w:p>
        </w:tc>
        <w:tc>
          <w:tcPr>
            <w:tcW w:w="2240" w:type="dxa"/>
            <w:vAlign w:val="bottom"/>
            <w:tcBorders>
              <w:bottom w:val="single" w:sz="8" w:color="B2B2B2"/>
            </w:tcBorders>
          </w:tcPr>
          <w:p>
            <w:pPr>
              <w:spacing w:after="0"/>
              <w:rPr>
                <w:sz w:val="6"/>
                <w:szCs w:val="6"/>
                <w:color w:val="auto"/>
              </w:rPr>
            </w:pPr>
          </w:p>
        </w:tc>
      </w:tr>
      <w:tr>
        <w:trPr>
          <w:trHeight w:val="215"/>
        </w:trPr>
        <w:tc>
          <w:tcPr>
            <w:tcW w:w="3400" w:type="dxa"/>
            <w:vAlign w:val="bottom"/>
          </w:tcPr>
          <w:p>
            <w:pPr>
              <w:spacing w:after="0"/>
              <w:rPr>
                <w:sz w:val="20"/>
                <w:szCs w:val="20"/>
                <w:color w:val="auto"/>
              </w:rPr>
            </w:pPr>
            <w:r>
              <w:rPr>
                <w:rFonts w:ascii="Arial" w:cs="Arial" w:eastAsia="Arial" w:hAnsi="Arial"/>
                <w:sz w:val="16"/>
                <w:szCs w:val="16"/>
                <w:b w:val="1"/>
                <w:bCs w:val="1"/>
                <w:color w:val="auto"/>
              </w:rPr>
              <w:t>  Mike Eastwood</w:t>
            </w:r>
          </w:p>
        </w:tc>
        <w:tc>
          <w:tcPr>
            <w:tcW w:w="2940" w:type="dxa"/>
            <w:vAlign w:val="bottom"/>
          </w:tcPr>
          <w:p>
            <w:pPr>
              <w:jc w:val="right"/>
              <w:ind w:right="420"/>
              <w:spacing w:after="0"/>
              <w:rPr>
                <w:sz w:val="20"/>
                <w:szCs w:val="20"/>
                <w:color w:val="auto"/>
              </w:rPr>
            </w:pPr>
            <w:r>
              <w:rPr>
                <w:rFonts w:ascii="Arial" w:cs="Arial" w:eastAsia="Arial" w:hAnsi="Arial"/>
                <w:sz w:val="16"/>
                <w:szCs w:val="16"/>
                <w:color w:val="auto"/>
              </w:rPr>
              <w:t>485,279</w:t>
            </w:r>
          </w:p>
        </w:tc>
        <w:tc>
          <w:tcPr>
            <w:tcW w:w="2340" w:type="dxa"/>
            <w:vAlign w:val="bottom"/>
          </w:tcPr>
          <w:p>
            <w:pPr>
              <w:jc w:val="right"/>
              <w:ind w:right="400"/>
              <w:spacing w:after="0"/>
              <w:rPr>
                <w:sz w:val="20"/>
                <w:szCs w:val="20"/>
                <w:color w:val="auto"/>
              </w:rPr>
            </w:pPr>
            <w:r>
              <w:rPr>
                <w:rFonts w:ascii="Arial" w:cs="Arial" w:eastAsia="Arial" w:hAnsi="Arial"/>
                <w:sz w:val="16"/>
                <w:szCs w:val="16"/>
                <w:color w:val="auto"/>
              </w:rPr>
              <w:t>102,060</w:t>
            </w:r>
          </w:p>
        </w:tc>
        <w:tc>
          <w:tcPr>
            <w:tcW w:w="2240" w:type="dxa"/>
            <w:vAlign w:val="bottom"/>
          </w:tcPr>
          <w:p>
            <w:pPr>
              <w:jc w:val="right"/>
              <w:spacing w:after="0"/>
              <w:rPr>
                <w:sz w:val="20"/>
                <w:szCs w:val="20"/>
                <w:color w:val="auto"/>
              </w:rPr>
            </w:pPr>
            <w:r>
              <w:rPr>
                <w:rFonts w:ascii="Arial" w:cs="Arial" w:eastAsia="Arial" w:hAnsi="Arial"/>
                <w:sz w:val="16"/>
                <w:szCs w:val="16"/>
                <w:color w:val="auto"/>
              </w:rPr>
              <w:t>671,287</w:t>
            </w:r>
          </w:p>
        </w:tc>
      </w:tr>
      <w:tr>
        <w:trPr>
          <w:trHeight w:val="73"/>
        </w:trPr>
        <w:tc>
          <w:tcPr>
            <w:tcW w:w="3400" w:type="dxa"/>
            <w:vAlign w:val="bottom"/>
            <w:tcBorders>
              <w:bottom w:val="single" w:sz="8" w:color="B2B2B2"/>
            </w:tcBorders>
          </w:tcPr>
          <w:p>
            <w:pPr>
              <w:spacing w:after="0"/>
              <w:rPr>
                <w:sz w:val="6"/>
                <w:szCs w:val="6"/>
                <w:color w:val="auto"/>
              </w:rPr>
            </w:pPr>
          </w:p>
        </w:tc>
        <w:tc>
          <w:tcPr>
            <w:tcW w:w="2940" w:type="dxa"/>
            <w:vAlign w:val="bottom"/>
            <w:tcBorders>
              <w:bottom w:val="single" w:sz="8" w:color="B2B2B2"/>
            </w:tcBorders>
          </w:tcPr>
          <w:p>
            <w:pPr>
              <w:spacing w:after="0"/>
              <w:rPr>
                <w:sz w:val="6"/>
                <w:szCs w:val="6"/>
                <w:color w:val="auto"/>
              </w:rPr>
            </w:pPr>
          </w:p>
        </w:tc>
        <w:tc>
          <w:tcPr>
            <w:tcW w:w="2340" w:type="dxa"/>
            <w:vAlign w:val="bottom"/>
            <w:tcBorders>
              <w:bottom w:val="single" w:sz="8" w:color="B2B2B2"/>
            </w:tcBorders>
          </w:tcPr>
          <w:p>
            <w:pPr>
              <w:spacing w:after="0"/>
              <w:rPr>
                <w:sz w:val="6"/>
                <w:szCs w:val="6"/>
                <w:color w:val="auto"/>
              </w:rPr>
            </w:pPr>
          </w:p>
        </w:tc>
        <w:tc>
          <w:tcPr>
            <w:tcW w:w="2240" w:type="dxa"/>
            <w:vAlign w:val="bottom"/>
            <w:tcBorders>
              <w:bottom w:val="single" w:sz="8" w:color="B2B2B2"/>
            </w:tcBorders>
          </w:tcPr>
          <w:p>
            <w:pPr>
              <w:spacing w:after="0"/>
              <w:rPr>
                <w:sz w:val="6"/>
                <w:szCs w:val="6"/>
                <w:color w:val="auto"/>
              </w:rPr>
            </w:pPr>
          </w:p>
        </w:tc>
      </w:tr>
      <w:tr>
        <w:trPr>
          <w:trHeight w:val="215"/>
        </w:trPr>
        <w:tc>
          <w:tcPr>
            <w:tcW w:w="3400" w:type="dxa"/>
            <w:vAlign w:val="bottom"/>
          </w:tcPr>
          <w:p>
            <w:pPr>
              <w:spacing w:after="0"/>
              <w:rPr>
                <w:sz w:val="20"/>
                <w:szCs w:val="20"/>
                <w:color w:val="auto"/>
              </w:rPr>
            </w:pPr>
            <w:r>
              <w:rPr>
                <w:rFonts w:ascii="Arial" w:cs="Arial" w:eastAsia="Arial" w:hAnsi="Arial"/>
                <w:sz w:val="16"/>
                <w:szCs w:val="16"/>
                <w:b w:val="1"/>
                <w:bCs w:val="1"/>
                <w:color w:val="auto"/>
              </w:rPr>
              <w:t>  David Wong</w:t>
            </w:r>
          </w:p>
        </w:tc>
        <w:tc>
          <w:tcPr>
            <w:tcW w:w="2940" w:type="dxa"/>
            <w:vAlign w:val="bottom"/>
          </w:tcPr>
          <w:p>
            <w:pPr>
              <w:jc w:val="right"/>
              <w:ind w:right="420"/>
              <w:spacing w:after="0"/>
              <w:rPr>
                <w:sz w:val="20"/>
                <w:szCs w:val="20"/>
                <w:color w:val="auto"/>
              </w:rPr>
            </w:pPr>
            <w:r>
              <w:rPr>
                <w:rFonts w:ascii="Arial" w:cs="Arial" w:eastAsia="Arial" w:hAnsi="Arial"/>
                <w:sz w:val="16"/>
                <w:szCs w:val="16"/>
                <w:color w:val="auto"/>
              </w:rPr>
              <w:t>276,168</w:t>
            </w:r>
          </w:p>
        </w:tc>
        <w:tc>
          <w:tcPr>
            <w:tcW w:w="2340" w:type="dxa"/>
            <w:vAlign w:val="bottom"/>
          </w:tcPr>
          <w:p>
            <w:pPr>
              <w:jc w:val="right"/>
              <w:ind w:right="400"/>
              <w:spacing w:after="0"/>
              <w:rPr>
                <w:sz w:val="20"/>
                <w:szCs w:val="20"/>
                <w:color w:val="auto"/>
              </w:rPr>
            </w:pPr>
            <w:r>
              <w:rPr>
                <w:rFonts w:ascii="Arial" w:cs="Arial" w:eastAsia="Arial" w:hAnsi="Arial"/>
                <w:sz w:val="16"/>
                <w:szCs w:val="16"/>
                <w:color w:val="auto"/>
              </w:rPr>
              <w:t>86,620</w:t>
            </w:r>
          </w:p>
        </w:tc>
        <w:tc>
          <w:tcPr>
            <w:tcW w:w="2240" w:type="dxa"/>
            <w:vAlign w:val="bottom"/>
          </w:tcPr>
          <w:p>
            <w:pPr>
              <w:jc w:val="right"/>
              <w:spacing w:after="0"/>
              <w:rPr>
                <w:sz w:val="20"/>
                <w:szCs w:val="20"/>
                <w:color w:val="auto"/>
              </w:rPr>
            </w:pPr>
            <w:r>
              <w:rPr>
                <w:rFonts w:ascii="Arial" w:cs="Arial" w:eastAsia="Arial" w:hAnsi="Arial"/>
                <w:sz w:val="16"/>
                <w:szCs w:val="16"/>
                <w:color w:val="auto"/>
              </w:rPr>
              <w:t>435,610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692975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87" w:lineRule="exact"/>
        <w:rPr>
          <w:sz w:val="20"/>
          <w:szCs w:val="20"/>
          <w:color w:val="auto"/>
        </w:rPr>
      </w:pPr>
    </w:p>
    <w:p>
      <w:pPr>
        <w:ind w:left="220" w:hanging="213"/>
        <w:spacing w:after="0"/>
        <w:tabs>
          <w:tab w:leader="none" w:pos="2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End of year balances reflect losses due to investment performance.</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Paul Bascobert participates in a 401(k) retirement savings plan, which provides for company matching contributions to amounts contributed to the plan in 2025. Participating employees can contribute up to 50% of their eligible compensation on a combined before-tax or after-tax basis. All employees (including Paul Bascobert) receive company matching contributions equal to 100% of the first 5% of eligible compensation that they contributed. The maximum before-tax and/or Roth 401(k) contribution that could be made by Paul Bascobert in 2025 (including age 60-63 special catch-up contributions) was $34,750.</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Retirement Plus Plans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provide a supplemental benefit to Steve Hasker, Mike Eastwood, and David Wong through an SRP, as discussed above.</w:t>
      </w:r>
    </w:p>
    <w:p>
      <w:pPr>
        <w:spacing w:after="0" w:line="8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provide a supplemental benefit to Paul Bascobert through a “retirement plus” plan which is an unfunded, non-qualified defined benefit plan. Under this benefit, we provide allocations with respect to compensation above the eligible compensation limits imposed by the U.S. Internal Revenue Service (IRS). In 2025, the IRS compensation limit was $350,000. As a result, Paul Bascobert received an allocation of $20,000 in 2025 under this plan. Amounts under this plan are paid from our general assets. Mike Eastwood ceased participating in that plan at the end of April 2019 and has not received allocations to that plan since that time.</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D64000"/>
        </w:rPr>
        <w:t>SERPs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None of our executive officers has a supplemental executive retirement plan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69297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89</w:t>
      </w:r>
    </w:p>
    <w:p>
      <w:pPr>
        <w:sectPr>
          <w:pgSz w:w="11900" w:h="16838" w:orient="portrait"/>
          <w:cols w:equalWidth="0" w:num="1">
            <w:col w:w="10920"/>
          </w:cols>
          <w:pgMar w:left="480" w:top="262" w:right="499" w:bottom="1440" w:gutter="0" w:footer="0" w:header="0"/>
        </w:sectPr>
      </w:pPr>
    </w:p>
    <w:bookmarkStart w:id="99" w:name="page100"/>
    <w:bookmarkEnd w:id="99"/>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Termination Benefits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color w:val="D64000"/>
        </w:rPr>
        <w:t>Potential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69297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right="320"/>
        <w:spacing w:after="0" w:line="302" w:lineRule="auto"/>
        <w:rPr>
          <w:sz w:val="20"/>
          <w:szCs w:val="20"/>
          <w:color w:val="auto"/>
        </w:rPr>
      </w:pPr>
      <w:r>
        <w:rPr>
          <w:rFonts w:ascii="Arial" w:cs="Arial" w:eastAsia="Arial" w:hAnsi="Arial"/>
          <w:sz w:val="24"/>
          <w:szCs w:val="24"/>
          <w:color w:val="auto"/>
        </w:rPr>
        <w:t>Our change in control benefits for named executive officers require a “double trigger”. We do not gross up taxes related to termination and no severance is provided for terminations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9297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Severance payments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Each of our named executive officers would be entitled to two years of salary continuation in the event of involuntary termination without cause.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We typically pay severance in accordance with our standard payroll practices, as opposed to in a lump sum.</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Annual incentive awards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Pursuant to award terms and conditions, 2026 annual incentive awards would be treated as follows in the event of termination.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20" w:type="dxa"/>
            <w:vAlign w:val="bottom"/>
            <w:tcBorders>
              <w:right w:val="single" w:sz="8" w:color="B2B2B2"/>
            </w:tcBorders>
            <w:shd w:val="clear" w:color="auto" w:fill="1F473D"/>
          </w:tcPr>
          <w:p>
            <w:pPr>
              <w:spacing w:after="0"/>
              <w:rPr>
                <w:sz w:val="20"/>
                <w:szCs w:val="20"/>
                <w:color w:val="auto"/>
              </w:rPr>
            </w:pPr>
            <w:r>
              <w:rPr>
                <w:rFonts w:ascii="Arial" w:cs="Arial" w:eastAsia="Arial" w:hAnsi="Arial"/>
                <w:sz w:val="16"/>
                <w:szCs w:val="16"/>
                <w:b w:val="1"/>
                <w:bCs w:val="1"/>
                <w:color w:val="FFFFFF"/>
              </w:rPr>
              <w:t>  Termination Event</w:t>
            </w:r>
          </w:p>
        </w:tc>
        <w:tc>
          <w:tcPr>
            <w:tcW w:w="6900" w:type="dxa"/>
            <w:vAlign w:val="bottom"/>
            <w:shd w:val="clear" w:color="auto" w:fill="1F473D"/>
          </w:tcPr>
          <w:p>
            <w:pPr>
              <w:ind w:left="100"/>
              <w:spacing w:after="0"/>
              <w:rPr>
                <w:sz w:val="20"/>
                <w:szCs w:val="20"/>
                <w:color w:val="auto"/>
              </w:rPr>
            </w:pPr>
            <w:r>
              <w:rPr>
                <w:rFonts w:ascii="Arial" w:cs="Arial" w:eastAsia="Arial" w:hAnsi="Arial"/>
                <w:sz w:val="16"/>
                <w:szCs w:val="16"/>
                <w:b w:val="1"/>
                <w:bCs w:val="1"/>
                <w:color w:val="FFFFFF"/>
              </w:rPr>
              <w:t>Award Treatment</w:t>
            </w:r>
          </w:p>
        </w:tc>
      </w:tr>
      <w:tr>
        <w:trPr>
          <w:trHeight w:val="67"/>
        </w:trPr>
        <w:tc>
          <w:tcPr>
            <w:tcW w:w="4020" w:type="dxa"/>
            <w:vAlign w:val="bottom"/>
            <w:tcBorders>
              <w:bottom w:val="single" w:sz="8" w:color="D64000"/>
              <w:right w:val="single" w:sz="8" w:color="B2B2B2"/>
            </w:tcBorders>
            <w:shd w:val="clear" w:color="auto" w:fill="1F473D"/>
          </w:tcPr>
          <w:p>
            <w:pPr>
              <w:spacing w:after="0"/>
              <w:rPr>
                <w:sz w:val="5"/>
                <w:szCs w:val="5"/>
                <w:color w:val="auto"/>
              </w:rPr>
            </w:pPr>
          </w:p>
        </w:tc>
        <w:tc>
          <w:tcPr>
            <w:tcW w:w="6900" w:type="dxa"/>
            <w:vAlign w:val="bottom"/>
            <w:tcBorders>
              <w:bottom w:val="single" w:sz="8" w:color="D64000"/>
            </w:tcBorders>
            <w:shd w:val="clear" w:color="auto" w:fill="1F473D"/>
          </w:tcPr>
          <w:p>
            <w:pPr>
              <w:spacing w:after="0"/>
              <w:rPr>
                <w:sz w:val="5"/>
                <w:szCs w:val="5"/>
                <w:color w:val="auto"/>
              </w:rPr>
            </w:pPr>
          </w:p>
        </w:tc>
      </w:tr>
      <w:tr>
        <w:trPr>
          <w:trHeight w:val="241"/>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Voluntary termination</w:t>
            </w: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Forfeited if this occurs on or prior to February 26, 2027, subject to applicable law.</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Involuntary termination for poor performance or</w:t>
            </w:r>
          </w:p>
        </w:tc>
        <w:tc>
          <w:tcPr>
            <w:tcW w:w="6900" w:type="dxa"/>
            <w:vAlign w:val="bottom"/>
          </w:tcPr>
          <w:p>
            <w:pPr>
              <w:ind w:left="100"/>
              <w:spacing w:after="0"/>
              <w:rPr>
                <w:sz w:val="20"/>
                <w:szCs w:val="20"/>
                <w:color w:val="auto"/>
              </w:rPr>
            </w:pPr>
            <w:r>
              <w:rPr>
                <w:rFonts w:ascii="Arial" w:cs="Arial" w:eastAsia="Arial" w:hAnsi="Arial"/>
                <w:sz w:val="16"/>
                <w:szCs w:val="16"/>
                <w:color w:val="auto"/>
              </w:rPr>
              <w:t>Forfeited</w:t>
            </w:r>
          </w:p>
        </w:tc>
      </w:tr>
      <w:tr>
        <w:trPr>
          <w:trHeight w:val="201"/>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for Cause</w:t>
            </w:r>
          </w:p>
        </w:tc>
        <w:tc>
          <w:tcPr>
            <w:tcW w:w="6900" w:type="dxa"/>
            <w:vAlign w:val="bottom"/>
            <w:tcBorders>
              <w:bottom w:val="single" w:sz="8" w:color="B2B2B2"/>
            </w:tcBorders>
          </w:tcPr>
          <w:p>
            <w:pPr>
              <w:spacing w:after="0"/>
              <w:rPr>
                <w:sz w:val="17"/>
                <w:szCs w:val="17"/>
                <w:color w:val="auto"/>
              </w:rPr>
            </w:pP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Involuntary termination not for poor performance</w:t>
            </w:r>
          </w:p>
        </w:tc>
        <w:tc>
          <w:tcPr>
            <w:tcW w:w="6900" w:type="dxa"/>
            <w:vAlign w:val="bottom"/>
          </w:tcPr>
          <w:p>
            <w:pPr>
              <w:ind w:left="100"/>
              <w:spacing w:after="0"/>
              <w:rPr>
                <w:sz w:val="20"/>
                <w:szCs w:val="20"/>
                <w:color w:val="auto"/>
              </w:rPr>
            </w:pPr>
            <w:r>
              <w:rPr>
                <w:rFonts w:ascii="Arial" w:cs="Arial" w:eastAsia="Arial" w:hAnsi="Arial"/>
                <w:sz w:val="16"/>
                <w:szCs w:val="16"/>
                <w:color w:val="auto"/>
              </w:rPr>
              <w:t>If this occurs between January 1, 2026 and December 31, 2026, an award payout will be made</w:t>
            </w:r>
          </w:p>
        </w:tc>
      </w:tr>
      <w:tr>
        <w:trPr>
          <w:trHeight w:val="187"/>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or without Cause</w:t>
            </w:r>
          </w:p>
        </w:tc>
        <w:tc>
          <w:tcPr>
            <w:tcW w:w="6900" w:type="dxa"/>
            <w:vAlign w:val="bottom"/>
          </w:tcPr>
          <w:p>
            <w:pPr>
              <w:ind w:left="100"/>
              <w:spacing w:after="0"/>
              <w:rPr>
                <w:sz w:val="20"/>
                <w:szCs w:val="20"/>
                <w:color w:val="auto"/>
              </w:rPr>
            </w:pPr>
            <w:r>
              <w:rPr>
                <w:rFonts w:ascii="Arial" w:cs="Arial" w:eastAsia="Arial" w:hAnsi="Arial"/>
                <w:sz w:val="16"/>
                <w:szCs w:val="16"/>
                <w:color w:val="auto"/>
              </w:rPr>
              <w:t>to the executive that is pro-rated through the date of termination based on the executive’s target</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award and modified by the business performance for the 2026 performance period. Payment</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will be made in or about March 2027 following the completion of the 2026 performance period.</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Sale of the executive’s business or Change of</w:t>
            </w:r>
          </w:p>
        </w:tc>
        <w:tc>
          <w:tcPr>
            <w:tcW w:w="6900" w:type="dxa"/>
            <w:vAlign w:val="bottom"/>
          </w:tcPr>
          <w:p>
            <w:pPr>
              <w:ind w:left="100"/>
              <w:spacing w:after="0"/>
              <w:rPr>
                <w:sz w:val="20"/>
                <w:szCs w:val="20"/>
                <w:color w:val="auto"/>
              </w:rPr>
            </w:pPr>
            <w:r>
              <w:rPr>
                <w:rFonts w:ascii="Arial" w:cs="Arial" w:eastAsia="Arial" w:hAnsi="Arial"/>
                <w:sz w:val="16"/>
                <w:szCs w:val="16"/>
                <w:color w:val="auto"/>
              </w:rPr>
              <w:t>Thomson Reuters may (without the consent of the executive) assign all or part of its award</w:t>
            </w:r>
          </w:p>
        </w:tc>
      </w:tr>
      <w:tr>
        <w:trPr>
          <w:trHeight w:val="187"/>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Control of Thomson Reuters</w:t>
            </w:r>
          </w:p>
        </w:tc>
        <w:tc>
          <w:tcPr>
            <w:tcW w:w="6900" w:type="dxa"/>
            <w:vAlign w:val="bottom"/>
          </w:tcPr>
          <w:p>
            <w:pPr>
              <w:ind w:left="100"/>
              <w:spacing w:after="0"/>
              <w:rPr>
                <w:sz w:val="20"/>
                <w:szCs w:val="20"/>
                <w:color w:val="auto"/>
              </w:rPr>
            </w:pPr>
            <w:r>
              <w:rPr>
                <w:rFonts w:ascii="Arial" w:cs="Arial" w:eastAsia="Arial" w:hAnsi="Arial"/>
                <w:sz w:val="16"/>
                <w:szCs w:val="16"/>
                <w:color w:val="auto"/>
              </w:rPr>
              <w:t>payment obligation to make payments under the annual incentive plan or for a third party</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purchaser to substitute a substantially similar award for the executive and other participants</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whose business is being acquired or if a Change of Control occurs.</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Retirement</w:t>
            </w:r>
          </w:p>
        </w:tc>
        <w:tc>
          <w:tcPr>
            <w:tcW w:w="6900" w:type="dxa"/>
            <w:vAlign w:val="bottom"/>
          </w:tcPr>
          <w:p>
            <w:pPr>
              <w:ind w:left="100"/>
              <w:spacing w:after="0"/>
              <w:rPr>
                <w:sz w:val="20"/>
                <w:szCs w:val="20"/>
                <w:color w:val="auto"/>
              </w:rPr>
            </w:pPr>
            <w:r>
              <w:rPr>
                <w:rFonts w:ascii="Arial" w:cs="Arial" w:eastAsia="Arial" w:hAnsi="Arial"/>
                <w:sz w:val="16"/>
                <w:szCs w:val="16"/>
                <w:color w:val="auto"/>
              </w:rPr>
              <w:t>Forfeited, if this occurs between January 1, 2026 and June 30, 2026. If this occurs between</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July 1, 2026 and December 31, 2026, an award payout will be made that is pro-rated through</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the date of termination based on the executive’s target award and modified by business</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performance for the 2026 performance period. Payment will be made in or about March 2027</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following the completion of the 2026 performance period.</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Disability or Death</w:t>
            </w:r>
          </w:p>
        </w:tc>
        <w:tc>
          <w:tcPr>
            <w:tcW w:w="6900" w:type="dxa"/>
            <w:vAlign w:val="bottom"/>
          </w:tcPr>
          <w:p>
            <w:pPr>
              <w:ind w:left="100"/>
              <w:spacing w:after="0"/>
              <w:rPr>
                <w:sz w:val="20"/>
                <w:szCs w:val="20"/>
                <w:color w:val="auto"/>
              </w:rPr>
            </w:pPr>
            <w:r>
              <w:rPr>
                <w:rFonts w:ascii="Arial" w:cs="Arial" w:eastAsia="Arial" w:hAnsi="Arial"/>
                <w:sz w:val="16"/>
                <w:szCs w:val="16"/>
                <w:color w:val="auto"/>
              </w:rPr>
              <w:t>Forfeited, if this occurs between January 1, 2026 and June 30, 2026. If this occurs between</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July 1, 2026 and December 31, 2026, an award payout will be made that is pro-rated through</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the date of termination based on the executive’s target award. Payment will be made as soon</w:t>
            </w:r>
          </w:p>
        </w:tc>
      </w:tr>
      <w:tr>
        <w:trPr>
          <w:trHeight w:val="268"/>
        </w:trPr>
        <w:tc>
          <w:tcPr>
            <w:tcW w:w="4020" w:type="dxa"/>
            <w:vAlign w:val="bottom"/>
            <w:tcBorders>
              <w:right w:val="single" w:sz="8" w:color="B2B2B2"/>
            </w:tcBorders>
          </w:tcPr>
          <w:p>
            <w:pPr>
              <w:spacing w:after="0"/>
              <w:rPr>
                <w:sz w:val="23"/>
                <w:szCs w:val="23"/>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as administratively practicable following the occurrence of the event.</w:t>
            </w:r>
          </w:p>
        </w:tc>
      </w:tr>
      <w:tr>
        <w:trPr>
          <w:trHeight w:val="27"/>
        </w:trPr>
        <w:tc>
          <w:tcPr>
            <w:tcW w:w="4020" w:type="dxa"/>
            <w:vAlign w:val="bottom"/>
            <w:tcBorders>
              <w:right w:val="single" w:sz="8" w:color="D64000"/>
            </w:tcBorders>
            <w:shd w:val="clear" w:color="auto" w:fill="D64000"/>
          </w:tcPr>
          <w:p>
            <w:pPr>
              <w:spacing w:after="0"/>
              <w:rPr>
                <w:sz w:val="2"/>
                <w:szCs w:val="2"/>
                <w:color w:val="auto"/>
              </w:rPr>
            </w:pPr>
          </w:p>
        </w:tc>
        <w:tc>
          <w:tcPr>
            <w:tcW w:w="6900" w:type="dxa"/>
            <w:vAlign w:val="bottom"/>
            <w:shd w:val="clear" w:color="auto" w:fill="D64000"/>
          </w:tcPr>
          <w:p>
            <w:pPr>
              <w:spacing w:after="0"/>
              <w:rPr>
                <w:sz w:val="2"/>
                <w:szCs w:val="2"/>
                <w:color w:val="auto"/>
              </w:rPr>
            </w:pPr>
          </w:p>
        </w:tc>
      </w:tr>
    </w:tbl>
    <w:p>
      <w:pPr>
        <w:spacing w:after="0" w:line="8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If an executive’s employment is terminated for any reason other than voluntary termination, for poor performance or for Cause (i) between January 1, 2027 and February 26, 2027 but before award payouts are made, an award payout based on the executive’s target award, modified by business performance for the 2026 performance period, will be made on the payment date in 2027; and (ii) between March 1, 2027 and the payment date in 2027, an award payout based on the executive’s target award, modified by the business and individual performance for the 2026 performance period, will be made on the payment date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9297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90</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2" w:right="499" w:bottom="1440" w:gutter="0" w:footer="0" w:header="0"/>
        </w:sectPr>
      </w:pPr>
    </w:p>
    <w:bookmarkStart w:id="100" w:name="page101"/>
    <w:bookmarkEnd w:id="100"/>
    <w:p>
      <w:pPr>
        <w:spacing w:after="0"/>
        <w:rPr>
          <w:sz w:val="20"/>
          <w:szCs w:val="20"/>
          <w:color w:val="auto"/>
        </w:rPr>
      </w:pPr>
      <w:r>
        <w:rPr>
          <w:rFonts w:ascii="Arial" w:cs="Arial" w:eastAsia="Arial" w:hAnsi="Arial"/>
          <w:sz w:val="25"/>
          <w:szCs w:val="25"/>
          <w:i w:val="1"/>
          <w:i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Equity-based awards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set forth the treatment of stock options, TRSUs and PRSUs in the event of termination.</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Stock options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Pursuant to award terms and conditions, stock options would be treated as follows in the event of termination: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80" w:type="dxa"/>
            <w:vAlign w:val="bottom"/>
            <w:tcBorders>
              <w:bottom w:val="single" w:sz="8" w:color="D64000"/>
              <w:right w:val="single" w:sz="8" w:color="1F473D"/>
            </w:tcBorders>
            <w:shd w:val="clear" w:color="auto" w:fill="1F473D"/>
          </w:tcPr>
          <w:p>
            <w:pPr>
              <w:spacing w:after="0"/>
              <w:rPr>
                <w:sz w:val="20"/>
                <w:szCs w:val="20"/>
                <w:color w:val="auto"/>
              </w:rPr>
            </w:pPr>
            <w:r>
              <w:rPr>
                <w:rFonts w:ascii="Arial" w:cs="Arial" w:eastAsia="Arial" w:hAnsi="Arial"/>
                <w:sz w:val="16"/>
                <w:szCs w:val="16"/>
                <w:b w:val="1"/>
                <w:bCs w:val="1"/>
                <w:color w:val="FFFFFF"/>
              </w:rPr>
              <w:t>  Termination Event</w:t>
            </w:r>
          </w:p>
        </w:tc>
        <w:tc>
          <w:tcPr>
            <w:tcW w:w="2300" w:type="dxa"/>
            <w:vAlign w:val="bottom"/>
            <w:tcBorders>
              <w:bottom w:val="single" w:sz="8" w:color="D64000"/>
              <w:right w:val="single" w:sz="8" w:color="B2B2B2"/>
            </w:tcBorders>
            <w:shd w:val="clear" w:color="auto" w:fill="1F473D"/>
          </w:tcPr>
          <w:p>
            <w:pPr>
              <w:ind w:left="100"/>
              <w:spacing w:after="0"/>
              <w:rPr>
                <w:sz w:val="20"/>
                <w:szCs w:val="20"/>
                <w:color w:val="auto"/>
              </w:rPr>
            </w:pPr>
            <w:r>
              <w:rPr>
                <w:rFonts w:ascii="Arial" w:cs="Arial" w:eastAsia="Arial" w:hAnsi="Arial"/>
                <w:sz w:val="16"/>
                <w:szCs w:val="16"/>
                <w:b w:val="1"/>
                <w:bCs w:val="1"/>
                <w:color w:val="FFFFFF"/>
              </w:rPr>
              <w:t>Vested Options</w:t>
            </w:r>
          </w:p>
        </w:tc>
        <w:tc>
          <w:tcPr>
            <w:tcW w:w="2820" w:type="dxa"/>
            <w:vAlign w:val="bottom"/>
            <w:tcBorders>
              <w:bottom w:val="single" w:sz="8" w:color="D64000"/>
              <w:right w:val="single" w:sz="8" w:color="B2B2B2"/>
            </w:tcBorders>
            <w:shd w:val="clear" w:color="auto" w:fill="1F473D"/>
          </w:tcPr>
          <w:p>
            <w:pPr>
              <w:ind w:left="80"/>
              <w:spacing w:after="0"/>
              <w:rPr>
                <w:sz w:val="20"/>
                <w:szCs w:val="20"/>
                <w:color w:val="auto"/>
              </w:rPr>
            </w:pPr>
            <w:r>
              <w:rPr>
                <w:rFonts w:ascii="Arial" w:cs="Arial" w:eastAsia="Arial" w:hAnsi="Arial"/>
                <w:sz w:val="16"/>
                <w:szCs w:val="16"/>
                <w:b w:val="1"/>
                <w:bCs w:val="1"/>
                <w:color w:val="FFFFFF"/>
              </w:rPr>
              <w:t>Unvested Options</w:t>
            </w:r>
          </w:p>
        </w:tc>
        <w:tc>
          <w:tcPr>
            <w:tcW w:w="2620" w:type="dxa"/>
            <w:vAlign w:val="bottom"/>
            <w:tcBorders>
              <w:bottom w:val="single" w:sz="8" w:color="D64000"/>
            </w:tcBorders>
            <w:shd w:val="clear" w:color="auto" w:fill="1F473D"/>
          </w:tcPr>
          <w:p>
            <w:pPr>
              <w:ind w:left="120"/>
              <w:spacing w:after="0"/>
              <w:rPr>
                <w:sz w:val="20"/>
                <w:szCs w:val="20"/>
                <w:color w:val="auto"/>
              </w:rPr>
            </w:pPr>
            <w:r>
              <w:rPr>
                <w:rFonts w:ascii="Arial" w:cs="Arial" w:eastAsia="Arial" w:hAnsi="Arial"/>
                <w:sz w:val="16"/>
                <w:szCs w:val="16"/>
                <w:b w:val="1"/>
                <w:bCs w:val="1"/>
                <w:color w:val="FFFFFF"/>
              </w:rPr>
              <w:t>Exercise Period</w:t>
            </w:r>
          </w:p>
        </w:tc>
        <w:tc>
          <w:tcPr>
            <w:tcW w:w="20" w:type="dxa"/>
            <w:vAlign w:val="bottom"/>
          </w:tcPr>
          <w:p>
            <w:pPr>
              <w:spacing w:after="0"/>
              <w:rPr>
                <w:sz w:val="21"/>
                <w:szCs w:val="21"/>
                <w:color w:val="auto"/>
              </w:rPr>
            </w:pPr>
          </w:p>
        </w:tc>
      </w:tr>
      <w:tr>
        <w:trPr>
          <w:trHeight w:val="186"/>
        </w:trPr>
        <w:tc>
          <w:tcPr>
            <w:tcW w:w="31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Voluntary termination</w:t>
            </w:r>
          </w:p>
        </w:tc>
        <w:tc>
          <w:tcPr>
            <w:tcW w:w="2300" w:type="dxa"/>
            <w:vAlign w:val="bottom"/>
            <w:tcBorders>
              <w:right w:val="single" w:sz="8" w:color="B2B2B2"/>
            </w:tcBorders>
          </w:tcPr>
          <w:p>
            <w:pPr>
              <w:ind w:left="100"/>
              <w:spacing w:after="0"/>
              <w:rPr>
                <w:sz w:val="20"/>
                <w:szCs w:val="20"/>
                <w:color w:val="auto"/>
              </w:rPr>
            </w:pPr>
            <w:r>
              <w:rPr>
                <w:rFonts w:ascii="Arial" w:cs="Arial" w:eastAsia="Arial" w:hAnsi="Arial"/>
                <w:sz w:val="16"/>
                <w:szCs w:val="16"/>
                <w:color w:val="auto"/>
              </w:rPr>
              <w:t>Remain exercisable</w:t>
            </w: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Forfeited</w:t>
            </w:r>
          </w:p>
        </w:tc>
        <w:tc>
          <w:tcPr>
            <w:tcW w:w="2620" w:type="dxa"/>
            <w:vAlign w:val="bottom"/>
          </w:tcPr>
          <w:p>
            <w:pPr>
              <w:ind w:left="120"/>
              <w:spacing w:after="0"/>
              <w:rPr>
                <w:sz w:val="20"/>
                <w:szCs w:val="20"/>
                <w:color w:val="auto"/>
              </w:rPr>
            </w:pPr>
            <w:r>
              <w:rPr>
                <w:rFonts w:ascii="Arial" w:cs="Arial" w:eastAsia="Arial" w:hAnsi="Arial"/>
                <w:sz w:val="16"/>
                <w:szCs w:val="16"/>
                <w:color w:val="auto"/>
              </w:rPr>
              <w:t>The earlier of 3 months from the</w:t>
            </w:r>
          </w:p>
        </w:tc>
        <w:tc>
          <w:tcPr>
            <w:tcW w:w="20" w:type="dxa"/>
            <w:vAlign w:val="bottom"/>
          </w:tcPr>
          <w:p>
            <w:pPr>
              <w:spacing w:after="0"/>
              <w:rPr>
                <w:sz w:val="16"/>
                <w:szCs w:val="16"/>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spacing w:after="0"/>
              <w:rPr>
                <w:sz w:val="16"/>
                <w:szCs w:val="16"/>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termination date or the grant</w:t>
            </w:r>
          </w:p>
        </w:tc>
      </w:tr>
      <w:tr>
        <w:trPr>
          <w:trHeight w:val="211"/>
        </w:trPr>
        <w:tc>
          <w:tcPr>
            <w:tcW w:w="3180" w:type="dxa"/>
            <w:vAlign w:val="bottom"/>
            <w:tcBorders>
              <w:right w:val="single" w:sz="8" w:color="B2B2B2"/>
            </w:tcBorders>
          </w:tcPr>
          <w:p>
            <w:pPr>
              <w:spacing w:after="0"/>
              <w:rPr>
                <w:sz w:val="18"/>
                <w:szCs w:val="18"/>
                <w:color w:val="auto"/>
              </w:rPr>
            </w:pPr>
          </w:p>
        </w:tc>
        <w:tc>
          <w:tcPr>
            <w:tcW w:w="2300" w:type="dxa"/>
            <w:vAlign w:val="bottom"/>
            <w:tcBorders>
              <w:right w:val="single" w:sz="8" w:color="B2B2B2"/>
            </w:tcBorders>
          </w:tcPr>
          <w:p>
            <w:pPr>
              <w:spacing w:after="0"/>
              <w:rPr>
                <w:sz w:val="18"/>
                <w:szCs w:val="18"/>
                <w:color w:val="auto"/>
              </w:rPr>
            </w:pPr>
          </w:p>
        </w:tc>
        <w:tc>
          <w:tcPr>
            <w:tcW w:w="2820" w:type="dxa"/>
            <w:vAlign w:val="bottom"/>
            <w:tcBorders>
              <w:right w:val="single" w:sz="8" w:color="B2B2B2"/>
            </w:tcBorders>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expiration date.</w:t>
            </w:r>
          </w:p>
        </w:tc>
      </w:tr>
      <w:tr>
        <w:trPr>
          <w:trHeight w:val="57"/>
        </w:trPr>
        <w:tc>
          <w:tcPr>
            <w:tcW w:w="3180" w:type="dxa"/>
            <w:vAlign w:val="bottom"/>
            <w:tcBorders>
              <w:right w:val="single" w:sz="8" w:color="B2B2B2"/>
            </w:tcBorders>
          </w:tcPr>
          <w:p>
            <w:pPr>
              <w:spacing w:after="0"/>
              <w:rPr>
                <w:sz w:val="4"/>
                <w:szCs w:val="4"/>
                <w:color w:val="auto"/>
              </w:rPr>
            </w:pPr>
          </w:p>
        </w:tc>
        <w:tc>
          <w:tcPr>
            <w:tcW w:w="2300" w:type="dxa"/>
            <w:vAlign w:val="bottom"/>
            <w:tcBorders>
              <w:right w:val="single" w:sz="8" w:color="B2B2B2"/>
            </w:tcBorders>
          </w:tcPr>
          <w:p>
            <w:pPr>
              <w:spacing w:after="0"/>
              <w:rPr>
                <w:sz w:val="4"/>
                <w:szCs w:val="4"/>
                <w:color w:val="auto"/>
              </w:rPr>
            </w:pPr>
          </w:p>
        </w:tc>
        <w:tc>
          <w:tcPr>
            <w:tcW w:w="2820" w:type="dxa"/>
            <w:vAlign w:val="bottom"/>
            <w:tcBorders>
              <w:right w:val="single" w:sz="8" w:color="B2B2B2"/>
            </w:tcBorders>
          </w:tcPr>
          <w:p>
            <w:pPr>
              <w:spacing w:after="0"/>
              <w:rPr>
                <w:sz w:val="4"/>
                <w:szCs w:val="4"/>
                <w:color w:val="auto"/>
              </w:rPr>
            </w:pPr>
          </w:p>
        </w:tc>
        <w:tc>
          <w:tcPr>
            <w:tcW w:w="2640" w:type="dxa"/>
            <w:vAlign w:val="bottom"/>
            <w:gridSpan w:val="2"/>
          </w:tcPr>
          <w:p>
            <w:pPr>
              <w:spacing w:after="0"/>
              <w:rPr>
                <w:sz w:val="4"/>
                <w:szCs w:val="4"/>
                <w:color w:val="auto"/>
              </w:rPr>
            </w:pPr>
          </w:p>
        </w:tc>
      </w:tr>
      <w:tr>
        <w:trPr>
          <w:trHeight w:val="180"/>
        </w:trPr>
        <w:tc>
          <w:tcPr>
            <w:tcW w:w="318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b w:val="1"/>
                <w:bCs w:val="1"/>
                <w:color w:val="auto"/>
              </w:rPr>
              <w:t>Involuntary termination for poor</w:t>
            </w:r>
          </w:p>
        </w:tc>
        <w:tc>
          <w:tcPr>
            <w:tcW w:w="230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color w:val="auto"/>
              </w:rPr>
              <w:t>Forfeited</w:t>
            </w:r>
          </w:p>
        </w:tc>
        <w:tc>
          <w:tcPr>
            <w:tcW w:w="2820" w:type="dxa"/>
            <w:vAlign w:val="bottom"/>
            <w:tcBorders>
              <w:top w:val="single" w:sz="8" w:color="B2B2B2"/>
              <w:right w:val="single" w:sz="8" w:color="B2B2B2"/>
            </w:tcBorders>
          </w:tcPr>
          <w:p>
            <w:pPr>
              <w:ind w:left="80"/>
              <w:spacing w:after="0" w:line="180" w:lineRule="exact"/>
              <w:rPr>
                <w:sz w:val="20"/>
                <w:szCs w:val="20"/>
                <w:color w:val="auto"/>
              </w:rPr>
            </w:pPr>
            <w:r>
              <w:rPr>
                <w:rFonts w:ascii="Arial" w:cs="Arial" w:eastAsia="Arial" w:hAnsi="Arial"/>
                <w:sz w:val="16"/>
                <w:szCs w:val="16"/>
                <w:color w:val="auto"/>
              </w:rPr>
              <w:t>Forfeited</w:t>
            </w:r>
          </w:p>
        </w:tc>
        <w:tc>
          <w:tcPr>
            <w:tcW w:w="262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r>
      <w:tr>
        <w:trPr>
          <w:trHeight w:val="221"/>
        </w:trPr>
        <w:tc>
          <w:tcPr>
            <w:tcW w:w="31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performance or for Cause</w:t>
            </w:r>
          </w:p>
        </w:tc>
        <w:tc>
          <w:tcPr>
            <w:tcW w:w="2300" w:type="dxa"/>
            <w:vAlign w:val="bottom"/>
            <w:tcBorders>
              <w:right w:val="single" w:sz="8" w:color="B2B2B2"/>
            </w:tcBorders>
          </w:tcPr>
          <w:p>
            <w:pPr>
              <w:spacing w:after="0"/>
              <w:rPr>
                <w:sz w:val="19"/>
                <w:szCs w:val="19"/>
                <w:color w:val="auto"/>
              </w:rPr>
            </w:pPr>
          </w:p>
        </w:tc>
        <w:tc>
          <w:tcPr>
            <w:tcW w:w="2820" w:type="dxa"/>
            <w:vAlign w:val="bottom"/>
            <w:tcBorders>
              <w:right w:val="single" w:sz="8" w:color="B2B2B2"/>
            </w:tcBorders>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
        </w:trPr>
        <w:tc>
          <w:tcPr>
            <w:tcW w:w="3180" w:type="dxa"/>
            <w:vAlign w:val="bottom"/>
            <w:tcBorders>
              <w:right w:val="single" w:sz="8" w:color="B2B2B2"/>
            </w:tcBorders>
          </w:tcPr>
          <w:p>
            <w:pPr>
              <w:spacing w:after="0"/>
              <w:rPr>
                <w:sz w:val="4"/>
                <w:szCs w:val="4"/>
                <w:color w:val="auto"/>
              </w:rPr>
            </w:pPr>
          </w:p>
        </w:tc>
        <w:tc>
          <w:tcPr>
            <w:tcW w:w="2300" w:type="dxa"/>
            <w:vAlign w:val="bottom"/>
            <w:tcBorders>
              <w:right w:val="single" w:sz="8" w:color="B2B2B2"/>
            </w:tcBorders>
          </w:tcPr>
          <w:p>
            <w:pPr>
              <w:spacing w:after="0"/>
              <w:rPr>
                <w:sz w:val="4"/>
                <w:szCs w:val="4"/>
                <w:color w:val="auto"/>
              </w:rPr>
            </w:pPr>
          </w:p>
        </w:tc>
        <w:tc>
          <w:tcPr>
            <w:tcW w:w="2820" w:type="dxa"/>
            <w:vAlign w:val="bottom"/>
            <w:tcBorders>
              <w:right w:val="single" w:sz="8" w:color="B2B2B2"/>
            </w:tcBorders>
          </w:tcPr>
          <w:p>
            <w:pPr>
              <w:spacing w:after="0"/>
              <w:rPr>
                <w:sz w:val="4"/>
                <w:szCs w:val="4"/>
                <w:color w:val="auto"/>
              </w:rPr>
            </w:pPr>
          </w:p>
        </w:tc>
        <w:tc>
          <w:tcPr>
            <w:tcW w:w="2640" w:type="dxa"/>
            <w:vAlign w:val="bottom"/>
            <w:gridSpan w:val="2"/>
          </w:tcPr>
          <w:p>
            <w:pPr>
              <w:spacing w:after="0"/>
              <w:rPr>
                <w:sz w:val="4"/>
                <w:szCs w:val="4"/>
                <w:color w:val="auto"/>
              </w:rPr>
            </w:pPr>
          </w:p>
        </w:tc>
      </w:tr>
      <w:tr>
        <w:trPr>
          <w:trHeight w:val="180"/>
        </w:trPr>
        <w:tc>
          <w:tcPr>
            <w:tcW w:w="318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b w:val="1"/>
                <w:bCs w:val="1"/>
                <w:color w:val="auto"/>
              </w:rPr>
              <w:t>Involuntary termination not for poor</w:t>
            </w:r>
          </w:p>
        </w:tc>
        <w:tc>
          <w:tcPr>
            <w:tcW w:w="230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color w:val="auto"/>
              </w:rPr>
              <w:t>Remain exercisable</w:t>
            </w:r>
          </w:p>
        </w:tc>
        <w:tc>
          <w:tcPr>
            <w:tcW w:w="2820" w:type="dxa"/>
            <w:vAlign w:val="bottom"/>
            <w:tcBorders>
              <w:top w:val="single" w:sz="8" w:color="B2B2B2"/>
              <w:right w:val="single" w:sz="8" w:color="B2B2B2"/>
            </w:tcBorders>
          </w:tcPr>
          <w:p>
            <w:pPr>
              <w:ind w:left="80"/>
              <w:spacing w:after="0" w:line="180" w:lineRule="exact"/>
              <w:rPr>
                <w:sz w:val="20"/>
                <w:szCs w:val="20"/>
                <w:color w:val="auto"/>
              </w:rPr>
            </w:pPr>
            <w:r>
              <w:rPr>
                <w:rFonts w:ascii="Arial" w:cs="Arial" w:eastAsia="Arial" w:hAnsi="Arial"/>
                <w:sz w:val="16"/>
                <w:szCs w:val="16"/>
                <w:color w:val="auto"/>
              </w:rPr>
              <w:t>One additional vesting period</w:t>
            </w:r>
          </w:p>
        </w:tc>
        <w:tc>
          <w:tcPr>
            <w:tcW w:w="262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The earlier of 3 months from the</w:t>
            </w:r>
          </w:p>
        </w:tc>
        <w:tc>
          <w:tcPr>
            <w:tcW w:w="20" w:type="dxa"/>
            <w:vAlign w:val="bottom"/>
          </w:tcPr>
          <w:p>
            <w:pPr>
              <w:spacing w:after="0"/>
              <w:rPr>
                <w:sz w:val="15"/>
                <w:szCs w:val="15"/>
                <w:color w:val="auto"/>
              </w:rPr>
            </w:pPr>
          </w:p>
        </w:tc>
      </w:tr>
      <w:tr>
        <w:trPr>
          <w:trHeight w:val="187"/>
        </w:trPr>
        <w:tc>
          <w:tcPr>
            <w:tcW w:w="31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performance or without Cause</w:t>
            </w: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(standard vesting is 25% in each of</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termination date or the grant</w:t>
            </w: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the first four years of the award) is</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expiration date.</w:t>
            </w: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accelerated and exercisable upon</w:t>
            </w: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termination and the remaining</w:t>
            </w: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3180" w:type="dxa"/>
            <w:vAlign w:val="bottom"/>
            <w:tcBorders>
              <w:right w:val="single" w:sz="8" w:color="B2B2B2"/>
            </w:tcBorders>
          </w:tcPr>
          <w:p>
            <w:pPr>
              <w:spacing w:after="0"/>
              <w:rPr>
                <w:sz w:val="18"/>
                <w:szCs w:val="18"/>
                <w:color w:val="auto"/>
              </w:rPr>
            </w:pPr>
          </w:p>
        </w:tc>
        <w:tc>
          <w:tcPr>
            <w:tcW w:w="2300" w:type="dxa"/>
            <w:vAlign w:val="bottom"/>
            <w:tcBorders>
              <w:right w:val="single" w:sz="8" w:color="B2B2B2"/>
            </w:tcBorders>
          </w:tcPr>
          <w:p>
            <w:pPr>
              <w:spacing w:after="0"/>
              <w:rPr>
                <w:sz w:val="18"/>
                <w:szCs w:val="18"/>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unvested options are forfeited.</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7"/>
        </w:trPr>
        <w:tc>
          <w:tcPr>
            <w:tcW w:w="3180" w:type="dxa"/>
            <w:vAlign w:val="bottom"/>
            <w:tcBorders>
              <w:right w:val="single" w:sz="8" w:color="B2B2B2"/>
            </w:tcBorders>
          </w:tcPr>
          <w:p>
            <w:pPr>
              <w:spacing w:after="0"/>
              <w:rPr>
                <w:sz w:val="4"/>
                <w:szCs w:val="4"/>
                <w:color w:val="auto"/>
              </w:rPr>
            </w:pPr>
          </w:p>
        </w:tc>
        <w:tc>
          <w:tcPr>
            <w:tcW w:w="2300" w:type="dxa"/>
            <w:vAlign w:val="bottom"/>
            <w:tcBorders>
              <w:right w:val="single" w:sz="8" w:color="B2B2B2"/>
            </w:tcBorders>
          </w:tcPr>
          <w:p>
            <w:pPr>
              <w:spacing w:after="0"/>
              <w:rPr>
                <w:sz w:val="4"/>
                <w:szCs w:val="4"/>
                <w:color w:val="auto"/>
              </w:rPr>
            </w:pPr>
          </w:p>
        </w:tc>
        <w:tc>
          <w:tcPr>
            <w:tcW w:w="2820" w:type="dxa"/>
            <w:vAlign w:val="bottom"/>
            <w:tcBorders>
              <w:right w:val="single" w:sz="8" w:color="B2B2B2"/>
            </w:tcBorders>
          </w:tcPr>
          <w:p>
            <w:pPr>
              <w:spacing w:after="0"/>
              <w:rPr>
                <w:sz w:val="4"/>
                <w:szCs w:val="4"/>
                <w:color w:val="auto"/>
              </w:rPr>
            </w:pPr>
          </w:p>
        </w:tc>
        <w:tc>
          <w:tcPr>
            <w:tcW w:w="2640" w:type="dxa"/>
            <w:vAlign w:val="bottom"/>
            <w:gridSpan w:val="2"/>
          </w:tcPr>
          <w:p>
            <w:pPr>
              <w:spacing w:after="0"/>
              <w:rPr>
                <w:sz w:val="4"/>
                <w:szCs w:val="4"/>
                <w:color w:val="auto"/>
              </w:rPr>
            </w:pPr>
          </w:p>
        </w:tc>
      </w:tr>
      <w:tr>
        <w:trPr>
          <w:trHeight w:val="180"/>
        </w:trPr>
        <w:tc>
          <w:tcPr>
            <w:tcW w:w="318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b w:val="1"/>
                <w:bCs w:val="1"/>
                <w:color w:val="auto"/>
              </w:rPr>
              <w:t>Sale of the holder’s business</w:t>
            </w:r>
          </w:p>
        </w:tc>
        <w:tc>
          <w:tcPr>
            <w:tcW w:w="230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color w:val="auto"/>
              </w:rPr>
              <w:t>Remain exercisable</w:t>
            </w:r>
          </w:p>
        </w:tc>
        <w:tc>
          <w:tcPr>
            <w:tcW w:w="2820" w:type="dxa"/>
            <w:vAlign w:val="bottom"/>
            <w:tcBorders>
              <w:top w:val="single" w:sz="8" w:color="B2B2B2"/>
              <w:right w:val="single" w:sz="8" w:color="B2B2B2"/>
            </w:tcBorders>
          </w:tcPr>
          <w:p>
            <w:pPr>
              <w:ind w:left="80"/>
              <w:spacing w:after="0" w:line="180" w:lineRule="exact"/>
              <w:rPr>
                <w:sz w:val="20"/>
                <w:szCs w:val="20"/>
                <w:color w:val="auto"/>
              </w:rPr>
            </w:pPr>
            <w:r>
              <w:rPr>
                <w:rFonts w:ascii="Arial" w:cs="Arial" w:eastAsia="Arial" w:hAnsi="Arial"/>
                <w:sz w:val="16"/>
                <w:szCs w:val="16"/>
                <w:color w:val="auto"/>
              </w:rPr>
              <w:t>The Board or HR Committee shall</w:t>
            </w:r>
          </w:p>
        </w:tc>
        <w:tc>
          <w:tcPr>
            <w:tcW w:w="262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The earlier of 1 year from the</w:t>
            </w:r>
          </w:p>
        </w:tc>
        <w:tc>
          <w:tcPr>
            <w:tcW w:w="20" w:type="dxa"/>
            <w:vAlign w:val="bottom"/>
          </w:tcPr>
          <w:p>
            <w:pPr>
              <w:spacing w:after="0"/>
              <w:rPr>
                <w:sz w:val="15"/>
                <w:szCs w:val="15"/>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meet to determine the appropriate</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involuntary termination without</w:t>
            </w: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treatment of any unvested options.</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cause date or the grant expiration</w:t>
            </w:r>
          </w:p>
        </w:tc>
      </w:tr>
      <w:tr>
        <w:trPr>
          <w:trHeight w:val="211"/>
        </w:trPr>
        <w:tc>
          <w:tcPr>
            <w:tcW w:w="3180" w:type="dxa"/>
            <w:vAlign w:val="bottom"/>
            <w:tcBorders>
              <w:right w:val="single" w:sz="8" w:color="B2B2B2"/>
            </w:tcBorders>
          </w:tcPr>
          <w:p>
            <w:pPr>
              <w:spacing w:after="0"/>
              <w:rPr>
                <w:sz w:val="18"/>
                <w:szCs w:val="18"/>
                <w:color w:val="auto"/>
              </w:rPr>
            </w:pPr>
          </w:p>
        </w:tc>
        <w:tc>
          <w:tcPr>
            <w:tcW w:w="2300" w:type="dxa"/>
            <w:vAlign w:val="bottom"/>
            <w:tcBorders>
              <w:right w:val="single" w:sz="8" w:color="B2B2B2"/>
            </w:tcBorders>
          </w:tcPr>
          <w:p>
            <w:pPr>
              <w:spacing w:after="0"/>
              <w:rPr>
                <w:sz w:val="18"/>
                <w:szCs w:val="18"/>
                <w:color w:val="auto"/>
              </w:rPr>
            </w:pPr>
          </w:p>
        </w:tc>
        <w:tc>
          <w:tcPr>
            <w:tcW w:w="2820" w:type="dxa"/>
            <w:vAlign w:val="bottom"/>
            <w:tcBorders>
              <w:right w:val="single" w:sz="8" w:color="B2B2B2"/>
            </w:tcBorders>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date.</w:t>
            </w:r>
          </w:p>
        </w:tc>
      </w:tr>
      <w:tr>
        <w:trPr>
          <w:trHeight w:val="57"/>
        </w:trPr>
        <w:tc>
          <w:tcPr>
            <w:tcW w:w="3180" w:type="dxa"/>
            <w:vAlign w:val="bottom"/>
            <w:tcBorders>
              <w:right w:val="single" w:sz="8" w:color="B2B2B2"/>
            </w:tcBorders>
          </w:tcPr>
          <w:p>
            <w:pPr>
              <w:spacing w:after="0"/>
              <w:rPr>
                <w:sz w:val="4"/>
                <w:szCs w:val="4"/>
                <w:color w:val="auto"/>
              </w:rPr>
            </w:pPr>
          </w:p>
        </w:tc>
        <w:tc>
          <w:tcPr>
            <w:tcW w:w="2300" w:type="dxa"/>
            <w:vAlign w:val="bottom"/>
            <w:tcBorders>
              <w:right w:val="single" w:sz="8" w:color="B2B2B2"/>
            </w:tcBorders>
          </w:tcPr>
          <w:p>
            <w:pPr>
              <w:spacing w:after="0"/>
              <w:rPr>
                <w:sz w:val="4"/>
                <w:szCs w:val="4"/>
                <w:color w:val="auto"/>
              </w:rPr>
            </w:pPr>
          </w:p>
        </w:tc>
        <w:tc>
          <w:tcPr>
            <w:tcW w:w="2820" w:type="dxa"/>
            <w:vAlign w:val="bottom"/>
            <w:tcBorders>
              <w:right w:val="single" w:sz="8" w:color="B2B2B2"/>
            </w:tcBorders>
          </w:tcPr>
          <w:p>
            <w:pPr>
              <w:spacing w:after="0"/>
              <w:rPr>
                <w:sz w:val="4"/>
                <w:szCs w:val="4"/>
                <w:color w:val="auto"/>
              </w:rPr>
            </w:pPr>
          </w:p>
        </w:tc>
        <w:tc>
          <w:tcPr>
            <w:tcW w:w="2640" w:type="dxa"/>
            <w:vAlign w:val="bottom"/>
            <w:gridSpan w:val="2"/>
          </w:tcPr>
          <w:p>
            <w:pPr>
              <w:spacing w:after="0"/>
              <w:rPr>
                <w:sz w:val="4"/>
                <w:szCs w:val="4"/>
                <w:color w:val="auto"/>
              </w:rPr>
            </w:pPr>
          </w:p>
        </w:tc>
      </w:tr>
      <w:tr>
        <w:trPr>
          <w:trHeight w:val="180"/>
        </w:trPr>
        <w:tc>
          <w:tcPr>
            <w:tcW w:w="318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b w:val="1"/>
                <w:bCs w:val="1"/>
                <w:color w:val="auto"/>
              </w:rPr>
              <w:t>A Change of Control of Thomson</w:t>
            </w:r>
          </w:p>
        </w:tc>
        <w:tc>
          <w:tcPr>
            <w:tcW w:w="230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color w:val="auto"/>
              </w:rPr>
              <w:t>Remain exercisable</w:t>
            </w:r>
          </w:p>
        </w:tc>
        <w:tc>
          <w:tcPr>
            <w:tcW w:w="2820" w:type="dxa"/>
            <w:vAlign w:val="bottom"/>
            <w:tcBorders>
              <w:top w:val="single" w:sz="8" w:color="B2B2B2"/>
              <w:right w:val="single" w:sz="8" w:color="B2B2B2"/>
            </w:tcBorders>
          </w:tcPr>
          <w:p>
            <w:pPr>
              <w:ind w:left="80"/>
              <w:spacing w:after="0" w:line="180" w:lineRule="exact"/>
              <w:rPr>
                <w:sz w:val="20"/>
                <w:szCs w:val="20"/>
                <w:color w:val="auto"/>
              </w:rPr>
            </w:pPr>
            <w:r>
              <w:rPr>
                <w:rFonts w:ascii="Arial" w:cs="Arial" w:eastAsia="Arial" w:hAnsi="Arial"/>
                <w:sz w:val="16"/>
                <w:szCs w:val="16"/>
                <w:color w:val="auto"/>
              </w:rPr>
              <w:t>Fully vested upon a “double trigger”</w:t>
            </w:r>
          </w:p>
        </w:tc>
        <w:tc>
          <w:tcPr>
            <w:tcW w:w="262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The earlier of 1 year from the</w:t>
            </w:r>
          </w:p>
        </w:tc>
        <w:tc>
          <w:tcPr>
            <w:tcW w:w="20" w:type="dxa"/>
            <w:vAlign w:val="bottom"/>
          </w:tcPr>
          <w:p>
            <w:pPr>
              <w:spacing w:after="0"/>
              <w:rPr>
                <w:sz w:val="15"/>
                <w:szCs w:val="15"/>
                <w:color w:val="auto"/>
              </w:rPr>
            </w:pPr>
          </w:p>
        </w:tc>
      </w:tr>
      <w:tr>
        <w:trPr>
          <w:trHeight w:val="187"/>
        </w:trPr>
        <w:tc>
          <w:tcPr>
            <w:tcW w:w="31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Reuters (based on the surviving,</w:t>
            </w: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(involuntary termination not for poor</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involuntary termination without</w:t>
            </w:r>
          </w:p>
        </w:tc>
      </w:tr>
      <w:tr>
        <w:trPr>
          <w:trHeight w:val="187"/>
        </w:trPr>
        <w:tc>
          <w:tcPr>
            <w:tcW w:w="31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successor or acquiring company</w:t>
            </w: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performance or without Cause within</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cause date or the grant expiration</w:t>
            </w:r>
          </w:p>
        </w:tc>
      </w:tr>
      <w:tr>
        <w:trPr>
          <w:trHeight w:val="187"/>
        </w:trPr>
        <w:tc>
          <w:tcPr>
            <w:tcW w:w="31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assuming options or substituting</w:t>
            </w: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two years following a Change of</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date.</w:t>
            </w:r>
          </w:p>
        </w:tc>
      </w:tr>
      <w:tr>
        <w:trPr>
          <w:trHeight w:val="187"/>
        </w:trPr>
        <w:tc>
          <w:tcPr>
            <w:tcW w:w="318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similar awards)</w:t>
            </w: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Control (as described below));</w:t>
            </w: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otherwise, the options continue to</w:t>
            </w: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vest on the original vesting date(s)</w:t>
            </w: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3180" w:type="dxa"/>
            <w:vAlign w:val="bottom"/>
            <w:tcBorders>
              <w:right w:val="single" w:sz="8" w:color="B2B2B2"/>
            </w:tcBorders>
          </w:tcPr>
          <w:p>
            <w:pPr>
              <w:spacing w:after="0"/>
              <w:rPr>
                <w:sz w:val="18"/>
                <w:szCs w:val="18"/>
                <w:color w:val="auto"/>
              </w:rPr>
            </w:pPr>
          </w:p>
        </w:tc>
        <w:tc>
          <w:tcPr>
            <w:tcW w:w="2300" w:type="dxa"/>
            <w:vAlign w:val="bottom"/>
            <w:tcBorders>
              <w:right w:val="single" w:sz="8" w:color="B2B2B2"/>
            </w:tcBorders>
          </w:tcPr>
          <w:p>
            <w:pPr>
              <w:spacing w:after="0"/>
              <w:rPr>
                <w:sz w:val="18"/>
                <w:szCs w:val="18"/>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subject to continuous employment.</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7"/>
        </w:trPr>
        <w:tc>
          <w:tcPr>
            <w:tcW w:w="3180" w:type="dxa"/>
            <w:vAlign w:val="bottom"/>
            <w:tcBorders>
              <w:right w:val="single" w:sz="8" w:color="B2B2B2"/>
            </w:tcBorders>
          </w:tcPr>
          <w:p>
            <w:pPr>
              <w:spacing w:after="0"/>
              <w:rPr>
                <w:sz w:val="4"/>
                <w:szCs w:val="4"/>
                <w:color w:val="auto"/>
              </w:rPr>
            </w:pPr>
          </w:p>
        </w:tc>
        <w:tc>
          <w:tcPr>
            <w:tcW w:w="2300" w:type="dxa"/>
            <w:vAlign w:val="bottom"/>
            <w:tcBorders>
              <w:right w:val="single" w:sz="8" w:color="B2B2B2"/>
            </w:tcBorders>
          </w:tcPr>
          <w:p>
            <w:pPr>
              <w:spacing w:after="0"/>
              <w:rPr>
                <w:sz w:val="4"/>
                <w:szCs w:val="4"/>
                <w:color w:val="auto"/>
              </w:rPr>
            </w:pPr>
          </w:p>
        </w:tc>
        <w:tc>
          <w:tcPr>
            <w:tcW w:w="2820" w:type="dxa"/>
            <w:vAlign w:val="bottom"/>
            <w:tcBorders>
              <w:right w:val="single" w:sz="8" w:color="B2B2B2"/>
            </w:tcBorders>
          </w:tcPr>
          <w:p>
            <w:pPr>
              <w:spacing w:after="0"/>
              <w:rPr>
                <w:sz w:val="4"/>
                <w:szCs w:val="4"/>
                <w:color w:val="auto"/>
              </w:rPr>
            </w:pPr>
          </w:p>
        </w:tc>
        <w:tc>
          <w:tcPr>
            <w:tcW w:w="2640" w:type="dxa"/>
            <w:vAlign w:val="bottom"/>
            <w:gridSpan w:val="2"/>
          </w:tcPr>
          <w:p>
            <w:pPr>
              <w:spacing w:after="0"/>
              <w:rPr>
                <w:sz w:val="4"/>
                <w:szCs w:val="4"/>
                <w:color w:val="auto"/>
              </w:rPr>
            </w:pPr>
          </w:p>
        </w:tc>
      </w:tr>
      <w:tr>
        <w:trPr>
          <w:trHeight w:val="180"/>
        </w:trPr>
        <w:tc>
          <w:tcPr>
            <w:tcW w:w="318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b w:val="1"/>
                <w:bCs w:val="1"/>
                <w:color w:val="auto"/>
              </w:rPr>
              <w:t>Retirement</w:t>
            </w:r>
          </w:p>
        </w:tc>
        <w:tc>
          <w:tcPr>
            <w:tcW w:w="230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color w:val="auto"/>
              </w:rPr>
              <w:t>Remain exercisable</w:t>
            </w:r>
          </w:p>
        </w:tc>
        <w:tc>
          <w:tcPr>
            <w:tcW w:w="2820" w:type="dxa"/>
            <w:vAlign w:val="bottom"/>
            <w:tcBorders>
              <w:top w:val="single" w:sz="8" w:color="B2B2B2"/>
              <w:right w:val="single" w:sz="8" w:color="B2B2B2"/>
            </w:tcBorders>
          </w:tcPr>
          <w:p>
            <w:pPr>
              <w:ind w:left="80"/>
              <w:spacing w:after="0" w:line="180" w:lineRule="exact"/>
              <w:rPr>
                <w:sz w:val="20"/>
                <w:szCs w:val="20"/>
                <w:color w:val="auto"/>
              </w:rPr>
            </w:pPr>
            <w:r>
              <w:rPr>
                <w:rFonts w:ascii="Arial" w:cs="Arial" w:eastAsia="Arial" w:hAnsi="Arial"/>
                <w:sz w:val="16"/>
                <w:szCs w:val="16"/>
                <w:color w:val="auto"/>
              </w:rPr>
              <w:t>Continue to vest on the original</w:t>
            </w:r>
          </w:p>
        </w:tc>
        <w:tc>
          <w:tcPr>
            <w:tcW w:w="262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Options outstanding for 7 years or</w:t>
            </w:r>
          </w:p>
        </w:tc>
        <w:tc>
          <w:tcPr>
            <w:tcW w:w="20" w:type="dxa"/>
            <w:vAlign w:val="bottom"/>
          </w:tcPr>
          <w:p>
            <w:pPr>
              <w:spacing w:after="0"/>
              <w:rPr>
                <w:sz w:val="15"/>
                <w:szCs w:val="15"/>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vesting date(s); provided that the</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more: earlier of 1 year from</w:t>
            </w: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options have been outstanding for at</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Retirement or expiration of the</w:t>
            </w: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least six months when Retirement</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options. Options outstanding for</w:t>
            </w: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occurs. If the options have not been</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less than 7 years: 7 years from the</w:t>
            </w: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outstanding for that period, they</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grant date.</w:t>
            </w:r>
          </w:p>
        </w:tc>
      </w:tr>
      <w:tr>
        <w:trPr>
          <w:trHeight w:val="211"/>
        </w:trPr>
        <w:tc>
          <w:tcPr>
            <w:tcW w:w="3180" w:type="dxa"/>
            <w:vAlign w:val="bottom"/>
            <w:tcBorders>
              <w:right w:val="single" w:sz="8" w:color="B2B2B2"/>
            </w:tcBorders>
          </w:tcPr>
          <w:p>
            <w:pPr>
              <w:spacing w:after="0"/>
              <w:rPr>
                <w:sz w:val="18"/>
                <w:szCs w:val="18"/>
                <w:color w:val="auto"/>
              </w:rPr>
            </w:pPr>
          </w:p>
        </w:tc>
        <w:tc>
          <w:tcPr>
            <w:tcW w:w="2300" w:type="dxa"/>
            <w:vAlign w:val="bottom"/>
            <w:tcBorders>
              <w:right w:val="single" w:sz="8" w:color="B2B2B2"/>
            </w:tcBorders>
          </w:tcPr>
          <w:p>
            <w:pPr>
              <w:spacing w:after="0"/>
              <w:rPr>
                <w:sz w:val="18"/>
                <w:szCs w:val="18"/>
                <w:color w:val="auto"/>
              </w:rPr>
            </w:pPr>
          </w:p>
        </w:tc>
        <w:tc>
          <w:tcPr>
            <w:tcW w:w="282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would be forfeited.</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7"/>
        </w:trPr>
        <w:tc>
          <w:tcPr>
            <w:tcW w:w="3180" w:type="dxa"/>
            <w:vAlign w:val="bottom"/>
            <w:tcBorders>
              <w:right w:val="single" w:sz="8" w:color="B2B2B2"/>
            </w:tcBorders>
          </w:tcPr>
          <w:p>
            <w:pPr>
              <w:spacing w:after="0"/>
              <w:rPr>
                <w:sz w:val="4"/>
                <w:szCs w:val="4"/>
                <w:color w:val="auto"/>
              </w:rPr>
            </w:pPr>
          </w:p>
        </w:tc>
        <w:tc>
          <w:tcPr>
            <w:tcW w:w="2300" w:type="dxa"/>
            <w:vAlign w:val="bottom"/>
            <w:tcBorders>
              <w:right w:val="single" w:sz="8" w:color="B2B2B2"/>
            </w:tcBorders>
          </w:tcPr>
          <w:p>
            <w:pPr>
              <w:spacing w:after="0"/>
              <w:rPr>
                <w:sz w:val="4"/>
                <w:szCs w:val="4"/>
                <w:color w:val="auto"/>
              </w:rPr>
            </w:pPr>
          </w:p>
        </w:tc>
        <w:tc>
          <w:tcPr>
            <w:tcW w:w="2820" w:type="dxa"/>
            <w:vAlign w:val="bottom"/>
            <w:tcBorders>
              <w:right w:val="single" w:sz="8" w:color="B2B2B2"/>
            </w:tcBorders>
          </w:tcPr>
          <w:p>
            <w:pPr>
              <w:spacing w:after="0"/>
              <w:rPr>
                <w:sz w:val="4"/>
                <w:szCs w:val="4"/>
                <w:color w:val="auto"/>
              </w:rPr>
            </w:pPr>
          </w:p>
        </w:tc>
        <w:tc>
          <w:tcPr>
            <w:tcW w:w="2640" w:type="dxa"/>
            <w:vAlign w:val="bottom"/>
            <w:gridSpan w:val="2"/>
          </w:tcPr>
          <w:p>
            <w:pPr>
              <w:spacing w:after="0"/>
              <w:rPr>
                <w:sz w:val="4"/>
                <w:szCs w:val="4"/>
                <w:color w:val="auto"/>
              </w:rPr>
            </w:pPr>
          </w:p>
        </w:tc>
      </w:tr>
      <w:tr>
        <w:trPr>
          <w:trHeight w:val="180"/>
        </w:trPr>
        <w:tc>
          <w:tcPr>
            <w:tcW w:w="318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b w:val="1"/>
                <w:bCs w:val="1"/>
                <w:color w:val="auto"/>
              </w:rPr>
              <w:t>Disability</w:t>
            </w:r>
          </w:p>
        </w:tc>
        <w:tc>
          <w:tcPr>
            <w:tcW w:w="230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color w:val="auto"/>
              </w:rPr>
              <w:t>Remain exercisable</w:t>
            </w:r>
          </w:p>
        </w:tc>
        <w:tc>
          <w:tcPr>
            <w:tcW w:w="2820" w:type="dxa"/>
            <w:vAlign w:val="bottom"/>
            <w:tcBorders>
              <w:top w:val="single" w:sz="8" w:color="B2B2B2"/>
              <w:right w:val="single" w:sz="8" w:color="B2B2B2"/>
            </w:tcBorders>
          </w:tcPr>
          <w:p>
            <w:pPr>
              <w:ind w:left="80"/>
              <w:spacing w:after="0" w:line="180" w:lineRule="exact"/>
              <w:rPr>
                <w:sz w:val="20"/>
                <w:szCs w:val="20"/>
                <w:color w:val="auto"/>
              </w:rPr>
            </w:pPr>
            <w:r>
              <w:rPr>
                <w:rFonts w:ascii="Arial" w:cs="Arial" w:eastAsia="Arial" w:hAnsi="Arial"/>
                <w:sz w:val="16"/>
                <w:szCs w:val="16"/>
                <w:color w:val="auto"/>
              </w:rPr>
              <w:t>Fully vested</w:t>
            </w:r>
          </w:p>
        </w:tc>
        <w:tc>
          <w:tcPr>
            <w:tcW w:w="262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The earlier of 1 year from the</w:t>
            </w:r>
          </w:p>
        </w:tc>
        <w:tc>
          <w:tcPr>
            <w:tcW w:w="20" w:type="dxa"/>
            <w:vAlign w:val="bottom"/>
          </w:tcPr>
          <w:p>
            <w:pPr>
              <w:spacing w:after="0"/>
              <w:rPr>
                <w:sz w:val="15"/>
                <w:szCs w:val="15"/>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spacing w:after="0"/>
              <w:rPr>
                <w:sz w:val="16"/>
                <w:szCs w:val="16"/>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Disability date or the grant</w:t>
            </w:r>
          </w:p>
        </w:tc>
      </w:tr>
      <w:tr>
        <w:trPr>
          <w:trHeight w:val="211"/>
        </w:trPr>
        <w:tc>
          <w:tcPr>
            <w:tcW w:w="3180" w:type="dxa"/>
            <w:vAlign w:val="bottom"/>
            <w:tcBorders>
              <w:right w:val="single" w:sz="8" w:color="B2B2B2"/>
            </w:tcBorders>
          </w:tcPr>
          <w:p>
            <w:pPr>
              <w:spacing w:after="0"/>
              <w:rPr>
                <w:sz w:val="18"/>
                <w:szCs w:val="18"/>
                <w:color w:val="auto"/>
              </w:rPr>
            </w:pPr>
          </w:p>
        </w:tc>
        <w:tc>
          <w:tcPr>
            <w:tcW w:w="2300" w:type="dxa"/>
            <w:vAlign w:val="bottom"/>
            <w:tcBorders>
              <w:right w:val="single" w:sz="8" w:color="B2B2B2"/>
            </w:tcBorders>
          </w:tcPr>
          <w:p>
            <w:pPr>
              <w:spacing w:after="0"/>
              <w:rPr>
                <w:sz w:val="18"/>
                <w:szCs w:val="18"/>
                <w:color w:val="auto"/>
              </w:rPr>
            </w:pPr>
          </w:p>
        </w:tc>
        <w:tc>
          <w:tcPr>
            <w:tcW w:w="2820" w:type="dxa"/>
            <w:vAlign w:val="bottom"/>
            <w:tcBorders>
              <w:right w:val="single" w:sz="8" w:color="B2B2B2"/>
            </w:tcBorders>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expiration date</w:t>
            </w:r>
          </w:p>
        </w:tc>
      </w:tr>
      <w:tr>
        <w:trPr>
          <w:trHeight w:val="57"/>
        </w:trPr>
        <w:tc>
          <w:tcPr>
            <w:tcW w:w="3180" w:type="dxa"/>
            <w:vAlign w:val="bottom"/>
            <w:tcBorders>
              <w:right w:val="single" w:sz="8" w:color="B2B2B2"/>
            </w:tcBorders>
          </w:tcPr>
          <w:p>
            <w:pPr>
              <w:spacing w:after="0"/>
              <w:rPr>
                <w:sz w:val="4"/>
                <w:szCs w:val="4"/>
                <w:color w:val="auto"/>
              </w:rPr>
            </w:pPr>
          </w:p>
        </w:tc>
        <w:tc>
          <w:tcPr>
            <w:tcW w:w="2300" w:type="dxa"/>
            <w:vAlign w:val="bottom"/>
            <w:tcBorders>
              <w:right w:val="single" w:sz="8" w:color="B2B2B2"/>
            </w:tcBorders>
          </w:tcPr>
          <w:p>
            <w:pPr>
              <w:spacing w:after="0"/>
              <w:rPr>
                <w:sz w:val="4"/>
                <w:szCs w:val="4"/>
                <w:color w:val="auto"/>
              </w:rPr>
            </w:pPr>
          </w:p>
        </w:tc>
        <w:tc>
          <w:tcPr>
            <w:tcW w:w="2820" w:type="dxa"/>
            <w:vAlign w:val="bottom"/>
            <w:tcBorders>
              <w:right w:val="single" w:sz="8" w:color="B2B2B2"/>
            </w:tcBorders>
          </w:tcPr>
          <w:p>
            <w:pPr>
              <w:spacing w:after="0"/>
              <w:rPr>
                <w:sz w:val="4"/>
                <w:szCs w:val="4"/>
                <w:color w:val="auto"/>
              </w:rPr>
            </w:pPr>
          </w:p>
        </w:tc>
        <w:tc>
          <w:tcPr>
            <w:tcW w:w="2640" w:type="dxa"/>
            <w:vAlign w:val="bottom"/>
            <w:gridSpan w:val="2"/>
          </w:tcPr>
          <w:p>
            <w:pPr>
              <w:spacing w:after="0"/>
              <w:rPr>
                <w:sz w:val="4"/>
                <w:szCs w:val="4"/>
                <w:color w:val="auto"/>
              </w:rPr>
            </w:pPr>
          </w:p>
        </w:tc>
      </w:tr>
      <w:tr>
        <w:trPr>
          <w:trHeight w:val="180"/>
        </w:trPr>
        <w:tc>
          <w:tcPr>
            <w:tcW w:w="318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b w:val="1"/>
                <w:bCs w:val="1"/>
                <w:color w:val="auto"/>
              </w:rPr>
              <w:t>Death</w:t>
            </w:r>
          </w:p>
        </w:tc>
        <w:tc>
          <w:tcPr>
            <w:tcW w:w="2300" w:type="dxa"/>
            <w:vAlign w:val="bottom"/>
            <w:tcBorders>
              <w:top w:val="single" w:sz="8" w:color="B2B2B2"/>
              <w:right w:val="single" w:sz="8" w:color="B2B2B2"/>
            </w:tcBorders>
          </w:tcPr>
          <w:p>
            <w:pPr>
              <w:ind w:left="100"/>
              <w:spacing w:after="0" w:line="180" w:lineRule="exact"/>
              <w:rPr>
                <w:sz w:val="20"/>
                <w:szCs w:val="20"/>
                <w:color w:val="auto"/>
              </w:rPr>
            </w:pPr>
            <w:r>
              <w:rPr>
                <w:rFonts w:ascii="Arial" w:cs="Arial" w:eastAsia="Arial" w:hAnsi="Arial"/>
                <w:sz w:val="16"/>
                <w:szCs w:val="16"/>
                <w:color w:val="auto"/>
              </w:rPr>
              <w:t>Remain exercisable</w:t>
            </w:r>
          </w:p>
        </w:tc>
        <w:tc>
          <w:tcPr>
            <w:tcW w:w="2820" w:type="dxa"/>
            <w:vAlign w:val="bottom"/>
            <w:tcBorders>
              <w:top w:val="single" w:sz="8" w:color="B2B2B2"/>
              <w:right w:val="single" w:sz="8" w:color="B2B2B2"/>
            </w:tcBorders>
          </w:tcPr>
          <w:p>
            <w:pPr>
              <w:ind w:left="80"/>
              <w:spacing w:after="0" w:line="180" w:lineRule="exact"/>
              <w:rPr>
                <w:sz w:val="20"/>
                <w:szCs w:val="20"/>
                <w:color w:val="auto"/>
              </w:rPr>
            </w:pPr>
            <w:r>
              <w:rPr>
                <w:rFonts w:ascii="Arial" w:cs="Arial" w:eastAsia="Arial" w:hAnsi="Arial"/>
                <w:sz w:val="16"/>
                <w:szCs w:val="16"/>
                <w:color w:val="auto"/>
              </w:rPr>
              <w:t>Fully vested</w:t>
            </w:r>
          </w:p>
        </w:tc>
        <w:tc>
          <w:tcPr>
            <w:tcW w:w="2620" w:type="dxa"/>
            <w:vAlign w:val="bottom"/>
            <w:tcBorders>
              <w:top w:val="single" w:sz="8" w:color="B2B2B2"/>
            </w:tcBorders>
          </w:tcPr>
          <w:p>
            <w:pPr>
              <w:ind w:left="120"/>
              <w:spacing w:after="0" w:line="180" w:lineRule="exact"/>
              <w:rPr>
                <w:sz w:val="20"/>
                <w:szCs w:val="20"/>
                <w:color w:val="auto"/>
              </w:rPr>
            </w:pPr>
            <w:r>
              <w:rPr>
                <w:rFonts w:ascii="Arial" w:cs="Arial" w:eastAsia="Arial" w:hAnsi="Arial"/>
                <w:sz w:val="16"/>
                <w:szCs w:val="16"/>
                <w:color w:val="auto"/>
              </w:rPr>
              <w:t>The earlier of 1 year from the date</w:t>
            </w:r>
          </w:p>
        </w:tc>
        <w:tc>
          <w:tcPr>
            <w:tcW w:w="20" w:type="dxa"/>
            <w:vAlign w:val="bottom"/>
          </w:tcPr>
          <w:p>
            <w:pPr>
              <w:spacing w:after="0"/>
              <w:rPr>
                <w:sz w:val="15"/>
                <w:szCs w:val="15"/>
                <w:color w:val="auto"/>
              </w:rPr>
            </w:pPr>
          </w:p>
        </w:tc>
      </w:tr>
      <w:tr>
        <w:trPr>
          <w:trHeight w:val="187"/>
        </w:trPr>
        <w:tc>
          <w:tcPr>
            <w:tcW w:w="3180" w:type="dxa"/>
            <w:vAlign w:val="bottom"/>
            <w:tcBorders>
              <w:right w:val="single" w:sz="8" w:color="B2B2B2"/>
            </w:tcBorders>
          </w:tcPr>
          <w:p>
            <w:pPr>
              <w:spacing w:after="0"/>
              <w:rPr>
                <w:sz w:val="16"/>
                <w:szCs w:val="16"/>
                <w:color w:val="auto"/>
              </w:rPr>
            </w:pPr>
          </w:p>
        </w:tc>
        <w:tc>
          <w:tcPr>
            <w:tcW w:w="2300" w:type="dxa"/>
            <w:vAlign w:val="bottom"/>
            <w:tcBorders>
              <w:right w:val="single" w:sz="8" w:color="B2B2B2"/>
            </w:tcBorders>
          </w:tcPr>
          <w:p>
            <w:pPr>
              <w:spacing w:after="0"/>
              <w:rPr>
                <w:sz w:val="16"/>
                <w:szCs w:val="16"/>
                <w:color w:val="auto"/>
              </w:rPr>
            </w:pPr>
          </w:p>
        </w:tc>
        <w:tc>
          <w:tcPr>
            <w:tcW w:w="2820" w:type="dxa"/>
            <w:vAlign w:val="bottom"/>
            <w:tcBorders>
              <w:right w:val="single" w:sz="8" w:color="B2B2B2"/>
            </w:tcBorders>
          </w:tcPr>
          <w:p>
            <w:pPr>
              <w:spacing w:after="0"/>
              <w:rPr>
                <w:sz w:val="16"/>
                <w:szCs w:val="16"/>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of Death or the grant expiration</w:t>
            </w:r>
          </w:p>
        </w:tc>
      </w:tr>
      <w:tr>
        <w:trPr>
          <w:trHeight w:val="275"/>
        </w:trPr>
        <w:tc>
          <w:tcPr>
            <w:tcW w:w="3180" w:type="dxa"/>
            <w:vAlign w:val="bottom"/>
            <w:tcBorders>
              <w:right w:val="single" w:sz="8" w:color="B2B2B2"/>
            </w:tcBorders>
          </w:tcPr>
          <w:p>
            <w:pPr>
              <w:spacing w:after="0"/>
              <w:rPr>
                <w:sz w:val="23"/>
                <w:szCs w:val="23"/>
                <w:color w:val="auto"/>
              </w:rPr>
            </w:pPr>
          </w:p>
        </w:tc>
        <w:tc>
          <w:tcPr>
            <w:tcW w:w="2300" w:type="dxa"/>
            <w:vAlign w:val="bottom"/>
            <w:tcBorders>
              <w:right w:val="single" w:sz="8" w:color="B2B2B2"/>
            </w:tcBorders>
          </w:tcPr>
          <w:p>
            <w:pPr>
              <w:spacing w:after="0"/>
              <w:rPr>
                <w:sz w:val="23"/>
                <w:szCs w:val="23"/>
                <w:color w:val="auto"/>
              </w:rPr>
            </w:pPr>
          </w:p>
        </w:tc>
        <w:tc>
          <w:tcPr>
            <w:tcW w:w="2820" w:type="dxa"/>
            <w:vAlign w:val="bottom"/>
            <w:tcBorders>
              <w:right w:val="single" w:sz="8" w:color="B2B2B2"/>
            </w:tcBorders>
          </w:tcPr>
          <w:p>
            <w:pPr>
              <w:spacing w:after="0"/>
              <w:rPr>
                <w:sz w:val="23"/>
                <w:szCs w:val="23"/>
                <w:color w:val="auto"/>
              </w:rPr>
            </w:pP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date</w:t>
            </w:r>
          </w:p>
        </w:tc>
      </w:tr>
      <w:tr>
        <w:trPr>
          <w:trHeight w:val="174"/>
        </w:trPr>
        <w:tc>
          <w:tcPr>
            <w:tcW w:w="8300" w:type="dxa"/>
            <w:vAlign w:val="bottom"/>
            <w:tcBorders>
              <w:top w:val="single" w:sz="8" w:color="D64000"/>
              <w:bottom w:val="single" w:sz="8" w:color="7F7F7F"/>
            </w:tcBorders>
            <w:gridSpan w:val="3"/>
          </w:tcPr>
          <w:p>
            <w:pPr>
              <w:spacing w:after="0"/>
              <w:rPr>
                <w:sz w:val="15"/>
                <w:szCs w:val="15"/>
                <w:color w:val="auto"/>
              </w:rPr>
            </w:pPr>
          </w:p>
        </w:tc>
        <w:tc>
          <w:tcPr>
            <w:tcW w:w="2620" w:type="dxa"/>
            <w:vAlign w:val="bottom"/>
            <w:tcBorders>
              <w:top w:val="single" w:sz="8" w:color="D64000"/>
              <w:bottom w:val="single" w:sz="8" w:color="7F7F7F"/>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2640" w:type="dxa"/>
            <w:vAlign w:val="bottom"/>
            <w:gridSpan w:val="2"/>
          </w:tcPr>
          <w:p>
            <w:pPr>
              <w:ind w:left="2000"/>
              <w:spacing w:after="0"/>
              <w:rPr>
                <w:sz w:val="20"/>
                <w:szCs w:val="20"/>
                <w:color w:val="auto"/>
              </w:rPr>
            </w:pPr>
            <w:r>
              <w:rPr>
                <w:rFonts w:ascii="Arial" w:cs="Arial" w:eastAsia="Arial" w:hAnsi="Arial"/>
                <w:sz w:val="17"/>
                <w:szCs w:val="17"/>
                <w:color w:val="auto"/>
                <w:w w:val="97"/>
              </w:rPr>
              <w:t>Page 91</w:t>
            </w:r>
          </w:p>
        </w:tc>
      </w:tr>
    </w:tbl>
    <w:p>
      <w:pPr>
        <w:sectPr>
          <w:pgSz w:w="11900" w:h="16838" w:orient="portrait"/>
          <w:cols w:equalWidth="0" w:num="1">
            <w:col w:w="10920"/>
          </w:cols>
          <w:pgMar w:left="480" w:top="266" w:right="499" w:bottom="1440" w:gutter="0" w:footer="0" w:header="0"/>
        </w:sectPr>
      </w:pPr>
    </w:p>
    <w:bookmarkStart w:id="101" w:name="page102"/>
    <w:bookmarkEnd w:id="101"/>
    <w:p>
      <w:pPr>
        <w:spacing w:after="0"/>
        <w:rPr>
          <w:sz w:val="20"/>
          <w:szCs w:val="20"/>
          <w:color w:val="auto"/>
        </w:rPr>
      </w:pPr>
      <w:r>
        <w:rPr>
          <w:rFonts w:ascii="Arial" w:cs="Arial" w:eastAsia="Arial" w:hAnsi="Arial"/>
          <w:sz w:val="25"/>
          <w:szCs w:val="25"/>
          <w:i w:val="1"/>
          <w:i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TRSUs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Pursuant to award terms and conditions, TRSUs would be treated as follows in the event of termination: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20" w:type="dxa"/>
            <w:vAlign w:val="bottom"/>
            <w:tcBorders>
              <w:right w:val="single" w:sz="8" w:color="B2B2B2"/>
            </w:tcBorders>
            <w:shd w:val="clear" w:color="auto" w:fill="1F473D"/>
          </w:tcPr>
          <w:p>
            <w:pPr>
              <w:spacing w:after="0"/>
              <w:rPr>
                <w:sz w:val="20"/>
                <w:szCs w:val="20"/>
                <w:color w:val="auto"/>
              </w:rPr>
            </w:pPr>
            <w:r>
              <w:rPr>
                <w:rFonts w:ascii="Arial" w:cs="Arial" w:eastAsia="Arial" w:hAnsi="Arial"/>
                <w:sz w:val="16"/>
                <w:szCs w:val="16"/>
                <w:b w:val="1"/>
                <w:bCs w:val="1"/>
                <w:color w:val="FFFFFF"/>
              </w:rPr>
              <w:t>  Termination Event</w:t>
            </w:r>
          </w:p>
        </w:tc>
        <w:tc>
          <w:tcPr>
            <w:tcW w:w="6900" w:type="dxa"/>
            <w:vAlign w:val="bottom"/>
            <w:shd w:val="clear" w:color="auto" w:fill="1F473D"/>
          </w:tcPr>
          <w:p>
            <w:pPr>
              <w:ind w:left="100"/>
              <w:spacing w:after="0"/>
              <w:rPr>
                <w:sz w:val="20"/>
                <w:szCs w:val="20"/>
                <w:color w:val="auto"/>
              </w:rPr>
            </w:pPr>
            <w:r>
              <w:rPr>
                <w:rFonts w:ascii="Arial" w:cs="Arial" w:eastAsia="Arial" w:hAnsi="Arial"/>
                <w:sz w:val="16"/>
                <w:szCs w:val="16"/>
                <w:b w:val="1"/>
                <w:bCs w:val="1"/>
                <w:color w:val="FFFFFF"/>
              </w:rPr>
              <w:t>Unvested TRSUs</w:t>
            </w:r>
          </w:p>
        </w:tc>
      </w:tr>
      <w:tr>
        <w:trPr>
          <w:trHeight w:val="67"/>
        </w:trPr>
        <w:tc>
          <w:tcPr>
            <w:tcW w:w="4020" w:type="dxa"/>
            <w:vAlign w:val="bottom"/>
            <w:tcBorders>
              <w:bottom w:val="single" w:sz="8" w:color="D64000"/>
              <w:right w:val="single" w:sz="8" w:color="B2B2B2"/>
            </w:tcBorders>
            <w:shd w:val="clear" w:color="auto" w:fill="1F473D"/>
          </w:tcPr>
          <w:p>
            <w:pPr>
              <w:spacing w:after="0"/>
              <w:rPr>
                <w:sz w:val="5"/>
                <w:szCs w:val="5"/>
                <w:color w:val="auto"/>
              </w:rPr>
            </w:pPr>
          </w:p>
        </w:tc>
        <w:tc>
          <w:tcPr>
            <w:tcW w:w="6900" w:type="dxa"/>
            <w:vAlign w:val="bottom"/>
            <w:tcBorders>
              <w:bottom w:val="single" w:sz="8" w:color="D64000"/>
            </w:tcBorders>
            <w:shd w:val="clear" w:color="auto" w:fill="1F473D"/>
          </w:tcPr>
          <w:p>
            <w:pPr>
              <w:spacing w:after="0"/>
              <w:rPr>
                <w:sz w:val="5"/>
                <w:szCs w:val="5"/>
                <w:color w:val="auto"/>
              </w:rPr>
            </w:pPr>
          </w:p>
        </w:tc>
      </w:tr>
      <w:tr>
        <w:trPr>
          <w:trHeight w:val="241"/>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Voluntary termination</w:t>
            </w: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Forfeited</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Involuntary termination for poor performance or</w:t>
            </w:r>
          </w:p>
        </w:tc>
        <w:tc>
          <w:tcPr>
            <w:tcW w:w="6900" w:type="dxa"/>
            <w:vAlign w:val="bottom"/>
          </w:tcPr>
          <w:p>
            <w:pPr>
              <w:ind w:left="100"/>
              <w:spacing w:after="0"/>
              <w:rPr>
                <w:sz w:val="20"/>
                <w:szCs w:val="20"/>
                <w:color w:val="auto"/>
              </w:rPr>
            </w:pPr>
            <w:r>
              <w:rPr>
                <w:rFonts w:ascii="Arial" w:cs="Arial" w:eastAsia="Arial" w:hAnsi="Arial"/>
                <w:sz w:val="16"/>
                <w:szCs w:val="16"/>
                <w:color w:val="auto"/>
              </w:rPr>
              <w:t>Forfeited</w:t>
            </w:r>
          </w:p>
        </w:tc>
      </w:tr>
      <w:tr>
        <w:trPr>
          <w:trHeight w:val="201"/>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for Cause</w:t>
            </w:r>
          </w:p>
        </w:tc>
        <w:tc>
          <w:tcPr>
            <w:tcW w:w="6900" w:type="dxa"/>
            <w:vAlign w:val="bottom"/>
            <w:tcBorders>
              <w:bottom w:val="single" w:sz="8" w:color="B2B2B2"/>
            </w:tcBorders>
          </w:tcPr>
          <w:p>
            <w:pPr>
              <w:spacing w:after="0"/>
              <w:rPr>
                <w:sz w:val="17"/>
                <w:szCs w:val="17"/>
                <w:color w:val="auto"/>
              </w:rPr>
            </w:pP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Involuntary termination not for poor performance</w:t>
            </w:r>
          </w:p>
        </w:tc>
        <w:tc>
          <w:tcPr>
            <w:tcW w:w="6900" w:type="dxa"/>
            <w:vAlign w:val="bottom"/>
          </w:tcPr>
          <w:p>
            <w:pPr>
              <w:ind w:left="100"/>
              <w:spacing w:after="0"/>
              <w:rPr>
                <w:sz w:val="20"/>
                <w:szCs w:val="20"/>
                <w:color w:val="auto"/>
              </w:rPr>
            </w:pPr>
            <w:r>
              <w:rPr>
                <w:rFonts w:ascii="Arial" w:cs="Arial" w:eastAsia="Arial" w:hAnsi="Arial"/>
                <w:sz w:val="16"/>
                <w:szCs w:val="16"/>
                <w:color w:val="auto"/>
              </w:rPr>
              <w:t>Pro rata vesting based on active service as an employee (measured in calendar days from the</w:t>
            </w:r>
          </w:p>
        </w:tc>
      </w:tr>
      <w:tr>
        <w:trPr>
          <w:trHeight w:val="187"/>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or without Cause</w:t>
            </w:r>
          </w:p>
        </w:tc>
        <w:tc>
          <w:tcPr>
            <w:tcW w:w="6900" w:type="dxa"/>
            <w:vAlign w:val="bottom"/>
          </w:tcPr>
          <w:p>
            <w:pPr>
              <w:ind w:left="100"/>
              <w:spacing w:after="0"/>
              <w:rPr>
                <w:sz w:val="20"/>
                <w:szCs w:val="20"/>
                <w:color w:val="auto"/>
              </w:rPr>
            </w:pPr>
            <w:r>
              <w:rPr>
                <w:rFonts w:ascii="Arial" w:cs="Arial" w:eastAsia="Arial" w:hAnsi="Arial"/>
                <w:sz w:val="16"/>
                <w:szCs w:val="16"/>
                <w:color w:val="auto"/>
              </w:rPr>
              <w:t>grant date to the termination date). Vesting would occur on the termination date. The remaining</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TRSUs would be forfeited.</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Sale of the holder’s business</w:t>
            </w:r>
          </w:p>
        </w:tc>
        <w:tc>
          <w:tcPr>
            <w:tcW w:w="6900" w:type="dxa"/>
            <w:vAlign w:val="bottom"/>
          </w:tcPr>
          <w:p>
            <w:pPr>
              <w:ind w:left="100"/>
              <w:spacing w:after="0"/>
              <w:rPr>
                <w:sz w:val="20"/>
                <w:szCs w:val="20"/>
                <w:color w:val="auto"/>
              </w:rPr>
            </w:pPr>
            <w:r>
              <w:rPr>
                <w:rFonts w:ascii="Arial" w:cs="Arial" w:eastAsia="Arial" w:hAnsi="Arial"/>
                <w:sz w:val="16"/>
                <w:szCs w:val="16"/>
                <w:color w:val="auto"/>
              </w:rPr>
              <w:t>The Board or HR Committee shall meet to determine the appropriate treatment of any unvested</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TRSUs.</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A Change of Control of Thomson Reuters (based</w:t>
            </w:r>
          </w:p>
        </w:tc>
        <w:tc>
          <w:tcPr>
            <w:tcW w:w="6900" w:type="dxa"/>
            <w:vAlign w:val="bottom"/>
          </w:tcPr>
          <w:p>
            <w:pPr>
              <w:ind w:left="100"/>
              <w:spacing w:after="0"/>
              <w:rPr>
                <w:sz w:val="20"/>
                <w:szCs w:val="20"/>
                <w:color w:val="auto"/>
              </w:rPr>
            </w:pPr>
            <w:r>
              <w:rPr>
                <w:rFonts w:ascii="Arial" w:cs="Arial" w:eastAsia="Arial" w:hAnsi="Arial"/>
                <w:sz w:val="16"/>
                <w:szCs w:val="16"/>
                <w:color w:val="auto"/>
              </w:rPr>
              <w:t>Fully vested upon a “double trigger” (involuntary termination not for poor performance or without</w:t>
            </w:r>
          </w:p>
        </w:tc>
      </w:tr>
      <w:tr>
        <w:trPr>
          <w:trHeight w:val="187"/>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on the surviving, successor or acquiring company</w:t>
            </w:r>
          </w:p>
        </w:tc>
        <w:tc>
          <w:tcPr>
            <w:tcW w:w="6900" w:type="dxa"/>
            <w:vAlign w:val="bottom"/>
          </w:tcPr>
          <w:p>
            <w:pPr>
              <w:ind w:left="100"/>
              <w:spacing w:after="0"/>
              <w:rPr>
                <w:sz w:val="20"/>
                <w:szCs w:val="20"/>
                <w:color w:val="auto"/>
              </w:rPr>
            </w:pPr>
            <w:r>
              <w:rPr>
                <w:rFonts w:ascii="Arial" w:cs="Arial" w:eastAsia="Arial" w:hAnsi="Arial"/>
                <w:sz w:val="16"/>
                <w:szCs w:val="16"/>
                <w:color w:val="auto"/>
              </w:rPr>
              <w:t>Cause within two years following a Change of Control); otherwise, the TRSUs would become</w:t>
            </w:r>
          </w:p>
        </w:tc>
      </w:tr>
      <w:tr>
        <w:trPr>
          <w:trHeight w:val="201"/>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assuming TRSUs or substituting similar awards)</w:t>
            </w: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vested on the scheduled vesting date(s), subject to continuous employment.</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Retirement</w:t>
            </w:r>
          </w:p>
        </w:tc>
        <w:tc>
          <w:tcPr>
            <w:tcW w:w="6900" w:type="dxa"/>
            <w:vAlign w:val="bottom"/>
          </w:tcPr>
          <w:p>
            <w:pPr>
              <w:ind w:left="100"/>
              <w:spacing w:after="0"/>
              <w:rPr>
                <w:sz w:val="20"/>
                <w:szCs w:val="20"/>
                <w:color w:val="auto"/>
              </w:rPr>
            </w:pPr>
            <w:r>
              <w:rPr>
                <w:rFonts w:ascii="Arial" w:cs="Arial" w:eastAsia="Arial" w:hAnsi="Arial"/>
                <w:sz w:val="16"/>
                <w:szCs w:val="16"/>
                <w:color w:val="auto"/>
              </w:rPr>
              <w:t>Continue to vest on the scheduled vesting date(s) if the TRSUs have been outstanding for at</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least six months when Retirement occurs. If the TRSUs have not been outstanding for that</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period, they would be forfeited.</w:t>
            </w:r>
          </w:p>
        </w:tc>
      </w:tr>
      <w:tr>
        <w:trPr>
          <w:trHeight w:val="234"/>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Disability</w:t>
            </w: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Fully vested</w:t>
            </w:r>
          </w:p>
        </w:tc>
      </w:tr>
      <w:tr>
        <w:trPr>
          <w:trHeight w:val="301"/>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Death</w:t>
            </w:r>
          </w:p>
        </w:tc>
        <w:tc>
          <w:tcPr>
            <w:tcW w:w="6900" w:type="dxa"/>
            <w:vAlign w:val="bottom"/>
          </w:tcPr>
          <w:p>
            <w:pPr>
              <w:ind w:left="100"/>
              <w:spacing w:after="0"/>
              <w:rPr>
                <w:sz w:val="20"/>
                <w:szCs w:val="20"/>
                <w:color w:val="auto"/>
              </w:rPr>
            </w:pPr>
            <w:r>
              <w:rPr>
                <w:rFonts w:ascii="Arial" w:cs="Arial" w:eastAsia="Arial" w:hAnsi="Arial"/>
                <w:sz w:val="16"/>
                <w:szCs w:val="16"/>
                <w:color w:val="auto"/>
              </w:rPr>
              <w:t>Fully vested</w:t>
            </w:r>
          </w:p>
        </w:tc>
      </w:tr>
      <w:tr>
        <w:trPr>
          <w:trHeight w:val="27"/>
        </w:trPr>
        <w:tc>
          <w:tcPr>
            <w:tcW w:w="4020" w:type="dxa"/>
            <w:vAlign w:val="bottom"/>
            <w:tcBorders>
              <w:right w:val="single" w:sz="8" w:color="D64000"/>
            </w:tcBorders>
            <w:shd w:val="clear" w:color="auto" w:fill="D64000"/>
          </w:tcPr>
          <w:p>
            <w:pPr>
              <w:spacing w:after="0"/>
              <w:rPr>
                <w:sz w:val="2"/>
                <w:szCs w:val="2"/>
                <w:color w:val="auto"/>
              </w:rPr>
            </w:pPr>
          </w:p>
        </w:tc>
        <w:tc>
          <w:tcPr>
            <w:tcW w:w="6900" w:type="dxa"/>
            <w:vAlign w:val="bottom"/>
            <w:shd w:val="clear" w:color="auto" w:fill="D64000"/>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PRSUs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Pursuant to award terms and conditions, PRSUs would be treated as follows in the event of termination: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20" w:type="dxa"/>
            <w:vAlign w:val="bottom"/>
            <w:tcBorders>
              <w:right w:val="single" w:sz="8" w:color="B2B2B2"/>
            </w:tcBorders>
            <w:shd w:val="clear" w:color="auto" w:fill="1F473D"/>
          </w:tcPr>
          <w:p>
            <w:pPr>
              <w:spacing w:after="0"/>
              <w:rPr>
                <w:sz w:val="20"/>
                <w:szCs w:val="20"/>
                <w:color w:val="auto"/>
              </w:rPr>
            </w:pPr>
            <w:r>
              <w:rPr>
                <w:rFonts w:ascii="Arial" w:cs="Arial" w:eastAsia="Arial" w:hAnsi="Arial"/>
                <w:sz w:val="16"/>
                <w:szCs w:val="16"/>
                <w:b w:val="1"/>
                <w:bCs w:val="1"/>
                <w:color w:val="FFFFFF"/>
              </w:rPr>
              <w:t>  Termination Event</w:t>
            </w:r>
          </w:p>
        </w:tc>
        <w:tc>
          <w:tcPr>
            <w:tcW w:w="6900" w:type="dxa"/>
            <w:vAlign w:val="bottom"/>
            <w:shd w:val="clear" w:color="auto" w:fill="1F473D"/>
          </w:tcPr>
          <w:p>
            <w:pPr>
              <w:ind w:left="100"/>
              <w:spacing w:after="0"/>
              <w:rPr>
                <w:sz w:val="20"/>
                <w:szCs w:val="20"/>
                <w:color w:val="auto"/>
              </w:rPr>
            </w:pPr>
            <w:r>
              <w:rPr>
                <w:rFonts w:ascii="Arial" w:cs="Arial" w:eastAsia="Arial" w:hAnsi="Arial"/>
                <w:sz w:val="16"/>
                <w:szCs w:val="16"/>
                <w:b w:val="1"/>
                <w:bCs w:val="1"/>
                <w:color w:val="FFFFFF"/>
              </w:rPr>
              <w:t>Unvested PRSUs</w:t>
            </w:r>
          </w:p>
        </w:tc>
      </w:tr>
      <w:tr>
        <w:trPr>
          <w:trHeight w:val="67"/>
        </w:trPr>
        <w:tc>
          <w:tcPr>
            <w:tcW w:w="4020" w:type="dxa"/>
            <w:vAlign w:val="bottom"/>
            <w:tcBorders>
              <w:bottom w:val="single" w:sz="8" w:color="D64000"/>
              <w:right w:val="single" w:sz="8" w:color="B2B2B2"/>
            </w:tcBorders>
            <w:shd w:val="clear" w:color="auto" w:fill="1F473D"/>
          </w:tcPr>
          <w:p>
            <w:pPr>
              <w:spacing w:after="0"/>
              <w:rPr>
                <w:sz w:val="5"/>
                <w:szCs w:val="5"/>
                <w:color w:val="auto"/>
              </w:rPr>
            </w:pPr>
          </w:p>
        </w:tc>
        <w:tc>
          <w:tcPr>
            <w:tcW w:w="6900" w:type="dxa"/>
            <w:vAlign w:val="bottom"/>
            <w:tcBorders>
              <w:bottom w:val="single" w:sz="8" w:color="D64000"/>
            </w:tcBorders>
            <w:shd w:val="clear" w:color="auto" w:fill="1F473D"/>
          </w:tcPr>
          <w:p>
            <w:pPr>
              <w:spacing w:after="0"/>
              <w:rPr>
                <w:sz w:val="5"/>
                <w:szCs w:val="5"/>
                <w:color w:val="auto"/>
              </w:rPr>
            </w:pPr>
          </w:p>
        </w:tc>
      </w:tr>
      <w:tr>
        <w:trPr>
          <w:trHeight w:val="241"/>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Voluntary termination</w:t>
            </w: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Forfeited</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Involuntary termination for poor performance or</w:t>
            </w:r>
          </w:p>
        </w:tc>
        <w:tc>
          <w:tcPr>
            <w:tcW w:w="6900" w:type="dxa"/>
            <w:vAlign w:val="bottom"/>
          </w:tcPr>
          <w:p>
            <w:pPr>
              <w:ind w:left="100"/>
              <w:spacing w:after="0"/>
              <w:rPr>
                <w:sz w:val="20"/>
                <w:szCs w:val="20"/>
                <w:color w:val="auto"/>
              </w:rPr>
            </w:pPr>
            <w:r>
              <w:rPr>
                <w:rFonts w:ascii="Arial" w:cs="Arial" w:eastAsia="Arial" w:hAnsi="Arial"/>
                <w:sz w:val="16"/>
                <w:szCs w:val="16"/>
                <w:color w:val="auto"/>
              </w:rPr>
              <w:t>Forfeited</w:t>
            </w:r>
          </w:p>
        </w:tc>
      </w:tr>
      <w:tr>
        <w:trPr>
          <w:trHeight w:val="201"/>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for Cause</w:t>
            </w:r>
          </w:p>
        </w:tc>
        <w:tc>
          <w:tcPr>
            <w:tcW w:w="6900" w:type="dxa"/>
            <w:vAlign w:val="bottom"/>
            <w:tcBorders>
              <w:bottom w:val="single" w:sz="8" w:color="B2B2B2"/>
            </w:tcBorders>
          </w:tcPr>
          <w:p>
            <w:pPr>
              <w:spacing w:after="0"/>
              <w:rPr>
                <w:sz w:val="17"/>
                <w:szCs w:val="17"/>
                <w:color w:val="auto"/>
              </w:rPr>
            </w:pP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Involuntary termination not for poor performance</w:t>
            </w:r>
          </w:p>
        </w:tc>
        <w:tc>
          <w:tcPr>
            <w:tcW w:w="6900" w:type="dxa"/>
            <w:vAlign w:val="bottom"/>
          </w:tcPr>
          <w:p>
            <w:pPr>
              <w:ind w:left="100"/>
              <w:spacing w:after="0"/>
              <w:rPr>
                <w:sz w:val="20"/>
                <w:szCs w:val="20"/>
                <w:color w:val="auto"/>
              </w:rPr>
            </w:pPr>
            <w:r>
              <w:rPr>
                <w:rFonts w:ascii="Arial" w:cs="Arial" w:eastAsia="Arial" w:hAnsi="Arial"/>
                <w:sz w:val="16"/>
                <w:szCs w:val="16"/>
                <w:color w:val="auto"/>
              </w:rPr>
              <w:t>Pro rata vesting based on active service as an employee (measured in calendar days) during</w:t>
            </w:r>
          </w:p>
        </w:tc>
      </w:tr>
      <w:tr>
        <w:trPr>
          <w:trHeight w:val="187"/>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or without Cause</w:t>
            </w:r>
          </w:p>
        </w:tc>
        <w:tc>
          <w:tcPr>
            <w:tcW w:w="6900" w:type="dxa"/>
            <w:vAlign w:val="bottom"/>
          </w:tcPr>
          <w:p>
            <w:pPr>
              <w:ind w:left="100"/>
              <w:spacing w:after="0"/>
              <w:rPr>
                <w:sz w:val="20"/>
                <w:szCs w:val="20"/>
                <w:color w:val="auto"/>
              </w:rPr>
            </w:pPr>
            <w:r>
              <w:rPr>
                <w:rFonts w:ascii="Arial" w:cs="Arial" w:eastAsia="Arial" w:hAnsi="Arial"/>
                <w:sz w:val="16"/>
                <w:szCs w:val="16"/>
                <w:color w:val="auto"/>
              </w:rPr>
              <w:t>the performance period. Performance factor applied at the end of the performance period.</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Vesting would occur on the original vesting date(s). The remaining PRSUs would be forfeited.</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Sale of the holder’s business</w:t>
            </w:r>
          </w:p>
        </w:tc>
        <w:tc>
          <w:tcPr>
            <w:tcW w:w="6900" w:type="dxa"/>
            <w:vAlign w:val="bottom"/>
          </w:tcPr>
          <w:p>
            <w:pPr>
              <w:ind w:left="100"/>
              <w:spacing w:after="0"/>
              <w:rPr>
                <w:sz w:val="20"/>
                <w:szCs w:val="20"/>
                <w:color w:val="auto"/>
              </w:rPr>
            </w:pPr>
            <w:r>
              <w:rPr>
                <w:rFonts w:ascii="Arial" w:cs="Arial" w:eastAsia="Arial" w:hAnsi="Arial"/>
                <w:sz w:val="16"/>
                <w:szCs w:val="16"/>
                <w:color w:val="auto"/>
              </w:rPr>
              <w:t>The Board or HR Committee shall meet to determine the appropriate treatment of any unvested</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PRSUs.</w:t>
            </w:r>
          </w:p>
        </w:tc>
      </w:tr>
      <w:tr>
        <w:trPr>
          <w:trHeight w:val="220"/>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A Change of Control of Thomson Reuters (based</w:t>
            </w:r>
          </w:p>
        </w:tc>
        <w:tc>
          <w:tcPr>
            <w:tcW w:w="6900" w:type="dxa"/>
            <w:vAlign w:val="bottom"/>
          </w:tcPr>
          <w:p>
            <w:pPr>
              <w:ind w:left="100"/>
              <w:spacing w:after="0"/>
              <w:rPr>
                <w:sz w:val="20"/>
                <w:szCs w:val="20"/>
                <w:color w:val="auto"/>
              </w:rPr>
            </w:pPr>
            <w:r>
              <w:rPr>
                <w:rFonts w:ascii="Arial" w:cs="Arial" w:eastAsia="Arial" w:hAnsi="Arial"/>
                <w:sz w:val="16"/>
                <w:szCs w:val="16"/>
                <w:color w:val="auto"/>
              </w:rPr>
              <w:t>If a Change of Control occurs during first two years of the three year performance period,</w:t>
            </w:r>
          </w:p>
        </w:tc>
      </w:tr>
      <w:tr>
        <w:trPr>
          <w:trHeight w:val="187"/>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on the surviving, successor or acquiring company</w:t>
            </w:r>
          </w:p>
        </w:tc>
        <w:tc>
          <w:tcPr>
            <w:tcW w:w="6900" w:type="dxa"/>
            <w:vAlign w:val="bottom"/>
          </w:tcPr>
          <w:p>
            <w:pPr>
              <w:ind w:left="100"/>
              <w:spacing w:after="0"/>
              <w:rPr>
                <w:sz w:val="20"/>
                <w:szCs w:val="20"/>
                <w:color w:val="auto"/>
              </w:rPr>
            </w:pPr>
            <w:r>
              <w:rPr>
                <w:rFonts w:ascii="Arial" w:cs="Arial" w:eastAsia="Arial" w:hAnsi="Arial"/>
                <w:sz w:val="16"/>
                <w:szCs w:val="16"/>
                <w:color w:val="auto"/>
              </w:rPr>
              <w:t>PRSUs will be converted to TRSUs at 100% of target performance and become vested on the</w:t>
            </w:r>
          </w:p>
        </w:tc>
      </w:tr>
      <w:tr>
        <w:trPr>
          <w:trHeight w:val="221"/>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assuming PRSUs or substituting similar awards)</w:t>
            </w:r>
          </w:p>
        </w:tc>
        <w:tc>
          <w:tcPr>
            <w:tcW w:w="6900" w:type="dxa"/>
            <w:vAlign w:val="bottom"/>
          </w:tcPr>
          <w:p>
            <w:pPr>
              <w:ind w:left="100"/>
              <w:spacing w:after="0"/>
              <w:rPr>
                <w:sz w:val="20"/>
                <w:szCs w:val="20"/>
                <w:color w:val="auto"/>
              </w:rPr>
            </w:pPr>
            <w:r>
              <w:rPr>
                <w:rFonts w:ascii="Arial" w:cs="Arial" w:eastAsia="Arial" w:hAnsi="Arial"/>
                <w:sz w:val="16"/>
                <w:szCs w:val="16"/>
                <w:color w:val="auto"/>
              </w:rPr>
              <w:t>original vesting date.</w:t>
            </w:r>
          </w:p>
        </w:tc>
      </w:tr>
      <w:tr>
        <w:trPr>
          <w:trHeight w:val="247"/>
        </w:trPr>
        <w:tc>
          <w:tcPr>
            <w:tcW w:w="4020" w:type="dxa"/>
            <w:vAlign w:val="bottom"/>
            <w:tcBorders>
              <w:right w:val="single" w:sz="8" w:color="B2B2B2"/>
            </w:tcBorders>
          </w:tcPr>
          <w:p>
            <w:pPr>
              <w:spacing w:after="0"/>
              <w:rPr>
                <w:sz w:val="21"/>
                <w:szCs w:val="21"/>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If a Change of Control occurs during year three of the three year performance period, PRSUs</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will be converted to TRSUs based on estimated performance and become vested on the</w:t>
            </w:r>
          </w:p>
        </w:tc>
      </w:tr>
      <w:tr>
        <w:trPr>
          <w:trHeight w:val="211"/>
        </w:trPr>
        <w:tc>
          <w:tcPr>
            <w:tcW w:w="4020" w:type="dxa"/>
            <w:vAlign w:val="bottom"/>
            <w:tcBorders>
              <w:right w:val="single" w:sz="8" w:color="B2B2B2"/>
            </w:tcBorders>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original vesting date.</w:t>
            </w:r>
          </w:p>
        </w:tc>
      </w:tr>
      <w:tr>
        <w:trPr>
          <w:trHeight w:val="257"/>
        </w:trPr>
        <w:tc>
          <w:tcPr>
            <w:tcW w:w="4020" w:type="dxa"/>
            <w:vAlign w:val="bottom"/>
            <w:tcBorders>
              <w:right w:val="single" w:sz="8" w:color="B2B2B2"/>
            </w:tcBorders>
          </w:tcPr>
          <w:p>
            <w:pPr>
              <w:spacing w:after="0"/>
              <w:rPr>
                <w:sz w:val="22"/>
                <w:szCs w:val="22"/>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“Double trigger”—if a holder ceases to be an employee as a result of involuntary termination not</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for poor performance or without Cause within two years following a Change of Control, then all</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of the holder’s outstanding TRSUs (which were converted from PRSUs at the time of the</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Change of Control) shall become fully vested on the date that the holder ceased to be an</w:t>
            </w:r>
          </w:p>
        </w:tc>
      </w:tr>
      <w:tr>
        <w:trPr>
          <w:trHeight w:val="213"/>
        </w:trPr>
        <w:tc>
          <w:tcPr>
            <w:tcW w:w="4020" w:type="dxa"/>
            <w:vAlign w:val="bottom"/>
            <w:tcBorders>
              <w:bottom w:val="single" w:sz="8" w:color="B2B2B2"/>
              <w:right w:val="single" w:sz="8" w:color="B2B2B2"/>
            </w:tcBorders>
          </w:tcPr>
          <w:p>
            <w:pPr>
              <w:spacing w:after="0"/>
              <w:rPr>
                <w:sz w:val="18"/>
                <w:szCs w:val="18"/>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employee.</w:t>
            </w:r>
          </w:p>
        </w:tc>
      </w:tr>
      <w:tr>
        <w:trPr>
          <w:trHeight w:val="222"/>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Retirement</w:t>
            </w:r>
          </w:p>
        </w:tc>
        <w:tc>
          <w:tcPr>
            <w:tcW w:w="6900" w:type="dxa"/>
            <w:vAlign w:val="bottom"/>
          </w:tcPr>
          <w:p>
            <w:pPr>
              <w:ind w:left="100"/>
              <w:spacing w:after="0"/>
              <w:rPr>
                <w:sz w:val="20"/>
                <w:szCs w:val="20"/>
                <w:color w:val="auto"/>
              </w:rPr>
            </w:pPr>
            <w:r>
              <w:rPr>
                <w:rFonts w:ascii="Arial" w:cs="Arial" w:eastAsia="Arial" w:hAnsi="Arial"/>
                <w:sz w:val="16"/>
                <w:szCs w:val="16"/>
                <w:color w:val="auto"/>
              </w:rPr>
              <w:t>Fully vested on the scheduled vesting date(s) (as adjusted to reflect actual performance) if the</w:t>
            </w:r>
          </w:p>
        </w:tc>
      </w:tr>
      <w:tr>
        <w:trPr>
          <w:trHeight w:val="187"/>
        </w:trPr>
        <w:tc>
          <w:tcPr>
            <w:tcW w:w="4020" w:type="dxa"/>
            <w:vAlign w:val="bottom"/>
            <w:tcBorders>
              <w:right w:val="single" w:sz="8" w:color="B2B2B2"/>
            </w:tcBorders>
          </w:tcPr>
          <w:p>
            <w:pPr>
              <w:spacing w:after="0"/>
              <w:rPr>
                <w:sz w:val="16"/>
                <w:szCs w:val="16"/>
                <w:color w:val="auto"/>
              </w:rPr>
            </w:pPr>
          </w:p>
        </w:tc>
        <w:tc>
          <w:tcPr>
            <w:tcW w:w="6900" w:type="dxa"/>
            <w:vAlign w:val="bottom"/>
          </w:tcPr>
          <w:p>
            <w:pPr>
              <w:ind w:left="100"/>
              <w:spacing w:after="0"/>
              <w:rPr>
                <w:sz w:val="20"/>
                <w:szCs w:val="20"/>
                <w:color w:val="auto"/>
              </w:rPr>
            </w:pPr>
            <w:r>
              <w:rPr>
                <w:rFonts w:ascii="Arial" w:cs="Arial" w:eastAsia="Arial" w:hAnsi="Arial"/>
                <w:sz w:val="16"/>
                <w:szCs w:val="16"/>
                <w:color w:val="auto"/>
              </w:rPr>
              <w:t>PRSUs have been outstanding for at least six months when Retirement occurs. If the PRSUs</w:t>
            </w:r>
          </w:p>
        </w:tc>
      </w:tr>
      <w:tr>
        <w:trPr>
          <w:trHeight w:val="201"/>
        </w:trPr>
        <w:tc>
          <w:tcPr>
            <w:tcW w:w="4020" w:type="dxa"/>
            <w:vAlign w:val="bottom"/>
            <w:tcBorders>
              <w:bottom w:val="single" w:sz="8" w:color="B2B2B2"/>
              <w:right w:val="single" w:sz="8" w:color="B2B2B2"/>
            </w:tcBorders>
          </w:tcPr>
          <w:p>
            <w:pPr>
              <w:spacing w:after="0"/>
              <w:rPr>
                <w:sz w:val="17"/>
                <w:szCs w:val="17"/>
                <w:color w:val="auto"/>
              </w:rPr>
            </w:pP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have not been outstanding for that period, they would be forfeited.</w:t>
            </w:r>
          </w:p>
        </w:tc>
      </w:tr>
      <w:tr>
        <w:trPr>
          <w:trHeight w:val="234"/>
        </w:trPr>
        <w:tc>
          <w:tcPr>
            <w:tcW w:w="4020" w:type="dxa"/>
            <w:vAlign w:val="bottom"/>
            <w:tcBorders>
              <w:bottom w:val="single" w:sz="8" w:color="B2B2B2"/>
              <w:right w:val="single" w:sz="8" w:color="B2B2B2"/>
            </w:tcBorders>
          </w:tcPr>
          <w:p>
            <w:pPr>
              <w:ind w:left="100"/>
              <w:spacing w:after="0"/>
              <w:rPr>
                <w:sz w:val="20"/>
                <w:szCs w:val="20"/>
                <w:color w:val="auto"/>
              </w:rPr>
            </w:pPr>
            <w:r>
              <w:rPr>
                <w:rFonts w:ascii="Arial" w:cs="Arial" w:eastAsia="Arial" w:hAnsi="Arial"/>
                <w:sz w:val="16"/>
                <w:szCs w:val="16"/>
                <w:b w:val="1"/>
                <w:bCs w:val="1"/>
                <w:color w:val="auto"/>
              </w:rPr>
              <w:t>Disability</w:t>
            </w:r>
          </w:p>
        </w:tc>
        <w:tc>
          <w:tcPr>
            <w:tcW w:w="690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Fully vested on the scheduled vesting date(s) (as adjusted to reflect actual performance).</w:t>
            </w:r>
          </w:p>
        </w:tc>
      </w:tr>
      <w:tr>
        <w:trPr>
          <w:trHeight w:val="308"/>
        </w:trPr>
        <w:tc>
          <w:tcPr>
            <w:tcW w:w="4020" w:type="dxa"/>
            <w:vAlign w:val="bottom"/>
            <w:tcBorders>
              <w:right w:val="single" w:sz="8" w:color="B2B2B2"/>
            </w:tcBorders>
          </w:tcPr>
          <w:p>
            <w:pPr>
              <w:ind w:left="100"/>
              <w:spacing w:after="0"/>
              <w:rPr>
                <w:sz w:val="20"/>
                <w:szCs w:val="20"/>
                <w:color w:val="auto"/>
              </w:rPr>
            </w:pPr>
            <w:r>
              <w:rPr>
                <w:rFonts w:ascii="Arial" w:cs="Arial" w:eastAsia="Arial" w:hAnsi="Arial"/>
                <w:sz w:val="16"/>
                <w:szCs w:val="16"/>
                <w:b w:val="1"/>
                <w:bCs w:val="1"/>
                <w:color w:val="auto"/>
              </w:rPr>
              <w:t>Death</w:t>
            </w:r>
          </w:p>
        </w:tc>
        <w:tc>
          <w:tcPr>
            <w:tcW w:w="6900" w:type="dxa"/>
            <w:vAlign w:val="bottom"/>
          </w:tcPr>
          <w:p>
            <w:pPr>
              <w:ind w:left="100"/>
              <w:spacing w:after="0"/>
              <w:rPr>
                <w:sz w:val="20"/>
                <w:szCs w:val="20"/>
                <w:color w:val="auto"/>
              </w:rPr>
            </w:pPr>
            <w:r>
              <w:rPr>
                <w:rFonts w:ascii="Arial" w:cs="Arial" w:eastAsia="Arial" w:hAnsi="Arial"/>
                <w:sz w:val="16"/>
                <w:szCs w:val="16"/>
                <w:color w:val="auto"/>
              </w:rPr>
              <w:t>Fully vested on the scheduled vesting date(s) (as adjusted to reflect actual performance).</w:t>
            </w:r>
          </w:p>
        </w:tc>
      </w:tr>
      <w:tr>
        <w:trPr>
          <w:trHeight w:val="174"/>
        </w:trPr>
        <w:tc>
          <w:tcPr>
            <w:tcW w:w="4020" w:type="dxa"/>
            <w:vAlign w:val="bottom"/>
            <w:tcBorders>
              <w:top w:val="single" w:sz="8" w:color="D64000"/>
              <w:bottom w:val="single" w:sz="8" w:color="7F7F7F"/>
            </w:tcBorders>
          </w:tcPr>
          <w:p>
            <w:pPr>
              <w:spacing w:after="0"/>
              <w:rPr>
                <w:sz w:val="15"/>
                <w:szCs w:val="15"/>
                <w:color w:val="auto"/>
              </w:rPr>
            </w:pPr>
          </w:p>
        </w:tc>
        <w:tc>
          <w:tcPr>
            <w:tcW w:w="6900" w:type="dxa"/>
            <w:vAlign w:val="bottom"/>
            <w:tcBorders>
              <w:top w:val="single" w:sz="8" w:color="D64000"/>
              <w:bottom w:val="single" w:sz="8" w:color="7F7F7F"/>
            </w:tcBorders>
          </w:tcPr>
          <w:p>
            <w:pPr>
              <w:spacing w:after="0"/>
              <w:rPr>
                <w:sz w:val="15"/>
                <w:szCs w:val="15"/>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7"/>
                <w:szCs w:val="17"/>
                <w:color w:val="auto"/>
              </w:rPr>
              <w:t>Page 92</w:t>
            </w:r>
          </w:p>
        </w:tc>
        <w:tc>
          <w:tcPr>
            <w:tcW w:w="6900" w:type="dxa"/>
            <w:vAlign w:val="bottom"/>
          </w:tcPr>
          <w:p>
            <w:pPr>
              <w:ind w:left="900"/>
              <w:spacing w:after="0"/>
              <w:rPr>
                <w:sz w:val="20"/>
                <w:szCs w:val="20"/>
                <w:color w:val="auto"/>
              </w:rPr>
            </w:pPr>
            <w:r>
              <w:rPr>
                <w:rFonts w:ascii="Arial" w:cs="Arial" w:eastAsia="Arial" w:hAnsi="Arial"/>
                <w:sz w:val="17"/>
                <w:szCs w:val="17"/>
                <w:b w:val="1"/>
                <w:bCs w:val="1"/>
                <w:color w:val="auto"/>
                <w:w w:val="99"/>
              </w:rPr>
              <w:t>Management Proxy Circular and Notice of Annual Meeting of Shareholders</w:t>
            </w:r>
          </w:p>
        </w:tc>
      </w:tr>
    </w:tbl>
    <w:p>
      <w:pPr>
        <w:sectPr>
          <w:pgSz w:w="11900" w:h="16838" w:orient="portrait"/>
          <w:cols w:equalWidth="0" w:num="1">
            <w:col w:w="10920"/>
          </w:cols>
          <w:pgMar w:left="480" w:top="266" w:right="499" w:bottom="1440" w:gutter="0" w:footer="0" w:header="0"/>
        </w:sectPr>
      </w:pPr>
    </w:p>
    <w:bookmarkStart w:id="102" w:name="page103"/>
    <w:bookmarkEnd w:id="102"/>
    <w:p>
      <w:pPr>
        <w:spacing w:after="0"/>
        <w:rPr>
          <w:sz w:val="20"/>
          <w:szCs w:val="20"/>
          <w:color w:val="auto"/>
        </w:rPr>
      </w:pPr>
      <w:r>
        <w:rPr>
          <w:rFonts w:ascii="Arial" w:cs="Arial" w:eastAsia="Arial" w:hAnsi="Arial"/>
          <w:sz w:val="25"/>
          <w:szCs w:val="25"/>
          <w:i w:val="1"/>
          <w:i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Retirement</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Retirement means retirement from active employment on or after attaining (a) age 65 or (b) age 60 or more and the combination of an employee’s age and years of credited service with Thomson Reuters is equal to 65 or more. For purposes of section (b) of this definition, partial years will be counted solely to determine whether an employee satisfies the total of 65 or more, but will not be rounded. These definitions are subject to any existing or additional statutory requirements or prescribed definitions that may be set forth by local laws in jurisdictions where awards have been granted and which would take precedence.</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Change of Control</w:t>
      </w:r>
    </w:p>
    <w:p>
      <w:pPr>
        <w:spacing w:after="0" w:line="85"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 “Change of Control” for purposes of our incentive plan awards would occur in the following circumstances: (i) all or substantially all of the assets of our company are sold, assigned or transferred other than to a subsidiary; (ii) a change in a majority of our Board members; (iii) 50% or more of our company’s outstanding voting securities are acquired by someone other than Woodbridge; or (iv) a going private transaction results in Woodbridge owning more than 50% of our company’s outstanding voting securities.</w:t>
      </w:r>
    </w:p>
    <w:p>
      <w:pPr>
        <w:spacing w:after="0" w:line="5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Change of Control treatment described in the tables above is based on the surviving, successor or acquiring company assuming our outstanding incentive plan awards or substituting similar options or awards for our outstanding incentive plan awards. If the surviving, successor or acquiring company does not assume our outstanding incentive plan awards or substitute similar options or awards for our outstanding incentive plan awards, or our Board otherwise determines, our incentive plan awards will generally vest.</w:t>
      </w:r>
    </w:p>
    <w:p>
      <w:pPr>
        <w:spacing w:after="0" w:line="57"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In the event of a Change of Control, our Board also has the power to (i) modify the terms of our annual incentive awards as it considers fair and appropriate to participants; (ii) modify the terms of our annual incentive awards to assist participation in the actual or potential Change of Control event; or (iii) terminate annual incentive awards not exercised or settled following the Change of Control.</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Pension and benefits</w:t>
      </w:r>
    </w:p>
    <w:p>
      <w:pPr>
        <w:spacing w:after="0" w:line="85"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Each named executive officer would be entitled to outplacement and continuation of generally available health and welfare benefits during the applicable period following termination. In addition, an executive may be eligible for continuation of supplemental benefits such as executive physicals, tax, and financial planning.</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Other terms and conditions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Our named executive officers do not have a right to receive a gross-up for any taxes that might be due upon termination.</w:t>
      </w:r>
    </w:p>
    <w:p>
      <w:pPr>
        <w:spacing w:after="0" w:line="85"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In the event of termination without cause, each named executive officer would be required to provide a release and waiver of employment and other claims in favor of our company in connection with receiving severance benefits. Each named executive officer has agreed to a set of restrictive covenants (e.g., non-compete, non-solicit, non-disparagement and confidentiality obligations) as part of PRSU, TRSU and/or stock option award terms and conditions.</w:t>
      </w:r>
    </w:p>
    <w:p>
      <w:pPr>
        <w:spacing w:after="0" w:line="44" w:lineRule="exact"/>
        <w:rPr>
          <w:sz w:val="20"/>
          <w:szCs w:val="20"/>
          <w:color w:val="auto"/>
        </w:rPr>
      </w:pPr>
    </w:p>
    <w:p>
      <w:pPr>
        <w:jc w:val="both"/>
        <w:ind w:right="100"/>
        <w:spacing w:after="0" w:line="246" w:lineRule="auto"/>
        <w:rPr>
          <w:sz w:val="20"/>
          <w:szCs w:val="20"/>
          <w:color w:val="auto"/>
        </w:rPr>
      </w:pPr>
      <w:r>
        <w:rPr>
          <w:rFonts w:ascii="Arial" w:cs="Arial" w:eastAsia="Arial" w:hAnsi="Arial"/>
          <w:sz w:val="17"/>
          <w:szCs w:val="17"/>
          <w:color w:val="auto"/>
        </w:rPr>
        <w:t>Amounts actually received should any of the named executive officers cease to be employed will vary based on factors such as the timing during the year of any such event, our share price, the executive’s age, the circumstances of termination and any changes to our benefit arrangements and policies.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i w:val="1"/>
          <w:iCs w:val="1"/>
          <w:color w:val="D64000"/>
        </w:rPr>
        <w:t>Agreement with Steve Hasker</w:t>
      </w:r>
    </w:p>
    <w:p>
      <w:pPr>
        <w:spacing w:after="0" w:line="9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We agreed with Steve Hasker that at least six months prior to the fifth anniversary of Steve becoming a Canadian tax resident (referred to as the “Departure Tax Trigger Date”), our company and Steve will undertake to analyze the impact to him of tax that may be levied by Canada Revenue Agency on the deemed disposition of certain types of assets when a person emigrates from Canada if his employment were to terminate with Thomson Reuters following the Departure Tax Trigger Date and he were to relocate back to the United States or to any other jurisdiction outside of Canada. Prior to a date which is 30 days prior to the Departure Tax Trigger Date, our company will choose, after good faith consultation with Steve, a commercially reasonable step to deal with the impact to him of the Canadian departure tax at no net cost to him. Such a step may include relocating Steve’s primary place of employment to any of Thomson Reuters’ offices in Ann Arbor, Dallas, Minneapolis-St. Paul or New York City (with such choice of location to be the subject of consultation with Steve, but ultimately within Thomson Reuters’ sole discretion taking into account the best interests of our company). Any such relocation shall not constitute “Good Reason” for purposes of Steve’s employment agreement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9297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0"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93</w:t>
      </w:r>
    </w:p>
    <w:p>
      <w:pPr>
        <w:sectPr>
          <w:pgSz w:w="11900" w:h="16838" w:orient="portrait"/>
          <w:cols w:equalWidth="0" w:num="1">
            <w:col w:w="10920"/>
          </w:cols>
          <w:pgMar w:left="480" w:top="266" w:right="499" w:bottom="1440" w:gutter="0" w:footer="0" w:header="0"/>
        </w:sectPr>
      </w:pPr>
    </w:p>
    <w:bookmarkStart w:id="103" w:name="page104"/>
    <w:bookmarkEnd w:id="103"/>
    <w:p>
      <w:pPr>
        <w:spacing w:after="0"/>
        <w:rPr>
          <w:sz w:val="20"/>
          <w:szCs w:val="20"/>
          <w:color w:val="auto"/>
        </w:rPr>
      </w:pPr>
      <w:r>
        <w:rPr>
          <w:rFonts w:ascii="Arial" w:cs="Arial" w:eastAsia="Arial" w:hAnsi="Arial"/>
          <w:sz w:val="25"/>
          <w:szCs w:val="25"/>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Estimated incremental values</w:t>
      </w:r>
    </w:p>
    <w:p>
      <w:pPr>
        <w:spacing w:after="0" w:line="101"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Each named executive officer may be eligible to receive certain incremental payments and benefits upon termination of employment under various circumstances. The table below includes the value of incremental compensation that could be available to each named executive officer upon the applicable specified event. Payments and benefits contemplated by plan or award terms and conditions are not reflected in the table. The amounts in the table assume that the named executive officer left our company on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540" w:type="dxa"/>
            <w:vAlign w:val="bottom"/>
            <w:tcBorders>
              <w:right w:val="single" w:sz="8" w:color="B2B2B2"/>
            </w:tcBorders>
          </w:tcPr>
          <w:p>
            <w:pPr>
              <w:spacing w:after="0"/>
              <w:rPr>
                <w:sz w:val="19"/>
                <w:szCs w:val="19"/>
                <w:color w:val="auto"/>
              </w:rPr>
            </w:pPr>
          </w:p>
        </w:tc>
        <w:tc>
          <w:tcPr>
            <w:tcW w:w="340" w:type="dxa"/>
            <w:vAlign w:val="bottom"/>
            <w:shd w:val="clear" w:color="auto" w:fill="1F473D"/>
          </w:tcPr>
          <w:p>
            <w:pPr>
              <w:spacing w:after="0"/>
              <w:rPr>
                <w:sz w:val="19"/>
                <w:szCs w:val="19"/>
                <w:color w:val="auto"/>
              </w:rPr>
            </w:pPr>
          </w:p>
        </w:tc>
        <w:tc>
          <w:tcPr>
            <w:tcW w:w="1200" w:type="dxa"/>
            <w:vAlign w:val="bottom"/>
            <w:tcBorders>
              <w:right w:val="single" w:sz="8" w:color="1F473D"/>
            </w:tcBorders>
            <w:shd w:val="clear" w:color="auto" w:fill="1F473D"/>
          </w:tcPr>
          <w:p>
            <w:pPr>
              <w:spacing w:after="0"/>
              <w:rPr>
                <w:sz w:val="19"/>
                <w:szCs w:val="19"/>
                <w:color w:val="auto"/>
              </w:rPr>
            </w:pPr>
          </w:p>
        </w:tc>
        <w:tc>
          <w:tcPr>
            <w:tcW w:w="600" w:type="dxa"/>
            <w:vAlign w:val="bottom"/>
            <w:shd w:val="clear" w:color="auto" w:fill="1F473D"/>
          </w:tcPr>
          <w:p>
            <w:pPr>
              <w:spacing w:after="0"/>
              <w:rPr>
                <w:sz w:val="19"/>
                <w:szCs w:val="19"/>
                <w:color w:val="auto"/>
              </w:rPr>
            </w:pPr>
          </w:p>
        </w:tc>
        <w:tc>
          <w:tcPr>
            <w:tcW w:w="660" w:type="dxa"/>
            <w:vAlign w:val="bottom"/>
            <w:tcBorders>
              <w:right w:val="single" w:sz="8" w:color="B2B2B2"/>
            </w:tcBorders>
            <w:shd w:val="clear" w:color="auto" w:fill="1F473D"/>
          </w:tcPr>
          <w:p>
            <w:pPr>
              <w:spacing w:after="0"/>
              <w:rPr>
                <w:sz w:val="19"/>
                <w:szCs w:val="19"/>
                <w:color w:val="auto"/>
              </w:rPr>
            </w:pPr>
          </w:p>
        </w:tc>
        <w:tc>
          <w:tcPr>
            <w:tcW w:w="360" w:type="dxa"/>
            <w:vAlign w:val="bottom"/>
            <w:shd w:val="clear" w:color="auto" w:fill="1F473D"/>
          </w:tcPr>
          <w:p>
            <w:pPr>
              <w:spacing w:after="0"/>
              <w:rPr>
                <w:sz w:val="19"/>
                <w:szCs w:val="19"/>
                <w:color w:val="auto"/>
              </w:rPr>
            </w:pPr>
          </w:p>
        </w:tc>
        <w:tc>
          <w:tcPr>
            <w:tcW w:w="1180" w:type="dxa"/>
            <w:vAlign w:val="bottom"/>
            <w:tcBorders>
              <w:right w:val="single" w:sz="8" w:color="B2B2B2"/>
            </w:tcBorders>
            <w:shd w:val="clear" w:color="auto" w:fill="1F473D"/>
          </w:tcPr>
          <w:p>
            <w:pPr>
              <w:spacing w:after="0"/>
              <w:rPr>
                <w:sz w:val="19"/>
                <w:szCs w:val="19"/>
                <w:color w:val="auto"/>
              </w:rPr>
            </w:pPr>
          </w:p>
        </w:tc>
        <w:tc>
          <w:tcPr>
            <w:tcW w:w="360" w:type="dxa"/>
            <w:vAlign w:val="bottom"/>
            <w:shd w:val="clear" w:color="auto" w:fill="1F473D"/>
          </w:tcPr>
          <w:p>
            <w:pPr>
              <w:spacing w:after="0"/>
              <w:rPr>
                <w:sz w:val="19"/>
                <w:szCs w:val="19"/>
                <w:color w:val="auto"/>
              </w:rPr>
            </w:pPr>
          </w:p>
        </w:tc>
        <w:tc>
          <w:tcPr>
            <w:tcW w:w="1240" w:type="dxa"/>
            <w:vAlign w:val="bottom"/>
            <w:tcBorders>
              <w:right w:val="single" w:sz="8" w:color="B2B2B2"/>
            </w:tcBorders>
            <w:shd w:val="clear" w:color="auto" w:fill="1F473D"/>
          </w:tcPr>
          <w:p>
            <w:pPr>
              <w:spacing w:after="0"/>
              <w:rPr>
                <w:sz w:val="19"/>
                <w:szCs w:val="19"/>
                <w:color w:val="auto"/>
              </w:rPr>
            </w:pPr>
          </w:p>
        </w:tc>
        <w:tc>
          <w:tcPr>
            <w:tcW w:w="360" w:type="dxa"/>
            <w:vAlign w:val="bottom"/>
            <w:shd w:val="clear" w:color="auto" w:fill="1F473D"/>
          </w:tcPr>
          <w:p>
            <w:pPr>
              <w:spacing w:after="0"/>
              <w:rPr>
                <w:sz w:val="19"/>
                <w:szCs w:val="19"/>
                <w:color w:val="auto"/>
              </w:rPr>
            </w:pPr>
          </w:p>
        </w:tc>
        <w:tc>
          <w:tcPr>
            <w:tcW w:w="780" w:type="dxa"/>
            <w:vAlign w:val="bottom"/>
            <w:tcBorders>
              <w:right w:val="single" w:sz="8" w:color="B2B2B2"/>
            </w:tcBorders>
            <w:shd w:val="clear" w:color="auto" w:fill="1F473D"/>
          </w:tcPr>
          <w:p>
            <w:pPr>
              <w:spacing w:after="0"/>
              <w:rPr>
                <w:sz w:val="19"/>
                <w:szCs w:val="19"/>
                <w:color w:val="auto"/>
              </w:rPr>
            </w:pPr>
          </w:p>
        </w:tc>
        <w:tc>
          <w:tcPr>
            <w:tcW w:w="1280" w:type="dxa"/>
            <w:vAlign w:val="bottom"/>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Qualifying</w:t>
            </w:r>
          </w:p>
        </w:tc>
      </w:tr>
      <w:tr>
        <w:trPr>
          <w:trHeight w:val="187"/>
        </w:trPr>
        <w:tc>
          <w:tcPr>
            <w:tcW w:w="20" w:type="dxa"/>
            <w:vAlign w:val="bottom"/>
          </w:tcPr>
          <w:p>
            <w:pPr>
              <w:spacing w:after="0"/>
              <w:rPr>
                <w:sz w:val="16"/>
                <w:szCs w:val="16"/>
                <w:color w:val="auto"/>
              </w:rPr>
            </w:pPr>
          </w:p>
        </w:tc>
        <w:tc>
          <w:tcPr>
            <w:tcW w:w="2540" w:type="dxa"/>
            <w:vAlign w:val="bottom"/>
            <w:tcBorders>
              <w:right w:val="single" w:sz="8" w:color="B2B2B2"/>
            </w:tcBorders>
          </w:tcPr>
          <w:p>
            <w:pPr>
              <w:spacing w:after="0"/>
              <w:rPr>
                <w:sz w:val="16"/>
                <w:szCs w:val="16"/>
                <w:color w:val="auto"/>
              </w:rPr>
            </w:pPr>
          </w:p>
        </w:tc>
        <w:tc>
          <w:tcPr>
            <w:tcW w:w="340" w:type="dxa"/>
            <w:vAlign w:val="bottom"/>
            <w:shd w:val="clear" w:color="auto" w:fill="1F473D"/>
          </w:tcPr>
          <w:p>
            <w:pPr>
              <w:spacing w:after="0"/>
              <w:rPr>
                <w:sz w:val="16"/>
                <w:szCs w:val="16"/>
                <w:color w:val="auto"/>
              </w:rPr>
            </w:pPr>
          </w:p>
        </w:tc>
        <w:tc>
          <w:tcPr>
            <w:tcW w:w="1200" w:type="dxa"/>
            <w:vAlign w:val="bottom"/>
            <w:tcBorders>
              <w:right w:val="single" w:sz="8" w:color="1F473D"/>
            </w:tcBorders>
            <w:shd w:val="clear" w:color="auto" w:fill="1F473D"/>
          </w:tcPr>
          <w:p>
            <w:pPr>
              <w:spacing w:after="0"/>
              <w:rPr>
                <w:sz w:val="16"/>
                <w:szCs w:val="16"/>
                <w:color w:val="auto"/>
              </w:rPr>
            </w:pPr>
          </w:p>
        </w:tc>
        <w:tc>
          <w:tcPr>
            <w:tcW w:w="600" w:type="dxa"/>
            <w:vAlign w:val="bottom"/>
            <w:shd w:val="clear" w:color="auto" w:fill="1F473D"/>
          </w:tcPr>
          <w:p>
            <w:pPr>
              <w:spacing w:after="0"/>
              <w:rPr>
                <w:sz w:val="16"/>
                <w:szCs w:val="16"/>
                <w:color w:val="auto"/>
              </w:rPr>
            </w:pPr>
          </w:p>
        </w:tc>
        <w:tc>
          <w:tcPr>
            <w:tcW w:w="66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118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124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780" w:type="dxa"/>
            <w:vAlign w:val="bottom"/>
            <w:tcBorders>
              <w:right w:val="single" w:sz="8" w:color="B2B2B2"/>
            </w:tcBorders>
            <w:shd w:val="clear" w:color="auto" w:fill="1F473D"/>
          </w:tcPr>
          <w:p>
            <w:pPr>
              <w:spacing w:after="0"/>
              <w:rPr>
                <w:sz w:val="16"/>
                <w:szCs w:val="16"/>
                <w:color w:val="auto"/>
              </w:rPr>
            </w:pPr>
          </w:p>
        </w:tc>
        <w:tc>
          <w:tcPr>
            <w:tcW w:w="1280" w:type="dxa"/>
            <w:vAlign w:val="bottom"/>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“double</w:t>
            </w:r>
          </w:p>
        </w:tc>
      </w:tr>
      <w:tr>
        <w:trPr>
          <w:trHeight w:val="187"/>
        </w:trPr>
        <w:tc>
          <w:tcPr>
            <w:tcW w:w="20" w:type="dxa"/>
            <w:vAlign w:val="bottom"/>
          </w:tcPr>
          <w:p>
            <w:pPr>
              <w:spacing w:after="0"/>
              <w:rPr>
                <w:sz w:val="16"/>
                <w:szCs w:val="16"/>
                <w:color w:val="auto"/>
              </w:rPr>
            </w:pPr>
          </w:p>
        </w:tc>
        <w:tc>
          <w:tcPr>
            <w:tcW w:w="2540" w:type="dxa"/>
            <w:vAlign w:val="bottom"/>
            <w:tcBorders>
              <w:right w:val="single" w:sz="8" w:color="B2B2B2"/>
            </w:tcBorders>
          </w:tcPr>
          <w:p>
            <w:pPr>
              <w:spacing w:after="0"/>
              <w:rPr>
                <w:sz w:val="16"/>
                <w:szCs w:val="16"/>
                <w:color w:val="auto"/>
              </w:rPr>
            </w:pPr>
          </w:p>
        </w:tc>
        <w:tc>
          <w:tcPr>
            <w:tcW w:w="340" w:type="dxa"/>
            <w:vAlign w:val="bottom"/>
            <w:shd w:val="clear" w:color="auto" w:fill="1F473D"/>
          </w:tcPr>
          <w:p>
            <w:pPr>
              <w:spacing w:after="0"/>
              <w:rPr>
                <w:sz w:val="16"/>
                <w:szCs w:val="16"/>
                <w:color w:val="auto"/>
              </w:rPr>
            </w:pPr>
          </w:p>
        </w:tc>
        <w:tc>
          <w:tcPr>
            <w:tcW w:w="1200" w:type="dxa"/>
            <w:vAlign w:val="bottom"/>
            <w:tcBorders>
              <w:right w:val="single" w:sz="8" w:color="1F473D"/>
            </w:tcBorders>
            <w:shd w:val="clear" w:color="auto" w:fill="1F473D"/>
          </w:tcPr>
          <w:p>
            <w:pPr>
              <w:spacing w:after="0"/>
              <w:rPr>
                <w:sz w:val="16"/>
                <w:szCs w:val="16"/>
                <w:color w:val="auto"/>
              </w:rPr>
            </w:pPr>
          </w:p>
        </w:tc>
        <w:tc>
          <w:tcPr>
            <w:tcW w:w="600" w:type="dxa"/>
            <w:vAlign w:val="bottom"/>
            <w:shd w:val="clear" w:color="auto" w:fill="1F473D"/>
          </w:tcPr>
          <w:p>
            <w:pPr>
              <w:spacing w:after="0"/>
              <w:rPr>
                <w:sz w:val="16"/>
                <w:szCs w:val="16"/>
                <w:color w:val="auto"/>
              </w:rPr>
            </w:pPr>
          </w:p>
        </w:tc>
        <w:tc>
          <w:tcPr>
            <w:tcW w:w="66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1180" w:type="dxa"/>
            <w:vAlign w:val="bottom"/>
            <w:tcBorders>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Involuntary</w:t>
            </w:r>
          </w:p>
        </w:tc>
        <w:tc>
          <w:tcPr>
            <w:tcW w:w="360" w:type="dxa"/>
            <w:vAlign w:val="bottom"/>
            <w:shd w:val="clear" w:color="auto" w:fill="1F473D"/>
          </w:tcPr>
          <w:p>
            <w:pPr>
              <w:spacing w:after="0"/>
              <w:rPr>
                <w:sz w:val="16"/>
                <w:szCs w:val="16"/>
                <w:color w:val="auto"/>
              </w:rPr>
            </w:pPr>
          </w:p>
        </w:tc>
        <w:tc>
          <w:tcPr>
            <w:tcW w:w="124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780" w:type="dxa"/>
            <w:vAlign w:val="bottom"/>
            <w:tcBorders>
              <w:right w:val="single" w:sz="8" w:color="B2B2B2"/>
            </w:tcBorders>
            <w:shd w:val="clear" w:color="auto" w:fill="1F473D"/>
          </w:tcPr>
          <w:p>
            <w:pPr>
              <w:spacing w:after="0"/>
              <w:rPr>
                <w:sz w:val="16"/>
                <w:szCs w:val="16"/>
                <w:color w:val="auto"/>
              </w:rPr>
            </w:pPr>
          </w:p>
        </w:tc>
        <w:tc>
          <w:tcPr>
            <w:tcW w:w="1280" w:type="dxa"/>
            <w:vAlign w:val="bottom"/>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trigger”</w:t>
            </w:r>
          </w:p>
        </w:tc>
      </w:tr>
      <w:tr>
        <w:trPr>
          <w:trHeight w:val="187"/>
        </w:trPr>
        <w:tc>
          <w:tcPr>
            <w:tcW w:w="20" w:type="dxa"/>
            <w:vAlign w:val="bottom"/>
          </w:tcPr>
          <w:p>
            <w:pPr>
              <w:spacing w:after="0"/>
              <w:rPr>
                <w:sz w:val="16"/>
                <w:szCs w:val="16"/>
                <w:color w:val="auto"/>
              </w:rPr>
            </w:pPr>
          </w:p>
        </w:tc>
        <w:tc>
          <w:tcPr>
            <w:tcW w:w="2540" w:type="dxa"/>
            <w:vAlign w:val="bottom"/>
            <w:tcBorders>
              <w:right w:val="single" w:sz="8" w:color="B2B2B2"/>
            </w:tcBorders>
          </w:tcPr>
          <w:p>
            <w:pPr>
              <w:spacing w:after="0"/>
              <w:rPr>
                <w:sz w:val="16"/>
                <w:szCs w:val="16"/>
                <w:color w:val="auto"/>
              </w:rPr>
            </w:pPr>
          </w:p>
        </w:tc>
        <w:tc>
          <w:tcPr>
            <w:tcW w:w="340" w:type="dxa"/>
            <w:vAlign w:val="bottom"/>
            <w:shd w:val="clear" w:color="auto" w:fill="1F473D"/>
          </w:tcPr>
          <w:p>
            <w:pPr>
              <w:spacing w:after="0"/>
              <w:rPr>
                <w:sz w:val="16"/>
                <w:szCs w:val="16"/>
                <w:color w:val="auto"/>
              </w:rPr>
            </w:pPr>
          </w:p>
        </w:tc>
        <w:tc>
          <w:tcPr>
            <w:tcW w:w="1200" w:type="dxa"/>
            <w:vAlign w:val="bottom"/>
            <w:tcBorders>
              <w:right w:val="single" w:sz="8" w:color="1F473D"/>
            </w:tcBorders>
            <w:shd w:val="clear" w:color="auto" w:fill="1F473D"/>
          </w:tcPr>
          <w:p>
            <w:pPr>
              <w:spacing w:after="0"/>
              <w:rPr>
                <w:sz w:val="16"/>
                <w:szCs w:val="16"/>
                <w:color w:val="auto"/>
              </w:rPr>
            </w:pPr>
          </w:p>
        </w:tc>
        <w:tc>
          <w:tcPr>
            <w:tcW w:w="600" w:type="dxa"/>
            <w:vAlign w:val="bottom"/>
            <w:shd w:val="clear" w:color="auto" w:fill="1F473D"/>
          </w:tcPr>
          <w:p>
            <w:pPr>
              <w:spacing w:after="0"/>
              <w:rPr>
                <w:sz w:val="16"/>
                <w:szCs w:val="16"/>
                <w:color w:val="auto"/>
              </w:rPr>
            </w:pPr>
          </w:p>
        </w:tc>
        <w:tc>
          <w:tcPr>
            <w:tcW w:w="660" w:type="dxa"/>
            <w:vAlign w:val="bottom"/>
            <w:tcBorders>
              <w:right w:val="single" w:sz="8" w:color="B2B2B2"/>
            </w:tcBorders>
            <w:shd w:val="clear" w:color="auto" w:fill="1F473D"/>
          </w:tcPr>
          <w:p>
            <w:pPr>
              <w:spacing w:after="0"/>
              <w:rPr>
                <w:sz w:val="16"/>
                <w:szCs w:val="16"/>
                <w:color w:val="auto"/>
              </w:rPr>
            </w:pPr>
          </w:p>
        </w:tc>
        <w:tc>
          <w:tcPr>
            <w:tcW w:w="1540" w:type="dxa"/>
            <w:vAlign w:val="bottom"/>
            <w:tcBorders>
              <w:right w:val="single" w:sz="8" w:color="B2B2B2"/>
            </w:tcBorders>
            <w:gridSpan w:val="2"/>
            <w:shd w:val="clear" w:color="auto" w:fill="1F473D"/>
          </w:tcPr>
          <w:p>
            <w:pPr>
              <w:ind w:left="180"/>
              <w:spacing w:after="0"/>
              <w:rPr>
                <w:sz w:val="20"/>
                <w:szCs w:val="20"/>
                <w:color w:val="auto"/>
              </w:rPr>
            </w:pPr>
            <w:r>
              <w:rPr>
                <w:rFonts w:ascii="Arial" w:cs="Arial" w:eastAsia="Arial" w:hAnsi="Arial"/>
                <w:sz w:val="16"/>
                <w:szCs w:val="16"/>
                <w:b w:val="1"/>
                <w:bCs w:val="1"/>
                <w:color w:val="FFFFFF"/>
              </w:rPr>
              <w:t>termination for</w:t>
            </w:r>
          </w:p>
        </w:tc>
        <w:tc>
          <w:tcPr>
            <w:tcW w:w="360" w:type="dxa"/>
            <w:vAlign w:val="bottom"/>
            <w:shd w:val="clear" w:color="auto" w:fill="1F473D"/>
          </w:tcPr>
          <w:p>
            <w:pPr>
              <w:spacing w:after="0"/>
              <w:rPr>
                <w:sz w:val="16"/>
                <w:szCs w:val="16"/>
                <w:color w:val="auto"/>
              </w:rPr>
            </w:pPr>
          </w:p>
        </w:tc>
        <w:tc>
          <w:tcPr>
            <w:tcW w:w="124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780" w:type="dxa"/>
            <w:vAlign w:val="bottom"/>
            <w:tcBorders>
              <w:right w:val="single" w:sz="8" w:color="B2B2B2"/>
            </w:tcBorders>
            <w:shd w:val="clear" w:color="auto" w:fill="1F473D"/>
          </w:tcPr>
          <w:p>
            <w:pPr>
              <w:spacing w:after="0"/>
              <w:rPr>
                <w:sz w:val="16"/>
                <w:szCs w:val="16"/>
                <w:color w:val="auto"/>
              </w:rPr>
            </w:pPr>
          </w:p>
        </w:tc>
        <w:tc>
          <w:tcPr>
            <w:tcW w:w="1280" w:type="dxa"/>
            <w:vAlign w:val="bottom"/>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termination</w:t>
            </w:r>
          </w:p>
        </w:tc>
      </w:tr>
      <w:tr>
        <w:trPr>
          <w:trHeight w:val="187"/>
        </w:trPr>
        <w:tc>
          <w:tcPr>
            <w:tcW w:w="20" w:type="dxa"/>
            <w:vAlign w:val="bottom"/>
          </w:tcPr>
          <w:p>
            <w:pPr>
              <w:spacing w:after="0"/>
              <w:rPr>
                <w:sz w:val="16"/>
                <w:szCs w:val="16"/>
                <w:color w:val="auto"/>
              </w:rPr>
            </w:pPr>
          </w:p>
        </w:tc>
        <w:tc>
          <w:tcPr>
            <w:tcW w:w="2540" w:type="dxa"/>
            <w:vAlign w:val="bottom"/>
            <w:tcBorders>
              <w:right w:val="single" w:sz="8" w:color="B2B2B2"/>
            </w:tcBorders>
          </w:tcPr>
          <w:p>
            <w:pPr>
              <w:spacing w:after="0"/>
              <w:rPr>
                <w:sz w:val="16"/>
                <w:szCs w:val="16"/>
                <w:color w:val="auto"/>
              </w:rPr>
            </w:pPr>
          </w:p>
        </w:tc>
        <w:tc>
          <w:tcPr>
            <w:tcW w:w="340" w:type="dxa"/>
            <w:vAlign w:val="bottom"/>
            <w:shd w:val="clear" w:color="auto" w:fill="1F473D"/>
          </w:tcPr>
          <w:p>
            <w:pPr>
              <w:spacing w:after="0"/>
              <w:rPr>
                <w:sz w:val="16"/>
                <w:szCs w:val="16"/>
                <w:color w:val="auto"/>
              </w:rPr>
            </w:pPr>
          </w:p>
        </w:tc>
        <w:tc>
          <w:tcPr>
            <w:tcW w:w="1200" w:type="dxa"/>
            <w:vAlign w:val="bottom"/>
            <w:tcBorders>
              <w:right w:val="single" w:sz="8" w:color="1F473D"/>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Involuntary</w:t>
            </w:r>
          </w:p>
        </w:tc>
        <w:tc>
          <w:tcPr>
            <w:tcW w:w="600" w:type="dxa"/>
            <w:vAlign w:val="bottom"/>
            <w:shd w:val="clear" w:color="auto" w:fill="1F473D"/>
          </w:tcPr>
          <w:p>
            <w:pPr>
              <w:spacing w:after="0"/>
              <w:rPr>
                <w:sz w:val="16"/>
                <w:szCs w:val="16"/>
                <w:color w:val="auto"/>
              </w:rPr>
            </w:pPr>
          </w:p>
        </w:tc>
        <w:tc>
          <w:tcPr>
            <w:tcW w:w="66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1180" w:type="dxa"/>
            <w:vAlign w:val="bottom"/>
            <w:tcBorders>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Cause or</w:t>
            </w:r>
          </w:p>
        </w:tc>
        <w:tc>
          <w:tcPr>
            <w:tcW w:w="360" w:type="dxa"/>
            <w:vAlign w:val="bottom"/>
            <w:shd w:val="clear" w:color="auto" w:fill="1F473D"/>
          </w:tcPr>
          <w:p>
            <w:pPr>
              <w:spacing w:after="0"/>
              <w:rPr>
                <w:sz w:val="16"/>
                <w:szCs w:val="16"/>
                <w:color w:val="auto"/>
              </w:rPr>
            </w:pPr>
          </w:p>
        </w:tc>
        <w:tc>
          <w:tcPr>
            <w:tcW w:w="124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780" w:type="dxa"/>
            <w:vAlign w:val="bottom"/>
            <w:tcBorders>
              <w:right w:val="single" w:sz="8" w:color="B2B2B2"/>
            </w:tcBorders>
            <w:shd w:val="clear" w:color="auto" w:fill="1F473D"/>
          </w:tcPr>
          <w:p>
            <w:pPr>
              <w:spacing w:after="0"/>
              <w:rPr>
                <w:sz w:val="16"/>
                <w:szCs w:val="16"/>
                <w:color w:val="auto"/>
              </w:rPr>
            </w:pPr>
          </w:p>
        </w:tc>
        <w:tc>
          <w:tcPr>
            <w:tcW w:w="1280" w:type="dxa"/>
            <w:vAlign w:val="bottom"/>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following a</w:t>
            </w:r>
          </w:p>
        </w:tc>
      </w:tr>
      <w:tr>
        <w:trPr>
          <w:trHeight w:val="187"/>
        </w:trPr>
        <w:tc>
          <w:tcPr>
            <w:tcW w:w="20" w:type="dxa"/>
            <w:vAlign w:val="bottom"/>
          </w:tcPr>
          <w:p>
            <w:pPr>
              <w:spacing w:after="0"/>
              <w:rPr>
                <w:sz w:val="16"/>
                <w:szCs w:val="16"/>
                <w:color w:val="auto"/>
              </w:rPr>
            </w:pPr>
          </w:p>
        </w:tc>
        <w:tc>
          <w:tcPr>
            <w:tcW w:w="2540" w:type="dxa"/>
            <w:vAlign w:val="bottom"/>
            <w:tcBorders>
              <w:right w:val="single" w:sz="8" w:color="B2B2B2"/>
            </w:tcBorders>
          </w:tcPr>
          <w:p>
            <w:pPr>
              <w:spacing w:after="0"/>
              <w:rPr>
                <w:sz w:val="16"/>
                <w:szCs w:val="16"/>
                <w:color w:val="auto"/>
              </w:rPr>
            </w:pPr>
          </w:p>
        </w:tc>
        <w:tc>
          <w:tcPr>
            <w:tcW w:w="340" w:type="dxa"/>
            <w:vAlign w:val="bottom"/>
            <w:shd w:val="clear" w:color="auto" w:fill="1F473D"/>
          </w:tcPr>
          <w:p>
            <w:pPr>
              <w:spacing w:after="0"/>
              <w:rPr>
                <w:sz w:val="16"/>
                <w:szCs w:val="16"/>
                <w:color w:val="auto"/>
              </w:rPr>
            </w:pPr>
          </w:p>
        </w:tc>
        <w:tc>
          <w:tcPr>
            <w:tcW w:w="1200" w:type="dxa"/>
            <w:vAlign w:val="bottom"/>
            <w:tcBorders>
              <w:right w:val="single" w:sz="8" w:color="1F473D"/>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Termination</w:t>
            </w:r>
          </w:p>
        </w:tc>
        <w:tc>
          <w:tcPr>
            <w:tcW w:w="600" w:type="dxa"/>
            <w:vAlign w:val="bottom"/>
            <w:shd w:val="clear" w:color="auto" w:fill="1F473D"/>
          </w:tcPr>
          <w:p>
            <w:pPr>
              <w:spacing w:after="0"/>
              <w:rPr>
                <w:sz w:val="16"/>
                <w:szCs w:val="16"/>
                <w:color w:val="auto"/>
              </w:rPr>
            </w:pPr>
          </w:p>
        </w:tc>
        <w:tc>
          <w:tcPr>
            <w:tcW w:w="660" w:type="dxa"/>
            <w:vAlign w:val="bottom"/>
            <w:tcBorders>
              <w:right w:val="single" w:sz="8" w:color="B2B2B2"/>
            </w:tcBorders>
            <w:shd w:val="clear" w:color="auto" w:fill="1F473D"/>
          </w:tcPr>
          <w:p>
            <w:pPr>
              <w:spacing w:after="0"/>
              <w:rPr>
                <w:sz w:val="16"/>
                <w:szCs w:val="16"/>
                <w:color w:val="auto"/>
              </w:rPr>
            </w:pPr>
          </w:p>
        </w:tc>
        <w:tc>
          <w:tcPr>
            <w:tcW w:w="360" w:type="dxa"/>
            <w:vAlign w:val="bottom"/>
            <w:shd w:val="clear" w:color="auto" w:fill="1F473D"/>
          </w:tcPr>
          <w:p>
            <w:pPr>
              <w:spacing w:after="0"/>
              <w:rPr>
                <w:sz w:val="16"/>
                <w:szCs w:val="16"/>
                <w:color w:val="auto"/>
              </w:rPr>
            </w:pPr>
          </w:p>
        </w:tc>
        <w:tc>
          <w:tcPr>
            <w:tcW w:w="1180" w:type="dxa"/>
            <w:vAlign w:val="bottom"/>
            <w:tcBorders>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voluntary</w:t>
            </w:r>
          </w:p>
        </w:tc>
        <w:tc>
          <w:tcPr>
            <w:tcW w:w="1600" w:type="dxa"/>
            <w:vAlign w:val="bottom"/>
            <w:tcBorders>
              <w:right w:val="single" w:sz="8" w:color="B2B2B2"/>
            </w:tcBorders>
            <w:gridSpan w:val="2"/>
            <w:shd w:val="clear" w:color="auto" w:fill="1F473D"/>
          </w:tcPr>
          <w:p>
            <w:pPr>
              <w:ind w:left="200"/>
              <w:spacing w:after="0"/>
              <w:rPr>
                <w:sz w:val="20"/>
                <w:szCs w:val="20"/>
                <w:color w:val="auto"/>
              </w:rPr>
            </w:pPr>
            <w:r>
              <w:rPr>
                <w:rFonts w:ascii="Arial" w:cs="Arial" w:eastAsia="Arial" w:hAnsi="Arial"/>
                <w:sz w:val="16"/>
                <w:szCs w:val="16"/>
                <w:b w:val="1"/>
                <w:bCs w:val="1"/>
                <w:color w:val="FFFFFF"/>
              </w:rPr>
              <w:t>Resignation for</w:t>
            </w:r>
          </w:p>
        </w:tc>
        <w:tc>
          <w:tcPr>
            <w:tcW w:w="1140" w:type="dxa"/>
            <w:vAlign w:val="bottom"/>
            <w:tcBorders>
              <w:right w:val="single" w:sz="8" w:color="B2B2B2"/>
            </w:tcBorders>
            <w:gridSpan w:val="2"/>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Death or</w:t>
            </w:r>
          </w:p>
        </w:tc>
        <w:tc>
          <w:tcPr>
            <w:tcW w:w="1280" w:type="dxa"/>
            <w:vAlign w:val="bottom"/>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Change of</w:t>
            </w:r>
          </w:p>
        </w:tc>
      </w:tr>
      <w:tr>
        <w:trPr>
          <w:trHeight w:val="288"/>
        </w:trPr>
        <w:tc>
          <w:tcPr>
            <w:tcW w:w="20" w:type="dxa"/>
            <w:vAlign w:val="bottom"/>
          </w:tcPr>
          <w:p>
            <w:pPr>
              <w:spacing w:after="0"/>
              <w:rPr>
                <w:sz w:val="24"/>
                <w:szCs w:val="24"/>
                <w:color w:val="auto"/>
              </w:rPr>
            </w:pPr>
          </w:p>
        </w:tc>
        <w:tc>
          <w:tcPr>
            <w:tcW w:w="2540" w:type="dxa"/>
            <w:vAlign w:val="bottom"/>
            <w:tcBorders>
              <w:bottom w:val="single" w:sz="8" w:color="D64000"/>
              <w:right w:val="single" w:sz="8" w:color="B2B2B2"/>
            </w:tcBorders>
          </w:tcPr>
          <w:p>
            <w:pPr>
              <w:spacing w:after="0"/>
              <w:rPr>
                <w:sz w:val="24"/>
                <w:szCs w:val="24"/>
                <w:color w:val="auto"/>
              </w:rPr>
            </w:pPr>
          </w:p>
        </w:tc>
        <w:tc>
          <w:tcPr>
            <w:tcW w:w="1540" w:type="dxa"/>
            <w:vAlign w:val="bottom"/>
            <w:tcBorders>
              <w:bottom w:val="single" w:sz="8" w:color="D64000"/>
              <w:right w:val="single" w:sz="8" w:color="1F473D"/>
            </w:tcBorders>
            <w:gridSpan w:val="2"/>
            <w:shd w:val="clear" w:color="auto" w:fill="1F473D"/>
          </w:tcPr>
          <w:p>
            <w:pPr>
              <w:ind w:left="220"/>
              <w:spacing w:after="0"/>
              <w:rPr>
                <w:sz w:val="20"/>
                <w:szCs w:val="20"/>
                <w:color w:val="auto"/>
              </w:rPr>
            </w:pPr>
            <w:r>
              <w:rPr>
                <w:rFonts w:ascii="Arial" w:cs="Arial" w:eastAsia="Arial" w:hAnsi="Arial"/>
                <w:sz w:val="16"/>
                <w:szCs w:val="16"/>
                <w:b w:val="1"/>
                <w:bCs w:val="1"/>
                <w:color w:val="FFFFFF"/>
              </w:rPr>
              <w:t>without Cause</w:t>
            </w:r>
          </w:p>
        </w:tc>
        <w:tc>
          <w:tcPr>
            <w:tcW w:w="1260" w:type="dxa"/>
            <w:vAlign w:val="bottom"/>
            <w:tcBorders>
              <w:bottom w:val="single" w:sz="8" w:color="D64000"/>
              <w:right w:val="single" w:sz="8" w:color="B2B2B2"/>
            </w:tcBorders>
            <w:gridSpan w:val="2"/>
            <w:shd w:val="clear" w:color="auto" w:fill="1F473D"/>
          </w:tcPr>
          <w:p>
            <w:pPr>
              <w:ind w:left="200"/>
              <w:spacing w:after="0"/>
              <w:rPr>
                <w:sz w:val="20"/>
                <w:szCs w:val="20"/>
                <w:color w:val="auto"/>
              </w:rPr>
            </w:pPr>
            <w:r>
              <w:rPr>
                <w:rFonts w:ascii="Arial" w:cs="Arial" w:eastAsia="Arial" w:hAnsi="Arial"/>
                <w:sz w:val="16"/>
                <w:szCs w:val="16"/>
                <w:b w:val="1"/>
                <w:bCs w:val="1"/>
                <w:color w:val="FFFFFF"/>
              </w:rPr>
              <w:t>Retirement</w:t>
            </w:r>
          </w:p>
        </w:tc>
        <w:tc>
          <w:tcPr>
            <w:tcW w:w="360" w:type="dxa"/>
            <w:vAlign w:val="bottom"/>
            <w:tcBorders>
              <w:bottom w:val="single" w:sz="8" w:color="D64000"/>
            </w:tcBorders>
            <w:shd w:val="clear" w:color="auto" w:fill="1F473D"/>
          </w:tcPr>
          <w:p>
            <w:pPr>
              <w:spacing w:after="0"/>
              <w:rPr>
                <w:sz w:val="24"/>
                <w:szCs w:val="24"/>
                <w:color w:val="auto"/>
              </w:rPr>
            </w:pPr>
          </w:p>
        </w:tc>
        <w:tc>
          <w:tcPr>
            <w:tcW w:w="1180" w:type="dxa"/>
            <w:vAlign w:val="bottom"/>
            <w:tcBorders>
              <w:bottom w:val="single" w:sz="8" w:color="D64000"/>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resignation</w:t>
            </w:r>
          </w:p>
        </w:tc>
        <w:tc>
          <w:tcPr>
            <w:tcW w:w="360" w:type="dxa"/>
            <w:vAlign w:val="bottom"/>
            <w:tcBorders>
              <w:bottom w:val="single" w:sz="8" w:color="D64000"/>
            </w:tcBorders>
            <w:shd w:val="clear" w:color="auto" w:fill="1F473D"/>
          </w:tcPr>
          <w:p>
            <w:pPr>
              <w:spacing w:after="0"/>
              <w:rPr>
                <w:sz w:val="24"/>
                <w:szCs w:val="24"/>
                <w:color w:val="auto"/>
              </w:rPr>
            </w:pPr>
          </w:p>
        </w:tc>
        <w:tc>
          <w:tcPr>
            <w:tcW w:w="1240" w:type="dxa"/>
            <w:vAlign w:val="bottom"/>
            <w:tcBorders>
              <w:bottom w:val="single" w:sz="8" w:color="D64000"/>
              <w:right w:val="single" w:sz="8" w:color="B2B2B2"/>
            </w:tcBorders>
            <w:shd w:val="clear" w:color="auto" w:fill="1F473D"/>
          </w:tcPr>
          <w:p>
            <w:pPr>
              <w:jc w:val="right"/>
              <w:ind w:right="140"/>
              <w:spacing w:after="0"/>
              <w:rPr>
                <w:sz w:val="20"/>
                <w:szCs w:val="20"/>
                <w:color w:val="auto"/>
              </w:rPr>
            </w:pPr>
            <w:r>
              <w:rPr>
                <w:rFonts w:ascii="Arial" w:cs="Arial" w:eastAsia="Arial" w:hAnsi="Arial"/>
                <w:sz w:val="16"/>
                <w:szCs w:val="16"/>
                <w:b w:val="1"/>
                <w:bCs w:val="1"/>
                <w:color w:val="FFFFFF"/>
              </w:rPr>
              <w:t>good reason</w:t>
            </w:r>
          </w:p>
        </w:tc>
        <w:tc>
          <w:tcPr>
            <w:tcW w:w="1140" w:type="dxa"/>
            <w:vAlign w:val="bottom"/>
            <w:tcBorders>
              <w:bottom w:val="single" w:sz="8" w:color="D64000"/>
              <w:right w:val="single" w:sz="8" w:color="B2B2B2"/>
            </w:tcBorders>
            <w:gridSpan w:val="2"/>
            <w:shd w:val="clear" w:color="auto" w:fill="1F473D"/>
          </w:tcPr>
          <w:p>
            <w:pPr>
              <w:ind w:left="200"/>
              <w:spacing w:after="0"/>
              <w:rPr>
                <w:sz w:val="20"/>
                <w:szCs w:val="20"/>
                <w:color w:val="auto"/>
              </w:rPr>
            </w:pPr>
            <w:r>
              <w:rPr>
                <w:rFonts w:ascii="Arial" w:cs="Arial" w:eastAsia="Arial" w:hAnsi="Arial"/>
                <w:sz w:val="16"/>
                <w:szCs w:val="16"/>
                <w:b w:val="1"/>
                <w:bCs w:val="1"/>
                <w:color w:val="FFFFFF"/>
              </w:rPr>
              <w:t>Disability</w:t>
            </w:r>
          </w:p>
        </w:tc>
        <w:tc>
          <w:tcPr>
            <w:tcW w:w="1280" w:type="dxa"/>
            <w:vAlign w:val="bottom"/>
            <w:tcBorders>
              <w:bottom w:val="single" w:sz="8" w:color="D64000"/>
            </w:tcBorders>
            <w:shd w:val="clear" w:color="auto" w:fill="1F473D"/>
          </w:tcPr>
          <w:p>
            <w:pPr>
              <w:jc w:val="right"/>
              <w:ind w:right="120"/>
              <w:spacing w:after="0"/>
              <w:rPr>
                <w:sz w:val="20"/>
                <w:szCs w:val="20"/>
                <w:color w:val="auto"/>
              </w:rPr>
            </w:pPr>
            <w:r>
              <w:rPr>
                <w:rFonts w:ascii="Arial" w:cs="Arial" w:eastAsia="Arial" w:hAnsi="Arial"/>
                <w:sz w:val="16"/>
                <w:szCs w:val="16"/>
                <w:b w:val="1"/>
                <w:bCs w:val="1"/>
                <w:color w:val="FFFFFF"/>
              </w:rPr>
              <w:t>Control</w:t>
            </w:r>
            <w:r>
              <w:rPr>
                <w:rFonts w:ascii="Arial" w:cs="Arial" w:eastAsia="Arial" w:hAnsi="Arial"/>
                <w:sz w:val="24"/>
                <w:szCs w:val="24"/>
                <w:b w:val="1"/>
                <w:bCs w:val="1"/>
                <w:color w:val="FFFFFF"/>
                <w:vertAlign w:val="superscript"/>
              </w:rPr>
              <w:t>1</w:t>
            </w:r>
          </w:p>
        </w:tc>
      </w:tr>
      <w:tr>
        <w:trPr>
          <w:trHeight w:val="221"/>
        </w:trPr>
        <w:tc>
          <w:tcPr>
            <w:tcW w:w="20" w:type="dxa"/>
            <w:vAlign w:val="bottom"/>
          </w:tcPr>
          <w:p>
            <w:pPr>
              <w:spacing w:after="0"/>
              <w:rPr>
                <w:sz w:val="19"/>
                <w:szCs w:val="19"/>
                <w:color w:val="auto"/>
              </w:rPr>
            </w:pPr>
          </w:p>
        </w:tc>
        <w:tc>
          <w:tcPr>
            <w:tcW w:w="254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Steve Hasker</w:t>
            </w:r>
          </w:p>
        </w:tc>
        <w:tc>
          <w:tcPr>
            <w:tcW w:w="340" w:type="dxa"/>
            <w:vAlign w:val="bottom"/>
          </w:tcPr>
          <w:p>
            <w:pPr>
              <w:spacing w:after="0"/>
              <w:rPr>
                <w:sz w:val="19"/>
                <w:szCs w:val="19"/>
                <w:color w:val="auto"/>
              </w:rPr>
            </w:pPr>
          </w:p>
        </w:tc>
        <w:tc>
          <w:tcPr>
            <w:tcW w:w="1200" w:type="dxa"/>
            <w:vAlign w:val="bottom"/>
            <w:tcBorders>
              <w:right w:val="single" w:sz="8" w:color="B2B2B2"/>
            </w:tcBorders>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right w:val="single" w:sz="8" w:color="B2B2B2"/>
            </w:tcBorders>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Borders>
              <w:right w:val="single" w:sz="8" w:color="B2B2B2"/>
            </w:tcBorders>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Borders>
              <w:right w:val="single" w:sz="8" w:color="B2B2B2"/>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right w:val="single" w:sz="8" w:color="B2B2B2"/>
            </w:tcBorders>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20" w:type="dxa"/>
            <w:vAlign w:val="bottom"/>
            <w:tcBorders>
              <w:bottom w:val="single" w:sz="8" w:color="B2B2B2"/>
            </w:tcBorders>
          </w:tcPr>
          <w:p>
            <w:pPr>
              <w:spacing w:after="0"/>
              <w:rPr>
                <w:sz w:val="2"/>
                <w:szCs w:val="2"/>
                <w:color w:val="auto"/>
              </w:rPr>
            </w:pPr>
          </w:p>
        </w:tc>
        <w:tc>
          <w:tcPr>
            <w:tcW w:w="2540" w:type="dxa"/>
            <w:vAlign w:val="bottom"/>
            <w:tcBorders>
              <w:bottom w:val="single" w:sz="8" w:color="B2B2B2"/>
              <w:right w:val="single" w:sz="8" w:color="B2B2B2"/>
            </w:tcBorders>
          </w:tcPr>
          <w:p>
            <w:pPr>
              <w:spacing w:after="0"/>
              <w:rPr>
                <w:sz w:val="2"/>
                <w:szCs w:val="2"/>
                <w:color w:val="auto"/>
              </w:rPr>
            </w:pPr>
          </w:p>
        </w:tc>
        <w:tc>
          <w:tcPr>
            <w:tcW w:w="340" w:type="dxa"/>
            <w:vAlign w:val="bottom"/>
            <w:tcBorders>
              <w:bottom w:val="single" w:sz="8" w:color="B2B2B2"/>
            </w:tcBorders>
          </w:tcPr>
          <w:p>
            <w:pPr>
              <w:spacing w:after="0"/>
              <w:rPr>
                <w:sz w:val="2"/>
                <w:szCs w:val="2"/>
                <w:color w:val="auto"/>
              </w:rPr>
            </w:pPr>
          </w:p>
        </w:tc>
        <w:tc>
          <w:tcPr>
            <w:tcW w:w="1200" w:type="dxa"/>
            <w:vAlign w:val="bottom"/>
            <w:tcBorders>
              <w:bottom w:val="single" w:sz="8" w:color="B2B2B2"/>
              <w:right w:val="single" w:sz="8" w:color="B2B2B2"/>
            </w:tcBorders>
          </w:tcPr>
          <w:p>
            <w:pPr>
              <w:spacing w:after="0"/>
              <w:rPr>
                <w:sz w:val="2"/>
                <w:szCs w:val="2"/>
                <w:color w:val="auto"/>
              </w:rPr>
            </w:pPr>
          </w:p>
        </w:tc>
        <w:tc>
          <w:tcPr>
            <w:tcW w:w="600" w:type="dxa"/>
            <w:vAlign w:val="bottom"/>
            <w:tcBorders>
              <w:bottom w:val="single" w:sz="8" w:color="B2B2B2"/>
            </w:tcBorders>
          </w:tcPr>
          <w:p>
            <w:pPr>
              <w:spacing w:after="0"/>
              <w:rPr>
                <w:sz w:val="2"/>
                <w:szCs w:val="2"/>
                <w:color w:val="auto"/>
              </w:rPr>
            </w:pPr>
          </w:p>
        </w:tc>
        <w:tc>
          <w:tcPr>
            <w:tcW w:w="66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18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24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tcBorders>
          </w:tcPr>
          <w:p>
            <w:pPr>
              <w:spacing w:after="0"/>
              <w:rPr>
                <w:sz w:val="2"/>
                <w:szCs w:val="2"/>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Severance</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2,299,034</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$ 2,299,034</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Equity-based compensation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Pension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Benefits</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70,000</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Total</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2,369,034</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0</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$ 2,299,034</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1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Mike Eastwood</w:t>
            </w:r>
          </w:p>
        </w:tc>
        <w:tc>
          <w:tcPr>
            <w:tcW w:w="340" w:type="dxa"/>
            <w:vAlign w:val="bottom"/>
          </w:tcPr>
          <w:p>
            <w:pPr>
              <w:spacing w:after="0"/>
              <w:rPr>
                <w:sz w:val="18"/>
                <w:szCs w:val="18"/>
                <w:color w:val="auto"/>
              </w:rPr>
            </w:pPr>
          </w:p>
        </w:tc>
        <w:tc>
          <w:tcPr>
            <w:tcW w:w="1200" w:type="dxa"/>
            <w:vAlign w:val="bottom"/>
            <w:tcBorders>
              <w:right w:val="single" w:sz="8" w:color="B2B2B2"/>
            </w:tcBorders>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0" w:type="dxa"/>
            <w:vAlign w:val="bottom"/>
            <w:tcBorders>
              <w:bottom w:val="single" w:sz="8" w:color="B2B2B2"/>
            </w:tcBorders>
          </w:tcPr>
          <w:p>
            <w:pPr>
              <w:spacing w:after="0"/>
              <w:rPr>
                <w:sz w:val="2"/>
                <w:szCs w:val="2"/>
                <w:color w:val="auto"/>
              </w:rPr>
            </w:pPr>
          </w:p>
        </w:tc>
        <w:tc>
          <w:tcPr>
            <w:tcW w:w="2540" w:type="dxa"/>
            <w:vAlign w:val="bottom"/>
            <w:tcBorders>
              <w:bottom w:val="single" w:sz="8" w:color="B2B2B2"/>
              <w:right w:val="single" w:sz="8" w:color="B2B2B2"/>
            </w:tcBorders>
          </w:tcPr>
          <w:p>
            <w:pPr>
              <w:spacing w:after="0"/>
              <w:rPr>
                <w:sz w:val="2"/>
                <w:szCs w:val="2"/>
                <w:color w:val="auto"/>
              </w:rPr>
            </w:pPr>
          </w:p>
        </w:tc>
        <w:tc>
          <w:tcPr>
            <w:tcW w:w="340" w:type="dxa"/>
            <w:vAlign w:val="bottom"/>
            <w:tcBorders>
              <w:bottom w:val="single" w:sz="8" w:color="B2B2B2"/>
            </w:tcBorders>
          </w:tcPr>
          <w:p>
            <w:pPr>
              <w:spacing w:after="0"/>
              <w:rPr>
                <w:sz w:val="2"/>
                <w:szCs w:val="2"/>
                <w:color w:val="auto"/>
              </w:rPr>
            </w:pPr>
          </w:p>
        </w:tc>
        <w:tc>
          <w:tcPr>
            <w:tcW w:w="1200" w:type="dxa"/>
            <w:vAlign w:val="bottom"/>
            <w:tcBorders>
              <w:bottom w:val="single" w:sz="8" w:color="B2B2B2"/>
              <w:right w:val="single" w:sz="8" w:color="B2B2B2"/>
            </w:tcBorders>
          </w:tcPr>
          <w:p>
            <w:pPr>
              <w:spacing w:after="0"/>
              <w:rPr>
                <w:sz w:val="2"/>
                <w:szCs w:val="2"/>
                <w:color w:val="auto"/>
              </w:rPr>
            </w:pPr>
          </w:p>
        </w:tc>
        <w:tc>
          <w:tcPr>
            <w:tcW w:w="600" w:type="dxa"/>
            <w:vAlign w:val="bottom"/>
            <w:tcBorders>
              <w:bottom w:val="single" w:sz="8" w:color="B2B2B2"/>
            </w:tcBorders>
          </w:tcPr>
          <w:p>
            <w:pPr>
              <w:spacing w:after="0"/>
              <w:rPr>
                <w:sz w:val="2"/>
                <w:szCs w:val="2"/>
                <w:color w:val="auto"/>
              </w:rPr>
            </w:pPr>
          </w:p>
        </w:tc>
        <w:tc>
          <w:tcPr>
            <w:tcW w:w="66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18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24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tcBorders>
          </w:tcPr>
          <w:p>
            <w:pPr>
              <w:spacing w:after="0"/>
              <w:rPr>
                <w:sz w:val="2"/>
                <w:szCs w:val="2"/>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Severance</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1,360,799</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$ 1,360,799</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Equity-based compensation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Pension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Benefits</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70,000</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Total</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1,430,799</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0</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$ 1,360,799</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1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Kirsty Roth</w:t>
            </w:r>
          </w:p>
        </w:tc>
        <w:tc>
          <w:tcPr>
            <w:tcW w:w="340" w:type="dxa"/>
            <w:vAlign w:val="bottom"/>
          </w:tcPr>
          <w:p>
            <w:pPr>
              <w:spacing w:after="0"/>
              <w:rPr>
                <w:sz w:val="18"/>
                <w:szCs w:val="18"/>
                <w:color w:val="auto"/>
              </w:rPr>
            </w:pPr>
          </w:p>
        </w:tc>
        <w:tc>
          <w:tcPr>
            <w:tcW w:w="1200" w:type="dxa"/>
            <w:vAlign w:val="bottom"/>
            <w:tcBorders>
              <w:right w:val="single" w:sz="8" w:color="B2B2B2"/>
            </w:tcBorders>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0" w:type="dxa"/>
            <w:vAlign w:val="bottom"/>
            <w:tcBorders>
              <w:bottom w:val="single" w:sz="8" w:color="B2B2B2"/>
            </w:tcBorders>
          </w:tcPr>
          <w:p>
            <w:pPr>
              <w:spacing w:after="0"/>
              <w:rPr>
                <w:sz w:val="2"/>
                <w:szCs w:val="2"/>
                <w:color w:val="auto"/>
              </w:rPr>
            </w:pPr>
          </w:p>
        </w:tc>
        <w:tc>
          <w:tcPr>
            <w:tcW w:w="2540" w:type="dxa"/>
            <w:vAlign w:val="bottom"/>
            <w:tcBorders>
              <w:bottom w:val="single" w:sz="8" w:color="B2B2B2"/>
              <w:right w:val="single" w:sz="8" w:color="B2B2B2"/>
            </w:tcBorders>
          </w:tcPr>
          <w:p>
            <w:pPr>
              <w:spacing w:after="0"/>
              <w:rPr>
                <w:sz w:val="2"/>
                <w:szCs w:val="2"/>
                <w:color w:val="auto"/>
              </w:rPr>
            </w:pPr>
          </w:p>
        </w:tc>
        <w:tc>
          <w:tcPr>
            <w:tcW w:w="340" w:type="dxa"/>
            <w:vAlign w:val="bottom"/>
            <w:tcBorders>
              <w:bottom w:val="single" w:sz="8" w:color="B2B2B2"/>
            </w:tcBorders>
          </w:tcPr>
          <w:p>
            <w:pPr>
              <w:spacing w:after="0"/>
              <w:rPr>
                <w:sz w:val="2"/>
                <w:szCs w:val="2"/>
                <w:color w:val="auto"/>
              </w:rPr>
            </w:pPr>
          </w:p>
        </w:tc>
        <w:tc>
          <w:tcPr>
            <w:tcW w:w="1200" w:type="dxa"/>
            <w:vAlign w:val="bottom"/>
            <w:tcBorders>
              <w:bottom w:val="single" w:sz="8" w:color="B2B2B2"/>
              <w:right w:val="single" w:sz="8" w:color="B2B2B2"/>
            </w:tcBorders>
          </w:tcPr>
          <w:p>
            <w:pPr>
              <w:spacing w:after="0"/>
              <w:rPr>
                <w:sz w:val="2"/>
                <w:szCs w:val="2"/>
                <w:color w:val="auto"/>
              </w:rPr>
            </w:pPr>
          </w:p>
        </w:tc>
        <w:tc>
          <w:tcPr>
            <w:tcW w:w="600" w:type="dxa"/>
            <w:vAlign w:val="bottom"/>
            <w:tcBorders>
              <w:bottom w:val="single" w:sz="8" w:color="B2B2B2"/>
            </w:tcBorders>
          </w:tcPr>
          <w:p>
            <w:pPr>
              <w:spacing w:after="0"/>
              <w:rPr>
                <w:sz w:val="2"/>
                <w:szCs w:val="2"/>
                <w:color w:val="auto"/>
              </w:rPr>
            </w:pPr>
          </w:p>
        </w:tc>
        <w:tc>
          <w:tcPr>
            <w:tcW w:w="66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18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24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tcBorders>
          </w:tcPr>
          <w:p>
            <w:pPr>
              <w:spacing w:after="0"/>
              <w:rPr>
                <w:sz w:val="2"/>
                <w:szCs w:val="2"/>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Severance</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1,658,088</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$ 1,658,088</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Equity-based compensation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Pension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Benefits</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70,000</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Total</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1,728,088</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0</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$ 1,658,088</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1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David Wong</w:t>
            </w:r>
          </w:p>
        </w:tc>
        <w:tc>
          <w:tcPr>
            <w:tcW w:w="340" w:type="dxa"/>
            <w:vAlign w:val="bottom"/>
          </w:tcPr>
          <w:p>
            <w:pPr>
              <w:spacing w:after="0"/>
              <w:rPr>
                <w:sz w:val="18"/>
                <w:szCs w:val="18"/>
                <w:color w:val="auto"/>
              </w:rPr>
            </w:pPr>
          </w:p>
        </w:tc>
        <w:tc>
          <w:tcPr>
            <w:tcW w:w="1200" w:type="dxa"/>
            <w:vAlign w:val="bottom"/>
            <w:tcBorders>
              <w:right w:val="single" w:sz="8" w:color="B2B2B2"/>
            </w:tcBorders>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0" w:type="dxa"/>
            <w:vAlign w:val="bottom"/>
            <w:tcBorders>
              <w:bottom w:val="single" w:sz="8" w:color="B2B2B2"/>
            </w:tcBorders>
          </w:tcPr>
          <w:p>
            <w:pPr>
              <w:spacing w:after="0"/>
              <w:rPr>
                <w:sz w:val="2"/>
                <w:szCs w:val="2"/>
                <w:color w:val="auto"/>
              </w:rPr>
            </w:pPr>
          </w:p>
        </w:tc>
        <w:tc>
          <w:tcPr>
            <w:tcW w:w="2540" w:type="dxa"/>
            <w:vAlign w:val="bottom"/>
            <w:tcBorders>
              <w:bottom w:val="single" w:sz="8" w:color="B2B2B2"/>
              <w:right w:val="single" w:sz="8" w:color="B2B2B2"/>
            </w:tcBorders>
          </w:tcPr>
          <w:p>
            <w:pPr>
              <w:spacing w:after="0"/>
              <w:rPr>
                <w:sz w:val="2"/>
                <w:szCs w:val="2"/>
                <w:color w:val="auto"/>
              </w:rPr>
            </w:pPr>
          </w:p>
        </w:tc>
        <w:tc>
          <w:tcPr>
            <w:tcW w:w="340" w:type="dxa"/>
            <w:vAlign w:val="bottom"/>
            <w:tcBorders>
              <w:bottom w:val="single" w:sz="8" w:color="B2B2B2"/>
            </w:tcBorders>
          </w:tcPr>
          <w:p>
            <w:pPr>
              <w:spacing w:after="0"/>
              <w:rPr>
                <w:sz w:val="2"/>
                <w:szCs w:val="2"/>
                <w:color w:val="auto"/>
              </w:rPr>
            </w:pPr>
          </w:p>
        </w:tc>
        <w:tc>
          <w:tcPr>
            <w:tcW w:w="1200" w:type="dxa"/>
            <w:vAlign w:val="bottom"/>
            <w:tcBorders>
              <w:bottom w:val="single" w:sz="8" w:color="B2B2B2"/>
              <w:right w:val="single" w:sz="8" w:color="B2B2B2"/>
            </w:tcBorders>
          </w:tcPr>
          <w:p>
            <w:pPr>
              <w:spacing w:after="0"/>
              <w:rPr>
                <w:sz w:val="2"/>
                <w:szCs w:val="2"/>
                <w:color w:val="auto"/>
              </w:rPr>
            </w:pPr>
          </w:p>
        </w:tc>
        <w:tc>
          <w:tcPr>
            <w:tcW w:w="600" w:type="dxa"/>
            <w:vAlign w:val="bottom"/>
            <w:tcBorders>
              <w:bottom w:val="single" w:sz="8" w:color="B2B2B2"/>
            </w:tcBorders>
          </w:tcPr>
          <w:p>
            <w:pPr>
              <w:spacing w:after="0"/>
              <w:rPr>
                <w:sz w:val="2"/>
                <w:szCs w:val="2"/>
                <w:color w:val="auto"/>
              </w:rPr>
            </w:pPr>
          </w:p>
        </w:tc>
        <w:tc>
          <w:tcPr>
            <w:tcW w:w="66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18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24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tcBorders>
          </w:tcPr>
          <w:p>
            <w:pPr>
              <w:spacing w:after="0"/>
              <w:rPr>
                <w:sz w:val="2"/>
                <w:szCs w:val="2"/>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Severance</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1,217,557</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$ 1,217,557</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Equity-based compensation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Pension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Benefits</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70,000</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Total</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1,287,557</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0</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$ 1,217,557</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1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Paul Bascobert</w:t>
            </w:r>
          </w:p>
        </w:tc>
        <w:tc>
          <w:tcPr>
            <w:tcW w:w="340" w:type="dxa"/>
            <w:vAlign w:val="bottom"/>
          </w:tcPr>
          <w:p>
            <w:pPr>
              <w:spacing w:after="0"/>
              <w:rPr>
                <w:sz w:val="18"/>
                <w:szCs w:val="18"/>
                <w:color w:val="auto"/>
              </w:rPr>
            </w:pPr>
          </w:p>
        </w:tc>
        <w:tc>
          <w:tcPr>
            <w:tcW w:w="1200" w:type="dxa"/>
            <w:vAlign w:val="bottom"/>
            <w:tcBorders>
              <w:right w:val="single" w:sz="8" w:color="B2B2B2"/>
            </w:tcBorders>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Borders>
              <w:right w:val="single" w:sz="8" w:color="B2B2B2"/>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right w:val="single" w:sz="8" w:color="B2B2B2"/>
            </w:tcBorders>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0" w:type="dxa"/>
            <w:vAlign w:val="bottom"/>
            <w:tcBorders>
              <w:bottom w:val="single" w:sz="8" w:color="B2B2B2"/>
            </w:tcBorders>
          </w:tcPr>
          <w:p>
            <w:pPr>
              <w:spacing w:after="0"/>
              <w:rPr>
                <w:sz w:val="2"/>
                <w:szCs w:val="2"/>
                <w:color w:val="auto"/>
              </w:rPr>
            </w:pPr>
          </w:p>
        </w:tc>
        <w:tc>
          <w:tcPr>
            <w:tcW w:w="2540" w:type="dxa"/>
            <w:vAlign w:val="bottom"/>
            <w:tcBorders>
              <w:bottom w:val="single" w:sz="8" w:color="B2B2B2"/>
              <w:right w:val="single" w:sz="8" w:color="B2B2B2"/>
            </w:tcBorders>
          </w:tcPr>
          <w:p>
            <w:pPr>
              <w:spacing w:after="0"/>
              <w:rPr>
                <w:sz w:val="2"/>
                <w:szCs w:val="2"/>
                <w:color w:val="auto"/>
              </w:rPr>
            </w:pPr>
          </w:p>
        </w:tc>
        <w:tc>
          <w:tcPr>
            <w:tcW w:w="340" w:type="dxa"/>
            <w:vAlign w:val="bottom"/>
            <w:tcBorders>
              <w:bottom w:val="single" w:sz="8" w:color="B2B2B2"/>
            </w:tcBorders>
          </w:tcPr>
          <w:p>
            <w:pPr>
              <w:spacing w:after="0"/>
              <w:rPr>
                <w:sz w:val="2"/>
                <w:szCs w:val="2"/>
                <w:color w:val="auto"/>
              </w:rPr>
            </w:pPr>
          </w:p>
        </w:tc>
        <w:tc>
          <w:tcPr>
            <w:tcW w:w="1200" w:type="dxa"/>
            <w:vAlign w:val="bottom"/>
            <w:tcBorders>
              <w:bottom w:val="single" w:sz="8" w:color="B2B2B2"/>
              <w:right w:val="single" w:sz="8" w:color="B2B2B2"/>
            </w:tcBorders>
          </w:tcPr>
          <w:p>
            <w:pPr>
              <w:spacing w:after="0"/>
              <w:rPr>
                <w:sz w:val="2"/>
                <w:szCs w:val="2"/>
                <w:color w:val="auto"/>
              </w:rPr>
            </w:pPr>
          </w:p>
        </w:tc>
        <w:tc>
          <w:tcPr>
            <w:tcW w:w="600" w:type="dxa"/>
            <w:vAlign w:val="bottom"/>
            <w:tcBorders>
              <w:bottom w:val="single" w:sz="8" w:color="B2B2B2"/>
            </w:tcBorders>
          </w:tcPr>
          <w:p>
            <w:pPr>
              <w:spacing w:after="0"/>
              <w:rPr>
                <w:sz w:val="2"/>
                <w:szCs w:val="2"/>
                <w:color w:val="auto"/>
              </w:rPr>
            </w:pPr>
          </w:p>
        </w:tc>
        <w:tc>
          <w:tcPr>
            <w:tcW w:w="66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18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1240" w:type="dxa"/>
            <w:vAlign w:val="bottom"/>
            <w:tcBorders>
              <w:bottom w:val="single" w:sz="8" w:color="B2B2B2"/>
              <w:right w:val="single" w:sz="8" w:color="B2B2B2"/>
            </w:tcBorders>
          </w:tcPr>
          <w:p>
            <w:pPr>
              <w:spacing w:after="0"/>
              <w:rPr>
                <w:sz w:val="2"/>
                <w:szCs w:val="2"/>
                <w:color w:val="auto"/>
              </w:rPr>
            </w:pPr>
          </w:p>
        </w:tc>
        <w:tc>
          <w:tcPr>
            <w:tcW w:w="360" w:type="dxa"/>
            <w:vAlign w:val="bottom"/>
            <w:tcBorders>
              <w:bottom w:val="single" w:sz="8" w:color="B2B2B2"/>
            </w:tcBorders>
          </w:tcPr>
          <w:p>
            <w:pPr>
              <w:spacing w:after="0"/>
              <w:rPr>
                <w:sz w:val="2"/>
                <w:szCs w:val="2"/>
                <w:color w:val="auto"/>
              </w:rPr>
            </w:pPr>
          </w:p>
        </w:tc>
        <w:tc>
          <w:tcPr>
            <w:tcW w:w="780" w:type="dxa"/>
            <w:vAlign w:val="bottom"/>
            <w:tcBorders>
              <w:bottom w:val="single" w:sz="8" w:color="B2B2B2"/>
              <w:right w:val="single" w:sz="8" w:color="B2B2B2"/>
            </w:tcBorders>
          </w:tcPr>
          <w:p>
            <w:pPr>
              <w:spacing w:after="0"/>
              <w:rPr>
                <w:sz w:val="2"/>
                <w:szCs w:val="2"/>
                <w:color w:val="auto"/>
              </w:rPr>
            </w:pPr>
          </w:p>
        </w:tc>
        <w:tc>
          <w:tcPr>
            <w:tcW w:w="1280" w:type="dxa"/>
            <w:vAlign w:val="bottom"/>
            <w:tcBorders>
              <w:bottom w:val="single" w:sz="8" w:color="B2B2B2"/>
            </w:tcBorders>
          </w:tcPr>
          <w:p>
            <w:pPr>
              <w:spacing w:after="0"/>
              <w:rPr>
                <w:sz w:val="2"/>
                <w:szCs w:val="2"/>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Severance</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1,500,000</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$ 1,500,000</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Equity-based compensation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Pension</w:t>
            </w:r>
          </w:p>
        </w:tc>
        <w:tc>
          <w:tcPr>
            <w:tcW w:w="340" w:type="dxa"/>
            <w:vAlign w:val="bottom"/>
          </w:tcPr>
          <w:p>
            <w:pPr>
              <w:spacing w:after="0"/>
              <w:rPr>
                <w:sz w:val="17"/>
                <w:szCs w:val="17"/>
                <w:color w:val="auto"/>
              </w:rPr>
            </w:pP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B2B2B2"/>
            </w:tcBorders>
          </w:tcPr>
          <w:p>
            <w:pPr>
              <w:spacing w:after="0"/>
              <w:rPr>
                <w:sz w:val="3"/>
                <w:szCs w:val="3"/>
                <w:color w:val="auto"/>
              </w:rPr>
            </w:pPr>
          </w:p>
        </w:tc>
        <w:tc>
          <w:tcPr>
            <w:tcW w:w="2540" w:type="dxa"/>
            <w:vAlign w:val="bottom"/>
            <w:tcBorders>
              <w:bottom w:val="single" w:sz="8" w:color="B2B2B2"/>
              <w:right w:val="single" w:sz="8" w:color="B2B2B2"/>
            </w:tcBorders>
          </w:tcPr>
          <w:p>
            <w:pPr>
              <w:spacing w:after="0"/>
              <w:rPr>
                <w:sz w:val="3"/>
                <w:szCs w:val="3"/>
                <w:color w:val="auto"/>
              </w:rPr>
            </w:pPr>
          </w:p>
        </w:tc>
        <w:tc>
          <w:tcPr>
            <w:tcW w:w="340" w:type="dxa"/>
            <w:vAlign w:val="bottom"/>
            <w:tcBorders>
              <w:bottom w:val="single" w:sz="8" w:color="B2B2B2"/>
            </w:tcBorders>
          </w:tcPr>
          <w:p>
            <w:pPr>
              <w:spacing w:after="0"/>
              <w:rPr>
                <w:sz w:val="3"/>
                <w:szCs w:val="3"/>
                <w:color w:val="auto"/>
              </w:rPr>
            </w:pPr>
          </w:p>
        </w:tc>
        <w:tc>
          <w:tcPr>
            <w:tcW w:w="1200" w:type="dxa"/>
            <w:vAlign w:val="bottom"/>
            <w:tcBorders>
              <w:bottom w:val="single" w:sz="8" w:color="B2B2B2"/>
              <w:right w:val="single" w:sz="8" w:color="B2B2B2"/>
            </w:tcBorders>
          </w:tcPr>
          <w:p>
            <w:pPr>
              <w:spacing w:after="0"/>
              <w:rPr>
                <w:sz w:val="3"/>
                <w:szCs w:val="3"/>
                <w:color w:val="auto"/>
              </w:rPr>
            </w:pPr>
          </w:p>
        </w:tc>
        <w:tc>
          <w:tcPr>
            <w:tcW w:w="600" w:type="dxa"/>
            <w:vAlign w:val="bottom"/>
            <w:tcBorders>
              <w:bottom w:val="single" w:sz="8" w:color="B2B2B2"/>
            </w:tcBorders>
          </w:tcPr>
          <w:p>
            <w:pPr>
              <w:spacing w:after="0"/>
              <w:rPr>
                <w:sz w:val="3"/>
                <w:szCs w:val="3"/>
                <w:color w:val="auto"/>
              </w:rPr>
            </w:pPr>
          </w:p>
        </w:tc>
        <w:tc>
          <w:tcPr>
            <w:tcW w:w="66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18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1240" w:type="dxa"/>
            <w:vAlign w:val="bottom"/>
            <w:tcBorders>
              <w:bottom w:val="single" w:sz="8" w:color="B2B2B2"/>
              <w:right w:val="single" w:sz="8" w:color="B2B2B2"/>
            </w:tcBorders>
          </w:tcPr>
          <w:p>
            <w:pPr>
              <w:spacing w:after="0"/>
              <w:rPr>
                <w:sz w:val="3"/>
                <w:szCs w:val="3"/>
                <w:color w:val="auto"/>
              </w:rPr>
            </w:pPr>
          </w:p>
        </w:tc>
        <w:tc>
          <w:tcPr>
            <w:tcW w:w="360" w:type="dxa"/>
            <w:vAlign w:val="bottom"/>
            <w:tcBorders>
              <w:bottom w:val="single" w:sz="8" w:color="B2B2B2"/>
            </w:tcBorders>
          </w:tcPr>
          <w:p>
            <w:pPr>
              <w:spacing w:after="0"/>
              <w:rPr>
                <w:sz w:val="3"/>
                <w:szCs w:val="3"/>
                <w:color w:val="auto"/>
              </w:rPr>
            </w:pPr>
          </w:p>
        </w:tc>
        <w:tc>
          <w:tcPr>
            <w:tcW w:w="780" w:type="dxa"/>
            <w:vAlign w:val="bottom"/>
            <w:tcBorders>
              <w:bottom w:val="single" w:sz="8" w:color="B2B2B2"/>
              <w:right w:val="single" w:sz="8" w:color="B2B2B2"/>
            </w:tcBorders>
          </w:tcPr>
          <w:p>
            <w:pPr>
              <w:spacing w:after="0"/>
              <w:rPr>
                <w:sz w:val="3"/>
                <w:szCs w:val="3"/>
                <w:color w:val="auto"/>
              </w:rPr>
            </w:pPr>
          </w:p>
        </w:tc>
        <w:tc>
          <w:tcPr>
            <w:tcW w:w="1280" w:type="dxa"/>
            <w:vAlign w:val="bottom"/>
            <w:tcBorders>
              <w:bottom w:val="single" w:sz="8" w:color="B2B2B2"/>
            </w:tcBorders>
          </w:tcPr>
          <w:p>
            <w:pPr>
              <w:spacing w:after="0"/>
              <w:rPr>
                <w:sz w:val="3"/>
                <w:szCs w:val="3"/>
                <w:color w:val="auto"/>
              </w:rPr>
            </w:pPr>
          </w:p>
        </w:tc>
      </w:tr>
      <w:tr>
        <w:trPr>
          <w:trHeight w:val="205"/>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Benefits</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70,000</w:t>
            </w:r>
          </w:p>
        </w:tc>
        <w:tc>
          <w:tcPr>
            <w:tcW w:w="600" w:type="dxa"/>
            <w:vAlign w:val="bottom"/>
          </w:tcPr>
          <w:p>
            <w:pPr>
              <w:spacing w:after="0"/>
              <w:rPr>
                <w:sz w:val="17"/>
                <w:szCs w:val="17"/>
                <w:color w:val="auto"/>
              </w:rPr>
            </w:pP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43"/>
        </w:trPr>
        <w:tc>
          <w:tcPr>
            <w:tcW w:w="20" w:type="dxa"/>
            <w:vAlign w:val="bottom"/>
            <w:tcBorders>
              <w:bottom w:val="single" w:sz="8" w:color="D64000"/>
            </w:tcBorders>
          </w:tcPr>
          <w:p>
            <w:pPr>
              <w:spacing w:after="0"/>
              <w:rPr>
                <w:sz w:val="3"/>
                <w:szCs w:val="3"/>
                <w:color w:val="auto"/>
              </w:rPr>
            </w:pPr>
          </w:p>
        </w:tc>
        <w:tc>
          <w:tcPr>
            <w:tcW w:w="2540" w:type="dxa"/>
            <w:vAlign w:val="bottom"/>
            <w:tcBorders>
              <w:bottom w:val="single" w:sz="8" w:color="D64000"/>
              <w:right w:val="single" w:sz="8" w:color="B2B2B2"/>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1200" w:type="dxa"/>
            <w:vAlign w:val="bottom"/>
            <w:tcBorders>
              <w:bottom w:val="single" w:sz="8" w:color="D64000"/>
              <w:right w:val="single" w:sz="8" w:color="B2B2B2"/>
            </w:tcBorders>
          </w:tcPr>
          <w:p>
            <w:pPr>
              <w:spacing w:after="0"/>
              <w:rPr>
                <w:sz w:val="3"/>
                <w:szCs w:val="3"/>
                <w:color w:val="auto"/>
              </w:rPr>
            </w:pPr>
          </w:p>
        </w:tc>
        <w:tc>
          <w:tcPr>
            <w:tcW w:w="600" w:type="dxa"/>
            <w:vAlign w:val="bottom"/>
            <w:tcBorders>
              <w:bottom w:val="single" w:sz="8" w:color="D64000"/>
            </w:tcBorders>
          </w:tcPr>
          <w:p>
            <w:pPr>
              <w:spacing w:after="0"/>
              <w:rPr>
                <w:sz w:val="3"/>
                <w:szCs w:val="3"/>
                <w:color w:val="auto"/>
              </w:rPr>
            </w:pPr>
          </w:p>
        </w:tc>
        <w:tc>
          <w:tcPr>
            <w:tcW w:w="66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18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1240" w:type="dxa"/>
            <w:vAlign w:val="bottom"/>
            <w:tcBorders>
              <w:bottom w:val="single" w:sz="8" w:color="D64000"/>
              <w:right w:val="single" w:sz="8" w:color="B2B2B2"/>
            </w:tcBorders>
          </w:tcPr>
          <w:p>
            <w:pPr>
              <w:spacing w:after="0"/>
              <w:rPr>
                <w:sz w:val="3"/>
                <w:szCs w:val="3"/>
                <w:color w:val="auto"/>
              </w:rPr>
            </w:pPr>
          </w:p>
        </w:tc>
        <w:tc>
          <w:tcPr>
            <w:tcW w:w="360" w:type="dxa"/>
            <w:vAlign w:val="bottom"/>
            <w:tcBorders>
              <w:bottom w:val="single" w:sz="8" w:color="D64000"/>
            </w:tcBorders>
          </w:tcPr>
          <w:p>
            <w:pPr>
              <w:spacing w:after="0"/>
              <w:rPr>
                <w:sz w:val="3"/>
                <w:szCs w:val="3"/>
                <w:color w:val="auto"/>
              </w:rPr>
            </w:pPr>
          </w:p>
        </w:tc>
        <w:tc>
          <w:tcPr>
            <w:tcW w:w="780" w:type="dxa"/>
            <w:vAlign w:val="bottom"/>
            <w:tcBorders>
              <w:bottom w:val="single" w:sz="8" w:color="D64000"/>
              <w:right w:val="single" w:sz="8" w:color="B2B2B2"/>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r>
      <w:tr>
        <w:trPr>
          <w:trHeight w:val="261"/>
        </w:trPr>
        <w:tc>
          <w:tcPr>
            <w:tcW w:w="256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  Total</w:t>
            </w:r>
          </w:p>
        </w:tc>
        <w:tc>
          <w:tcPr>
            <w:tcW w:w="3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1,570,000</w:t>
            </w:r>
          </w:p>
        </w:tc>
        <w:tc>
          <w:tcPr>
            <w:tcW w:w="600" w:type="dxa"/>
            <w:vAlign w:val="bottom"/>
          </w:tcPr>
          <w:p>
            <w:pPr>
              <w:ind w:lef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B2B2B2"/>
            </w:tcBorders>
          </w:tcPr>
          <w:p>
            <w:pPr>
              <w:ind w:left="340"/>
              <w:spacing w:after="0"/>
              <w:rPr>
                <w:sz w:val="20"/>
                <w:szCs w:val="20"/>
                <w:color w:val="auto"/>
              </w:rPr>
            </w:pPr>
            <w:r>
              <w:rPr>
                <w:rFonts w:ascii="Arial" w:cs="Arial" w:eastAsia="Arial" w:hAnsi="Arial"/>
                <w:sz w:val="16"/>
                <w:szCs w:val="16"/>
                <w:color w:val="auto"/>
              </w:rPr>
              <w:t>0</w:t>
            </w:r>
          </w:p>
        </w:tc>
        <w:tc>
          <w:tcPr>
            <w:tcW w:w="360" w:type="dxa"/>
            <w:vAlign w:val="bottom"/>
          </w:tcPr>
          <w:p>
            <w:pPr>
              <w:ind w:left="18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30,000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$ 1,500,000</w:t>
            </w:r>
          </w:p>
        </w:tc>
      </w:tr>
      <w:tr>
        <w:trPr>
          <w:trHeight w:val="27"/>
        </w:trPr>
        <w:tc>
          <w:tcPr>
            <w:tcW w:w="20" w:type="dxa"/>
            <w:vAlign w:val="bottom"/>
            <w:shd w:val="clear" w:color="auto" w:fill="D64000"/>
          </w:tcPr>
          <w:p>
            <w:pPr>
              <w:spacing w:after="0"/>
              <w:rPr>
                <w:sz w:val="2"/>
                <w:szCs w:val="2"/>
                <w:color w:val="auto"/>
              </w:rPr>
            </w:pPr>
          </w:p>
        </w:tc>
        <w:tc>
          <w:tcPr>
            <w:tcW w:w="2540" w:type="dxa"/>
            <w:vAlign w:val="bottom"/>
            <w:tcBorders>
              <w:right w:val="single" w:sz="8" w:color="D64000"/>
            </w:tcBorders>
            <w:shd w:val="clear" w:color="auto" w:fill="D64000"/>
          </w:tcPr>
          <w:p>
            <w:pPr>
              <w:spacing w:after="0"/>
              <w:rPr>
                <w:sz w:val="2"/>
                <w:szCs w:val="2"/>
                <w:color w:val="auto"/>
              </w:rPr>
            </w:pPr>
          </w:p>
        </w:tc>
        <w:tc>
          <w:tcPr>
            <w:tcW w:w="340" w:type="dxa"/>
            <w:vAlign w:val="bottom"/>
            <w:shd w:val="clear" w:color="auto" w:fill="D64000"/>
          </w:tcPr>
          <w:p>
            <w:pPr>
              <w:spacing w:after="0"/>
              <w:rPr>
                <w:sz w:val="2"/>
                <w:szCs w:val="2"/>
                <w:color w:val="auto"/>
              </w:rPr>
            </w:pPr>
          </w:p>
        </w:tc>
        <w:tc>
          <w:tcPr>
            <w:tcW w:w="1200" w:type="dxa"/>
            <w:vAlign w:val="bottom"/>
            <w:tcBorders>
              <w:right w:val="single" w:sz="8" w:color="D64000"/>
            </w:tcBorders>
            <w:shd w:val="clear" w:color="auto" w:fill="D64000"/>
          </w:tcPr>
          <w:p>
            <w:pPr>
              <w:spacing w:after="0"/>
              <w:rPr>
                <w:sz w:val="2"/>
                <w:szCs w:val="2"/>
                <w:color w:val="auto"/>
              </w:rPr>
            </w:pPr>
          </w:p>
        </w:tc>
        <w:tc>
          <w:tcPr>
            <w:tcW w:w="600" w:type="dxa"/>
            <w:vAlign w:val="bottom"/>
            <w:shd w:val="clear" w:color="auto" w:fill="D64000"/>
          </w:tcPr>
          <w:p>
            <w:pPr>
              <w:spacing w:after="0"/>
              <w:rPr>
                <w:sz w:val="2"/>
                <w:szCs w:val="2"/>
                <w:color w:val="auto"/>
              </w:rPr>
            </w:pPr>
          </w:p>
        </w:tc>
        <w:tc>
          <w:tcPr>
            <w:tcW w:w="660" w:type="dxa"/>
            <w:vAlign w:val="bottom"/>
            <w:tcBorders>
              <w:right w:val="single" w:sz="8" w:color="D64000"/>
            </w:tcBorders>
            <w:shd w:val="clear" w:color="auto" w:fill="D64000"/>
          </w:tcPr>
          <w:p>
            <w:pPr>
              <w:spacing w:after="0"/>
              <w:rPr>
                <w:sz w:val="2"/>
                <w:szCs w:val="2"/>
                <w:color w:val="auto"/>
              </w:rPr>
            </w:pPr>
          </w:p>
        </w:tc>
        <w:tc>
          <w:tcPr>
            <w:tcW w:w="360" w:type="dxa"/>
            <w:vAlign w:val="bottom"/>
            <w:shd w:val="clear" w:color="auto" w:fill="D64000"/>
          </w:tcPr>
          <w:p>
            <w:pPr>
              <w:spacing w:after="0"/>
              <w:rPr>
                <w:sz w:val="2"/>
                <w:szCs w:val="2"/>
                <w:color w:val="auto"/>
              </w:rPr>
            </w:pPr>
          </w:p>
        </w:tc>
        <w:tc>
          <w:tcPr>
            <w:tcW w:w="1180" w:type="dxa"/>
            <w:vAlign w:val="bottom"/>
            <w:tcBorders>
              <w:right w:val="single" w:sz="8" w:color="D64000"/>
            </w:tcBorders>
            <w:shd w:val="clear" w:color="auto" w:fill="D64000"/>
          </w:tcPr>
          <w:p>
            <w:pPr>
              <w:spacing w:after="0"/>
              <w:rPr>
                <w:sz w:val="2"/>
                <w:szCs w:val="2"/>
                <w:color w:val="auto"/>
              </w:rPr>
            </w:pPr>
          </w:p>
        </w:tc>
        <w:tc>
          <w:tcPr>
            <w:tcW w:w="360" w:type="dxa"/>
            <w:vAlign w:val="bottom"/>
            <w:shd w:val="clear" w:color="auto" w:fill="D64000"/>
          </w:tcPr>
          <w:p>
            <w:pPr>
              <w:spacing w:after="0"/>
              <w:rPr>
                <w:sz w:val="2"/>
                <w:szCs w:val="2"/>
                <w:color w:val="auto"/>
              </w:rPr>
            </w:pPr>
          </w:p>
        </w:tc>
        <w:tc>
          <w:tcPr>
            <w:tcW w:w="1240" w:type="dxa"/>
            <w:vAlign w:val="bottom"/>
            <w:tcBorders>
              <w:right w:val="single" w:sz="8" w:color="D64000"/>
            </w:tcBorders>
            <w:shd w:val="clear" w:color="auto" w:fill="D64000"/>
          </w:tcPr>
          <w:p>
            <w:pPr>
              <w:spacing w:after="0"/>
              <w:rPr>
                <w:sz w:val="2"/>
                <w:szCs w:val="2"/>
                <w:color w:val="auto"/>
              </w:rPr>
            </w:pPr>
          </w:p>
        </w:tc>
        <w:tc>
          <w:tcPr>
            <w:tcW w:w="360" w:type="dxa"/>
            <w:vAlign w:val="bottom"/>
            <w:shd w:val="clear" w:color="auto" w:fill="D64000"/>
          </w:tcPr>
          <w:p>
            <w:pPr>
              <w:spacing w:after="0"/>
              <w:rPr>
                <w:sz w:val="2"/>
                <w:szCs w:val="2"/>
                <w:color w:val="auto"/>
              </w:rPr>
            </w:pPr>
          </w:p>
        </w:tc>
        <w:tc>
          <w:tcPr>
            <w:tcW w:w="780" w:type="dxa"/>
            <w:vAlign w:val="bottom"/>
            <w:tcBorders>
              <w:right w:val="single" w:sz="8" w:color="D64000"/>
            </w:tcBorders>
            <w:shd w:val="clear" w:color="auto" w:fill="D64000"/>
          </w:tcPr>
          <w:p>
            <w:pPr>
              <w:spacing w:after="0"/>
              <w:rPr>
                <w:sz w:val="2"/>
                <w:szCs w:val="2"/>
                <w:color w:val="auto"/>
              </w:rPr>
            </w:pPr>
          </w:p>
        </w:tc>
        <w:tc>
          <w:tcPr>
            <w:tcW w:w="1280" w:type="dxa"/>
            <w:vAlign w:val="bottom"/>
            <w:shd w:val="clear" w:color="auto" w:fill="D64000"/>
          </w:tcPr>
          <w:p>
            <w:pPr>
              <w:spacing w:after="0"/>
              <w:rPr>
                <w:sz w:val="2"/>
                <w:szCs w:val="2"/>
                <w:color w:val="auto"/>
              </w:rPr>
            </w:pPr>
          </w:p>
        </w:tc>
      </w:tr>
    </w:tbl>
    <w:p>
      <w:pPr>
        <w:spacing w:after="0" w:line="108" w:lineRule="exact"/>
        <w:rPr>
          <w:sz w:val="20"/>
          <w:szCs w:val="20"/>
          <w:color w:val="auto"/>
        </w:rPr>
      </w:pPr>
    </w:p>
    <w:p>
      <w:pPr>
        <w:ind w:left="220" w:right="60" w:hanging="213"/>
        <w:spacing w:after="0" w:line="277" w:lineRule="auto"/>
        <w:tabs>
          <w:tab w:leader="none" w:pos="2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Payable upon a “double trigger” (involuntary termination not for poor performance or without Cause within two years following a Change of Control). Amounts reflected for all named executive officers relate to a Change of Control of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69297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4"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94</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4" w:right="499" w:bottom="1440" w:gutter="0" w:footer="0" w:header="0"/>
        </w:sectPr>
      </w:pPr>
    </w:p>
    <w:bookmarkStart w:id="104" w:name="page105"/>
    <w:bookmarkEnd w:id="104"/>
    <w:p>
      <w:pPr>
        <w:ind w:right="2240"/>
        <w:spacing w:after="0" w:line="286" w:lineRule="auto"/>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Indebtedness of Officers, Directors and Employees</w:t>
      </w:r>
    </w:p>
    <w:p>
      <w:pPr>
        <w:spacing w:after="0" w:line="24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As of April 13, 2026, none of our current or former executive officers or directors were indebted to our company or any of our subsidiaries. As of April 13, 2026, there was no indebtedness (other than “routine indebtedness” under applicable Canadian securities laws) of the current and former officers, directors and employees of our company and our subsidiaries owing to Thomson Reuters or any of our subsidiaries.</w:t>
      </w:r>
    </w:p>
    <w:p>
      <w:pPr>
        <w:spacing w:after="0" w:line="358" w:lineRule="exact"/>
        <w:rPr>
          <w:sz w:val="20"/>
          <w:szCs w:val="20"/>
          <w:color w:val="auto"/>
        </w:rPr>
      </w:pPr>
    </w:p>
    <w:p>
      <w:pPr>
        <w:ind w:right="2240"/>
        <w:spacing w:after="0" w:line="286" w:lineRule="auto"/>
        <w:rPr>
          <w:sz w:val="20"/>
          <w:szCs w:val="20"/>
          <w:color w:val="auto"/>
        </w:rPr>
      </w:pPr>
      <w:r>
        <w:rPr>
          <w:rFonts w:ascii="Arial" w:cs="Arial" w:eastAsia="Arial" w:hAnsi="Arial"/>
          <w:sz w:val="46"/>
          <w:szCs w:val="46"/>
          <w:b w:val="1"/>
          <w:bCs w:val="1"/>
          <w:color w:val="D64000"/>
        </w:rPr>
        <w:t>Directors’ and Officers’ Indemnification and Insurance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We provide indemnification to our directors to the extent permitted by applicable laws and regulations.</w:t>
      </w:r>
    </w:p>
    <w:p>
      <w:pPr>
        <w:spacing w:after="0" w:line="8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Business Corporations Act (Ontario)</w:t>
      </w:r>
      <w:r>
        <w:rPr>
          <w:rFonts w:ascii="Arial" w:cs="Arial" w:eastAsia="Arial" w:hAnsi="Arial"/>
          <w:sz w:val="17"/>
          <w:szCs w:val="17"/>
          <w:color w:val="auto"/>
        </w:rPr>
        <w:t xml:space="preserve"> (OBCA), our company may indemnify a present or former director or officer or another individual who acts or acted at our company’s request as a director or officer or an individual acting in a similar capacity of another entity, against costs, charges and expenses, including an amount paid to settle an action or satisfy a judgment, reasonably incurred by the individual in respect of any civil, criminal, administrative, investigative or other proceeding to which the individual is involved because of that association with our company or other entity, if the individual acted honestly and in good faith with a view to the best interests of our company or, as the case may be, to the best interests of the other entity for which the individual acted as a director or officer or in a similar capacity at our company’s request, and, in the case of a criminal or administrative action or proceeding that is enforced by a monetary penalty, such individual had reasonable grounds for believing that his or her conduct was lawful.</w:t>
      </w:r>
    </w:p>
    <w:p>
      <w:pPr>
        <w:spacing w:after="0" w:line="4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Pursuant to our organizational documents, we are required to indemnify the individuals referred to above and the heirs and legal representatives of such individuals to the extent permitted by the OBCA.</w:t>
      </w:r>
    </w:p>
    <w:p>
      <w:pPr>
        <w:spacing w:after="0" w:line="40"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We maintain, at our expense, a directors’ and officers’ liability insurance policy that provides protection for our directors and officers against liability incurred by them in their capacities as such. This policy provides for a limit of up to $225 million for each claim and $225 million in the aggregate (including defense costs) and there is no deductible for this coverage. The insurance applies in circumstances where we may not indemnify our directors and officers for their acts or omissions. Annual gross premiums paid by our company relating to directors’ and officers’ liability insurance are currently approximately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69297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95</w:t>
      </w:r>
    </w:p>
    <w:p>
      <w:pPr>
        <w:sectPr>
          <w:pgSz w:w="11900" w:h="16838" w:orient="portrait"/>
          <w:cols w:equalWidth="0" w:num="1">
            <w:col w:w="10920"/>
          </w:cols>
          <w:pgMar w:left="480" w:top="234" w:right="499" w:bottom="1440" w:gutter="0" w:footer="0" w:header="0"/>
        </w:sectPr>
      </w:pPr>
    </w:p>
    <w:bookmarkStart w:id="105" w:name="page106"/>
    <w:bookmarkEnd w:id="105"/>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Non-IFRS Financial Measures</w:t>
      </w:r>
    </w:p>
    <w:p>
      <w:pPr>
        <w:spacing w:after="0" w:line="10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This circular includes certain non-IFRS financial measures, which include ratios that incorporate one or more non-IFRS financial measures, such as adjusted EBITDA (other than at the customer segment level) and the related margin, adjusted EBITDA less accrued capital expenditures and the related margin, free cash flow, adjusted EPS, effective tax rate on adjusted earnings, accrued capital expenditures expressed as a percentage of revenues, selected measures excluding the impact of foreign currency, changes in revenues computed on an organic basis as well as all financial measures for the “Big 3” segments. In the “Compensation Discussion and Analysis” section of this circular, we explain why we use certain non-IFRS measures as part of our annual and long-term incentive awards. For reconciliations to the most directly comparable IFRS measure, please see Appendices A and B of the Management’s Discussion and Analysis (MD&amp;A) section of our 2025 annual report. Our 2025 annual MD&amp;A has been filed on SEDAR+ and EDGAR and applicable reconciliations and disclosures from our 2025 annual MD&amp;A are incorporated by reference in this circular. Additionally, when we use the terms “organic” and “organically”, we are referring to our changes in revenues of our existing businesses at constant currency excluding the impacts of acquisitions and dispositions. Non-IFRS financial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to Contact the Board</w:t>
      </w:r>
    </w:p>
    <w:p>
      <w:pPr>
        <w:spacing w:after="0" w:line="89"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 xml:space="preserve">Shareholders and other interested parties may contact the Board or its non-management or independent directors as a group, or the directors who preside over their meetings, by writing to them by e-mail at </w:t>
      </w:r>
      <w:r>
        <w:rPr>
          <w:rFonts w:ascii="Arial" w:cs="Arial" w:eastAsia="Arial" w:hAnsi="Arial"/>
          <w:sz w:val="17"/>
          <w:szCs w:val="17"/>
          <w:b w:val="1"/>
          <w:bCs w:val="1"/>
          <w:color w:val="auto"/>
        </w:rPr>
        <w:t>board@thomsonreuters.com</w:t>
      </w:r>
      <w:r>
        <w:rPr>
          <w:rFonts w:ascii="Arial" w:cs="Arial" w:eastAsia="Arial" w:hAnsi="Arial"/>
          <w:sz w:val="17"/>
          <w:szCs w:val="17"/>
          <w:color w:val="auto"/>
        </w:rPr>
        <w:t xml:space="preserve"> or by mail c/o Norie Campbell, Chief Legal Officer and Company Secretary, Thomson Reuters, 19 Duncan Street, Toronto, Ontario, M5H 3H1, Canada.</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2026 Annual Meeting – Questions from Shareholders</w:t>
      </w:r>
    </w:p>
    <w:p>
      <w:pPr>
        <w:spacing w:after="0" w:line="103"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 xml:space="preserve">At the annual meeting, shareholders in attendance will be provided with an opportunity to submit or ask questions to our Board, CEO, CFO and other members of senior management in attendance. If you are a shareholder who is viewing the meeting by webcast or is unable to attend this year’s meeting in person but have a question, you may e-mail your question to </w:t>
      </w:r>
      <w:r>
        <w:rPr>
          <w:rFonts w:ascii="Arial" w:cs="Arial" w:eastAsia="Arial" w:hAnsi="Arial"/>
          <w:sz w:val="16"/>
          <w:szCs w:val="16"/>
          <w:b w:val="1"/>
          <w:bCs w:val="1"/>
          <w:color w:val="auto"/>
        </w:rPr>
        <w:t>investor.relations@thomsonreuters.com</w:t>
      </w:r>
      <w:r>
        <w:rPr>
          <w:rFonts w:ascii="Arial" w:cs="Arial" w:eastAsia="Arial" w:hAnsi="Arial"/>
          <w:sz w:val="16"/>
          <w:szCs w:val="16"/>
          <w:color w:val="auto"/>
        </w:rPr>
        <w:t xml:space="preserve"> prior to the meeting.</w:t>
      </w:r>
    </w:p>
    <w:p>
      <w:pPr>
        <w:spacing w:after="0" w:line="2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While we will seek to respond to as many shareholder questions as possible at the meeting, we cannot assure you that all questions will be able to be addressed at the meeting. If we are unable to address your question at the meeting, we will separately provide a response to you.</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Where to find Corporate Governance and Continuous Disclosure Documents</w:t>
      </w:r>
    </w:p>
    <w:p>
      <w:pPr>
        <w:spacing w:after="0" w:line="89"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 xml:space="preserve">Our Code of Business Conduct and Ethics, Corporate Governance Guidelines and charters for the Audit Committee, Corporate Governance Committee, HR Committee and Risk Committee and position descriptions for the Chairman, Lead Independent Director, CEO and the Chair of each committee are available in print free of charge to any shareholder who requests a copy in writing to: Thomson Reuters, Attention: Investor Relations Department, 3 Times Square, New York, New York 10036, United States or by an e-mail request sent to </w:t>
      </w:r>
      <w:r>
        <w:rPr>
          <w:rFonts w:ascii="Arial" w:cs="Arial" w:eastAsia="Arial" w:hAnsi="Arial"/>
          <w:sz w:val="17"/>
          <w:szCs w:val="17"/>
          <w:b w:val="1"/>
          <w:bCs w:val="1"/>
          <w:color w:val="auto"/>
        </w:rPr>
        <w:t>investor.relations@thomsonreuters.com</w:t>
      </w:r>
      <w:r>
        <w:rPr>
          <w:rFonts w:ascii="Arial" w:cs="Arial" w:eastAsia="Arial" w:hAnsi="Arial"/>
          <w:sz w:val="17"/>
          <w:szCs w:val="17"/>
          <w:color w:val="auto"/>
        </w:rPr>
        <w:t>. These documents are also available on our website,</w:t>
      </w:r>
      <w:r>
        <w:rPr>
          <w:rFonts w:ascii="Arial" w:cs="Arial" w:eastAsia="Arial" w:hAnsi="Arial"/>
          <w:sz w:val="17"/>
          <w:szCs w:val="17"/>
          <w:b w:val="1"/>
          <w:bCs w:val="1"/>
          <w:color w:val="auto"/>
        </w:rPr>
        <w:t xml:space="preserve"> www.thomsonreuters.com.</w:t>
      </w:r>
    </w:p>
    <w:p>
      <w:pPr>
        <w:spacing w:after="0" w:line="5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 xml:space="preserve">Financial information about our company is provided in our consolidated financial statements and MD&amp;A. You can obtain copies of these financial statements and MD&amp;A by contacting our Investor Relations department by mail or e-mail as indicated in the paragraph immediately above. You can also find these financial statements and MD&amp;A on our website, </w:t>
      </w:r>
      <w:r>
        <w:rPr>
          <w:rFonts w:ascii="Arial" w:cs="Arial" w:eastAsia="Arial" w:hAnsi="Arial"/>
          <w:sz w:val="17"/>
          <w:szCs w:val="17"/>
          <w:b w:val="1"/>
          <w:bCs w:val="1"/>
          <w:color w:val="auto"/>
        </w:rPr>
        <w:t>www.thomsonreuters.com</w:t>
      </w:r>
      <w:r>
        <w:rPr>
          <w:rFonts w:ascii="Arial" w:cs="Arial" w:eastAsia="Arial" w:hAnsi="Arial"/>
          <w:sz w:val="17"/>
          <w:szCs w:val="17"/>
          <w:color w:val="auto"/>
        </w:rPr>
        <w:t>. Additional information regarding our Audit Committee that is required to be disclosed pursuant to Canadian Securities Administrators Multilateral Instrument Form 52-110F1 is included in our 2025 annual report.</w:t>
      </w:r>
    </w:p>
    <w:p>
      <w:pPr>
        <w:spacing w:after="0" w:line="6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 xml:space="preserve">You may access other information about our company, including our continuous disclosure materials, reports, statements and other information that we file with the Canadian securities regulatory authorities through SEDAR+ at </w:t>
      </w:r>
      <w:r>
        <w:rPr>
          <w:rFonts w:ascii="Arial" w:cs="Arial" w:eastAsia="Arial" w:hAnsi="Arial"/>
          <w:sz w:val="17"/>
          <w:szCs w:val="17"/>
          <w:b w:val="1"/>
          <w:bCs w:val="1"/>
          <w:color w:val="auto"/>
        </w:rPr>
        <w:t>www.sedarplus.ca</w:t>
      </w:r>
      <w:r>
        <w:rPr>
          <w:rFonts w:ascii="Arial" w:cs="Arial" w:eastAsia="Arial" w:hAnsi="Arial"/>
          <w:sz w:val="17"/>
          <w:szCs w:val="17"/>
          <w:color w:val="auto"/>
        </w:rPr>
        <w:t xml:space="preserve"> and in the United States with the SEC through EDGAR at </w:t>
      </w:r>
      <w:r>
        <w:rPr>
          <w:rFonts w:ascii="Arial" w:cs="Arial" w:eastAsia="Arial" w:hAnsi="Arial"/>
          <w:sz w:val="17"/>
          <w:szCs w:val="17"/>
          <w:b w:val="1"/>
          <w:bCs w:val="1"/>
          <w:color w:val="auto"/>
        </w:rPr>
        <w:t>www.sec.gov</w:t>
      </w:r>
      <w:r>
        <w:rPr>
          <w:rFonts w:ascii="Arial" w:cs="Arial" w:eastAsia="Arial" w:hAnsi="Arial"/>
          <w:sz w:val="17"/>
          <w:szCs w:val="17"/>
          <w:color w:val="auto"/>
        </w:rPr>
        <w:t>. A copy of our Corporate Governance Guidelines has been filed on SEDAR+ and EDGAR and is incorporated by reference in this circular.</w:t>
      </w:r>
    </w:p>
    <w:p>
      <w:pPr>
        <w:spacing w:after="0" w:line="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Under Rule 5615(a)(3) of the Nasdaq listing rules, we are required to disclose any home country practices we follow as a foreign private issuer in lieu of certain Nasdaq corporate governance requirements. Pursuant to Nasdaq Rule 5615(a)(3), Thomson Reuters follows home country practices in lieu of two Nasdaq listing rules. Nasdaq Rule 5635 requires shareholder approval of all “equity compensation plans” and material revisions to these types of plans (with limited exceptions) as well as certain other corporate transactions, including issuances of greater than 20% of our common shares. TSX rules require shareholder approval of security-based compensation arrangements only for plans which involve newly issued shares or specified amendments to the plans, and the threshold for shareholder approval of common share issuances is 25% of outstanding common shares. Similar to a number of other Canadian issuers, our company intends to follow the TSX rules in lieu of the shareholder approval requirements of Nasdaq Rule 5635.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69297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96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106" w:name="page107"/>
    <w:bookmarkEnd w:id="106"/>
    <w:p>
      <w:pPr>
        <w:ind w:right="80"/>
        <w:spacing w:after="0" w:line="23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Further, Nasdaq Rule 5620(c) requires that the minimum quorum for a shareholder meeting shall be 33-1/3% of the outstanding common shares, whereas Thomson Reuters’ by-laws provide that a quorum for a shareholder meeting shall either be: (a) two persons present and each are entitled to vote or (b) the holder of the Thomson Reuters Founders Share. However, if the shareholder meeting includes the consideration of any resolution on which the holder of the Founders Share is entitled to vote, a quorum shall not be present for any purpose unless the holder of the Founders Share is present. Thomson Reuters’ quorum requirements comply with the Business Corporations Act (Ontario), and the TSX rules do not contain specific quorum requirements. Over the last five years, at least 90% of our shares have been represented at the annual general meeting.</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Thomson Reuters Trust Principles and Thomson Reuters Founders Share Company</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have issued a Founders Share to the Thomson Reuters Founders Share Company which enables it to exercise extraordinary voting power to safeguard the Thomson Reuters Trust Principles.</w:t>
      </w:r>
    </w:p>
    <w:p>
      <w:pPr>
        <w:spacing w:after="0" w:line="26"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directors of the Thomson Reuters Founders Share Company are experienced and eminent people from the world of politics, diplomacy, media, public service and business. They generally have all held high offices in their respective sectors. The directors are selected by a nomination committee and proposed to the board of the Thomson Reuters Founders Share Company to be considered for appointment. The nomination committee assists in scrutinizing candidates’ suitability and its members include two persons appointed by the chairman after consultation with the European Court of Human Rights (ECHR). These have historically been judges of the ECHR. Our Board currently has one representative on the nomination committee. In addition to the chairman and deputy chairman of the Thomson Reuters Founders Share Company, who are also members of the nomination committee, the chairman of the Thomson Reuters Founders Share Company appoints three other directors of the Thomson Reuters Founders Share Company to the nomination committee. Other members are representatives of press associations from the United Kingdom and Australia. The chairman of the Thomson Reuters Founders Share Company acts as chairman of the nomination committee.</w:t>
      </w:r>
    </w:p>
    <w:p>
      <w:pPr>
        <w:spacing w:after="0" w:line="60"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Under a Thomson Reuters Trust Principles Support Agreement, Woodbridge has agreed to support the Thomson Reuters Trust Principles and to exercise its voting rights to give effect to this support. Thomson Reuters Founders Share Company, Thomson Reuters and Reuters are also party to an Amended and Restated Reuters Support Agreement governing the relationship between them.</w:t>
      </w:r>
    </w:p>
    <w:p>
      <w:pPr>
        <w:spacing w:after="0" w:line="54" w:lineRule="exact"/>
        <w:rPr>
          <w:sz w:val="20"/>
          <w:szCs w:val="20"/>
          <w:color w:val="auto"/>
        </w:rPr>
      </w:pPr>
    </w:p>
    <w:p>
      <w:pPr>
        <w:ind w:right="520"/>
        <w:spacing w:after="0" w:line="246" w:lineRule="auto"/>
        <w:rPr>
          <w:sz w:val="20"/>
          <w:szCs w:val="20"/>
          <w:color w:val="auto"/>
        </w:rPr>
      </w:pPr>
      <w:r>
        <w:rPr>
          <w:rFonts w:ascii="Arial" w:cs="Arial" w:eastAsia="Arial" w:hAnsi="Arial"/>
          <w:sz w:val="17"/>
          <w:szCs w:val="17"/>
          <w:color w:val="auto"/>
        </w:rPr>
        <w:t>For additional information about the Thomson Reuters Founders Share Company, its directors, the Thomson Reuters Trust Principles, the Founders Share that our company has issued to the Thomson Reuters Founders Share Company and the Amended and Restated Reuters Support Agreement, please see our 2025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Additional Director Information</w:t>
      </w:r>
    </w:p>
    <w:p>
      <w:pPr>
        <w:spacing w:after="0" w:line="89"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Steve Hasker, our President and Chief Executive Officer and a director of our company, was a director of Global Eagle Entertainment Inc. until May 2020. In July 2020, Global Eagle Entertainment Inc. commenced voluntary proceedings under Chapter 11 of the United States Bankruptcy Code.</w:t>
      </w:r>
    </w:p>
    <w:p>
      <w:pPr>
        <w:spacing w:after="0" w:line="54" w:lineRule="exact"/>
        <w:rPr>
          <w:sz w:val="20"/>
          <w:szCs w:val="20"/>
          <w:color w:val="auto"/>
        </w:rPr>
      </w:pPr>
    </w:p>
    <w:p>
      <w:pPr>
        <w:ind w:right="960"/>
        <w:spacing w:after="0" w:line="263" w:lineRule="auto"/>
        <w:rPr>
          <w:sz w:val="20"/>
          <w:szCs w:val="20"/>
          <w:color w:val="auto"/>
        </w:rPr>
      </w:pPr>
      <w:r>
        <w:rPr>
          <w:rFonts w:ascii="Arial" w:cs="Arial" w:eastAsia="Arial" w:hAnsi="Arial"/>
          <w:sz w:val="17"/>
          <w:szCs w:val="17"/>
          <w:color w:val="auto"/>
        </w:rPr>
        <w:t>Kim Rivera, a director of our company, was a director of Cano Health, Inc. In February 2024, Cano Health, Inc. commenced voluntary proceedings under Chapter 11 of the United States Bankruptcy Code.</w:t>
      </w:r>
    </w:p>
    <w:p>
      <w:pPr>
        <w:spacing w:after="0" w:line="40"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Michael Friisdahl, a director of our company, was a director of SAS AB. In July 2022, SAS AB commenced voluntary proceedings under Chapter 11 of the United States Bankruptcy Code.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 Repurchases – Normal Course Issuer Bid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We buy back shares (and subsequently cancel them) from time to time as part of our capital strategy. Share repurchases are</w:t>
      </w:r>
    </w:p>
    <w:p>
      <w:pPr>
        <w:spacing w:after="0" w:line="8"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typically executed under a normal course issuer bid program, which is approved by the TSX. Our current normal course issuer program allows us to repurchase up to 16 million common shares between August 19, 2025 and August 18, 2026, at prevailing market prices in amounts and at times determined by our company. The normal course issuer bid permits us to repurchase shares through the TSX or the Nasdaq and/or other exchanges and alternative trading systems, if eligible, or by such other means as were permitted by the TSX and/or Nasdaq or under applicable law by a registered investment dealer (or an affiliate of the dealer), including private agreement purchases if we had received an issuer bid exemption order from applicable securities regulatory authorities in Canada for such purchases.</w:t>
      </w:r>
    </w:p>
    <w:p>
      <w:pPr>
        <w:spacing w:after="0" w:line="6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 xml:space="preserve">In February 2026, we announced a program to repurchase up to US$600 million of our common shares. This new buyback program is in addition to the $1.0 billion repurchase program we completed in October 2025. In 2025, we repurchased a total of 6.0 million common shares at an average price per common share of $166.05 under our normal course issuer bid program. Please see our 2025 annual report for additional information regarding our share repurchases and normal course issuer bid. A copy of the notices of intention related to the normal course issuer bid are available at </w:t>
      </w:r>
      <w:r>
        <w:rPr>
          <w:rFonts w:ascii="Arial" w:cs="Arial" w:eastAsia="Arial" w:hAnsi="Arial"/>
          <w:sz w:val="17"/>
          <w:szCs w:val="17"/>
          <w:b w:val="1"/>
          <w:bCs w:val="1"/>
          <w:color w:val="auto"/>
        </w:rPr>
        <w:t>www.sedarplus.ca and www.sec.gov</w:t>
      </w:r>
      <w:r>
        <w:rPr>
          <w:rFonts w:ascii="Arial" w:cs="Arial" w:eastAsia="Arial" w:hAnsi="Arial"/>
          <w:sz w:val="17"/>
          <w:szCs w:val="17"/>
          <w:color w:val="auto"/>
        </w:rPr>
        <w:t xml:space="preserve"> and may also be obtained without charge from our Investor Relations Department at the address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69297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spacing w:after="0"/>
        <w:tabs>
          <w:tab w:leader="none" w:pos="1028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97</w:t>
      </w:r>
    </w:p>
    <w:p>
      <w:pPr>
        <w:sectPr>
          <w:pgSz w:w="11900" w:h="16838" w:orient="portrait"/>
          <w:cols w:equalWidth="0" w:num="1">
            <w:col w:w="10920"/>
          </w:cols>
          <w:pgMar w:left="480" w:top="264" w:right="499" w:bottom="1440" w:gutter="0" w:footer="0" w:header="0"/>
        </w:sectPr>
      </w:pPr>
    </w:p>
    <w:bookmarkStart w:id="107" w:name="page108"/>
    <w:bookmarkEnd w:id="107"/>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Directors’ Approval</w:t>
      </w:r>
    </w:p>
    <w:p>
      <w:pPr>
        <w:spacing w:after="0" w:line="200" w:lineRule="exact"/>
        <w:rPr>
          <w:sz w:val="20"/>
          <w:szCs w:val="20"/>
          <w:color w:val="auto"/>
        </w:rPr>
      </w:pPr>
    </w:p>
    <w:p>
      <w:pPr>
        <w:spacing w:after="0" w:line="251" w:lineRule="exact"/>
        <w:rPr>
          <w:sz w:val="20"/>
          <w:szCs w:val="20"/>
          <w:color w:val="auto"/>
        </w:rPr>
      </w:pPr>
    </w:p>
    <w:p>
      <w:pPr>
        <w:ind w:right="820"/>
        <w:spacing w:after="0" w:line="263" w:lineRule="auto"/>
        <w:rPr>
          <w:sz w:val="20"/>
          <w:szCs w:val="20"/>
          <w:color w:val="auto"/>
        </w:rPr>
      </w:pPr>
      <w:r>
        <w:rPr>
          <w:rFonts w:ascii="Arial" w:cs="Arial" w:eastAsia="Arial" w:hAnsi="Arial"/>
          <w:sz w:val="17"/>
          <w:szCs w:val="17"/>
          <w:color w:val="auto"/>
        </w:rPr>
        <w:t>The Board of Directors of Thomson Reuters Corporation has approved the contents of this circular and the mailing of the circular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294005</wp:posOffset>
            </wp:positionV>
            <wp:extent cx="1630680" cy="4248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3068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Norie Campbell</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Chief Legal Officer &amp; Company Secretary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98</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34" w:right="499" w:bottom="1440" w:gutter="0" w:footer="0" w:header="0"/>
        </w:sectPr>
      </w:pPr>
    </w:p>
    <w:bookmarkStart w:id="108" w:name="page109"/>
    <w:bookmarkEnd w:id="108"/>
    <w:p>
      <w:pPr>
        <w:ind w:right="740"/>
        <w:spacing w:after="0" w:line="286" w:lineRule="auto"/>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A – Equity Compensation and Other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6929755" cy="2209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Stock Incentive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spacing w:after="0"/>
              <w:rPr>
                <w:sz w:val="20"/>
                <w:szCs w:val="20"/>
                <w:color w:val="auto"/>
              </w:rPr>
            </w:pPr>
            <w:r>
              <w:rPr>
                <w:rFonts w:ascii="Arial" w:cs="Arial" w:eastAsia="Arial" w:hAnsi="Arial"/>
                <w:sz w:val="16"/>
                <w:szCs w:val="16"/>
                <w:b w:val="1"/>
                <w:bCs w:val="1"/>
                <w:color w:val="auto"/>
              </w:rPr>
              <w:t>  Eligibility</w:t>
            </w: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Any employee or officer of Thomson Reuters (as may be determined by the HR Committee).</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Directors who are not employees or officers of our company are not eligible to participate in the</w:t>
            </w:r>
          </w:p>
        </w:tc>
      </w:tr>
      <w:tr>
        <w:trPr>
          <w:trHeight w:val="201"/>
        </w:trPr>
        <w:tc>
          <w:tcPr>
            <w:tcW w:w="4000" w:type="dxa"/>
            <w:vAlign w:val="bottom"/>
            <w:tcBorders>
              <w:bottom w:val="single" w:sz="8" w:color="B2B2B2"/>
            </w:tcBorders>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plan.</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  Purpose</w:t>
            </w: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Provide an additional incentive to participants, encourage stock ownership by them and thereby</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increase their proprietary interest in our company’s success and their desire to remain with</w:t>
            </w:r>
          </w:p>
        </w:tc>
      </w:tr>
      <w:tr>
        <w:trPr>
          <w:trHeight w:val="201"/>
        </w:trPr>
        <w:tc>
          <w:tcPr>
            <w:tcW w:w="4000" w:type="dxa"/>
            <w:vAlign w:val="bottom"/>
            <w:tcBorders>
              <w:bottom w:val="single" w:sz="8" w:color="B2B2B2"/>
            </w:tcBorders>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Thomson Reuters.</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  Maximum number of shares issuable</w:t>
            </w: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69,150,969 shares, representing approximately 15.54% of our total issued and outstanding</w:t>
            </w:r>
          </w:p>
        </w:tc>
      </w:tr>
      <w:tr>
        <w:trPr>
          <w:trHeight w:val="201"/>
        </w:trPr>
        <w:tc>
          <w:tcPr>
            <w:tcW w:w="4000" w:type="dxa"/>
            <w:vAlign w:val="bottom"/>
            <w:tcBorders>
              <w:bottom w:val="single" w:sz="8" w:color="B2B2B2"/>
            </w:tcBorders>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shares as of year end.</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  Shares and awards issued in 2025</w:t>
            </w: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In 2025, we issued approximately 0.8 million shares under the plan, which represented</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approximately 0.19% of our total issued and outstanding shares as of year-end. Total awards</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granted in 2025 represented approximately 0.22% of our total issued and outstanding shares as</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of year-end. Of this amount, options granted in 2025 represented approximately 0.04% and</w:t>
            </w:r>
          </w:p>
        </w:tc>
      </w:tr>
      <w:tr>
        <w:trPr>
          <w:trHeight w:val="201"/>
        </w:trPr>
        <w:tc>
          <w:tcPr>
            <w:tcW w:w="4000" w:type="dxa"/>
            <w:vAlign w:val="bottom"/>
            <w:tcBorders>
              <w:bottom w:val="single" w:sz="8" w:color="B2B2B2"/>
            </w:tcBorders>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RSUs granted in 2025 represented approximately 0.18%.</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  Other limits</w:t>
            </w: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Shares may consist, in whole or in part, of common shares issued from treasury or purchased</w:t>
            </w:r>
          </w:p>
        </w:tc>
      </w:tr>
      <w:tr>
        <w:trPr>
          <w:trHeight w:val="201"/>
        </w:trPr>
        <w:tc>
          <w:tcPr>
            <w:tcW w:w="4000" w:type="dxa"/>
            <w:vAlign w:val="bottom"/>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on the open market or any combination thereof.</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The maximum number of shares that may be issued in respect of RSU awards granted after</w:t>
            </w:r>
          </w:p>
        </w:tc>
      </w:tr>
      <w:tr>
        <w:trPr>
          <w:trHeight w:val="201"/>
        </w:trPr>
        <w:tc>
          <w:tcPr>
            <w:tcW w:w="4000" w:type="dxa"/>
            <w:vAlign w:val="bottom"/>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December 31, 2016 will not exceed 13,503,378 shares.</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The maximum number of shares that may be issued under plan awards held by any one person</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under the plan must not exceed 5% of our outstanding common shares determined on a</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non-diluted basis. The maximum number of shares for which plan awards may be granted and</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which may be otherwise awarded under the plan to any individual during any one-year period is</w:t>
            </w:r>
          </w:p>
        </w:tc>
      </w:tr>
      <w:tr>
        <w:trPr>
          <w:trHeight w:val="201"/>
        </w:trPr>
        <w:tc>
          <w:tcPr>
            <w:tcW w:w="4000" w:type="dxa"/>
            <w:vAlign w:val="bottom"/>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5,000,000.</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The number of shares issued to “insiders” and their “associates” within any one-year period</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under the plan and any other security based compensation arrangement of Thomson Reuters</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cannot exceed 5% of the aggregate number of our issued and outstanding shares on a</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non-diluted basis. The maximum number of shares issuable to “insiders”, at any time, under the</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plan and any other share based compensation arrangement of Thomson Reuters cannot</w:t>
            </w: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exceed 10% of the aggregate number of our issued and outstanding shares on a non-diluted</w:t>
            </w:r>
          </w:p>
        </w:tc>
      </w:tr>
      <w:tr>
        <w:trPr>
          <w:trHeight w:val="201"/>
        </w:trPr>
        <w:tc>
          <w:tcPr>
            <w:tcW w:w="4000" w:type="dxa"/>
            <w:vAlign w:val="bottom"/>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basis.</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The maximum number of shares that may be issued through incentive stock options (ISOs)</w:t>
            </w:r>
          </w:p>
        </w:tc>
      </w:tr>
      <w:tr>
        <w:trPr>
          <w:trHeight w:val="201"/>
        </w:trPr>
        <w:tc>
          <w:tcPr>
            <w:tcW w:w="4000" w:type="dxa"/>
            <w:vAlign w:val="bottom"/>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under the plan is 5,000,000. We may not issue ISOs under the plan at this time.</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Shares subject to awards which are cancelled, expired, forfeited or terminated without having</w:t>
            </w:r>
          </w:p>
        </w:tc>
      </w:tr>
      <w:tr>
        <w:trPr>
          <w:trHeight w:val="201"/>
        </w:trPr>
        <w:tc>
          <w:tcPr>
            <w:tcW w:w="4000" w:type="dxa"/>
            <w:vAlign w:val="bottom"/>
            <w:tcBorders>
              <w:bottom w:val="single" w:sz="8" w:color="B2B2B2"/>
            </w:tcBorders>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been exercised are available for new awards under the stock incentive plan.</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  Types of awards that may be issued</w:t>
            </w: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Stock options, stock appreciation rights (SARs), awards of RSUs and other awards of shares</w:t>
            </w:r>
          </w:p>
        </w:tc>
      </w:tr>
      <w:tr>
        <w:trPr>
          <w:trHeight w:val="187"/>
        </w:trPr>
        <w:tc>
          <w:tcPr>
            <w:tcW w:w="4000" w:type="dxa"/>
            <w:vAlign w:val="bottom"/>
          </w:tcPr>
          <w:p>
            <w:pPr>
              <w:spacing w:after="0"/>
              <w:rPr>
                <w:sz w:val="16"/>
                <w:szCs w:val="16"/>
                <w:color w:val="auto"/>
              </w:rPr>
            </w:pPr>
          </w:p>
        </w:tc>
        <w:tc>
          <w:tcPr>
            <w:tcW w:w="6220" w:type="dxa"/>
            <w:vAlign w:val="bottom"/>
          </w:tcPr>
          <w:p>
            <w:pPr>
              <w:ind w:left="120"/>
              <w:spacing w:after="0"/>
              <w:rPr>
                <w:sz w:val="20"/>
                <w:szCs w:val="20"/>
                <w:color w:val="auto"/>
              </w:rPr>
            </w:pPr>
            <w:r>
              <w:rPr>
                <w:rFonts w:ascii="Arial" w:cs="Arial" w:eastAsia="Arial" w:hAnsi="Arial"/>
                <w:sz w:val="16"/>
                <w:szCs w:val="16"/>
                <w:color w:val="auto"/>
              </w:rPr>
              <w:t>based on the value of shares. Through the date of this circular, we have only issued</w:t>
            </w:r>
          </w:p>
        </w:tc>
        <w:tc>
          <w:tcPr>
            <w:tcW w:w="700" w:type="dxa"/>
            <w:vAlign w:val="bottom"/>
          </w:tcPr>
          <w:p>
            <w:pPr>
              <w:spacing w:after="0"/>
              <w:rPr>
                <w:sz w:val="16"/>
                <w:szCs w:val="16"/>
                <w:color w:val="auto"/>
              </w:rPr>
            </w:pPr>
          </w:p>
        </w:tc>
      </w:tr>
      <w:tr>
        <w:trPr>
          <w:trHeight w:val="187"/>
        </w:trPr>
        <w:tc>
          <w:tcPr>
            <w:tcW w:w="4000" w:type="dxa"/>
            <w:vAlign w:val="bottom"/>
          </w:tcPr>
          <w:p>
            <w:pPr>
              <w:spacing w:after="0"/>
              <w:rPr>
                <w:sz w:val="16"/>
                <w:szCs w:val="16"/>
                <w:color w:val="auto"/>
              </w:rPr>
            </w:pP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non-qualified stock options and RSUs under this plan. We issue SARs under our separate</w:t>
            </w:r>
          </w:p>
        </w:tc>
      </w:tr>
      <w:tr>
        <w:trPr>
          <w:trHeight w:val="201"/>
        </w:trPr>
        <w:tc>
          <w:tcPr>
            <w:tcW w:w="4000" w:type="dxa"/>
            <w:vAlign w:val="bottom"/>
            <w:tcBorders>
              <w:bottom w:val="single" w:sz="8" w:color="B2B2B2"/>
            </w:tcBorders>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phantom stock plan.</w:t>
            </w:r>
          </w:p>
        </w:tc>
        <w:tc>
          <w:tcPr>
            <w:tcW w:w="700" w:type="dxa"/>
            <w:vAlign w:val="bottom"/>
            <w:tcBorders>
              <w:bottom w:val="single" w:sz="8" w:color="B2B2B2"/>
            </w:tcBorders>
          </w:tcPr>
          <w:p>
            <w:pPr>
              <w:spacing w:after="0"/>
              <w:rPr>
                <w:sz w:val="17"/>
                <w:szCs w:val="17"/>
                <w:color w:val="auto"/>
              </w:rPr>
            </w:pPr>
          </w:p>
        </w:tc>
      </w:tr>
      <w:tr>
        <w:trPr>
          <w:trHeight w:val="234"/>
        </w:trPr>
        <w:tc>
          <w:tcPr>
            <w:tcW w:w="40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Maximum option term</w:t>
            </w: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10-year expiration date from the date of grant.</w:t>
            </w:r>
          </w:p>
        </w:tc>
        <w:tc>
          <w:tcPr>
            <w:tcW w:w="700" w:type="dxa"/>
            <w:vAlign w:val="bottom"/>
            <w:tcBorders>
              <w:bottom w:val="single" w:sz="8" w:color="B2B2B2"/>
            </w:tcBorders>
          </w:tcPr>
          <w:p>
            <w:pPr>
              <w:spacing w:after="0"/>
              <w:rPr>
                <w:sz w:val="20"/>
                <w:szCs w:val="20"/>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  Exercise price of options</w:t>
            </w:r>
          </w:p>
        </w:tc>
        <w:tc>
          <w:tcPr>
            <w:tcW w:w="6220" w:type="dxa"/>
            <w:vAlign w:val="bottom"/>
          </w:tcPr>
          <w:p>
            <w:pPr>
              <w:ind w:left="120"/>
              <w:spacing w:after="0"/>
              <w:rPr>
                <w:sz w:val="20"/>
                <w:szCs w:val="20"/>
                <w:color w:val="auto"/>
              </w:rPr>
            </w:pPr>
            <w:r>
              <w:rPr>
                <w:rFonts w:ascii="Arial" w:cs="Arial" w:eastAsia="Arial" w:hAnsi="Arial"/>
                <w:sz w:val="16"/>
                <w:szCs w:val="16"/>
                <w:color w:val="auto"/>
              </w:rPr>
              <w:t>Equal to the closing price of our shares on the Nasdaq on the trading day immediately</w:t>
            </w:r>
          </w:p>
        </w:tc>
        <w:tc>
          <w:tcPr>
            <w:tcW w:w="700" w:type="dxa"/>
            <w:vAlign w:val="bottom"/>
          </w:tcPr>
          <w:p>
            <w:pPr>
              <w:spacing w:after="0"/>
              <w:rPr>
                <w:sz w:val="19"/>
                <w:szCs w:val="19"/>
                <w:color w:val="auto"/>
              </w:rPr>
            </w:pPr>
          </w:p>
        </w:tc>
      </w:tr>
      <w:tr>
        <w:trPr>
          <w:trHeight w:val="201"/>
        </w:trPr>
        <w:tc>
          <w:tcPr>
            <w:tcW w:w="4000" w:type="dxa"/>
            <w:vAlign w:val="bottom"/>
            <w:tcBorders>
              <w:bottom w:val="single" w:sz="8" w:color="B2B2B2"/>
            </w:tcBorders>
          </w:tcPr>
          <w:p>
            <w:pPr>
              <w:spacing w:after="0"/>
              <w:rPr>
                <w:sz w:val="17"/>
                <w:szCs w:val="17"/>
                <w:color w:val="auto"/>
              </w:rPr>
            </w:pPr>
          </w:p>
        </w:tc>
        <w:tc>
          <w:tcPr>
            <w:tcW w:w="62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preceding the date of the grant.</w:t>
            </w:r>
          </w:p>
        </w:tc>
        <w:tc>
          <w:tcPr>
            <w:tcW w:w="70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b w:val="1"/>
                <w:bCs w:val="1"/>
                <w:color w:val="auto"/>
              </w:rPr>
              <w:t>  Vesting and exercise of options</w:t>
            </w:r>
          </w:p>
        </w:tc>
        <w:tc>
          <w:tcPr>
            <w:tcW w:w="6920" w:type="dxa"/>
            <w:vAlign w:val="bottom"/>
            <w:gridSpan w:val="2"/>
          </w:tcPr>
          <w:p>
            <w:pPr>
              <w:ind w:left="120"/>
              <w:spacing w:after="0"/>
              <w:rPr>
                <w:sz w:val="20"/>
                <w:szCs w:val="20"/>
                <w:color w:val="auto"/>
              </w:rPr>
            </w:pPr>
            <w:r>
              <w:rPr>
                <w:rFonts w:ascii="Arial" w:cs="Arial" w:eastAsia="Arial" w:hAnsi="Arial"/>
                <w:sz w:val="16"/>
                <w:szCs w:val="16"/>
                <w:color w:val="auto"/>
              </w:rPr>
              <w:t>Stock options must be vested before they can be exercised. Options vest 25% each year over a</w:t>
            </w:r>
          </w:p>
        </w:tc>
      </w:tr>
      <w:tr>
        <w:trPr>
          <w:trHeight w:val="211"/>
        </w:trPr>
        <w:tc>
          <w:tcPr>
            <w:tcW w:w="400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6"/>
                <w:szCs w:val="16"/>
                <w:color w:val="auto"/>
              </w:rPr>
              <w:t>four year period.</w:t>
            </w:r>
          </w:p>
        </w:tc>
        <w:tc>
          <w:tcPr>
            <w:tcW w:w="700" w:type="dxa"/>
            <w:vAlign w:val="bottom"/>
          </w:tcPr>
          <w:p>
            <w:pPr>
              <w:spacing w:after="0"/>
              <w:rPr>
                <w:sz w:val="18"/>
                <w:szCs w:val="18"/>
                <w:color w:val="auto"/>
              </w:rPr>
            </w:pPr>
          </w:p>
        </w:tc>
      </w:tr>
      <w:tr>
        <w:trPr>
          <w:trHeight w:val="64"/>
        </w:trPr>
        <w:tc>
          <w:tcPr>
            <w:tcW w:w="10220" w:type="dxa"/>
            <w:vAlign w:val="bottom"/>
            <w:tcBorders>
              <w:bottom w:val="single" w:sz="8" w:color="D64000"/>
            </w:tcBorders>
            <w:gridSpan w:val="2"/>
          </w:tcPr>
          <w:p>
            <w:pPr>
              <w:spacing w:after="0"/>
              <w:rPr>
                <w:sz w:val="5"/>
                <w:szCs w:val="5"/>
                <w:color w:val="auto"/>
              </w:rPr>
            </w:pPr>
          </w:p>
        </w:tc>
        <w:tc>
          <w:tcPr>
            <w:tcW w:w="700" w:type="dxa"/>
            <w:vAlign w:val="bottom"/>
            <w:tcBorders>
              <w:bottom w:val="single" w:sz="8" w:color="D64000"/>
            </w:tcBorders>
          </w:tcPr>
          <w:p>
            <w:pPr>
              <w:spacing w:after="0"/>
              <w:rPr>
                <w:sz w:val="5"/>
                <w:szCs w:val="5"/>
                <w:color w:val="auto"/>
              </w:rPr>
            </w:pPr>
          </w:p>
        </w:tc>
      </w:tr>
      <w:tr>
        <w:trPr>
          <w:trHeight w:val="160"/>
        </w:trPr>
        <w:tc>
          <w:tcPr>
            <w:tcW w:w="10220" w:type="dxa"/>
            <w:vAlign w:val="bottom"/>
            <w:tcBorders>
              <w:bottom w:val="single" w:sz="8" w:color="7F7F7F"/>
            </w:tcBorders>
            <w:gridSpan w:val="2"/>
          </w:tcPr>
          <w:p>
            <w:pPr>
              <w:spacing w:after="0"/>
              <w:rPr>
                <w:sz w:val="13"/>
                <w:szCs w:val="13"/>
                <w:color w:val="auto"/>
              </w:rPr>
            </w:pPr>
          </w:p>
        </w:tc>
        <w:tc>
          <w:tcPr>
            <w:tcW w:w="700" w:type="dxa"/>
            <w:vAlign w:val="bottom"/>
            <w:tcBorders>
              <w:bottom w:val="single" w:sz="8" w:color="7F7F7F"/>
            </w:tcBorders>
          </w:tcPr>
          <w:p>
            <w:pPr>
              <w:spacing w:after="0"/>
              <w:rPr>
                <w:sz w:val="13"/>
                <w:szCs w:val="13"/>
                <w:color w:val="auto"/>
              </w:rPr>
            </w:pPr>
          </w:p>
        </w:tc>
      </w:tr>
      <w:tr>
        <w:trPr>
          <w:trHeight w:val="243"/>
        </w:trPr>
        <w:tc>
          <w:tcPr>
            <w:tcW w:w="10220" w:type="dxa"/>
            <w:vAlign w:val="bottom"/>
            <w:gridSpan w:val="2"/>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700" w:type="dxa"/>
            <w:vAlign w:val="bottom"/>
          </w:tcPr>
          <w:p>
            <w:pPr>
              <w:spacing w:after="0"/>
              <w:rPr>
                <w:sz w:val="20"/>
                <w:szCs w:val="20"/>
                <w:color w:val="auto"/>
              </w:rPr>
            </w:pPr>
            <w:r>
              <w:rPr>
                <w:rFonts w:ascii="Arial" w:cs="Arial" w:eastAsia="Arial" w:hAnsi="Arial"/>
                <w:sz w:val="17"/>
                <w:szCs w:val="17"/>
                <w:color w:val="auto"/>
                <w:w w:val="95"/>
              </w:rPr>
              <w:t>Page A-1</w:t>
            </w:r>
          </w:p>
        </w:tc>
      </w:tr>
    </w:tbl>
    <w:p>
      <w:pPr>
        <w:sectPr>
          <w:pgSz w:w="11900" w:h="16838" w:orient="portrait"/>
          <w:cols w:equalWidth="0" w:num="1">
            <w:col w:w="10920"/>
          </w:cols>
          <w:pgMar w:left="480" w:top="234" w:right="49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4480" w:type="dxa"/>
            <w:vAlign w:val="bottom"/>
            <w:tcBorders>
              <w:right w:val="single" w:sz="8" w:color="1F473D"/>
            </w:tcBorders>
          </w:tcPr>
          <w:p>
            <w:pPr>
              <w:spacing w:after="0"/>
              <w:rPr>
                <w:sz w:val="22"/>
                <w:szCs w:val="22"/>
                <w:color w:val="auto"/>
              </w:rPr>
            </w:pPr>
          </w:p>
        </w:tc>
        <w:tc>
          <w:tcPr>
            <w:tcW w:w="6440" w:type="dxa"/>
            <w:vAlign w:val="bottom"/>
            <w:shd w:val="clear" w:color="auto" w:fill="1F473D"/>
          </w:tcPr>
          <w:p>
            <w:pPr>
              <w:jc w:val="center"/>
              <w:ind w:left="120"/>
              <w:spacing w:after="0"/>
              <w:rPr>
                <w:sz w:val="20"/>
                <w:szCs w:val="20"/>
                <w:color w:val="auto"/>
              </w:rPr>
            </w:pPr>
            <w:r>
              <w:rPr>
                <w:rFonts w:ascii="Arial" w:cs="Arial" w:eastAsia="Arial" w:hAnsi="Arial"/>
                <w:sz w:val="16"/>
                <w:szCs w:val="16"/>
                <w:b w:val="1"/>
                <w:bCs w:val="1"/>
                <w:color w:val="FFFFFF"/>
                <w:w w:val="99"/>
              </w:rPr>
              <w:t>As of December 31, 2025</w:t>
            </w:r>
          </w:p>
        </w:tc>
      </w:tr>
      <w:tr>
        <w:trPr>
          <w:trHeight w:val="67"/>
        </w:trPr>
        <w:tc>
          <w:tcPr>
            <w:tcW w:w="4480" w:type="dxa"/>
            <w:vAlign w:val="bottom"/>
            <w:tcBorders>
              <w:bottom w:val="single" w:sz="8" w:color="D64000"/>
              <w:right w:val="single" w:sz="8" w:color="1F473D"/>
            </w:tcBorders>
          </w:tcPr>
          <w:p>
            <w:pPr>
              <w:spacing w:after="0"/>
              <w:rPr>
                <w:sz w:val="5"/>
                <w:szCs w:val="5"/>
                <w:color w:val="auto"/>
              </w:rPr>
            </w:pPr>
          </w:p>
        </w:tc>
        <w:tc>
          <w:tcPr>
            <w:tcW w:w="6440" w:type="dxa"/>
            <w:vAlign w:val="bottom"/>
            <w:tcBorders>
              <w:bottom w:val="single" w:sz="8" w:color="D64000"/>
            </w:tcBorders>
            <w:shd w:val="clear" w:color="auto" w:fill="1F473D"/>
          </w:tcPr>
          <w:p>
            <w:pPr>
              <w:spacing w:after="0"/>
              <w:rPr>
                <w:sz w:val="5"/>
                <w:szCs w:val="5"/>
                <w:color w:val="auto"/>
              </w:rPr>
            </w:pPr>
          </w:p>
        </w:tc>
      </w:tr>
      <w:tr>
        <w:trPr>
          <w:trHeight w:val="241"/>
        </w:trPr>
        <w:tc>
          <w:tcPr>
            <w:tcW w:w="448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Common shares issued under the plan</w:t>
            </w:r>
          </w:p>
        </w:tc>
        <w:tc>
          <w:tcPr>
            <w:tcW w:w="6440" w:type="dxa"/>
            <w:vAlign w:val="bottom"/>
            <w:tcBorders>
              <w:bottom w:val="single" w:sz="8" w:color="B2B2B2"/>
            </w:tcBorders>
          </w:tcPr>
          <w:p>
            <w:pPr>
              <w:jc w:val="center"/>
              <w:ind w:left="100"/>
              <w:spacing w:after="0" w:line="241" w:lineRule="exact"/>
              <w:rPr>
                <w:sz w:val="20"/>
                <w:szCs w:val="20"/>
                <w:color w:val="auto"/>
              </w:rPr>
            </w:pPr>
            <w:r>
              <w:rPr>
                <w:rFonts w:ascii="Arial" w:cs="Arial" w:eastAsia="Arial" w:hAnsi="Arial"/>
                <w:sz w:val="16"/>
                <w:szCs w:val="16"/>
                <w:color w:val="auto"/>
                <w:w w:val="94"/>
              </w:rPr>
              <w:t xml:space="preserve">59,718,951 </w:t>
            </w:r>
            <w:r>
              <w:rPr>
                <w:rFonts w:ascii="Arial" w:cs="Arial" w:eastAsia="Arial" w:hAnsi="Arial"/>
                <w:sz w:val="24"/>
                <w:szCs w:val="24"/>
                <w:color w:val="auto"/>
                <w:w w:val="94"/>
                <w:vertAlign w:val="superscript"/>
              </w:rPr>
              <w:t>(1)</w:t>
            </w:r>
          </w:p>
        </w:tc>
      </w:tr>
      <w:tr>
        <w:trPr>
          <w:trHeight w:val="220"/>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Common shares remaining for issuance</w:t>
            </w:r>
          </w:p>
        </w:tc>
        <w:tc>
          <w:tcPr>
            <w:tcW w:w="6440" w:type="dxa"/>
            <w:vAlign w:val="bottom"/>
          </w:tcPr>
          <w:p>
            <w:pPr>
              <w:jc w:val="center"/>
              <w:ind w:left="100"/>
              <w:spacing w:after="0"/>
              <w:rPr>
                <w:sz w:val="20"/>
                <w:szCs w:val="20"/>
                <w:color w:val="auto"/>
              </w:rPr>
            </w:pPr>
            <w:r>
              <w:rPr>
                <w:rFonts w:ascii="Arial" w:cs="Arial" w:eastAsia="Arial" w:hAnsi="Arial"/>
                <w:sz w:val="16"/>
                <w:szCs w:val="16"/>
                <w:color w:val="auto"/>
              </w:rPr>
              <w:t>9,432,018 (representing approximately 2.12% of our</w:t>
            </w:r>
          </w:p>
        </w:tc>
      </w:tr>
      <w:tr>
        <w:trPr>
          <w:trHeight w:val="213"/>
        </w:trPr>
        <w:tc>
          <w:tcPr>
            <w:tcW w:w="4480" w:type="dxa"/>
            <w:vAlign w:val="bottom"/>
            <w:tcBorders>
              <w:bottom w:val="single" w:sz="8" w:color="B2B2B2"/>
              <w:right w:val="single" w:sz="8" w:color="B2B2B2"/>
            </w:tcBorders>
          </w:tcPr>
          <w:p>
            <w:pPr>
              <w:spacing w:after="0"/>
              <w:rPr>
                <w:sz w:val="18"/>
                <w:szCs w:val="18"/>
                <w:color w:val="auto"/>
              </w:rPr>
            </w:pPr>
          </w:p>
        </w:tc>
        <w:tc>
          <w:tcPr>
            <w:tcW w:w="6440" w:type="dxa"/>
            <w:vAlign w:val="bottom"/>
            <w:tcBorders>
              <w:bottom w:val="single" w:sz="8" w:color="B2B2B2"/>
            </w:tcBorders>
          </w:tcPr>
          <w:p>
            <w:pPr>
              <w:jc w:val="center"/>
              <w:ind w:left="100"/>
              <w:spacing w:after="0"/>
              <w:rPr>
                <w:sz w:val="20"/>
                <w:szCs w:val="20"/>
                <w:color w:val="auto"/>
              </w:rPr>
            </w:pPr>
            <w:r>
              <w:rPr>
                <w:rFonts w:ascii="Arial" w:cs="Arial" w:eastAsia="Arial" w:hAnsi="Arial"/>
                <w:sz w:val="16"/>
                <w:szCs w:val="16"/>
                <w:color w:val="auto"/>
              </w:rPr>
              <w:t>issued and outstanding shares as of year-end)</w:t>
            </w:r>
          </w:p>
        </w:tc>
      </w:tr>
      <w:tr>
        <w:trPr>
          <w:trHeight w:val="222"/>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Stock options and RSUs outstanding</w:t>
            </w:r>
          </w:p>
        </w:tc>
        <w:tc>
          <w:tcPr>
            <w:tcW w:w="6440" w:type="dxa"/>
            <w:vAlign w:val="bottom"/>
          </w:tcPr>
          <w:p>
            <w:pPr>
              <w:jc w:val="center"/>
              <w:ind w:left="100"/>
              <w:spacing w:after="0"/>
              <w:rPr>
                <w:sz w:val="20"/>
                <w:szCs w:val="20"/>
                <w:color w:val="auto"/>
              </w:rPr>
            </w:pPr>
            <w:r>
              <w:rPr>
                <w:rFonts w:ascii="Arial" w:cs="Arial" w:eastAsia="Arial" w:hAnsi="Arial"/>
                <w:sz w:val="16"/>
                <w:szCs w:val="16"/>
                <w:color w:val="auto"/>
              </w:rPr>
              <w:t>2,643,307 (representing approximately 0.59% of our</w:t>
            </w:r>
          </w:p>
        </w:tc>
      </w:tr>
      <w:tr>
        <w:trPr>
          <w:trHeight w:val="213"/>
        </w:trPr>
        <w:tc>
          <w:tcPr>
            <w:tcW w:w="4480" w:type="dxa"/>
            <w:vAlign w:val="bottom"/>
            <w:tcBorders>
              <w:bottom w:val="single" w:sz="8" w:color="B2B2B2"/>
              <w:right w:val="single" w:sz="8" w:color="B2B2B2"/>
            </w:tcBorders>
          </w:tcPr>
          <w:p>
            <w:pPr>
              <w:spacing w:after="0"/>
              <w:rPr>
                <w:sz w:val="18"/>
                <w:szCs w:val="18"/>
                <w:color w:val="auto"/>
              </w:rPr>
            </w:pPr>
          </w:p>
        </w:tc>
        <w:tc>
          <w:tcPr>
            <w:tcW w:w="6440" w:type="dxa"/>
            <w:vAlign w:val="bottom"/>
            <w:tcBorders>
              <w:bottom w:val="single" w:sz="8" w:color="B2B2B2"/>
            </w:tcBorders>
          </w:tcPr>
          <w:p>
            <w:pPr>
              <w:jc w:val="center"/>
              <w:ind w:left="100"/>
              <w:spacing w:after="0"/>
              <w:rPr>
                <w:sz w:val="20"/>
                <w:szCs w:val="20"/>
                <w:color w:val="auto"/>
              </w:rPr>
            </w:pPr>
            <w:r>
              <w:rPr>
                <w:rFonts w:ascii="Arial" w:cs="Arial" w:eastAsia="Arial" w:hAnsi="Arial"/>
                <w:sz w:val="16"/>
                <w:szCs w:val="16"/>
                <w:color w:val="auto"/>
              </w:rPr>
              <w:t>issued and outstanding shares as of year-end)</w:t>
            </w:r>
          </w:p>
        </w:tc>
      </w:tr>
      <w:tr>
        <w:trPr>
          <w:trHeight w:val="222"/>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Common shares remaining for issuance less outstanding</w:t>
            </w:r>
          </w:p>
        </w:tc>
        <w:tc>
          <w:tcPr>
            <w:tcW w:w="6440" w:type="dxa"/>
            <w:vAlign w:val="bottom"/>
          </w:tcPr>
          <w:p>
            <w:pPr>
              <w:jc w:val="center"/>
              <w:ind w:left="120"/>
              <w:spacing w:after="0"/>
              <w:rPr>
                <w:sz w:val="20"/>
                <w:szCs w:val="20"/>
                <w:color w:val="auto"/>
              </w:rPr>
            </w:pPr>
            <w:r>
              <w:rPr>
                <w:rFonts w:ascii="Arial" w:cs="Arial" w:eastAsia="Arial" w:hAnsi="Arial"/>
                <w:sz w:val="16"/>
                <w:szCs w:val="16"/>
                <w:color w:val="auto"/>
                <w:w w:val="99"/>
              </w:rPr>
              <w:t>6,788,711 (representing approximately 1.53% of our</w:t>
            </w:r>
          </w:p>
        </w:tc>
      </w:tr>
      <w:tr>
        <w:trPr>
          <w:trHeight w:val="215"/>
        </w:trPr>
        <w:tc>
          <w:tcPr>
            <w:tcW w:w="448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stock options and RSUs</w:t>
            </w:r>
          </w:p>
        </w:tc>
        <w:tc>
          <w:tcPr>
            <w:tcW w:w="6440" w:type="dxa"/>
            <w:vAlign w:val="bottom"/>
            <w:tcBorders>
              <w:bottom w:val="single" w:sz="8" w:color="B2B2B2"/>
            </w:tcBorders>
          </w:tcPr>
          <w:p>
            <w:pPr>
              <w:jc w:val="center"/>
              <w:ind w:left="100"/>
              <w:spacing w:after="0"/>
              <w:rPr>
                <w:sz w:val="20"/>
                <w:szCs w:val="20"/>
                <w:color w:val="auto"/>
              </w:rPr>
            </w:pPr>
            <w:r>
              <w:rPr>
                <w:rFonts w:ascii="Arial" w:cs="Arial" w:eastAsia="Arial" w:hAnsi="Arial"/>
                <w:sz w:val="16"/>
                <w:szCs w:val="16"/>
                <w:color w:val="auto"/>
              </w:rPr>
              <w:t>issued and outstanding shares as of year-end)</w:t>
            </w:r>
          </w:p>
        </w:tc>
      </w:tr>
      <w:tr>
        <w:trPr>
          <w:trHeight w:val="234"/>
        </w:trPr>
        <w:tc>
          <w:tcPr>
            <w:tcW w:w="448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Common shares issued and outstanding</w:t>
            </w:r>
          </w:p>
        </w:tc>
        <w:tc>
          <w:tcPr>
            <w:tcW w:w="6440" w:type="dxa"/>
            <w:vAlign w:val="bottom"/>
            <w:tcBorders>
              <w:bottom w:val="single" w:sz="8" w:color="B2B2B2"/>
            </w:tcBorders>
          </w:tcPr>
          <w:p>
            <w:pPr>
              <w:jc w:val="center"/>
              <w:ind w:left="120"/>
              <w:spacing w:after="0"/>
              <w:rPr>
                <w:sz w:val="20"/>
                <w:szCs w:val="20"/>
                <w:color w:val="auto"/>
              </w:rPr>
            </w:pPr>
            <w:r>
              <w:rPr>
                <w:rFonts w:ascii="Arial" w:cs="Arial" w:eastAsia="Arial" w:hAnsi="Arial"/>
                <w:sz w:val="16"/>
                <w:szCs w:val="16"/>
                <w:color w:val="auto"/>
                <w:w w:val="98"/>
              </w:rPr>
              <w:t>444,962,490</w:t>
            </w:r>
          </w:p>
        </w:tc>
      </w:tr>
      <w:tr>
        <w:trPr>
          <w:trHeight w:val="220"/>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Potential Dilution – the total number of all stock options</w:t>
            </w:r>
          </w:p>
        </w:tc>
        <w:tc>
          <w:tcPr>
            <w:tcW w:w="6440" w:type="dxa"/>
            <w:vAlign w:val="bottom"/>
          </w:tcPr>
          <w:p>
            <w:pPr>
              <w:jc w:val="center"/>
              <w:ind w:left="120"/>
              <w:spacing w:after="0"/>
              <w:rPr>
                <w:sz w:val="20"/>
                <w:szCs w:val="20"/>
                <w:color w:val="auto"/>
              </w:rPr>
            </w:pPr>
            <w:r>
              <w:rPr>
                <w:rFonts w:ascii="Arial" w:cs="Arial" w:eastAsia="Arial" w:hAnsi="Arial"/>
                <w:sz w:val="16"/>
                <w:szCs w:val="16"/>
                <w:color w:val="auto"/>
                <w:w w:val="96"/>
              </w:rPr>
              <w:t>2.10%</w:t>
            </w:r>
          </w:p>
        </w:tc>
      </w:tr>
      <w:tr>
        <w:trPr>
          <w:trHeight w:val="187"/>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and RSUs available for issue plus all stock options and</w:t>
            </w:r>
          </w:p>
        </w:tc>
        <w:tc>
          <w:tcPr>
            <w:tcW w:w="6440" w:type="dxa"/>
            <w:vAlign w:val="bottom"/>
          </w:tcPr>
          <w:p>
            <w:pPr>
              <w:spacing w:after="0"/>
              <w:rPr>
                <w:sz w:val="16"/>
                <w:szCs w:val="16"/>
                <w:color w:val="auto"/>
              </w:rPr>
            </w:pPr>
          </w:p>
        </w:tc>
      </w:tr>
      <w:tr>
        <w:trPr>
          <w:trHeight w:val="187"/>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RSUs outstanding, divided by the total weighted average</w:t>
            </w:r>
          </w:p>
        </w:tc>
        <w:tc>
          <w:tcPr>
            <w:tcW w:w="6440" w:type="dxa"/>
            <w:vAlign w:val="bottom"/>
          </w:tcPr>
          <w:p>
            <w:pPr>
              <w:spacing w:after="0"/>
              <w:rPr>
                <w:sz w:val="16"/>
                <w:szCs w:val="16"/>
                <w:color w:val="auto"/>
              </w:rPr>
            </w:pPr>
          </w:p>
        </w:tc>
      </w:tr>
      <w:tr>
        <w:trPr>
          <w:trHeight w:val="187"/>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of common shares outstanding during the year ended</w:t>
            </w:r>
          </w:p>
        </w:tc>
        <w:tc>
          <w:tcPr>
            <w:tcW w:w="6440" w:type="dxa"/>
            <w:vAlign w:val="bottom"/>
          </w:tcPr>
          <w:p>
            <w:pPr>
              <w:spacing w:after="0"/>
              <w:rPr>
                <w:sz w:val="16"/>
                <w:szCs w:val="16"/>
                <w:color w:val="auto"/>
              </w:rPr>
            </w:pPr>
          </w:p>
        </w:tc>
      </w:tr>
      <w:tr>
        <w:trPr>
          <w:trHeight w:val="201"/>
        </w:trPr>
        <w:tc>
          <w:tcPr>
            <w:tcW w:w="4480" w:type="dxa"/>
            <w:vAlign w:val="bottom"/>
            <w:tcBorders>
              <w:bottom w:val="single" w:sz="8" w:color="B2B2B2"/>
              <w:right w:val="single" w:sz="8" w:color="B2B2B2"/>
            </w:tcBorders>
          </w:tcPr>
          <w:p>
            <w:pPr>
              <w:spacing w:after="0"/>
              <w:rPr>
                <w:sz w:val="20"/>
                <w:szCs w:val="20"/>
                <w:color w:val="auto"/>
              </w:rPr>
            </w:pPr>
            <w:r>
              <w:rPr>
                <w:rFonts w:ascii="Arial" w:cs="Arial" w:eastAsia="Arial" w:hAnsi="Arial"/>
                <w:sz w:val="16"/>
                <w:szCs w:val="16"/>
                <w:b w:val="1"/>
                <w:bCs w:val="1"/>
                <w:color w:val="auto"/>
              </w:rPr>
              <w:t>December 31, 2025 of 448,971,715</w:t>
            </w:r>
          </w:p>
        </w:tc>
        <w:tc>
          <w:tcPr>
            <w:tcW w:w="6440" w:type="dxa"/>
            <w:vAlign w:val="bottom"/>
            <w:tcBorders>
              <w:bottom w:val="single" w:sz="8" w:color="B2B2B2"/>
            </w:tcBorders>
          </w:tcPr>
          <w:p>
            <w:pPr>
              <w:spacing w:after="0"/>
              <w:rPr>
                <w:sz w:val="17"/>
                <w:szCs w:val="17"/>
                <w:color w:val="auto"/>
              </w:rPr>
            </w:pPr>
          </w:p>
        </w:tc>
      </w:tr>
      <w:tr>
        <w:trPr>
          <w:trHeight w:val="220"/>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Full Dilution – the total number of all stock options and</w:t>
            </w:r>
          </w:p>
        </w:tc>
        <w:tc>
          <w:tcPr>
            <w:tcW w:w="6440" w:type="dxa"/>
            <w:vAlign w:val="bottom"/>
          </w:tcPr>
          <w:p>
            <w:pPr>
              <w:jc w:val="center"/>
              <w:ind w:left="120"/>
              <w:spacing w:after="0"/>
              <w:rPr>
                <w:sz w:val="20"/>
                <w:szCs w:val="20"/>
                <w:color w:val="auto"/>
              </w:rPr>
            </w:pPr>
            <w:r>
              <w:rPr>
                <w:rFonts w:ascii="Arial" w:cs="Arial" w:eastAsia="Arial" w:hAnsi="Arial"/>
                <w:sz w:val="16"/>
                <w:szCs w:val="16"/>
                <w:color w:val="auto"/>
                <w:w w:val="96"/>
              </w:rPr>
              <w:t>2.06%</w:t>
            </w:r>
          </w:p>
        </w:tc>
      </w:tr>
      <w:tr>
        <w:trPr>
          <w:trHeight w:val="187"/>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RSUs available for issue plus all stock options and RSUs</w:t>
            </w:r>
          </w:p>
        </w:tc>
        <w:tc>
          <w:tcPr>
            <w:tcW w:w="6440" w:type="dxa"/>
            <w:vAlign w:val="bottom"/>
          </w:tcPr>
          <w:p>
            <w:pPr>
              <w:spacing w:after="0"/>
              <w:rPr>
                <w:sz w:val="16"/>
                <w:szCs w:val="16"/>
                <w:color w:val="auto"/>
              </w:rPr>
            </w:pPr>
          </w:p>
        </w:tc>
      </w:tr>
      <w:tr>
        <w:trPr>
          <w:trHeight w:val="187"/>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outstanding, divided by the total weighted average of</w:t>
            </w:r>
          </w:p>
        </w:tc>
        <w:tc>
          <w:tcPr>
            <w:tcW w:w="6440" w:type="dxa"/>
            <w:vAlign w:val="bottom"/>
          </w:tcPr>
          <w:p>
            <w:pPr>
              <w:spacing w:after="0"/>
              <w:rPr>
                <w:sz w:val="16"/>
                <w:szCs w:val="16"/>
                <w:color w:val="auto"/>
              </w:rPr>
            </w:pPr>
          </w:p>
        </w:tc>
      </w:tr>
      <w:tr>
        <w:trPr>
          <w:trHeight w:val="187"/>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common shares outstanding during the year plus all</w:t>
            </w:r>
          </w:p>
        </w:tc>
        <w:tc>
          <w:tcPr>
            <w:tcW w:w="6440" w:type="dxa"/>
            <w:vAlign w:val="bottom"/>
          </w:tcPr>
          <w:p>
            <w:pPr>
              <w:spacing w:after="0"/>
              <w:rPr>
                <w:sz w:val="16"/>
                <w:szCs w:val="16"/>
                <w:color w:val="auto"/>
              </w:rPr>
            </w:pPr>
          </w:p>
        </w:tc>
      </w:tr>
      <w:tr>
        <w:trPr>
          <w:trHeight w:val="187"/>
        </w:trPr>
        <w:tc>
          <w:tcPr>
            <w:tcW w:w="448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stock options and RSUs outstanding and available for</w:t>
            </w:r>
          </w:p>
        </w:tc>
        <w:tc>
          <w:tcPr>
            <w:tcW w:w="6440" w:type="dxa"/>
            <w:vAlign w:val="bottom"/>
          </w:tcPr>
          <w:p>
            <w:pPr>
              <w:spacing w:after="0"/>
              <w:rPr>
                <w:sz w:val="16"/>
                <w:szCs w:val="16"/>
                <w:color w:val="auto"/>
              </w:rPr>
            </w:pPr>
          </w:p>
        </w:tc>
      </w:tr>
      <w:tr>
        <w:trPr>
          <w:trHeight w:val="208"/>
        </w:trPr>
        <w:tc>
          <w:tcPr>
            <w:tcW w:w="4480" w:type="dxa"/>
            <w:vAlign w:val="bottom"/>
            <w:tcBorders>
              <w:bottom w:val="single" w:sz="8" w:color="D64000"/>
              <w:right w:val="single" w:sz="8" w:color="B2B2B2"/>
            </w:tcBorders>
          </w:tcPr>
          <w:p>
            <w:pPr>
              <w:spacing w:after="0"/>
              <w:rPr>
                <w:sz w:val="20"/>
                <w:szCs w:val="20"/>
                <w:color w:val="auto"/>
              </w:rPr>
            </w:pPr>
            <w:r>
              <w:rPr>
                <w:rFonts w:ascii="Arial" w:cs="Arial" w:eastAsia="Arial" w:hAnsi="Arial"/>
                <w:sz w:val="16"/>
                <w:szCs w:val="16"/>
                <w:b w:val="1"/>
                <w:bCs w:val="1"/>
                <w:color w:val="auto"/>
              </w:rPr>
              <w:t>issue</w:t>
            </w:r>
          </w:p>
        </w:tc>
        <w:tc>
          <w:tcPr>
            <w:tcW w:w="6440" w:type="dxa"/>
            <w:vAlign w:val="bottom"/>
            <w:tcBorders>
              <w:bottom w:val="single" w:sz="8" w:color="D64000"/>
            </w:tcBorders>
          </w:tcPr>
          <w:p>
            <w:pPr>
              <w:spacing w:after="0"/>
              <w:rPr>
                <w:sz w:val="18"/>
                <w:szCs w:val="18"/>
                <w:color w:val="auto"/>
              </w:rPr>
            </w:pPr>
          </w:p>
        </w:tc>
      </w:tr>
    </w:tbl>
    <w:p>
      <w:pPr>
        <w:spacing w:after="0" w:line="108" w:lineRule="exact"/>
        <w:rPr>
          <w:sz w:val="20"/>
          <w:szCs w:val="20"/>
          <w:color w:val="auto"/>
        </w:rPr>
      </w:pPr>
    </w:p>
    <w:p>
      <w:pPr>
        <w:ind w:left="220" w:right="140" w:hanging="213"/>
        <w:spacing w:after="0" w:line="256" w:lineRule="auto"/>
        <w:tabs>
          <w:tab w:leader="none" w:pos="2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Of the 59,718,951 common shares reflected as being issued under the plan as of December 31, 2025, only 30,678,266 common shares have been actually issued due to net settlement of RSUs and various stock options. When RSUs vest or stock options are exercised, our company deducts the gross amount of the underlying securities from the plan’s share reserve.</w:t>
      </w:r>
    </w:p>
    <w:p>
      <w:pPr>
        <w:spacing w:after="0" w:line="6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believe that our stock incentive plan grant practices are conservative relative to applicable benchmarks and our compensation peer group. The following table provides information as of the end of each year indicated related to the stock incentive plan’s share usage, burn rates and potential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137795</wp:posOffset>
            </wp:positionV>
            <wp:extent cx="288734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2360" w:type="dxa"/>
            <w:vAlign w:val="bottom"/>
            <w:tcBorders>
              <w:right w:val="single" w:sz="8" w:color="E3F3EE"/>
            </w:tcBorders>
          </w:tcPr>
          <w:p>
            <w:pPr>
              <w:spacing w:after="0"/>
              <w:rPr>
                <w:sz w:val="20"/>
                <w:szCs w:val="20"/>
                <w:color w:val="auto"/>
              </w:rPr>
            </w:pPr>
          </w:p>
        </w:tc>
        <w:tc>
          <w:tcPr>
            <w:tcW w:w="1220" w:type="dxa"/>
            <w:vAlign w:val="bottom"/>
            <w:tcBorders>
              <w:right w:val="single" w:sz="8" w:color="E3F3EE"/>
            </w:tcBorders>
            <w:shd w:val="clear" w:color="auto" w:fill="E3F3EE"/>
          </w:tcPr>
          <w:p>
            <w:pPr>
              <w:spacing w:after="0"/>
              <w:rPr>
                <w:sz w:val="20"/>
                <w:szCs w:val="20"/>
                <w:color w:val="auto"/>
              </w:rPr>
            </w:pPr>
          </w:p>
        </w:tc>
        <w:tc>
          <w:tcPr>
            <w:tcW w:w="1980" w:type="dxa"/>
            <w:vAlign w:val="bottom"/>
            <w:gridSpan w:val="2"/>
            <w:shd w:val="clear" w:color="auto" w:fill="E3F3EE"/>
          </w:tcPr>
          <w:p>
            <w:pPr>
              <w:jc w:val="center"/>
              <w:ind w:right="140"/>
              <w:spacing w:after="0"/>
              <w:rPr>
                <w:sz w:val="20"/>
                <w:szCs w:val="20"/>
                <w:color w:val="auto"/>
              </w:rPr>
            </w:pPr>
            <w:r>
              <w:rPr>
                <w:rFonts w:ascii="Arial" w:cs="Arial" w:eastAsia="Arial" w:hAnsi="Arial"/>
                <w:sz w:val="16"/>
                <w:szCs w:val="16"/>
                <w:b w:val="1"/>
                <w:bCs w:val="1"/>
                <w:color w:val="auto"/>
                <w:w w:val="99"/>
              </w:rPr>
              <w:t>As of December 31,</w:t>
            </w:r>
          </w:p>
        </w:tc>
        <w:tc>
          <w:tcPr>
            <w:tcW w:w="1320" w:type="dxa"/>
            <w:vAlign w:val="bottom"/>
            <w:shd w:val="clear" w:color="auto" w:fill="E3F3EE"/>
          </w:tcPr>
          <w:p>
            <w:pPr>
              <w:spacing w:after="0"/>
              <w:rPr>
                <w:sz w:val="20"/>
                <w:szCs w:val="20"/>
                <w:color w:val="auto"/>
              </w:rPr>
            </w:pPr>
          </w:p>
        </w:tc>
      </w:tr>
      <w:tr>
        <w:trPr>
          <w:trHeight w:val="247"/>
        </w:trPr>
        <w:tc>
          <w:tcPr>
            <w:tcW w:w="4040" w:type="dxa"/>
            <w:vAlign w:val="bottom"/>
            <w:tcBorders>
              <w:bottom w:val="single" w:sz="8" w:color="D64000"/>
            </w:tcBorders>
          </w:tcPr>
          <w:p>
            <w:pPr>
              <w:spacing w:after="0"/>
              <w:rPr>
                <w:sz w:val="21"/>
                <w:szCs w:val="21"/>
                <w:color w:val="auto"/>
              </w:rPr>
            </w:pPr>
          </w:p>
        </w:tc>
        <w:tc>
          <w:tcPr>
            <w:tcW w:w="2360" w:type="dxa"/>
            <w:vAlign w:val="bottom"/>
            <w:tcBorders>
              <w:bottom w:val="single" w:sz="8" w:color="D64000"/>
              <w:right w:val="single" w:sz="8" w:color="1F473D"/>
            </w:tcBorders>
          </w:tcPr>
          <w:p>
            <w:pPr>
              <w:spacing w:after="0"/>
              <w:rPr>
                <w:sz w:val="21"/>
                <w:szCs w:val="21"/>
                <w:color w:val="auto"/>
              </w:rPr>
            </w:pPr>
          </w:p>
        </w:tc>
        <w:tc>
          <w:tcPr>
            <w:tcW w:w="1220" w:type="dxa"/>
            <w:vAlign w:val="bottom"/>
            <w:tcBorders>
              <w:bottom w:val="single" w:sz="8" w:color="D64000"/>
              <w:right w:val="single" w:sz="8" w:color="1F473D"/>
            </w:tcBorders>
            <w:shd w:val="clear" w:color="auto" w:fill="1F473D"/>
          </w:tcPr>
          <w:p>
            <w:pPr>
              <w:jc w:val="right"/>
              <w:ind w:right="380"/>
              <w:spacing w:after="0"/>
              <w:rPr>
                <w:sz w:val="20"/>
                <w:szCs w:val="20"/>
                <w:color w:val="auto"/>
              </w:rPr>
            </w:pPr>
            <w:r>
              <w:rPr>
                <w:rFonts w:ascii="Arial" w:cs="Arial" w:eastAsia="Arial" w:hAnsi="Arial"/>
                <w:sz w:val="16"/>
                <w:szCs w:val="16"/>
                <w:b w:val="1"/>
                <w:bCs w:val="1"/>
                <w:color w:val="FFFFFF"/>
              </w:rPr>
              <w:t>2025</w:t>
            </w:r>
          </w:p>
        </w:tc>
        <w:tc>
          <w:tcPr>
            <w:tcW w:w="1660" w:type="dxa"/>
            <w:vAlign w:val="bottom"/>
            <w:tcBorders>
              <w:bottom w:val="single" w:sz="8" w:color="D64000"/>
              <w:right w:val="single" w:sz="8" w:color="1F473D"/>
            </w:tcBorders>
            <w:shd w:val="clear" w:color="auto" w:fill="1F473D"/>
          </w:tcPr>
          <w:p>
            <w:pPr>
              <w:jc w:val="right"/>
              <w:ind w:right="580"/>
              <w:spacing w:after="0"/>
              <w:rPr>
                <w:sz w:val="20"/>
                <w:szCs w:val="20"/>
                <w:color w:val="auto"/>
              </w:rPr>
            </w:pPr>
            <w:r>
              <w:rPr>
                <w:rFonts w:ascii="Arial" w:cs="Arial" w:eastAsia="Arial" w:hAnsi="Arial"/>
                <w:sz w:val="16"/>
                <w:szCs w:val="16"/>
                <w:b w:val="1"/>
                <w:bCs w:val="1"/>
                <w:color w:val="FFFFFF"/>
              </w:rPr>
              <w:t>2024</w:t>
            </w:r>
          </w:p>
        </w:tc>
        <w:tc>
          <w:tcPr>
            <w:tcW w:w="320" w:type="dxa"/>
            <w:vAlign w:val="bottom"/>
            <w:tcBorders>
              <w:bottom w:val="single" w:sz="8" w:color="D64000"/>
            </w:tcBorders>
            <w:shd w:val="clear" w:color="auto" w:fill="1F473D"/>
          </w:tcPr>
          <w:p>
            <w:pPr>
              <w:spacing w:after="0"/>
              <w:rPr>
                <w:sz w:val="21"/>
                <w:szCs w:val="21"/>
                <w:color w:val="auto"/>
              </w:rPr>
            </w:pPr>
          </w:p>
        </w:tc>
        <w:tc>
          <w:tcPr>
            <w:tcW w:w="1320" w:type="dxa"/>
            <w:vAlign w:val="bottom"/>
            <w:tcBorders>
              <w:bottom w:val="single" w:sz="8" w:color="D64000"/>
            </w:tcBorders>
            <w:shd w:val="clear" w:color="auto" w:fill="1F473D"/>
          </w:tcPr>
          <w:p>
            <w:pPr>
              <w:jc w:val="right"/>
              <w:ind w:right="580"/>
              <w:spacing w:after="0"/>
              <w:rPr>
                <w:sz w:val="20"/>
                <w:szCs w:val="20"/>
                <w:color w:val="auto"/>
              </w:rPr>
            </w:pPr>
            <w:r>
              <w:rPr>
                <w:rFonts w:ascii="Arial" w:cs="Arial" w:eastAsia="Arial" w:hAnsi="Arial"/>
                <w:sz w:val="16"/>
                <w:szCs w:val="16"/>
                <w:b w:val="1"/>
                <w:bCs w:val="1"/>
                <w:color w:val="FFFFFF"/>
              </w:rPr>
              <w:t>2023</w:t>
            </w:r>
          </w:p>
        </w:tc>
      </w:tr>
      <w:tr>
        <w:trPr>
          <w:trHeight w:val="213"/>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Share usage – </w:t>
            </w:r>
            <w:r>
              <w:rPr>
                <w:rFonts w:ascii="Arial" w:cs="Arial" w:eastAsia="Arial" w:hAnsi="Arial"/>
                <w:sz w:val="16"/>
                <w:szCs w:val="16"/>
                <w:color w:val="auto"/>
              </w:rPr>
              <w:t>the total number of shares issued pursuant to stock options and RSUs</w:t>
            </w:r>
          </w:p>
        </w:tc>
        <w:tc>
          <w:tcPr>
            <w:tcW w:w="1220" w:type="dxa"/>
            <w:vAlign w:val="bottom"/>
            <w:tcBorders>
              <w:right w:val="single" w:sz="8" w:color="B2B2B2"/>
            </w:tcBorders>
          </w:tcPr>
          <w:p>
            <w:pPr>
              <w:spacing w:after="0"/>
              <w:rPr>
                <w:sz w:val="18"/>
                <w:szCs w:val="18"/>
                <w:color w:val="auto"/>
              </w:rPr>
            </w:pPr>
          </w:p>
        </w:tc>
        <w:tc>
          <w:tcPr>
            <w:tcW w:w="1660" w:type="dxa"/>
            <w:vAlign w:val="bottom"/>
            <w:tcBorders>
              <w:right w:val="single" w:sz="8" w:color="B2B2B2"/>
            </w:tcBorders>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7"/>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during the applicable year, divided by the total weighted average of common shares</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1"/>
        </w:trPr>
        <w:tc>
          <w:tcPr>
            <w:tcW w:w="4040" w:type="dxa"/>
            <w:vAlign w:val="bottom"/>
          </w:tcPr>
          <w:p>
            <w:pPr>
              <w:spacing w:after="0"/>
              <w:rPr>
                <w:sz w:val="20"/>
                <w:szCs w:val="20"/>
                <w:color w:val="auto"/>
              </w:rPr>
            </w:pPr>
            <w:r>
              <w:rPr>
                <w:rFonts w:ascii="Arial" w:cs="Arial" w:eastAsia="Arial" w:hAnsi="Arial"/>
                <w:sz w:val="16"/>
                <w:szCs w:val="16"/>
                <w:color w:val="auto"/>
              </w:rPr>
              <w:t>outstanding during the year</w:t>
            </w:r>
          </w:p>
        </w:tc>
        <w:tc>
          <w:tcPr>
            <w:tcW w:w="2360" w:type="dxa"/>
            <w:vAlign w:val="bottom"/>
            <w:tcBorders>
              <w:right w:val="single" w:sz="8" w:color="B2B2B2"/>
            </w:tcBorders>
          </w:tcPr>
          <w:p>
            <w:pPr>
              <w:spacing w:after="0"/>
              <w:rPr>
                <w:sz w:val="18"/>
                <w:szCs w:val="18"/>
                <w:color w:val="auto"/>
              </w:rPr>
            </w:pP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0.13%</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0.16%</w:t>
            </w:r>
          </w:p>
        </w:tc>
        <w:tc>
          <w:tcPr>
            <w:tcW w:w="32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0.19%</w:t>
            </w:r>
          </w:p>
        </w:tc>
      </w:tr>
      <w:tr>
        <w:trPr>
          <w:trHeight w:val="44"/>
        </w:trPr>
        <w:tc>
          <w:tcPr>
            <w:tcW w:w="6400" w:type="dxa"/>
            <w:vAlign w:val="bottom"/>
            <w:tcBorders>
              <w:bottom w:val="single" w:sz="8" w:color="B2B2B2"/>
              <w:right w:val="single" w:sz="8" w:color="B2B2B2"/>
            </w:tcBorders>
            <w:gridSpan w:val="2"/>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660" w:type="dxa"/>
            <w:vAlign w:val="bottom"/>
            <w:tcBorders>
              <w:bottom w:val="single" w:sz="8" w:color="B2B2B2"/>
              <w:right w:val="single" w:sz="8" w:color="B2B2B2"/>
            </w:tcBorders>
          </w:tcPr>
          <w:p>
            <w:pPr>
              <w:spacing w:after="0"/>
              <w:rPr>
                <w:sz w:val="3"/>
                <w:szCs w:val="3"/>
                <w:color w:val="auto"/>
              </w:rPr>
            </w:pPr>
          </w:p>
        </w:tc>
        <w:tc>
          <w:tcPr>
            <w:tcW w:w="32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07"/>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Burn rate – </w:t>
            </w:r>
            <w:r>
              <w:rPr>
                <w:rFonts w:ascii="Arial" w:cs="Arial" w:eastAsia="Arial" w:hAnsi="Arial"/>
                <w:sz w:val="16"/>
                <w:szCs w:val="16"/>
                <w:color w:val="auto"/>
              </w:rPr>
              <w:t>the total number of stock options and RSUs granted in the applicable year,</w:t>
            </w:r>
          </w:p>
        </w:tc>
        <w:tc>
          <w:tcPr>
            <w:tcW w:w="1220" w:type="dxa"/>
            <w:vAlign w:val="bottom"/>
            <w:tcBorders>
              <w:right w:val="single" w:sz="8" w:color="B2B2B2"/>
            </w:tcBorders>
          </w:tcPr>
          <w:p>
            <w:pPr>
              <w:spacing w:after="0"/>
              <w:rPr>
                <w:sz w:val="17"/>
                <w:szCs w:val="17"/>
                <w:color w:val="auto"/>
              </w:rPr>
            </w:pPr>
          </w:p>
        </w:tc>
        <w:tc>
          <w:tcPr>
            <w:tcW w:w="1660" w:type="dxa"/>
            <w:vAlign w:val="bottom"/>
            <w:tcBorders>
              <w:right w:val="single" w:sz="8" w:color="B2B2B2"/>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1"/>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divided by the total weighted average of common shares outstanding during the year</w:t>
            </w: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0.22%</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0.22%</w:t>
            </w:r>
          </w:p>
        </w:tc>
        <w:tc>
          <w:tcPr>
            <w:tcW w:w="32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0.20%</w:t>
            </w:r>
          </w:p>
        </w:tc>
      </w:tr>
      <w:tr>
        <w:trPr>
          <w:trHeight w:val="44"/>
        </w:trPr>
        <w:tc>
          <w:tcPr>
            <w:tcW w:w="6400" w:type="dxa"/>
            <w:vAlign w:val="bottom"/>
            <w:tcBorders>
              <w:bottom w:val="single" w:sz="8" w:color="B2B2B2"/>
              <w:right w:val="single" w:sz="8" w:color="B2B2B2"/>
            </w:tcBorders>
            <w:gridSpan w:val="2"/>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660" w:type="dxa"/>
            <w:vAlign w:val="bottom"/>
            <w:tcBorders>
              <w:bottom w:val="single" w:sz="8" w:color="B2B2B2"/>
              <w:right w:val="single" w:sz="8" w:color="B2B2B2"/>
            </w:tcBorders>
          </w:tcPr>
          <w:p>
            <w:pPr>
              <w:spacing w:after="0"/>
              <w:rPr>
                <w:sz w:val="3"/>
                <w:szCs w:val="3"/>
                <w:color w:val="auto"/>
              </w:rPr>
            </w:pPr>
          </w:p>
        </w:tc>
        <w:tc>
          <w:tcPr>
            <w:tcW w:w="32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07"/>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Potential Dilution – </w:t>
            </w:r>
            <w:r>
              <w:rPr>
                <w:rFonts w:ascii="Arial" w:cs="Arial" w:eastAsia="Arial" w:hAnsi="Arial"/>
                <w:sz w:val="16"/>
                <w:szCs w:val="16"/>
                <w:color w:val="auto"/>
              </w:rPr>
              <w:t>the total number of all stock options and RSUs available for issue</w:t>
            </w:r>
          </w:p>
        </w:tc>
        <w:tc>
          <w:tcPr>
            <w:tcW w:w="1220" w:type="dxa"/>
            <w:vAlign w:val="bottom"/>
            <w:tcBorders>
              <w:right w:val="single" w:sz="8" w:color="B2B2B2"/>
            </w:tcBorders>
          </w:tcPr>
          <w:p>
            <w:pPr>
              <w:spacing w:after="0"/>
              <w:rPr>
                <w:sz w:val="17"/>
                <w:szCs w:val="17"/>
                <w:color w:val="auto"/>
              </w:rPr>
            </w:pPr>
          </w:p>
        </w:tc>
        <w:tc>
          <w:tcPr>
            <w:tcW w:w="1660" w:type="dxa"/>
            <w:vAlign w:val="bottom"/>
            <w:tcBorders>
              <w:right w:val="single" w:sz="8" w:color="B2B2B2"/>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7"/>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plus all stock options and RSUs outstanding, divided by the total weighted average of</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1"/>
        </w:trPr>
        <w:tc>
          <w:tcPr>
            <w:tcW w:w="4040" w:type="dxa"/>
            <w:vAlign w:val="bottom"/>
          </w:tcPr>
          <w:p>
            <w:pPr>
              <w:spacing w:after="0"/>
              <w:rPr>
                <w:sz w:val="20"/>
                <w:szCs w:val="20"/>
                <w:color w:val="auto"/>
              </w:rPr>
            </w:pPr>
            <w:r>
              <w:rPr>
                <w:rFonts w:ascii="Arial" w:cs="Arial" w:eastAsia="Arial" w:hAnsi="Arial"/>
                <w:sz w:val="16"/>
                <w:szCs w:val="16"/>
                <w:color w:val="auto"/>
              </w:rPr>
              <w:t>common shares outstanding during the year</w:t>
            </w:r>
          </w:p>
        </w:tc>
        <w:tc>
          <w:tcPr>
            <w:tcW w:w="2360" w:type="dxa"/>
            <w:vAlign w:val="bottom"/>
            <w:tcBorders>
              <w:right w:val="single" w:sz="8" w:color="B2B2B2"/>
            </w:tcBorders>
          </w:tcPr>
          <w:p>
            <w:pPr>
              <w:spacing w:after="0"/>
              <w:rPr>
                <w:sz w:val="18"/>
                <w:szCs w:val="18"/>
                <w:color w:val="auto"/>
              </w:rPr>
            </w:pP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2.10%</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2.28%</w:t>
            </w:r>
          </w:p>
        </w:tc>
        <w:tc>
          <w:tcPr>
            <w:tcW w:w="32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2.47%</w:t>
            </w:r>
          </w:p>
        </w:tc>
      </w:tr>
      <w:tr>
        <w:trPr>
          <w:trHeight w:val="44"/>
        </w:trPr>
        <w:tc>
          <w:tcPr>
            <w:tcW w:w="6400" w:type="dxa"/>
            <w:vAlign w:val="bottom"/>
            <w:tcBorders>
              <w:bottom w:val="single" w:sz="8" w:color="B2B2B2"/>
              <w:right w:val="single" w:sz="8" w:color="B2B2B2"/>
            </w:tcBorders>
            <w:gridSpan w:val="2"/>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660" w:type="dxa"/>
            <w:vAlign w:val="bottom"/>
            <w:tcBorders>
              <w:bottom w:val="single" w:sz="8" w:color="B2B2B2"/>
              <w:right w:val="single" w:sz="8" w:color="B2B2B2"/>
            </w:tcBorders>
          </w:tcPr>
          <w:p>
            <w:pPr>
              <w:spacing w:after="0"/>
              <w:rPr>
                <w:sz w:val="3"/>
                <w:szCs w:val="3"/>
                <w:color w:val="auto"/>
              </w:rPr>
            </w:pPr>
          </w:p>
        </w:tc>
        <w:tc>
          <w:tcPr>
            <w:tcW w:w="32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07"/>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Full Dilution – </w:t>
            </w:r>
            <w:r>
              <w:rPr>
                <w:rFonts w:ascii="Arial" w:cs="Arial" w:eastAsia="Arial" w:hAnsi="Arial"/>
                <w:sz w:val="16"/>
                <w:szCs w:val="16"/>
                <w:color w:val="auto"/>
              </w:rPr>
              <w:t>the total number of all stock options and RSUs available for issue plus all</w:t>
            </w:r>
          </w:p>
        </w:tc>
        <w:tc>
          <w:tcPr>
            <w:tcW w:w="1220" w:type="dxa"/>
            <w:vAlign w:val="bottom"/>
            <w:tcBorders>
              <w:right w:val="single" w:sz="8" w:color="B2B2B2"/>
            </w:tcBorders>
          </w:tcPr>
          <w:p>
            <w:pPr>
              <w:spacing w:after="0"/>
              <w:rPr>
                <w:sz w:val="17"/>
                <w:szCs w:val="17"/>
                <w:color w:val="auto"/>
              </w:rPr>
            </w:pPr>
          </w:p>
        </w:tc>
        <w:tc>
          <w:tcPr>
            <w:tcW w:w="1660" w:type="dxa"/>
            <w:vAlign w:val="bottom"/>
            <w:tcBorders>
              <w:right w:val="single" w:sz="8" w:color="B2B2B2"/>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7"/>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stock options and RSUs outstanding, divided by the total weighted average of common</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7"/>
        </w:trPr>
        <w:tc>
          <w:tcPr>
            <w:tcW w:w="640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shares outstanding during the year plus all stock options and RSUs outstanding and</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2"/>
        </w:trPr>
        <w:tc>
          <w:tcPr>
            <w:tcW w:w="4040" w:type="dxa"/>
            <w:vAlign w:val="bottom"/>
          </w:tcPr>
          <w:p>
            <w:pPr>
              <w:spacing w:after="0"/>
              <w:rPr>
                <w:sz w:val="20"/>
                <w:szCs w:val="20"/>
                <w:color w:val="auto"/>
              </w:rPr>
            </w:pPr>
            <w:r>
              <w:rPr>
                <w:rFonts w:ascii="Arial" w:cs="Arial" w:eastAsia="Arial" w:hAnsi="Arial"/>
                <w:sz w:val="16"/>
                <w:szCs w:val="16"/>
                <w:color w:val="auto"/>
              </w:rPr>
              <w:t>available for issue</w:t>
            </w:r>
          </w:p>
        </w:tc>
        <w:tc>
          <w:tcPr>
            <w:tcW w:w="2360" w:type="dxa"/>
            <w:vAlign w:val="bottom"/>
            <w:tcBorders>
              <w:right w:val="single" w:sz="8" w:color="B2B2B2"/>
            </w:tcBorders>
          </w:tcPr>
          <w:p>
            <w:pPr>
              <w:spacing w:after="0"/>
              <w:rPr>
                <w:sz w:val="22"/>
                <w:szCs w:val="22"/>
                <w:color w:val="auto"/>
              </w:rPr>
            </w:pP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2.06%</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2.23%</w:t>
            </w:r>
          </w:p>
        </w:tc>
        <w:tc>
          <w:tcPr>
            <w:tcW w:w="320" w:type="dxa"/>
            <w:vAlign w:val="bottom"/>
          </w:tcPr>
          <w:p>
            <w:pPr>
              <w:spacing w:after="0"/>
              <w:rPr>
                <w:sz w:val="22"/>
                <w:szCs w:val="22"/>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2.41%</w:t>
            </w:r>
          </w:p>
        </w:tc>
      </w:tr>
      <w:tr>
        <w:trPr>
          <w:trHeight w:val="160"/>
        </w:trPr>
        <w:tc>
          <w:tcPr>
            <w:tcW w:w="4040" w:type="dxa"/>
            <w:vAlign w:val="bottom"/>
            <w:tcBorders>
              <w:top w:val="single" w:sz="8" w:color="D64000"/>
              <w:bottom w:val="single" w:sz="8" w:color="7F7F7F"/>
            </w:tcBorders>
          </w:tcPr>
          <w:p>
            <w:pPr>
              <w:spacing w:after="0"/>
              <w:rPr>
                <w:sz w:val="13"/>
                <w:szCs w:val="13"/>
                <w:color w:val="auto"/>
              </w:rPr>
            </w:pPr>
          </w:p>
        </w:tc>
        <w:tc>
          <w:tcPr>
            <w:tcW w:w="6880" w:type="dxa"/>
            <w:vAlign w:val="bottom"/>
            <w:tcBorders>
              <w:top w:val="single" w:sz="8" w:color="D64000"/>
              <w:bottom w:val="single" w:sz="8" w:color="7F7F7F"/>
            </w:tcBorders>
            <w:gridSpan w:val="5"/>
          </w:tcPr>
          <w:p>
            <w:pPr>
              <w:spacing w:after="0"/>
              <w:rPr>
                <w:sz w:val="13"/>
                <w:szCs w:val="13"/>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7"/>
                <w:szCs w:val="17"/>
                <w:color w:val="auto"/>
              </w:rPr>
              <w:t>Page A-2</w:t>
            </w:r>
          </w:p>
        </w:tc>
        <w:tc>
          <w:tcPr>
            <w:tcW w:w="6880" w:type="dxa"/>
            <w:vAlign w:val="bottom"/>
            <w:gridSpan w:val="5"/>
          </w:tcPr>
          <w:p>
            <w:pPr>
              <w:jc w:val="right"/>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r>
    </w:tbl>
    <w:p>
      <w:pPr>
        <w:sectPr>
          <w:pgSz w:w="11900" w:h="16838" w:orient="portrait"/>
          <w:cols w:equalWidth="0" w:num="1">
            <w:col w:w="10920"/>
          </w:cols>
          <w:pgMar w:left="480" w:top="287" w:right="49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2940" w:type="dxa"/>
            <w:vAlign w:val="bottom"/>
          </w:tcPr>
          <w:p>
            <w:pPr>
              <w:ind w:left="100"/>
              <w:spacing w:after="0"/>
              <w:rPr>
                <w:sz w:val="20"/>
                <w:szCs w:val="20"/>
                <w:color w:val="auto"/>
              </w:rPr>
            </w:pPr>
            <w:r>
              <w:rPr>
                <w:rFonts w:ascii="Arial" w:cs="Arial" w:eastAsia="Arial" w:hAnsi="Arial"/>
                <w:sz w:val="16"/>
                <w:szCs w:val="16"/>
                <w:b w:val="1"/>
                <w:bCs w:val="1"/>
                <w:color w:val="auto"/>
              </w:rPr>
              <w:t>Expiration of options</w:t>
            </w: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Options, SARs and RSUs cease to be exercisable according to the terms of the applicable award</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agreement, or as may be determined by the HR Committee, in the event that a participant ceases to be</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an employee or officer of Thomson Reuters. Options and RSUs granted in 2025 are subject to early</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expiration or vesting in certain circumstances, including death, disability, retirement and termination. If</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options or SARs would otherwise expire during a blackout period, the term will be extended until 10</w:t>
            </w:r>
          </w:p>
        </w:tc>
      </w:tr>
      <w:tr>
        <w:trPr>
          <w:trHeight w:val="201"/>
        </w:trPr>
        <w:tc>
          <w:tcPr>
            <w:tcW w:w="2940" w:type="dxa"/>
            <w:vAlign w:val="bottom"/>
            <w:tcBorders>
              <w:bottom w:val="single" w:sz="8" w:color="B2B2B2"/>
            </w:tcBorders>
          </w:tcPr>
          <w:p>
            <w:pPr>
              <w:spacing w:after="0"/>
              <w:rPr>
                <w:sz w:val="17"/>
                <w:szCs w:val="17"/>
                <w:color w:val="auto"/>
              </w:rPr>
            </w:pPr>
          </w:p>
        </w:tc>
        <w:tc>
          <w:tcPr>
            <w:tcW w:w="7260" w:type="dxa"/>
            <w:vAlign w:val="bottom"/>
            <w:tcBorders>
              <w:bottom w:val="single" w:sz="8" w:color="B2B2B2"/>
            </w:tcBorders>
          </w:tcPr>
          <w:p>
            <w:pPr>
              <w:ind w:left="460"/>
              <w:spacing w:after="0"/>
              <w:rPr>
                <w:sz w:val="20"/>
                <w:szCs w:val="20"/>
                <w:color w:val="auto"/>
              </w:rPr>
            </w:pPr>
            <w:r>
              <w:rPr>
                <w:rFonts w:ascii="Arial" w:cs="Arial" w:eastAsia="Arial" w:hAnsi="Arial"/>
                <w:sz w:val="16"/>
                <w:szCs w:val="16"/>
                <w:color w:val="auto"/>
              </w:rPr>
              <w:t>business days after conclusion of such blackout period.</w:t>
            </w:r>
          </w:p>
        </w:tc>
        <w:tc>
          <w:tcPr>
            <w:tcW w:w="720" w:type="dxa"/>
            <w:vAlign w:val="bottom"/>
            <w:tcBorders>
              <w:bottom w:val="single" w:sz="8" w:color="B2B2B2"/>
            </w:tcBorders>
          </w:tcPr>
          <w:p>
            <w:pPr>
              <w:spacing w:after="0"/>
              <w:rPr>
                <w:sz w:val="17"/>
                <w:szCs w:val="17"/>
                <w:color w:val="auto"/>
              </w:rPr>
            </w:pPr>
          </w:p>
        </w:tc>
      </w:tr>
      <w:tr>
        <w:trPr>
          <w:trHeight w:val="220"/>
        </w:trPr>
        <w:tc>
          <w:tcPr>
            <w:tcW w:w="2940" w:type="dxa"/>
            <w:vAlign w:val="bottom"/>
          </w:tcPr>
          <w:p>
            <w:pPr>
              <w:ind w:left="100"/>
              <w:spacing w:after="0"/>
              <w:rPr>
                <w:sz w:val="20"/>
                <w:szCs w:val="20"/>
                <w:color w:val="auto"/>
              </w:rPr>
            </w:pPr>
            <w:r>
              <w:rPr>
                <w:rFonts w:ascii="Arial" w:cs="Arial" w:eastAsia="Arial" w:hAnsi="Arial"/>
                <w:sz w:val="16"/>
                <w:szCs w:val="16"/>
                <w:b w:val="1"/>
                <w:bCs w:val="1"/>
                <w:color w:val="auto"/>
              </w:rPr>
              <w:t>Plan amendments and changes</w:t>
            </w: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The Board and/or the HR Committee may make any amendments to the plan or any outstanding award</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without seeking shareholder approval (including, but not limited to, minor “housekeeping” changes,</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changes to comply with applicable laws and changes to vesting provisions of awards), except for an</w:t>
            </w:r>
          </w:p>
        </w:tc>
      </w:tr>
      <w:tr>
        <w:trPr>
          <w:trHeight w:val="187"/>
        </w:trPr>
        <w:tc>
          <w:tcPr>
            <w:tcW w:w="2940" w:type="dxa"/>
            <w:vAlign w:val="bottom"/>
          </w:tcPr>
          <w:p>
            <w:pPr>
              <w:spacing w:after="0"/>
              <w:rPr>
                <w:sz w:val="16"/>
                <w:szCs w:val="16"/>
                <w:color w:val="auto"/>
              </w:rPr>
            </w:pPr>
          </w:p>
        </w:tc>
        <w:tc>
          <w:tcPr>
            <w:tcW w:w="7260" w:type="dxa"/>
            <w:vAlign w:val="bottom"/>
          </w:tcPr>
          <w:p>
            <w:pPr>
              <w:ind w:left="460"/>
              <w:spacing w:after="0"/>
              <w:rPr>
                <w:sz w:val="20"/>
                <w:szCs w:val="20"/>
                <w:color w:val="auto"/>
              </w:rPr>
            </w:pPr>
            <w:r>
              <w:rPr>
                <w:rFonts w:ascii="Arial" w:cs="Arial" w:eastAsia="Arial" w:hAnsi="Arial"/>
                <w:sz w:val="16"/>
                <w:szCs w:val="16"/>
                <w:color w:val="auto"/>
              </w:rPr>
              <w:t>amendment which:</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increases the maximum number of shares that can be issued under the plan, including an increase to</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a fixed number of such shares or a change from a fixed number of such shares to a fixed maximum</w:t>
            </w: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percentage;</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260" w:type="dxa"/>
            <w:vAlign w:val="bottom"/>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increases the maximum number of shares that can be issued pursuant to RSUs;</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260" w:type="dxa"/>
            <w:vAlign w:val="bottom"/>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increases the maximum number of shares which may be issued under the awards held by a</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participant;</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reduces the exercise price of an award (including a cancellation and re-grant of an award, constituting</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a reduction of the exercise price of such award), except in connection with maintaining the value of an</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award in connection with a change in the number of the outstanding common shares by reason of a</w:t>
            </w: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w w:val="99"/>
              </w:rPr>
              <w:t>stock dividend or split, recapitalization, reorganization, merger, amalgamation, consolidation,</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combination or exchange of shares or other corporate change affecting such shares;</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extends the term of an award beyond its original expiry date, except where the expiry date would have</w:t>
            </w: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occurred in a blackout period;</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changes the provisions relating to the transferability of an award, other than for a transfer by will or the</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laws of descent and distribution, a transfer by a grantee to an entity which is controlled by the grantee</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or a transfer to a former spouse or domestic partner in connection with a legal obligation or settlement;</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changes the provisions relating to adjustments in the number or kind of shares or securities reserved</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for issuance or subject to outstanding awards or the exercise price, in the event of any change in the</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number of the outstanding common shares by reason of a stock dividend or split, recapitalization,</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700"/>
              <w:spacing w:after="0"/>
              <w:rPr>
                <w:sz w:val="20"/>
                <w:szCs w:val="20"/>
                <w:color w:val="auto"/>
              </w:rPr>
            </w:pPr>
            <w:r>
              <w:rPr>
                <w:rFonts w:ascii="Arial" w:cs="Arial" w:eastAsia="Arial" w:hAnsi="Arial"/>
                <w:sz w:val="16"/>
                <w:szCs w:val="16"/>
                <w:color w:val="auto"/>
              </w:rPr>
              <w:t>reorganization, merger, amalgamation, consolidation, combination or exchange of shares or other</w:t>
            </w: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corporate change affecting such shares;</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extends eligibility to participate in the stock incentive plan to a director who is not an employee or</w:t>
            </w: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officer of our company;</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260" w:type="dxa"/>
            <w:vAlign w:val="bottom"/>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changes the rights attaching to our common shares;</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260" w:type="dxa"/>
            <w:vAlign w:val="bottom"/>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changes the amending provisions of the plan;</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removes or exceeds the insider participation limit under the plan (as defined in the TSX Company</w:t>
            </w: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Manual), as amended from time to time; or</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is required to be approved by shareholders under applicable laws, regulations or stock exchange</w:t>
            </w:r>
          </w:p>
        </w:tc>
      </w:tr>
      <w:tr>
        <w:trPr>
          <w:trHeight w:val="187"/>
        </w:trPr>
        <w:tc>
          <w:tcPr>
            <w:tcW w:w="2940" w:type="dxa"/>
            <w:vAlign w:val="bottom"/>
          </w:tcPr>
          <w:p>
            <w:pPr>
              <w:spacing w:after="0"/>
              <w:rPr>
                <w:sz w:val="16"/>
                <w:szCs w:val="16"/>
                <w:color w:val="auto"/>
              </w:rPr>
            </w:pPr>
          </w:p>
        </w:tc>
        <w:tc>
          <w:tcPr>
            <w:tcW w:w="7260" w:type="dxa"/>
            <w:vAlign w:val="bottom"/>
          </w:tcPr>
          <w:p>
            <w:pPr>
              <w:ind w:left="700"/>
              <w:spacing w:after="0"/>
              <w:rPr>
                <w:sz w:val="20"/>
                <w:szCs w:val="20"/>
                <w:color w:val="auto"/>
              </w:rPr>
            </w:pPr>
            <w:r>
              <w:rPr>
                <w:rFonts w:ascii="Arial" w:cs="Arial" w:eastAsia="Arial" w:hAnsi="Arial"/>
                <w:sz w:val="16"/>
                <w:szCs w:val="16"/>
                <w:color w:val="auto"/>
              </w:rPr>
              <w:t>rules.</w:t>
            </w:r>
          </w:p>
        </w:tc>
        <w:tc>
          <w:tcPr>
            <w:tcW w:w="720" w:type="dxa"/>
            <w:vAlign w:val="bottom"/>
          </w:tcPr>
          <w:p>
            <w:pPr>
              <w:spacing w:after="0"/>
              <w:rPr>
                <w:sz w:val="16"/>
                <w:szCs w:val="16"/>
                <w:color w:val="auto"/>
              </w:rPr>
            </w:pP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Subject to certain exceptions, no such amendment may materially and adversely affect the rights of any</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participant in relation to any outstanding award granted under the plan without the consent of the affected</w:t>
            </w:r>
          </w:p>
        </w:tc>
      </w:tr>
      <w:tr>
        <w:trPr>
          <w:trHeight w:val="213"/>
        </w:trPr>
        <w:tc>
          <w:tcPr>
            <w:tcW w:w="2940" w:type="dxa"/>
            <w:vAlign w:val="bottom"/>
            <w:tcBorders>
              <w:bottom w:val="single" w:sz="8" w:color="B2B2B2"/>
            </w:tcBorders>
          </w:tcPr>
          <w:p>
            <w:pPr>
              <w:spacing w:after="0"/>
              <w:rPr>
                <w:sz w:val="18"/>
                <w:szCs w:val="18"/>
                <w:color w:val="auto"/>
              </w:rPr>
            </w:pPr>
          </w:p>
        </w:tc>
        <w:tc>
          <w:tcPr>
            <w:tcW w:w="7260" w:type="dxa"/>
            <w:vAlign w:val="bottom"/>
            <w:tcBorders>
              <w:bottom w:val="single" w:sz="8" w:color="B2B2B2"/>
            </w:tcBorders>
          </w:tcPr>
          <w:p>
            <w:pPr>
              <w:ind w:left="460"/>
              <w:spacing w:after="0"/>
              <w:rPr>
                <w:sz w:val="20"/>
                <w:szCs w:val="20"/>
                <w:color w:val="auto"/>
              </w:rPr>
            </w:pPr>
            <w:r>
              <w:rPr>
                <w:rFonts w:ascii="Arial" w:cs="Arial" w:eastAsia="Arial" w:hAnsi="Arial"/>
                <w:sz w:val="16"/>
                <w:szCs w:val="16"/>
                <w:color w:val="auto"/>
              </w:rPr>
              <w:t>participant.</w:t>
            </w:r>
          </w:p>
        </w:tc>
        <w:tc>
          <w:tcPr>
            <w:tcW w:w="720" w:type="dxa"/>
            <w:vAlign w:val="bottom"/>
            <w:tcBorders>
              <w:bottom w:val="single" w:sz="8" w:color="B2B2B2"/>
            </w:tcBorders>
          </w:tcPr>
          <w:p>
            <w:pPr>
              <w:spacing w:after="0"/>
              <w:rPr>
                <w:sz w:val="18"/>
                <w:szCs w:val="18"/>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6"/>
                <w:szCs w:val="16"/>
                <w:b w:val="1"/>
                <w:bCs w:val="1"/>
                <w:color w:val="auto"/>
              </w:rPr>
              <w:t>Exercise process</w:t>
            </w: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Cashless exercises permitted, as well as cash payments. For a cashless exercise of options, the</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participant will receive the net number of shares equal to the in-the-money amount of the options (less</w:t>
            </w:r>
          </w:p>
        </w:tc>
      </w:tr>
      <w:tr>
        <w:trPr>
          <w:trHeight w:val="201"/>
        </w:trPr>
        <w:tc>
          <w:tcPr>
            <w:tcW w:w="2940" w:type="dxa"/>
            <w:vAlign w:val="bottom"/>
            <w:tcBorders>
              <w:bottom w:val="single" w:sz="8" w:color="B2B2B2"/>
            </w:tcBorders>
          </w:tcPr>
          <w:p>
            <w:pPr>
              <w:spacing w:after="0"/>
              <w:rPr>
                <w:sz w:val="17"/>
                <w:szCs w:val="17"/>
                <w:color w:val="auto"/>
              </w:rPr>
            </w:pPr>
          </w:p>
        </w:tc>
        <w:tc>
          <w:tcPr>
            <w:tcW w:w="7260" w:type="dxa"/>
            <w:vAlign w:val="bottom"/>
            <w:tcBorders>
              <w:bottom w:val="single" w:sz="8" w:color="B2B2B2"/>
            </w:tcBorders>
          </w:tcPr>
          <w:p>
            <w:pPr>
              <w:ind w:left="460"/>
              <w:spacing w:after="0"/>
              <w:rPr>
                <w:sz w:val="20"/>
                <w:szCs w:val="20"/>
                <w:color w:val="auto"/>
              </w:rPr>
            </w:pPr>
            <w:r>
              <w:rPr>
                <w:rFonts w:ascii="Arial" w:cs="Arial" w:eastAsia="Arial" w:hAnsi="Arial"/>
                <w:sz w:val="16"/>
                <w:szCs w:val="16"/>
                <w:color w:val="auto"/>
              </w:rPr>
              <w:t>applicable taxes). The number of options exercised will be deducted from the share reserve.</w:t>
            </w:r>
          </w:p>
        </w:tc>
        <w:tc>
          <w:tcPr>
            <w:tcW w:w="720" w:type="dxa"/>
            <w:vAlign w:val="bottom"/>
            <w:tcBorders>
              <w:bottom w:val="single" w:sz="8" w:color="B2B2B2"/>
            </w:tcBorders>
          </w:tcPr>
          <w:p>
            <w:pPr>
              <w:spacing w:after="0"/>
              <w:rPr>
                <w:sz w:val="17"/>
                <w:szCs w:val="17"/>
                <w:color w:val="auto"/>
              </w:rPr>
            </w:pPr>
          </w:p>
        </w:tc>
      </w:tr>
      <w:tr>
        <w:trPr>
          <w:trHeight w:val="220"/>
        </w:trPr>
        <w:tc>
          <w:tcPr>
            <w:tcW w:w="2940" w:type="dxa"/>
            <w:vAlign w:val="bottom"/>
          </w:tcPr>
          <w:p>
            <w:pPr>
              <w:ind w:left="100"/>
              <w:spacing w:after="0"/>
              <w:rPr>
                <w:sz w:val="20"/>
                <w:szCs w:val="20"/>
                <w:color w:val="auto"/>
              </w:rPr>
            </w:pPr>
            <w:r>
              <w:rPr>
                <w:rFonts w:ascii="Arial" w:cs="Arial" w:eastAsia="Arial" w:hAnsi="Arial"/>
                <w:sz w:val="16"/>
                <w:szCs w:val="16"/>
                <w:b w:val="1"/>
                <w:bCs w:val="1"/>
                <w:color w:val="auto"/>
              </w:rPr>
              <w:t>Transfers and assignments</w:t>
            </w: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Not possible other than by will or the laws of descent and distribution, a transfer by a participant to an</w:t>
            </w:r>
          </w:p>
        </w:tc>
      </w:tr>
      <w:tr>
        <w:trPr>
          <w:trHeight w:val="187"/>
        </w:trPr>
        <w:tc>
          <w:tcPr>
            <w:tcW w:w="2940" w:type="dxa"/>
            <w:vAlign w:val="bottom"/>
          </w:tcPr>
          <w:p>
            <w:pPr>
              <w:spacing w:after="0"/>
              <w:rPr>
                <w:sz w:val="16"/>
                <w:szCs w:val="16"/>
                <w:color w:val="auto"/>
              </w:rPr>
            </w:pPr>
          </w:p>
        </w:tc>
        <w:tc>
          <w:tcPr>
            <w:tcW w:w="7980" w:type="dxa"/>
            <w:vAlign w:val="bottom"/>
            <w:gridSpan w:val="2"/>
          </w:tcPr>
          <w:p>
            <w:pPr>
              <w:ind w:left="460"/>
              <w:spacing w:after="0"/>
              <w:rPr>
                <w:sz w:val="20"/>
                <w:szCs w:val="20"/>
                <w:color w:val="auto"/>
              </w:rPr>
            </w:pPr>
            <w:r>
              <w:rPr>
                <w:rFonts w:ascii="Arial" w:cs="Arial" w:eastAsia="Arial" w:hAnsi="Arial"/>
                <w:sz w:val="16"/>
                <w:szCs w:val="16"/>
                <w:color w:val="auto"/>
              </w:rPr>
              <w:t>entity which is controlled by a participant or a transfer to a former spouse or domestic partner of a</w:t>
            </w:r>
          </w:p>
        </w:tc>
      </w:tr>
      <w:tr>
        <w:trPr>
          <w:trHeight w:val="211"/>
        </w:trPr>
        <w:tc>
          <w:tcPr>
            <w:tcW w:w="2940" w:type="dxa"/>
            <w:vAlign w:val="bottom"/>
          </w:tcPr>
          <w:p>
            <w:pPr>
              <w:spacing w:after="0"/>
              <w:rPr>
                <w:sz w:val="18"/>
                <w:szCs w:val="18"/>
                <w:color w:val="auto"/>
              </w:rPr>
            </w:pPr>
          </w:p>
        </w:tc>
        <w:tc>
          <w:tcPr>
            <w:tcW w:w="7260" w:type="dxa"/>
            <w:vAlign w:val="bottom"/>
          </w:tcPr>
          <w:p>
            <w:pPr>
              <w:ind w:left="460"/>
              <w:spacing w:after="0"/>
              <w:rPr>
                <w:sz w:val="20"/>
                <w:szCs w:val="20"/>
                <w:color w:val="auto"/>
              </w:rPr>
            </w:pPr>
            <w:r>
              <w:rPr>
                <w:rFonts w:ascii="Arial" w:cs="Arial" w:eastAsia="Arial" w:hAnsi="Arial"/>
                <w:sz w:val="16"/>
                <w:szCs w:val="16"/>
                <w:color w:val="auto"/>
              </w:rPr>
              <w:t>participant in connection with a legal obligation or settlement.</w:t>
            </w:r>
          </w:p>
        </w:tc>
        <w:tc>
          <w:tcPr>
            <w:tcW w:w="720" w:type="dxa"/>
            <w:vAlign w:val="bottom"/>
          </w:tcPr>
          <w:p>
            <w:pPr>
              <w:spacing w:after="0"/>
              <w:rPr>
                <w:sz w:val="18"/>
                <w:szCs w:val="18"/>
                <w:color w:val="auto"/>
              </w:rPr>
            </w:pPr>
          </w:p>
        </w:tc>
      </w:tr>
      <w:tr>
        <w:trPr>
          <w:trHeight w:val="64"/>
        </w:trPr>
        <w:tc>
          <w:tcPr>
            <w:tcW w:w="10200" w:type="dxa"/>
            <w:vAlign w:val="bottom"/>
            <w:tcBorders>
              <w:bottom w:val="single" w:sz="8" w:color="D64000"/>
            </w:tcBorders>
            <w:gridSpan w:val="2"/>
          </w:tcPr>
          <w:p>
            <w:pPr>
              <w:spacing w:after="0"/>
              <w:rPr>
                <w:sz w:val="5"/>
                <w:szCs w:val="5"/>
                <w:color w:val="auto"/>
              </w:rPr>
            </w:pPr>
          </w:p>
        </w:tc>
        <w:tc>
          <w:tcPr>
            <w:tcW w:w="720" w:type="dxa"/>
            <w:vAlign w:val="bottom"/>
            <w:tcBorders>
              <w:bottom w:val="single" w:sz="8" w:color="D64000"/>
            </w:tcBorders>
          </w:tcPr>
          <w:p>
            <w:pPr>
              <w:spacing w:after="0"/>
              <w:rPr>
                <w:sz w:val="5"/>
                <w:szCs w:val="5"/>
                <w:color w:val="auto"/>
              </w:rPr>
            </w:pPr>
          </w:p>
        </w:tc>
      </w:tr>
      <w:tr>
        <w:trPr>
          <w:trHeight w:val="160"/>
        </w:trPr>
        <w:tc>
          <w:tcPr>
            <w:tcW w:w="10200" w:type="dxa"/>
            <w:vAlign w:val="bottom"/>
            <w:tcBorders>
              <w:bottom w:val="single" w:sz="8" w:color="7F7F7F"/>
            </w:tcBorders>
            <w:gridSpan w:val="2"/>
          </w:tcPr>
          <w:p>
            <w:pPr>
              <w:spacing w:after="0"/>
              <w:rPr>
                <w:sz w:val="13"/>
                <w:szCs w:val="13"/>
                <w:color w:val="auto"/>
              </w:rPr>
            </w:pPr>
          </w:p>
        </w:tc>
        <w:tc>
          <w:tcPr>
            <w:tcW w:w="720" w:type="dxa"/>
            <w:vAlign w:val="bottom"/>
            <w:tcBorders>
              <w:bottom w:val="single" w:sz="8" w:color="7F7F7F"/>
            </w:tcBorders>
          </w:tcPr>
          <w:p>
            <w:pPr>
              <w:spacing w:after="0"/>
              <w:rPr>
                <w:sz w:val="13"/>
                <w:szCs w:val="13"/>
                <w:color w:val="auto"/>
              </w:rPr>
            </w:pPr>
          </w:p>
        </w:tc>
      </w:tr>
      <w:tr>
        <w:trPr>
          <w:trHeight w:val="243"/>
        </w:trPr>
        <w:tc>
          <w:tcPr>
            <w:tcW w:w="10200" w:type="dxa"/>
            <w:vAlign w:val="bottom"/>
            <w:gridSpan w:val="2"/>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720" w:type="dxa"/>
            <w:vAlign w:val="bottom"/>
          </w:tcPr>
          <w:p>
            <w:pPr>
              <w:ind w:left="20"/>
              <w:spacing w:after="0"/>
              <w:rPr>
                <w:sz w:val="20"/>
                <w:szCs w:val="20"/>
                <w:color w:val="auto"/>
              </w:rPr>
            </w:pPr>
            <w:r>
              <w:rPr>
                <w:rFonts w:ascii="Arial" w:cs="Arial" w:eastAsia="Arial" w:hAnsi="Arial"/>
                <w:sz w:val="17"/>
                <w:szCs w:val="17"/>
                <w:color w:val="auto"/>
                <w:w w:val="95"/>
              </w:rPr>
              <w:t>Page A-3</w:t>
            </w:r>
          </w:p>
        </w:tc>
      </w:tr>
    </w:tbl>
    <w:p>
      <w:pPr>
        <w:sectPr>
          <w:pgSz w:w="11900" w:h="16838" w:orient="portrait"/>
          <w:cols w:equalWidth="0" w:num="1">
            <w:col w:w="10920"/>
          </w:cols>
          <w:pgMar w:left="480" w:top="353" w:right="49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182245</wp:posOffset>
            </wp:positionV>
            <wp:extent cx="6929755" cy="2209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29755" cy="220980"/>
                    </a:xfrm>
                    <a:prstGeom prst="rect">
                      <a:avLst/>
                    </a:prstGeom>
                    <a:noFill/>
                  </pic:spPr>
                </pic:pic>
              </a:graphicData>
            </a:graphic>
          </wp:anchor>
        </w:drawing>
        <w:t>  Phantom Stock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Eligibility</w:t>
            </w:r>
          </w:p>
        </w:tc>
        <w:tc>
          <w:tcPr>
            <w:tcW w:w="6920" w:type="dxa"/>
            <w:vAlign w:val="bottom"/>
          </w:tcPr>
          <w:p>
            <w:pPr>
              <w:ind w:left="120"/>
              <w:spacing w:after="0"/>
              <w:rPr>
                <w:sz w:val="20"/>
                <w:szCs w:val="20"/>
                <w:color w:val="auto"/>
              </w:rPr>
            </w:pPr>
            <w:r>
              <w:rPr>
                <w:rFonts w:ascii="Arial" w:cs="Arial" w:eastAsia="Arial" w:hAnsi="Arial"/>
                <w:sz w:val="16"/>
                <w:szCs w:val="16"/>
                <w:color w:val="auto"/>
              </w:rPr>
              <w:t>Any employee or officer of Thomson Reuters (as may be determined by the HR Committee).</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Non-employee directors are not eligible to participate in the plan.</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Purpose</w:t>
            </w:r>
          </w:p>
        </w:tc>
        <w:tc>
          <w:tcPr>
            <w:tcW w:w="6920" w:type="dxa"/>
            <w:vAlign w:val="bottom"/>
          </w:tcPr>
          <w:p>
            <w:pPr>
              <w:ind w:left="120"/>
              <w:spacing w:after="0"/>
              <w:rPr>
                <w:sz w:val="20"/>
                <w:szCs w:val="20"/>
                <w:color w:val="auto"/>
              </w:rPr>
            </w:pPr>
            <w:r>
              <w:rPr>
                <w:rFonts w:ascii="Arial" w:cs="Arial" w:eastAsia="Arial" w:hAnsi="Arial"/>
                <w:sz w:val="16"/>
                <w:szCs w:val="16"/>
                <w:color w:val="auto"/>
              </w:rPr>
              <w:t>If tax or securities regulations make it impracticable or inefficient to make grants under the stock</w:t>
            </w:r>
          </w:p>
        </w:tc>
      </w:tr>
      <w:tr>
        <w:trPr>
          <w:trHeight w:val="187"/>
        </w:trPr>
        <w:tc>
          <w:tcPr>
            <w:tcW w:w="4000" w:type="dxa"/>
            <w:vAlign w:val="bottom"/>
          </w:tcPr>
          <w:p>
            <w:pPr>
              <w:spacing w:after="0"/>
              <w:rPr>
                <w:sz w:val="16"/>
                <w:szCs w:val="16"/>
                <w:color w:val="auto"/>
              </w:rPr>
            </w:pPr>
          </w:p>
        </w:tc>
        <w:tc>
          <w:tcPr>
            <w:tcW w:w="6920" w:type="dxa"/>
            <w:vAlign w:val="bottom"/>
          </w:tcPr>
          <w:p>
            <w:pPr>
              <w:ind w:left="120"/>
              <w:spacing w:after="0"/>
              <w:rPr>
                <w:sz w:val="20"/>
                <w:szCs w:val="20"/>
                <w:color w:val="auto"/>
              </w:rPr>
            </w:pPr>
            <w:r>
              <w:rPr>
                <w:rFonts w:ascii="Arial" w:cs="Arial" w:eastAsia="Arial" w:hAnsi="Arial"/>
                <w:sz w:val="16"/>
                <w:szCs w:val="16"/>
                <w:color w:val="auto"/>
              </w:rPr>
              <w:t>incentive plan, we may allocate units under this plan to executive officers and senior</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employees.</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Maximum number of shares issuable</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Not applicable, since all awards are cash-based.</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Issued as of December 31, 2025</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Not applicable, since all awards are cash-based.</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Available for issue as of December 31, 2025</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Not applicable, since all awards are cash-based.</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Total SARs outstanding</w:t>
            </w:r>
          </w:p>
        </w:tc>
        <w:tc>
          <w:tcPr>
            <w:tcW w:w="6920" w:type="dxa"/>
            <w:vAlign w:val="bottom"/>
          </w:tcPr>
          <w:p>
            <w:pPr>
              <w:ind w:left="120"/>
              <w:spacing w:after="0"/>
              <w:rPr>
                <w:sz w:val="20"/>
                <w:szCs w:val="20"/>
                <w:color w:val="auto"/>
              </w:rPr>
            </w:pPr>
            <w:r>
              <w:rPr>
                <w:rFonts w:ascii="Arial" w:cs="Arial" w:eastAsia="Arial" w:hAnsi="Arial"/>
                <w:sz w:val="16"/>
                <w:szCs w:val="16"/>
                <w:color w:val="auto"/>
              </w:rPr>
              <w:t>Not applicable, since all awards are cash-based.</w:t>
            </w:r>
          </w:p>
        </w:tc>
      </w:tr>
      <w:tr>
        <w:trPr>
          <w:trHeight w:val="215"/>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as of December 31, 2025</w:t>
            </w:r>
          </w:p>
        </w:tc>
        <w:tc>
          <w:tcPr>
            <w:tcW w:w="6920" w:type="dxa"/>
            <w:vAlign w:val="bottom"/>
            <w:tcBorders>
              <w:bottom w:val="single" w:sz="8" w:color="B2B2B2"/>
            </w:tcBorders>
          </w:tcPr>
          <w:p>
            <w:pPr>
              <w:spacing w:after="0"/>
              <w:rPr>
                <w:sz w:val="18"/>
                <w:szCs w:val="18"/>
                <w:color w:val="auto"/>
              </w:rPr>
            </w:pP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Burn rate – the total number of SARs granted in</w:t>
            </w:r>
          </w:p>
        </w:tc>
        <w:tc>
          <w:tcPr>
            <w:tcW w:w="6920" w:type="dxa"/>
            <w:vAlign w:val="bottom"/>
          </w:tcPr>
          <w:p>
            <w:pPr>
              <w:ind w:left="120"/>
              <w:spacing w:after="0"/>
              <w:rPr>
                <w:sz w:val="20"/>
                <w:szCs w:val="20"/>
                <w:color w:val="auto"/>
              </w:rPr>
            </w:pPr>
            <w:r>
              <w:rPr>
                <w:rFonts w:ascii="Arial" w:cs="Arial" w:eastAsia="Arial" w:hAnsi="Arial"/>
                <w:sz w:val="16"/>
                <w:szCs w:val="16"/>
                <w:color w:val="auto"/>
              </w:rPr>
              <w:t>Not applicable, since all awards are cash-based.</w:t>
            </w:r>
          </w:p>
        </w:tc>
      </w:tr>
      <w:tr>
        <w:trPr>
          <w:trHeight w:val="187"/>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the applicable year, divided by the total weighted</w:t>
            </w:r>
          </w:p>
        </w:tc>
        <w:tc>
          <w:tcPr>
            <w:tcW w:w="6920" w:type="dxa"/>
            <w:vAlign w:val="bottom"/>
          </w:tcPr>
          <w:p>
            <w:pPr>
              <w:spacing w:after="0"/>
              <w:rPr>
                <w:sz w:val="16"/>
                <w:szCs w:val="16"/>
                <w:color w:val="auto"/>
              </w:rPr>
            </w:pPr>
          </w:p>
        </w:tc>
      </w:tr>
      <w:tr>
        <w:trPr>
          <w:trHeight w:val="187"/>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average of common shares outstanding during the</w:t>
            </w:r>
          </w:p>
        </w:tc>
        <w:tc>
          <w:tcPr>
            <w:tcW w:w="6920" w:type="dxa"/>
            <w:vAlign w:val="bottom"/>
          </w:tcPr>
          <w:p>
            <w:pPr>
              <w:spacing w:after="0"/>
              <w:rPr>
                <w:sz w:val="16"/>
                <w:szCs w:val="16"/>
                <w:color w:val="auto"/>
              </w:rPr>
            </w:pPr>
          </w:p>
        </w:tc>
      </w:tr>
      <w:tr>
        <w:trPr>
          <w:trHeight w:val="201"/>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year</w:t>
            </w:r>
          </w:p>
        </w:tc>
        <w:tc>
          <w:tcPr>
            <w:tcW w:w="6920" w:type="dxa"/>
            <w:vAlign w:val="bottom"/>
            <w:tcBorders>
              <w:bottom w:val="single" w:sz="8" w:color="B2B2B2"/>
            </w:tcBorders>
          </w:tcPr>
          <w:p>
            <w:pPr>
              <w:spacing w:after="0"/>
              <w:rPr>
                <w:sz w:val="17"/>
                <w:szCs w:val="17"/>
                <w:color w:val="auto"/>
              </w:rPr>
            </w:pP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Types of awards that may be issued</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SARs and other cash-based awards.</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Maximum SAR term</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10-year expiration date from the date of grant.</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Exercise price of SARs</w:t>
            </w:r>
          </w:p>
        </w:tc>
        <w:tc>
          <w:tcPr>
            <w:tcW w:w="6920" w:type="dxa"/>
            <w:vAlign w:val="bottom"/>
          </w:tcPr>
          <w:p>
            <w:pPr>
              <w:ind w:left="120"/>
              <w:spacing w:after="0"/>
              <w:rPr>
                <w:sz w:val="20"/>
                <w:szCs w:val="20"/>
                <w:color w:val="auto"/>
              </w:rPr>
            </w:pPr>
            <w:r>
              <w:rPr>
                <w:rFonts w:ascii="Arial" w:cs="Arial" w:eastAsia="Arial" w:hAnsi="Arial"/>
                <w:sz w:val="16"/>
                <w:szCs w:val="16"/>
                <w:color w:val="auto"/>
              </w:rPr>
              <w:t>Equal to the closing price of our shares on the trading day immediately preceding the date of</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the grant.</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Vesting and exercise of SARs</w:t>
            </w:r>
          </w:p>
        </w:tc>
        <w:tc>
          <w:tcPr>
            <w:tcW w:w="6920" w:type="dxa"/>
            <w:vAlign w:val="bottom"/>
          </w:tcPr>
          <w:p>
            <w:pPr>
              <w:ind w:left="120"/>
              <w:spacing w:after="0"/>
              <w:rPr>
                <w:sz w:val="20"/>
                <w:szCs w:val="20"/>
                <w:color w:val="auto"/>
              </w:rPr>
            </w:pPr>
            <w:r>
              <w:rPr>
                <w:rFonts w:ascii="Arial" w:cs="Arial" w:eastAsia="Arial" w:hAnsi="Arial"/>
                <w:sz w:val="16"/>
                <w:szCs w:val="16"/>
                <w:color w:val="auto"/>
              </w:rPr>
              <w:t>SARs must be vested before they can be exercised. SARs vest 25% each year over a four year</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period.</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Expiration of SARs</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Identical to the provisions of the stock incentive plan described above.</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Plan amendments and changes</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Substantially similar to the provisions of the stock incentive plan described above.</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Exercise process</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Election made to Corporate Human Resources Department; no payments due upon exercise.</w:t>
            </w:r>
          </w:p>
        </w:tc>
      </w:tr>
      <w:tr>
        <w:trPr>
          <w:trHeight w:val="241"/>
        </w:trPr>
        <w:tc>
          <w:tcPr>
            <w:tcW w:w="4000" w:type="dxa"/>
            <w:vAlign w:val="bottom"/>
            <w:tcBorders>
              <w:bottom w:val="single" w:sz="8" w:color="D64000"/>
            </w:tcBorders>
          </w:tcPr>
          <w:p>
            <w:pPr>
              <w:ind w:left="100"/>
              <w:spacing w:after="0"/>
              <w:rPr>
                <w:sz w:val="20"/>
                <w:szCs w:val="20"/>
                <w:color w:val="auto"/>
              </w:rPr>
            </w:pPr>
            <w:r>
              <w:rPr>
                <w:rFonts w:ascii="Arial" w:cs="Arial" w:eastAsia="Arial" w:hAnsi="Arial"/>
                <w:sz w:val="16"/>
                <w:szCs w:val="16"/>
                <w:b w:val="1"/>
                <w:bCs w:val="1"/>
                <w:color w:val="auto"/>
              </w:rPr>
              <w:t>Transfers and assignments</w:t>
            </w:r>
          </w:p>
        </w:tc>
        <w:tc>
          <w:tcPr>
            <w:tcW w:w="6920" w:type="dxa"/>
            <w:vAlign w:val="bottom"/>
            <w:tcBorders>
              <w:bottom w:val="single" w:sz="8" w:color="D64000"/>
            </w:tcBorders>
          </w:tcPr>
          <w:p>
            <w:pPr>
              <w:ind w:left="120"/>
              <w:spacing w:after="0"/>
              <w:rPr>
                <w:sz w:val="20"/>
                <w:szCs w:val="20"/>
                <w:color w:val="auto"/>
              </w:rPr>
            </w:pPr>
            <w:r>
              <w:rPr>
                <w:rFonts w:ascii="Arial" w:cs="Arial" w:eastAsia="Arial" w:hAnsi="Arial"/>
                <w:sz w:val="16"/>
                <w:szCs w:val="16"/>
                <w:color w:val="auto"/>
              </w:rPr>
              <w:t>Identical to the provisions of the stock incentive plan described above.</w:t>
            </w:r>
          </w:p>
        </w:tc>
      </w:tr>
      <w:tr>
        <w:trPr>
          <w:trHeight w:val="241"/>
        </w:trPr>
        <w:tc>
          <w:tcPr>
            <w:tcW w:w="400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261"/>
        </w:trPr>
        <w:tc>
          <w:tcPr>
            <w:tcW w:w="400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Deferred Compensation Plan</w:t>
            </w:r>
          </w:p>
        </w:tc>
        <w:tc>
          <w:tcPr>
            <w:tcW w:w="6920" w:type="dxa"/>
            <w:vAlign w:val="bottom"/>
            <w:shd w:val="clear" w:color="auto" w:fill="1F473D"/>
          </w:tcPr>
          <w:p>
            <w:pPr>
              <w:spacing w:after="0"/>
              <w:rPr>
                <w:sz w:val="22"/>
                <w:szCs w:val="22"/>
                <w:color w:val="auto"/>
              </w:rPr>
            </w:pPr>
          </w:p>
        </w:tc>
      </w:tr>
      <w:tr>
        <w:trPr>
          <w:trHeight w:val="67"/>
        </w:trPr>
        <w:tc>
          <w:tcPr>
            <w:tcW w:w="4000" w:type="dxa"/>
            <w:vAlign w:val="bottom"/>
            <w:tcBorders>
              <w:bottom w:val="single" w:sz="8" w:color="D64000"/>
            </w:tcBorders>
            <w:shd w:val="clear" w:color="auto" w:fill="1F473D"/>
          </w:tcPr>
          <w:p>
            <w:pPr>
              <w:spacing w:after="0"/>
              <w:rPr>
                <w:sz w:val="5"/>
                <w:szCs w:val="5"/>
                <w:color w:val="auto"/>
              </w:rPr>
            </w:pPr>
          </w:p>
        </w:tc>
        <w:tc>
          <w:tcPr>
            <w:tcW w:w="6920" w:type="dxa"/>
            <w:vAlign w:val="bottom"/>
            <w:tcBorders>
              <w:bottom w:val="single" w:sz="8" w:color="D64000"/>
            </w:tcBorders>
            <w:shd w:val="clear" w:color="auto" w:fill="1F473D"/>
          </w:tcPr>
          <w:p>
            <w:pPr>
              <w:spacing w:after="0"/>
              <w:rPr>
                <w:sz w:val="5"/>
                <w:szCs w:val="5"/>
                <w:color w:val="auto"/>
              </w:rPr>
            </w:pPr>
          </w:p>
        </w:tc>
      </w:tr>
      <w:tr>
        <w:trPr>
          <w:trHeight w:val="241"/>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Eligibility</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Limited number of key executives in the United States.</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Purpose</w:t>
            </w:r>
          </w:p>
        </w:tc>
        <w:tc>
          <w:tcPr>
            <w:tcW w:w="6920" w:type="dxa"/>
            <w:vAlign w:val="bottom"/>
          </w:tcPr>
          <w:p>
            <w:pPr>
              <w:ind w:left="120"/>
              <w:spacing w:after="0"/>
              <w:rPr>
                <w:sz w:val="20"/>
                <w:szCs w:val="20"/>
                <w:color w:val="auto"/>
              </w:rPr>
            </w:pPr>
            <w:r>
              <w:rPr>
                <w:rFonts w:ascii="Arial" w:cs="Arial" w:eastAsia="Arial" w:hAnsi="Arial"/>
                <w:sz w:val="16"/>
                <w:szCs w:val="16"/>
                <w:color w:val="auto"/>
              </w:rPr>
              <w:t>Provide specified benefits to a select group of senior management who contribute materially to</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the continued growth, development and future business success of Thomson Reuters.</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Maximum number of shares issuable</w:t>
            </w:r>
          </w:p>
        </w:tc>
        <w:tc>
          <w:tcPr>
            <w:tcW w:w="6920" w:type="dxa"/>
            <w:vAlign w:val="bottom"/>
          </w:tcPr>
          <w:p>
            <w:pPr>
              <w:ind w:left="120"/>
              <w:spacing w:after="0"/>
              <w:rPr>
                <w:sz w:val="20"/>
                <w:szCs w:val="20"/>
                <w:color w:val="auto"/>
              </w:rPr>
            </w:pPr>
            <w:r>
              <w:rPr>
                <w:rFonts w:ascii="Arial" w:cs="Arial" w:eastAsia="Arial" w:hAnsi="Arial"/>
                <w:sz w:val="16"/>
                <w:szCs w:val="16"/>
                <w:color w:val="auto"/>
              </w:rPr>
              <w:t>6,488,478 shares, representing approximately 1.46% of our total issued and outstanding shares</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as of year end.</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Shares issued as of December 31, 2025</w:t>
            </w:r>
          </w:p>
        </w:tc>
        <w:tc>
          <w:tcPr>
            <w:tcW w:w="6920" w:type="dxa"/>
            <w:vAlign w:val="bottom"/>
          </w:tcPr>
          <w:p>
            <w:pPr>
              <w:ind w:left="120"/>
              <w:spacing w:after="0"/>
              <w:rPr>
                <w:sz w:val="20"/>
                <w:szCs w:val="20"/>
                <w:color w:val="auto"/>
              </w:rPr>
            </w:pPr>
            <w:r>
              <w:rPr>
                <w:rFonts w:ascii="Arial" w:cs="Arial" w:eastAsia="Arial" w:hAnsi="Arial"/>
                <w:sz w:val="16"/>
                <w:szCs w:val="16"/>
                <w:color w:val="auto"/>
              </w:rPr>
              <w:t>1,869,533 shares, representing approximately 0.42% of our total issued and outstanding</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shares.</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Total DSUs outstanding</w:t>
            </w:r>
          </w:p>
        </w:tc>
        <w:tc>
          <w:tcPr>
            <w:tcW w:w="6920" w:type="dxa"/>
            <w:vAlign w:val="bottom"/>
          </w:tcPr>
          <w:p>
            <w:pPr>
              <w:ind w:left="120"/>
              <w:spacing w:after="0"/>
              <w:rPr>
                <w:sz w:val="20"/>
                <w:szCs w:val="20"/>
                <w:color w:val="auto"/>
              </w:rPr>
            </w:pPr>
            <w:r>
              <w:rPr>
                <w:rFonts w:ascii="Arial" w:cs="Arial" w:eastAsia="Arial" w:hAnsi="Arial"/>
                <w:sz w:val="16"/>
                <w:szCs w:val="16"/>
                <w:color w:val="auto"/>
              </w:rPr>
              <w:t>Total DSUs outstanding of 160,143 as of year-end 2025 represented approximately 0.04% of</w:t>
            </w:r>
          </w:p>
        </w:tc>
      </w:tr>
      <w:tr>
        <w:trPr>
          <w:trHeight w:val="215"/>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as of December 31, 2025</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our total issued and outstanding shares.</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Shares available for issue as of</w:t>
            </w:r>
          </w:p>
        </w:tc>
        <w:tc>
          <w:tcPr>
            <w:tcW w:w="6920" w:type="dxa"/>
            <w:vAlign w:val="bottom"/>
          </w:tcPr>
          <w:p>
            <w:pPr>
              <w:ind w:left="120"/>
              <w:spacing w:after="0"/>
              <w:rPr>
                <w:sz w:val="20"/>
                <w:szCs w:val="20"/>
                <w:color w:val="auto"/>
              </w:rPr>
            </w:pPr>
            <w:r>
              <w:rPr>
                <w:rFonts w:ascii="Arial" w:cs="Arial" w:eastAsia="Arial" w:hAnsi="Arial"/>
                <w:sz w:val="16"/>
                <w:szCs w:val="16"/>
                <w:color w:val="auto"/>
              </w:rPr>
              <w:t>4,458,802 shares, representing approximately 1.00% of our total issued and outstanding</w:t>
            </w:r>
          </w:p>
        </w:tc>
      </w:tr>
      <w:tr>
        <w:trPr>
          <w:trHeight w:val="215"/>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December 31, 2025</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shares.</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Types of equity-based awards that may be</w:t>
            </w:r>
          </w:p>
        </w:tc>
        <w:tc>
          <w:tcPr>
            <w:tcW w:w="6920" w:type="dxa"/>
            <w:vAlign w:val="bottom"/>
          </w:tcPr>
          <w:p>
            <w:pPr>
              <w:ind w:left="120"/>
              <w:spacing w:after="0"/>
              <w:rPr>
                <w:sz w:val="20"/>
                <w:szCs w:val="20"/>
                <w:color w:val="auto"/>
              </w:rPr>
            </w:pPr>
            <w:r>
              <w:rPr>
                <w:rFonts w:ascii="Arial" w:cs="Arial" w:eastAsia="Arial" w:hAnsi="Arial"/>
                <w:sz w:val="16"/>
                <w:szCs w:val="16"/>
                <w:color w:val="auto"/>
              </w:rPr>
              <w:t>Deferred share units (DSUs)</w:t>
            </w:r>
          </w:p>
        </w:tc>
      </w:tr>
      <w:tr>
        <w:trPr>
          <w:trHeight w:val="215"/>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issued</w:t>
            </w:r>
          </w:p>
        </w:tc>
        <w:tc>
          <w:tcPr>
            <w:tcW w:w="6920" w:type="dxa"/>
            <w:vAlign w:val="bottom"/>
            <w:tcBorders>
              <w:bottom w:val="single" w:sz="8" w:color="B2B2B2"/>
            </w:tcBorders>
          </w:tcPr>
          <w:p>
            <w:pPr>
              <w:spacing w:after="0"/>
              <w:rPr>
                <w:sz w:val="18"/>
                <w:szCs w:val="18"/>
                <w:color w:val="auto"/>
              </w:rPr>
            </w:pP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Types of deferrals</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Annual base salary as well as annual/long-term incentive awards.</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Election process</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Irrevocable elections to participate in the plan are made before the beginning of the year.</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Value of DSUs</w:t>
            </w:r>
          </w:p>
        </w:tc>
        <w:tc>
          <w:tcPr>
            <w:tcW w:w="6920" w:type="dxa"/>
            <w:vAlign w:val="bottom"/>
          </w:tcPr>
          <w:p>
            <w:pPr>
              <w:ind w:left="120"/>
              <w:spacing w:after="0"/>
              <w:rPr>
                <w:sz w:val="20"/>
                <w:szCs w:val="20"/>
                <w:color w:val="auto"/>
              </w:rPr>
            </w:pPr>
            <w:r>
              <w:rPr>
                <w:rFonts w:ascii="Arial" w:cs="Arial" w:eastAsia="Arial" w:hAnsi="Arial"/>
                <w:sz w:val="16"/>
                <w:szCs w:val="16"/>
                <w:color w:val="auto"/>
              </w:rPr>
              <w:t>Deferred cash can be converted into DSUs based on the closing price of our common shares</w:t>
            </w:r>
          </w:p>
        </w:tc>
      </w:tr>
      <w:tr>
        <w:trPr>
          <w:trHeight w:val="187"/>
        </w:trPr>
        <w:tc>
          <w:tcPr>
            <w:tcW w:w="4000" w:type="dxa"/>
            <w:vAlign w:val="bottom"/>
          </w:tcPr>
          <w:p>
            <w:pPr>
              <w:spacing w:after="0"/>
              <w:rPr>
                <w:sz w:val="16"/>
                <w:szCs w:val="16"/>
                <w:color w:val="auto"/>
              </w:rPr>
            </w:pPr>
          </w:p>
        </w:tc>
        <w:tc>
          <w:tcPr>
            <w:tcW w:w="6920" w:type="dxa"/>
            <w:vAlign w:val="bottom"/>
          </w:tcPr>
          <w:p>
            <w:pPr>
              <w:ind w:left="120"/>
              <w:spacing w:after="0"/>
              <w:rPr>
                <w:sz w:val="20"/>
                <w:szCs w:val="20"/>
                <w:color w:val="auto"/>
              </w:rPr>
            </w:pPr>
            <w:r>
              <w:rPr>
                <w:rFonts w:ascii="Arial" w:cs="Arial" w:eastAsia="Arial" w:hAnsi="Arial"/>
                <w:sz w:val="16"/>
                <w:szCs w:val="16"/>
                <w:color w:val="auto"/>
              </w:rPr>
              <w:t>on the day before the deferral or conversion. If a participant elects to hold DSUs, we credit his</w:t>
            </w:r>
          </w:p>
        </w:tc>
      </w:tr>
      <w:tr>
        <w:trPr>
          <w:trHeight w:val="187"/>
        </w:trPr>
        <w:tc>
          <w:tcPr>
            <w:tcW w:w="4000" w:type="dxa"/>
            <w:vAlign w:val="bottom"/>
          </w:tcPr>
          <w:p>
            <w:pPr>
              <w:spacing w:after="0"/>
              <w:rPr>
                <w:sz w:val="16"/>
                <w:szCs w:val="16"/>
                <w:color w:val="auto"/>
              </w:rPr>
            </w:pPr>
          </w:p>
        </w:tc>
        <w:tc>
          <w:tcPr>
            <w:tcW w:w="6920" w:type="dxa"/>
            <w:vAlign w:val="bottom"/>
          </w:tcPr>
          <w:p>
            <w:pPr>
              <w:ind w:left="120"/>
              <w:spacing w:after="0"/>
              <w:rPr>
                <w:sz w:val="20"/>
                <w:szCs w:val="20"/>
                <w:color w:val="auto"/>
              </w:rPr>
            </w:pPr>
            <w:r>
              <w:rPr>
                <w:rFonts w:ascii="Arial" w:cs="Arial" w:eastAsia="Arial" w:hAnsi="Arial"/>
                <w:sz w:val="16"/>
                <w:szCs w:val="16"/>
                <w:color w:val="auto"/>
              </w:rPr>
              <w:t>or her plan account with a 10% DSU match, which matching units generally vest over a period</w:t>
            </w:r>
          </w:p>
        </w:tc>
      </w:tr>
      <w:tr>
        <w:trPr>
          <w:trHeight w:val="201"/>
        </w:trPr>
        <w:tc>
          <w:tcPr>
            <w:tcW w:w="4000" w:type="dxa"/>
            <w:vAlign w:val="bottom"/>
            <w:tcBorders>
              <w:bottom w:val="single" w:sz="8" w:color="B2B2B2"/>
            </w:tcBorders>
          </w:tcPr>
          <w:p>
            <w:pPr>
              <w:spacing w:after="0"/>
              <w:rPr>
                <w:sz w:val="17"/>
                <w:szCs w:val="17"/>
                <w:color w:val="auto"/>
              </w:rPr>
            </w:pP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of four years. DSUs accumulate notional equivalents of dividends paid on our common shares.</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Plan amendments and changes</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Substantially similar to the provisions of the stock incentive plan described above.</w:t>
            </w: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Vesting process</w:t>
            </w:r>
          </w:p>
        </w:tc>
        <w:tc>
          <w:tcPr>
            <w:tcW w:w="692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Participants are automatically vested in their DSUs. Matching DSUs vest as described above.</w:t>
            </w:r>
          </w:p>
        </w:tc>
      </w:tr>
      <w:tr>
        <w:trPr>
          <w:trHeight w:val="254"/>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Transfers and assignments</w:t>
            </w:r>
          </w:p>
        </w:tc>
        <w:tc>
          <w:tcPr>
            <w:tcW w:w="6920" w:type="dxa"/>
            <w:vAlign w:val="bottom"/>
          </w:tcPr>
          <w:p>
            <w:pPr>
              <w:ind w:left="120"/>
              <w:spacing w:after="0"/>
              <w:rPr>
                <w:sz w:val="20"/>
                <w:szCs w:val="20"/>
                <w:color w:val="auto"/>
              </w:rPr>
            </w:pPr>
            <w:r>
              <w:rPr>
                <w:rFonts w:ascii="Arial" w:cs="Arial" w:eastAsia="Arial" w:hAnsi="Arial"/>
                <w:sz w:val="16"/>
                <w:szCs w:val="16"/>
                <w:color w:val="auto"/>
              </w:rPr>
              <w:t>Substantially similar to the provisions of the stock incentive plan described above.</w:t>
            </w:r>
          </w:p>
        </w:tc>
      </w:tr>
      <w:tr>
        <w:trPr>
          <w:trHeight w:val="54"/>
        </w:trPr>
        <w:tc>
          <w:tcPr>
            <w:tcW w:w="4000" w:type="dxa"/>
            <w:vAlign w:val="bottom"/>
            <w:tcBorders>
              <w:bottom w:val="single" w:sz="8" w:color="D64000"/>
            </w:tcBorders>
          </w:tcPr>
          <w:p>
            <w:pPr>
              <w:spacing w:after="0"/>
              <w:rPr>
                <w:sz w:val="4"/>
                <w:szCs w:val="4"/>
                <w:color w:val="auto"/>
              </w:rPr>
            </w:pPr>
          </w:p>
        </w:tc>
        <w:tc>
          <w:tcPr>
            <w:tcW w:w="6920" w:type="dxa"/>
            <w:vAlign w:val="bottom"/>
            <w:tcBorders>
              <w:bottom w:val="single" w:sz="8" w:color="D64000"/>
            </w:tcBorders>
          </w:tcPr>
          <w:p>
            <w:pPr>
              <w:spacing w:after="0"/>
              <w:rPr>
                <w:sz w:val="4"/>
                <w:szCs w:val="4"/>
                <w:color w:val="auto"/>
              </w:rPr>
            </w:pPr>
          </w:p>
        </w:tc>
      </w:tr>
      <w:tr>
        <w:trPr>
          <w:trHeight w:val="160"/>
        </w:trPr>
        <w:tc>
          <w:tcPr>
            <w:tcW w:w="4000" w:type="dxa"/>
            <w:vAlign w:val="bottom"/>
            <w:tcBorders>
              <w:bottom w:val="single" w:sz="8" w:color="7F7F7F"/>
            </w:tcBorders>
          </w:tcPr>
          <w:p>
            <w:pPr>
              <w:spacing w:after="0"/>
              <w:rPr>
                <w:sz w:val="13"/>
                <w:szCs w:val="13"/>
                <w:color w:val="auto"/>
              </w:rPr>
            </w:pPr>
          </w:p>
        </w:tc>
        <w:tc>
          <w:tcPr>
            <w:tcW w:w="6920" w:type="dxa"/>
            <w:vAlign w:val="bottom"/>
            <w:tcBorders>
              <w:bottom w:val="single" w:sz="8" w:color="7F7F7F"/>
            </w:tcBorders>
          </w:tcPr>
          <w:p>
            <w:pPr>
              <w:spacing w:after="0"/>
              <w:rPr>
                <w:sz w:val="13"/>
                <w:szCs w:val="13"/>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7"/>
                <w:szCs w:val="17"/>
                <w:color w:val="auto"/>
              </w:rPr>
              <w:t>Page A-4</w:t>
            </w:r>
          </w:p>
        </w:tc>
        <w:tc>
          <w:tcPr>
            <w:tcW w:w="6920" w:type="dxa"/>
            <w:vAlign w:val="bottom"/>
          </w:tcPr>
          <w:p>
            <w:pPr>
              <w:ind w:left="920"/>
              <w:spacing w:after="0"/>
              <w:rPr>
                <w:sz w:val="20"/>
                <w:szCs w:val="20"/>
                <w:color w:val="auto"/>
              </w:rPr>
            </w:pPr>
            <w:r>
              <w:rPr>
                <w:rFonts w:ascii="Arial" w:cs="Arial" w:eastAsia="Arial" w:hAnsi="Arial"/>
                <w:sz w:val="17"/>
                <w:szCs w:val="17"/>
                <w:b w:val="1"/>
                <w:bCs w:val="1"/>
                <w:color w:val="auto"/>
                <w:w w:val="99"/>
              </w:rPr>
              <w:t>Management Proxy Circular and Notice of Annual Meeting of Shareholders</w:t>
            </w:r>
          </w:p>
        </w:tc>
      </w:tr>
    </w:tbl>
    <w:p>
      <w:pPr>
        <w:sectPr>
          <w:pgSz w:w="11900" w:h="16838" w:orient="portrait"/>
          <w:cols w:equalWidth="0" w:num="1">
            <w:col w:w="10920"/>
          </w:cols>
          <w:pgMar w:left="480" w:top="326" w:right="499" w:bottom="1440" w:gutter="0" w:footer="0" w:header="0"/>
        </w:sectPr>
      </w:pPr>
    </w:p>
    <w:bookmarkStart w:id="112" w:name="page113"/>
    <w:bookmarkEnd w:id="112"/>
    <w:p>
      <w:pPr>
        <w:ind w:right="34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following table provides information as of the end of each year indicated related to the deferred compensation plan’s share usage, burn rates and potential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69297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2440" w:type="dxa"/>
            <w:vAlign w:val="bottom"/>
            <w:tcBorders>
              <w:right w:val="single" w:sz="8" w:color="E3F3EE"/>
            </w:tcBorders>
          </w:tcPr>
          <w:p>
            <w:pPr>
              <w:spacing w:after="0"/>
              <w:rPr>
                <w:sz w:val="20"/>
                <w:szCs w:val="20"/>
                <w:color w:val="auto"/>
              </w:rPr>
            </w:pPr>
          </w:p>
        </w:tc>
        <w:tc>
          <w:tcPr>
            <w:tcW w:w="1220" w:type="dxa"/>
            <w:vAlign w:val="bottom"/>
            <w:tcBorders>
              <w:right w:val="single" w:sz="8" w:color="E3F3EE"/>
            </w:tcBorders>
            <w:shd w:val="clear" w:color="auto" w:fill="E3F3EE"/>
          </w:tcPr>
          <w:p>
            <w:pPr>
              <w:spacing w:after="0"/>
              <w:rPr>
                <w:sz w:val="20"/>
                <w:szCs w:val="20"/>
                <w:color w:val="auto"/>
              </w:rPr>
            </w:pPr>
          </w:p>
        </w:tc>
        <w:tc>
          <w:tcPr>
            <w:tcW w:w="100" w:type="dxa"/>
            <w:vAlign w:val="bottom"/>
            <w:shd w:val="clear" w:color="auto" w:fill="E3F3EE"/>
          </w:tcPr>
          <w:p>
            <w:pPr>
              <w:spacing w:after="0"/>
              <w:rPr>
                <w:sz w:val="20"/>
                <w:szCs w:val="20"/>
                <w:color w:val="auto"/>
              </w:rPr>
            </w:pPr>
          </w:p>
        </w:tc>
        <w:tc>
          <w:tcPr>
            <w:tcW w:w="1540" w:type="dxa"/>
            <w:vAlign w:val="bottom"/>
            <w:tcBorders>
              <w:right w:val="single" w:sz="8" w:color="E3F3EE"/>
            </w:tcBorders>
            <w:shd w:val="clear" w:color="auto" w:fill="E3F3EE"/>
          </w:tcPr>
          <w:p>
            <w:pPr>
              <w:spacing w:after="0"/>
              <w:rPr>
                <w:sz w:val="20"/>
                <w:szCs w:val="20"/>
                <w:color w:val="auto"/>
              </w:rPr>
            </w:pPr>
            <w:r>
              <w:rPr>
                <w:rFonts w:ascii="Arial" w:cs="Arial" w:eastAsia="Arial" w:hAnsi="Arial"/>
                <w:sz w:val="16"/>
                <w:szCs w:val="16"/>
                <w:b w:val="1"/>
                <w:bCs w:val="1"/>
                <w:color w:val="auto"/>
              </w:rPr>
              <w:t>As of December 31,</w:t>
            </w:r>
          </w:p>
        </w:tc>
        <w:tc>
          <w:tcPr>
            <w:tcW w:w="1620" w:type="dxa"/>
            <w:vAlign w:val="bottom"/>
            <w:shd w:val="clear" w:color="auto" w:fill="E3F3EE"/>
          </w:tcPr>
          <w:p>
            <w:pPr>
              <w:spacing w:after="0"/>
              <w:rPr>
                <w:sz w:val="20"/>
                <w:szCs w:val="20"/>
                <w:color w:val="auto"/>
              </w:rPr>
            </w:pPr>
          </w:p>
        </w:tc>
      </w:tr>
      <w:tr>
        <w:trPr>
          <w:trHeight w:val="247"/>
        </w:trPr>
        <w:tc>
          <w:tcPr>
            <w:tcW w:w="4000" w:type="dxa"/>
            <w:vAlign w:val="bottom"/>
            <w:tcBorders>
              <w:bottom w:val="single" w:sz="8" w:color="D64000"/>
            </w:tcBorders>
          </w:tcPr>
          <w:p>
            <w:pPr>
              <w:spacing w:after="0"/>
              <w:rPr>
                <w:sz w:val="21"/>
                <w:szCs w:val="21"/>
                <w:color w:val="auto"/>
              </w:rPr>
            </w:pPr>
          </w:p>
        </w:tc>
        <w:tc>
          <w:tcPr>
            <w:tcW w:w="2440" w:type="dxa"/>
            <w:vAlign w:val="bottom"/>
            <w:tcBorders>
              <w:bottom w:val="single" w:sz="8" w:color="D64000"/>
              <w:right w:val="single" w:sz="8" w:color="1F473D"/>
            </w:tcBorders>
          </w:tcPr>
          <w:p>
            <w:pPr>
              <w:spacing w:after="0"/>
              <w:rPr>
                <w:sz w:val="21"/>
                <w:szCs w:val="21"/>
                <w:color w:val="auto"/>
              </w:rPr>
            </w:pPr>
          </w:p>
        </w:tc>
        <w:tc>
          <w:tcPr>
            <w:tcW w:w="1220" w:type="dxa"/>
            <w:vAlign w:val="bottom"/>
            <w:tcBorders>
              <w:bottom w:val="single" w:sz="8" w:color="D64000"/>
              <w:right w:val="single" w:sz="8" w:color="1F473D"/>
            </w:tcBorders>
            <w:shd w:val="clear" w:color="auto" w:fill="1F473D"/>
          </w:tcPr>
          <w:p>
            <w:pPr>
              <w:ind w:left="360"/>
              <w:spacing w:after="0"/>
              <w:rPr>
                <w:sz w:val="20"/>
                <w:szCs w:val="20"/>
                <w:color w:val="auto"/>
              </w:rPr>
            </w:pPr>
            <w:r>
              <w:rPr>
                <w:rFonts w:ascii="Arial" w:cs="Arial" w:eastAsia="Arial" w:hAnsi="Arial"/>
                <w:sz w:val="16"/>
                <w:szCs w:val="16"/>
                <w:b w:val="1"/>
                <w:bCs w:val="1"/>
                <w:color w:val="FFFFFF"/>
              </w:rPr>
              <w:t>2025</w:t>
            </w:r>
          </w:p>
        </w:tc>
        <w:tc>
          <w:tcPr>
            <w:tcW w:w="100" w:type="dxa"/>
            <w:vAlign w:val="bottom"/>
            <w:tcBorders>
              <w:bottom w:val="single" w:sz="8" w:color="D64000"/>
            </w:tcBorders>
            <w:shd w:val="clear" w:color="auto" w:fill="1F473D"/>
          </w:tcPr>
          <w:p>
            <w:pPr>
              <w:spacing w:after="0"/>
              <w:rPr>
                <w:sz w:val="21"/>
                <w:szCs w:val="21"/>
                <w:color w:val="auto"/>
              </w:rPr>
            </w:pPr>
          </w:p>
        </w:tc>
        <w:tc>
          <w:tcPr>
            <w:tcW w:w="1540" w:type="dxa"/>
            <w:vAlign w:val="bottom"/>
            <w:tcBorders>
              <w:bottom w:val="single" w:sz="8" w:color="D64000"/>
              <w:right w:val="single" w:sz="8" w:color="1F473D"/>
            </w:tcBorders>
            <w:shd w:val="clear" w:color="auto" w:fill="1F473D"/>
          </w:tcPr>
          <w:p>
            <w:pPr>
              <w:ind w:left="460"/>
              <w:spacing w:after="0"/>
              <w:rPr>
                <w:sz w:val="20"/>
                <w:szCs w:val="20"/>
                <w:color w:val="auto"/>
              </w:rPr>
            </w:pPr>
            <w:r>
              <w:rPr>
                <w:rFonts w:ascii="Arial" w:cs="Arial" w:eastAsia="Arial" w:hAnsi="Arial"/>
                <w:sz w:val="16"/>
                <w:szCs w:val="16"/>
                <w:b w:val="1"/>
                <w:bCs w:val="1"/>
                <w:color w:val="FFFFFF"/>
              </w:rPr>
              <w:t>2024</w:t>
            </w:r>
          </w:p>
        </w:tc>
        <w:tc>
          <w:tcPr>
            <w:tcW w:w="1620" w:type="dxa"/>
            <w:vAlign w:val="bottom"/>
            <w:tcBorders>
              <w:bottom w:val="single" w:sz="8" w:color="D64000"/>
            </w:tcBorders>
            <w:shd w:val="clear" w:color="auto" w:fill="1F473D"/>
          </w:tcPr>
          <w:p>
            <w:pPr>
              <w:ind w:left="560"/>
              <w:spacing w:after="0"/>
              <w:rPr>
                <w:sz w:val="20"/>
                <w:szCs w:val="20"/>
                <w:color w:val="auto"/>
              </w:rPr>
            </w:pPr>
            <w:r>
              <w:rPr>
                <w:rFonts w:ascii="Arial" w:cs="Arial" w:eastAsia="Arial" w:hAnsi="Arial"/>
                <w:sz w:val="16"/>
                <w:szCs w:val="16"/>
                <w:b w:val="1"/>
                <w:bCs w:val="1"/>
                <w:color w:val="FFFFFF"/>
              </w:rPr>
              <w:t>2023</w:t>
            </w:r>
          </w:p>
        </w:tc>
      </w:tr>
      <w:tr>
        <w:trPr>
          <w:trHeight w:val="213"/>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Share usage – </w:t>
            </w:r>
            <w:r>
              <w:rPr>
                <w:rFonts w:ascii="Arial" w:cs="Arial" w:eastAsia="Arial" w:hAnsi="Arial"/>
                <w:sz w:val="16"/>
                <w:szCs w:val="16"/>
                <w:color w:val="auto"/>
              </w:rPr>
              <w:t>the total number of shares issued pursuant to DSUs in the applicable</w:t>
            </w:r>
          </w:p>
        </w:tc>
        <w:tc>
          <w:tcPr>
            <w:tcW w:w="1220" w:type="dxa"/>
            <w:vAlign w:val="bottom"/>
            <w:tcBorders>
              <w:right w:val="single" w:sz="8" w:color="B2B2B2"/>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right w:val="single" w:sz="8" w:color="B2B2B2"/>
            </w:tcBorders>
          </w:tcPr>
          <w:p>
            <w:pPr>
              <w:spacing w:after="0"/>
              <w:rPr>
                <w:sz w:val="18"/>
                <w:szCs w:val="18"/>
                <w:color w:val="auto"/>
              </w:rPr>
            </w:pPr>
          </w:p>
        </w:tc>
        <w:tc>
          <w:tcPr>
            <w:tcW w:w="1620" w:type="dxa"/>
            <w:vAlign w:val="bottom"/>
          </w:tcPr>
          <w:p>
            <w:pPr>
              <w:spacing w:after="0"/>
              <w:rPr>
                <w:sz w:val="18"/>
                <w:szCs w:val="18"/>
                <w:color w:val="auto"/>
              </w:rPr>
            </w:pPr>
          </w:p>
        </w:tc>
      </w:tr>
      <w:tr>
        <w:trPr>
          <w:trHeight w:val="211"/>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year, divided by the total weighted average of common shares outstanding during the year</w:t>
            </w:r>
          </w:p>
        </w:tc>
        <w:tc>
          <w:tcPr>
            <w:tcW w:w="1220" w:type="dxa"/>
            <w:vAlign w:val="bottom"/>
            <w:tcBorders>
              <w:right w:val="single" w:sz="8" w:color="B2B2B2"/>
            </w:tcBorders>
          </w:tcPr>
          <w:p>
            <w:pPr>
              <w:ind w:left="360"/>
              <w:spacing w:after="0"/>
              <w:rPr>
                <w:sz w:val="20"/>
                <w:szCs w:val="20"/>
                <w:color w:val="auto"/>
              </w:rPr>
            </w:pPr>
            <w:r>
              <w:rPr>
                <w:rFonts w:ascii="Arial" w:cs="Arial" w:eastAsia="Arial" w:hAnsi="Arial"/>
                <w:sz w:val="16"/>
                <w:szCs w:val="16"/>
                <w:color w:val="auto"/>
              </w:rPr>
              <w:t>0.004%</w:t>
            </w:r>
          </w:p>
        </w:tc>
        <w:tc>
          <w:tcPr>
            <w:tcW w:w="100" w:type="dxa"/>
            <w:vAlign w:val="bottom"/>
          </w:tcPr>
          <w:p>
            <w:pPr>
              <w:spacing w:after="0"/>
              <w:rPr>
                <w:sz w:val="18"/>
                <w:szCs w:val="18"/>
                <w:color w:val="auto"/>
              </w:rPr>
            </w:pPr>
          </w:p>
        </w:tc>
        <w:tc>
          <w:tcPr>
            <w:tcW w:w="1540" w:type="dxa"/>
            <w:vAlign w:val="bottom"/>
            <w:tcBorders>
              <w:right w:val="single" w:sz="8" w:color="B2B2B2"/>
            </w:tcBorders>
          </w:tcPr>
          <w:p>
            <w:pPr>
              <w:ind w:left="480"/>
              <w:spacing w:after="0"/>
              <w:rPr>
                <w:sz w:val="20"/>
                <w:szCs w:val="20"/>
                <w:color w:val="auto"/>
              </w:rPr>
            </w:pPr>
            <w:r>
              <w:rPr>
                <w:rFonts w:ascii="Arial" w:cs="Arial" w:eastAsia="Arial" w:hAnsi="Arial"/>
                <w:sz w:val="16"/>
                <w:szCs w:val="16"/>
                <w:color w:val="auto"/>
              </w:rPr>
              <w:t>0.003%</w:t>
            </w:r>
          </w:p>
        </w:tc>
        <w:tc>
          <w:tcPr>
            <w:tcW w:w="1620" w:type="dxa"/>
            <w:vAlign w:val="bottom"/>
          </w:tcPr>
          <w:p>
            <w:pPr>
              <w:ind w:left="580"/>
              <w:spacing w:after="0"/>
              <w:rPr>
                <w:sz w:val="20"/>
                <w:szCs w:val="20"/>
                <w:color w:val="auto"/>
              </w:rPr>
            </w:pPr>
            <w:r>
              <w:rPr>
                <w:rFonts w:ascii="Arial" w:cs="Arial" w:eastAsia="Arial" w:hAnsi="Arial"/>
                <w:sz w:val="16"/>
                <w:szCs w:val="16"/>
                <w:color w:val="auto"/>
              </w:rPr>
              <w:t>0.008%</w:t>
            </w:r>
          </w:p>
        </w:tc>
      </w:tr>
      <w:tr>
        <w:trPr>
          <w:trHeight w:val="44"/>
        </w:trPr>
        <w:tc>
          <w:tcPr>
            <w:tcW w:w="6440" w:type="dxa"/>
            <w:vAlign w:val="bottom"/>
            <w:tcBorders>
              <w:bottom w:val="single" w:sz="8" w:color="B2B2B2"/>
              <w:right w:val="single" w:sz="8" w:color="B2B2B2"/>
            </w:tcBorders>
            <w:gridSpan w:val="2"/>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540" w:type="dxa"/>
            <w:vAlign w:val="bottom"/>
            <w:tcBorders>
              <w:bottom w:val="single" w:sz="8" w:color="B2B2B2"/>
              <w:right w:val="single" w:sz="8" w:color="B2B2B2"/>
            </w:tcBorders>
          </w:tcPr>
          <w:p>
            <w:pPr>
              <w:spacing w:after="0"/>
              <w:rPr>
                <w:sz w:val="3"/>
                <w:szCs w:val="3"/>
                <w:color w:val="auto"/>
              </w:rPr>
            </w:pPr>
          </w:p>
        </w:tc>
        <w:tc>
          <w:tcPr>
            <w:tcW w:w="1620" w:type="dxa"/>
            <w:vAlign w:val="bottom"/>
            <w:tcBorders>
              <w:bottom w:val="single" w:sz="8" w:color="B2B2B2"/>
            </w:tcBorders>
          </w:tcPr>
          <w:p>
            <w:pPr>
              <w:spacing w:after="0"/>
              <w:rPr>
                <w:sz w:val="3"/>
                <w:szCs w:val="3"/>
                <w:color w:val="auto"/>
              </w:rPr>
            </w:pPr>
          </w:p>
        </w:tc>
      </w:tr>
      <w:tr>
        <w:trPr>
          <w:trHeight w:val="207"/>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Burn rate – </w:t>
            </w:r>
            <w:r>
              <w:rPr>
                <w:rFonts w:ascii="Arial" w:cs="Arial" w:eastAsia="Arial" w:hAnsi="Arial"/>
                <w:sz w:val="16"/>
                <w:szCs w:val="16"/>
                <w:color w:val="auto"/>
              </w:rPr>
              <w:t>the total number of DSUs granted in the applicable year, divided by the total</w:t>
            </w:r>
          </w:p>
        </w:tc>
        <w:tc>
          <w:tcPr>
            <w:tcW w:w="1220" w:type="dxa"/>
            <w:vAlign w:val="bottom"/>
            <w:tcBorders>
              <w:right w:val="single" w:sz="8" w:color="B2B2B2"/>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right w:val="single" w:sz="8" w:color="B2B2B2"/>
            </w:tcBorders>
          </w:tcPr>
          <w:p>
            <w:pPr>
              <w:spacing w:after="0"/>
              <w:rPr>
                <w:sz w:val="17"/>
                <w:szCs w:val="17"/>
                <w:color w:val="auto"/>
              </w:rPr>
            </w:pPr>
          </w:p>
        </w:tc>
        <w:tc>
          <w:tcPr>
            <w:tcW w:w="1620" w:type="dxa"/>
            <w:vAlign w:val="bottom"/>
          </w:tcPr>
          <w:p>
            <w:pPr>
              <w:spacing w:after="0"/>
              <w:rPr>
                <w:sz w:val="17"/>
                <w:szCs w:val="17"/>
                <w:color w:val="auto"/>
              </w:rPr>
            </w:pPr>
          </w:p>
        </w:tc>
      </w:tr>
      <w:tr>
        <w:trPr>
          <w:trHeight w:val="211"/>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weighted average of common shares outstanding during the year</w:t>
            </w:r>
          </w:p>
        </w:tc>
        <w:tc>
          <w:tcPr>
            <w:tcW w:w="1220" w:type="dxa"/>
            <w:vAlign w:val="bottom"/>
            <w:tcBorders>
              <w:right w:val="single" w:sz="8" w:color="B2B2B2"/>
            </w:tcBorders>
          </w:tcPr>
          <w:p>
            <w:pPr>
              <w:ind w:left="360"/>
              <w:spacing w:after="0"/>
              <w:rPr>
                <w:sz w:val="20"/>
                <w:szCs w:val="20"/>
                <w:color w:val="auto"/>
              </w:rPr>
            </w:pPr>
            <w:r>
              <w:rPr>
                <w:rFonts w:ascii="Arial" w:cs="Arial" w:eastAsia="Arial" w:hAnsi="Arial"/>
                <w:sz w:val="16"/>
                <w:szCs w:val="16"/>
                <w:color w:val="auto"/>
              </w:rPr>
              <w:t>0.001%</w:t>
            </w:r>
          </w:p>
        </w:tc>
        <w:tc>
          <w:tcPr>
            <w:tcW w:w="100" w:type="dxa"/>
            <w:vAlign w:val="bottom"/>
          </w:tcPr>
          <w:p>
            <w:pPr>
              <w:spacing w:after="0"/>
              <w:rPr>
                <w:sz w:val="18"/>
                <w:szCs w:val="18"/>
                <w:color w:val="auto"/>
              </w:rPr>
            </w:pPr>
          </w:p>
        </w:tc>
        <w:tc>
          <w:tcPr>
            <w:tcW w:w="1540" w:type="dxa"/>
            <w:vAlign w:val="bottom"/>
            <w:tcBorders>
              <w:right w:val="single" w:sz="8" w:color="B2B2B2"/>
            </w:tcBorders>
          </w:tcPr>
          <w:p>
            <w:pPr>
              <w:ind w:left="480"/>
              <w:spacing w:after="0"/>
              <w:rPr>
                <w:sz w:val="20"/>
                <w:szCs w:val="20"/>
                <w:color w:val="auto"/>
              </w:rPr>
            </w:pPr>
            <w:r>
              <w:rPr>
                <w:rFonts w:ascii="Arial" w:cs="Arial" w:eastAsia="Arial" w:hAnsi="Arial"/>
                <w:sz w:val="16"/>
                <w:szCs w:val="16"/>
                <w:color w:val="auto"/>
              </w:rPr>
              <w:t>0.003%</w:t>
            </w:r>
          </w:p>
        </w:tc>
        <w:tc>
          <w:tcPr>
            <w:tcW w:w="1620" w:type="dxa"/>
            <w:vAlign w:val="bottom"/>
          </w:tcPr>
          <w:p>
            <w:pPr>
              <w:ind w:left="580"/>
              <w:spacing w:after="0"/>
              <w:rPr>
                <w:sz w:val="20"/>
                <w:szCs w:val="20"/>
                <w:color w:val="auto"/>
              </w:rPr>
            </w:pPr>
            <w:r>
              <w:rPr>
                <w:rFonts w:ascii="Arial" w:cs="Arial" w:eastAsia="Arial" w:hAnsi="Arial"/>
                <w:sz w:val="16"/>
                <w:szCs w:val="16"/>
                <w:color w:val="auto"/>
              </w:rPr>
              <w:t>0.002%</w:t>
            </w:r>
          </w:p>
        </w:tc>
      </w:tr>
      <w:tr>
        <w:trPr>
          <w:trHeight w:val="44"/>
        </w:trPr>
        <w:tc>
          <w:tcPr>
            <w:tcW w:w="6440" w:type="dxa"/>
            <w:vAlign w:val="bottom"/>
            <w:tcBorders>
              <w:bottom w:val="single" w:sz="8" w:color="B2B2B2"/>
              <w:right w:val="single" w:sz="8" w:color="B2B2B2"/>
            </w:tcBorders>
            <w:gridSpan w:val="2"/>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540" w:type="dxa"/>
            <w:vAlign w:val="bottom"/>
            <w:tcBorders>
              <w:bottom w:val="single" w:sz="8" w:color="B2B2B2"/>
              <w:right w:val="single" w:sz="8" w:color="B2B2B2"/>
            </w:tcBorders>
          </w:tcPr>
          <w:p>
            <w:pPr>
              <w:spacing w:after="0"/>
              <w:rPr>
                <w:sz w:val="3"/>
                <w:szCs w:val="3"/>
                <w:color w:val="auto"/>
              </w:rPr>
            </w:pPr>
          </w:p>
        </w:tc>
        <w:tc>
          <w:tcPr>
            <w:tcW w:w="1620" w:type="dxa"/>
            <w:vAlign w:val="bottom"/>
            <w:tcBorders>
              <w:bottom w:val="single" w:sz="8" w:color="B2B2B2"/>
            </w:tcBorders>
          </w:tcPr>
          <w:p>
            <w:pPr>
              <w:spacing w:after="0"/>
              <w:rPr>
                <w:sz w:val="3"/>
                <w:szCs w:val="3"/>
                <w:color w:val="auto"/>
              </w:rPr>
            </w:pPr>
          </w:p>
        </w:tc>
      </w:tr>
      <w:tr>
        <w:trPr>
          <w:trHeight w:val="207"/>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Potential Dilution – </w:t>
            </w:r>
            <w:r>
              <w:rPr>
                <w:rFonts w:ascii="Arial" w:cs="Arial" w:eastAsia="Arial" w:hAnsi="Arial"/>
                <w:sz w:val="16"/>
                <w:szCs w:val="16"/>
                <w:color w:val="auto"/>
              </w:rPr>
              <w:t>the total number of all DSUs available for issue, divided by the total</w:t>
            </w:r>
          </w:p>
        </w:tc>
        <w:tc>
          <w:tcPr>
            <w:tcW w:w="1220" w:type="dxa"/>
            <w:vAlign w:val="bottom"/>
            <w:tcBorders>
              <w:right w:val="single" w:sz="8" w:color="B2B2B2"/>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right w:val="single" w:sz="8" w:color="B2B2B2"/>
            </w:tcBorders>
          </w:tcPr>
          <w:p>
            <w:pPr>
              <w:spacing w:after="0"/>
              <w:rPr>
                <w:sz w:val="17"/>
                <w:szCs w:val="17"/>
                <w:color w:val="auto"/>
              </w:rPr>
            </w:pPr>
          </w:p>
        </w:tc>
        <w:tc>
          <w:tcPr>
            <w:tcW w:w="1620" w:type="dxa"/>
            <w:vAlign w:val="bottom"/>
          </w:tcPr>
          <w:p>
            <w:pPr>
              <w:spacing w:after="0"/>
              <w:rPr>
                <w:sz w:val="17"/>
                <w:szCs w:val="17"/>
                <w:color w:val="auto"/>
              </w:rPr>
            </w:pPr>
          </w:p>
        </w:tc>
      </w:tr>
      <w:tr>
        <w:trPr>
          <w:trHeight w:val="211"/>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weighted average of common shares outstanding during the year</w:t>
            </w:r>
          </w:p>
        </w:tc>
        <w:tc>
          <w:tcPr>
            <w:tcW w:w="1220" w:type="dxa"/>
            <w:vAlign w:val="bottom"/>
            <w:tcBorders>
              <w:right w:val="single" w:sz="8" w:color="B2B2B2"/>
            </w:tcBorders>
          </w:tcPr>
          <w:p>
            <w:pPr>
              <w:ind w:left="360"/>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8"/>
                <w:szCs w:val="18"/>
                <w:color w:val="auto"/>
              </w:rPr>
            </w:pPr>
          </w:p>
        </w:tc>
        <w:tc>
          <w:tcPr>
            <w:tcW w:w="1540" w:type="dxa"/>
            <w:vAlign w:val="bottom"/>
            <w:tcBorders>
              <w:right w:val="single" w:sz="8" w:color="B2B2B2"/>
            </w:tcBorders>
          </w:tcPr>
          <w:p>
            <w:pPr>
              <w:ind w:left="480"/>
              <w:spacing w:after="0"/>
              <w:rPr>
                <w:sz w:val="20"/>
                <w:szCs w:val="20"/>
                <w:color w:val="auto"/>
              </w:rPr>
            </w:pPr>
            <w:r>
              <w:rPr>
                <w:rFonts w:ascii="Arial" w:cs="Arial" w:eastAsia="Arial" w:hAnsi="Arial"/>
                <w:sz w:val="16"/>
                <w:szCs w:val="16"/>
                <w:color w:val="auto"/>
              </w:rPr>
              <w:t>1.029%</w:t>
            </w:r>
          </w:p>
        </w:tc>
        <w:tc>
          <w:tcPr>
            <w:tcW w:w="1620" w:type="dxa"/>
            <w:vAlign w:val="bottom"/>
          </w:tcPr>
          <w:p>
            <w:pPr>
              <w:ind w:left="580"/>
              <w:spacing w:after="0"/>
              <w:rPr>
                <w:sz w:val="20"/>
                <w:szCs w:val="20"/>
                <w:color w:val="auto"/>
              </w:rPr>
            </w:pPr>
            <w:r>
              <w:rPr>
                <w:rFonts w:ascii="Arial" w:cs="Arial" w:eastAsia="Arial" w:hAnsi="Arial"/>
                <w:sz w:val="16"/>
                <w:szCs w:val="16"/>
                <w:color w:val="auto"/>
              </w:rPr>
              <w:t>1.005%</w:t>
            </w:r>
          </w:p>
        </w:tc>
      </w:tr>
      <w:tr>
        <w:trPr>
          <w:trHeight w:val="44"/>
        </w:trPr>
        <w:tc>
          <w:tcPr>
            <w:tcW w:w="6440" w:type="dxa"/>
            <w:vAlign w:val="bottom"/>
            <w:tcBorders>
              <w:bottom w:val="single" w:sz="8" w:color="B2B2B2"/>
              <w:right w:val="single" w:sz="8" w:color="B2B2B2"/>
            </w:tcBorders>
            <w:gridSpan w:val="2"/>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00" w:type="dxa"/>
            <w:vAlign w:val="bottom"/>
            <w:tcBorders>
              <w:bottom w:val="single" w:sz="8" w:color="B2B2B2"/>
            </w:tcBorders>
          </w:tcPr>
          <w:p>
            <w:pPr>
              <w:spacing w:after="0"/>
              <w:rPr>
                <w:sz w:val="3"/>
                <w:szCs w:val="3"/>
                <w:color w:val="auto"/>
              </w:rPr>
            </w:pPr>
          </w:p>
        </w:tc>
        <w:tc>
          <w:tcPr>
            <w:tcW w:w="1540" w:type="dxa"/>
            <w:vAlign w:val="bottom"/>
            <w:tcBorders>
              <w:bottom w:val="single" w:sz="8" w:color="B2B2B2"/>
              <w:right w:val="single" w:sz="8" w:color="B2B2B2"/>
            </w:tcBorders>
          </w:tcPr>
          <w:p>
            <w:pPr>
              <w:spacing w:after="0"/>
              <w:rPr>
                <w:sz w:val="3"/>
                <w:szCs w:val="3"/>
                <w:color w:val="auto"/>
              </w:rPr>
            </w:pPr>
          </w:p>
        </w:tc>
        <w:tc>
          <w:tcPr>
            <w:tcW w:w="1620" w:type="dxa"/>
            <w:vAlign w:val="bottom"/>
            <w:tcBorders>
              <w:bottom w:val="single" w:sz="8" w:color="B2B2B2"/>
            </w:tcBorders>
          </w:tcPr>
          <w:p>
            <w:pPr>
              <w:spacing w:after="0"/>
              <w:rPr>
                <w:sz w:val="3"/>
                <w:szCs w:val="3"/>
                <w:color w:val="auto"/>
              </w:rPr>
            </w:pPr>
          </w:p>
        </w:tc>
      </w:tr>
      <w:tr>
        <w:trPr>
          <w:trHeight w:val="207"/>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b w:val="1"/>
                <w:bCs w:val="1"/>
                <w:color w:val="auto"/>
              </w:rPr>
              <w:t xml:space="preserve">Full Dilution – </w:t>
            </w:r>
            <w:r>
              <w:rPr>
                <w:rFonts w:ascii="Arial" w:cs="Arial" w:eastAsia="Arial" w:hAnsi="Arial"/>
                <w:sz w:val="16"/>
                <w:szCs w:val="16"/>
                <w:color w:val="auto"/>
              </w:rPr>
              <w:t>the total number of all DSUs available for issue plus all DSUs outstanding,</w:t>
            </w:r>
          </w:p>
        </w:tc>
        <w:tc>
          <w:tcPr>
            <w:tcW w:w="1220" w:type="dxa"/>
            <w:vAlign w:val="bottom"/>
            <w:tcBorders>
              <w:right w:val="single" w:sz="8" w:color="B2B2B2"/>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right w:val="single" w:sz="8" w:color="B2B2B2"/>
            </w:tcBorders>
          </w:tcPr>
          <w:p>
            <w:pPr>
              <w:spacing w:after="0"/>
              <w:rPr>
                <w:sz w:val="17"/>
                <w:szCs w:val="17"/>
                <w:color w:val="auto"/>
              </w:rPr>
            </w:pPr>
          </w:p>
        </w:tc>
        <w:tc>
          <w:tcPr>
            <w:tcW w:w="1620" w:type="dxa"/>
            <w:vAlign w:val="bottom"/>
          </w:tcPr>
          <w:p>
            <w:pPr>
              <w:spacing w:after="0"/>
              <w:rPr>
                <w:sz w:val="17"/>
                <w:szCs w:val="17"/>
                <w:color w:val="auto"/>
              </w:rPr>
            </w:pPr>
          </w:p>
        </w:tc>
      </w:tr>
      <w:tr>
        <w:trPr>
          <w:trHeight w:val="187"/>
        </w:trPr>
        <w:tc>
          <w:tcPr>
            <w:tcW w:w="6440" w:type="dxa"/>
            <w:vAlign w:val="bottom"/>
            <w:tcBorders>
              <w:right w:val="single" w:sz="8" w:color="B2B2B2"/>
            </w:tcBorders>
            <w:gridSpan w:val="2"/>
          </w:tcPr>
          <w:p>
            <w:pPr>
              <w:spacing w:after="0"/>
              <w:rPr>
                <w:sz w:val="20"/>
                <w:szCs w:val="20"/>
                <w:color w:val="auto"/>
              </w:rPr>
            </w:pPr>
            <w:r>
              <w:rPr>
                <w:rFonts w:ascii="Arial" w:cs="Arial" w:eastAsia="Arial" w:hAnsi="Arial"/>
                <w:sz w:val="16"/>
                <w:szCs w:val="16"/>
                <w:color w:val="auto"/>
              </w:rPr>
              <w:t>divided by the total weighted average of common shares outstanding during the year plus</w:t>
            </w:r>
          </w:p>
        </w:tc>
        <w:tc>
          <w:tcPr>
            <w:tcW w:w="1220" w:type="dxa"/>
            <w:vAlign w:val="bottom"/>
            <w:tcBorders>
              <w:right w:val="single" w:sz="8" w:color="B2B2B2"/>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B2B2B2"/>
            </w:tcBorders>
          </w:tcPr>
          <w:p>
            <w:pPr>
              <w:spacing w:after="0"/>
              <w:rPr>
                <w:sz w:val="16"/>
                <w:szCs w:val="16"/>
                <w:color w:val="auto"/>
              </w:rPr>
            </w:pPr>
          </w:p>
        </w:tc>
        <w:tc>
          <w:tcPr>
            <w:tcW w:w="1620" w:type="dxa"/>
            <w:vAlign w:val="bottom"/>
          </w:tcPr>
          <w:p>
            <w:pPr>
              <w:spacing w:after="0"/>
              <w:rPr>
                <w:sz w:val="16"/>
                <w:szCs w:val="16"/>
                <w:color w:val="auto"/>
              </w:rPr>
            </w:pPr>
          </w:p>
        </w:tc>
      </w:tr>
      <w:tr>
        <w:trPr>
          <w:trHeight w:val="262"/>
        </w:trPr>
        <w:tc>
          <w:tcPr>
            <w:tcW w:w="4000" w:type="dxa"/>
            <w:vAlign w:val="bottom"/>
          </w:tcPr>
          <w:p>
            <w:pPr>
              <w:spacing w:after="0"/>
              <w:rPr>
                <w:sz w:val="20"/>
                <w:szCs w:val="20"/>
                <w:color w:val="auto"/>
              </w:rPr>
            </w:pPr>
            <w:r>
              <w:rPr>
                <w:rFonts w:ascii="Arial" w:cs="Arial" w:eastAsia="Arial" w:hAnsi="Arial"/>
                <w:sz w:val="16"/>
                <w:szCs w:val="16"/>
                <w:color w:val="auto"/>
              </w:rPr>
              <w:t>all DSUs outstanding and available for issue</w:t>
            </w:r>
          </w:p>
        </w:tc>
        <w:tc>
          <w:tcPr>
            <w:tcW w:w="2440" w:type="dxa"/>
            <w:vAlign w:val="bottom"/>
            <w:tcBorders>
              <w:right w:val="single" w:sz="8" w:color="B2B2B2"/>
            </w:tcBorders>
          </w:tcPr>
          <w:p>
            <w:pPr>
              <w:spacing w:after="0"/>
              <w:rPr>
                <w:sz w:val="22"/>
                <w:szCs w:val="22"/>
                <w:color w:val="auto"/>
              </w:rPr>
            </w:pPr>
          </w:p>
        </w:tc>
        <w:tc>
          <w:tcPr>
            <w:tcW w:w="1220" w:type="dxa"/>
            <w:vAlign w:val="bottom"/>
            <w:tcBorders>
              <w:right w:val="single" w:sz="8" w:color="B2B2B2"/>
            </w:tcBorders>
          </w:tcPr>
          <w:p>
            <w:pPr>
              <w:ind w:left="36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2"/>
                <w:szCs w:val="22"/>
                <w:color w:val="auto"/>
              </w:rPr>
            </w:pPr>
          </w:p>
        </w:tc>
        <w:tc>
          <w:tcPr>
            <w:tcW w:w="1540" w:type="dxa"/>
            <w:vAlign w:val="bottom"/>
            <w:tcBorders>
              <w:right w:val="single" w:sz="8" w:color="B2B2B2"/>
            </w:tcBorders>
          </w:tcPr>
          <w:p>
            <w:pPr>
              <w:ind w:left="480"/>
              <w:spacing w:after="0"/>
              <w:rPr>
                <w:sz w:val="20"/>
                <w:szCs w:val="20"/>
                <w:color w:val="auto"/>
              </w:rPr>
            </w:pPr>
            <w:r>
              <w:rPr>
                <w:rFonts w:ascii="Arial" w:cs="Arial" w:eastAsia="Arial" w:hAnsi="Arial"/>
                <w:sz w:val="16"/>
                <w:szCs w:val="16"/>
                <w:color w:val="auto"/>
              </w:rPr>
              <w:t>1.019%</w:t>
            </w:r>
          </w:p>
        </w:tc>
        <w:tc>
          <w:tcPr>
            <w:tcW w:w="1620" w:type="dxa"/>
            <w:vAlign w:val="bottom"/>
          </w:tcPr>
          <w:p>
            <w:pPr>
              <w:ind w:left="580"/>
              <w:spacing w:after="0"/>
              <w:rPr>
                <w:sz w:val="20"/>
                <w:szCs w:val="20"/>
                <w:color w:val="auto"/>
              </w:rPr>
            </w:pPr>
            <w:r>
              <w:rPr>
                <w:rFonts w:ascii="Arial" w:cs="Arial" w:eastAsia="Arial" w:hAnsi="Arial"/>
                <w:sz w:val="16"/>
                <w:szCs w:val="16"/>
                <w:color w:val="auto"/>
              </w:rPr>
              <w:t>0.995%</w:t>
            </w:r>
          </w:p>
        </w:tc>
      </w:tr>
      <w:tr>
        <w:trPr>
          <w:trHeight w:val="241"/>
        </w:trPr>
        <w:tc>
          <w:tcPr>
            <w:tcW w:w="4000" w:type="dxa"/>
            <w:vAlign w:val="bottom"/>
            <w:tcBorders>
              <w:top w:val="single" w:sz="8" w:color="D64000"/>
            </w:tcBorders>
          </w:tcPr>
          <w:p>
            <w:pPr>
              <w:spacing w:after="0"/>
              <w:rPr>
                <w:sz w:val="20"/>
                <w:szCs w:val="20"/>
                <w:color w:val="auto"/>
              </w:rPr>
            </w:pPr>
          </w:p>
        </w:tc>
        <w:tc>
          <w:tcPr>
            <w:tcW w:w="2440" w:type="dxa"/>
            <w:vAlign w:val="bottom"/>
            <w:tcBorders>
              <w:top w:val="single" w:sz="8" w:color="D64000"/>
            </w:tcBorders>
          </w:tcPr>
          <w:p>
            <w:pPr>
              <w:spacing w:after="0"/>
              <w:rPr>
                <w:sz w:val="20"/>
                <w:szCs w:val="20"/>
                <w:color w:val="auto"/>
              </w:rPr>
            </w:pPr>
          </w:p>
        </w:tc>
        <w:tc>
          <w:tcPr>
            <w:tcW w:w="1220" w:type="dxa"/>
            <w:vAlign w:val="bottom"/>
            <w:tcBorders>
              <w:top w:val="single" w:sz="8" w:color="D64000"/>
            </w:tcBorders>
          </w:tcPr>
          <w:p>
            <w:pPr>
              <w:spacing w:after="0"/>
              <w:rPr>
                <w:sz w:val="20"/>
                <w:szCs w:val="20"/>
                <w:color w:val="auto"/>
              </w:rPr>
            </w:pPr>
          </w:p>
        </w:tc>
        <w:tc>
          <w:tcPr>
            <w:tcW w:w="100" w:type="dxa"/>
            <w:vAlign w:val="bottom"/>
            <w:tcBorders>
              <w:top w:val="single" w:sz="8" w:color="D64000"/>
            </w:tcBorders>
          </w:tcPr>
          <w:p>
            <w:pPr>
              <w:spacing w:after="0"/>
              <w:rPr>
                <w:sz w:val="20"/>
                <w:szCs w:val="20"/>
                <w:color w:val="auto"/>
              </w:rPr>
            </w:pPr>
          </w:p>
        </w:tc>
        <w:tc>
          <w:tcPr>
            <w:tcW w:w="1540" w:type="dxa"/>
            <w:vAlign w:val="bottom"/>
            <w:tcBorders>
              <w:top w:val="single" w:sz="8" w:color="D64000"/>
            </w:tcBorders>
          </w:tcPr>
          <w:p>
            <w:pPr>
              <w:spacing w:after="0"/>
              <w:rPr>
                <w:sz w:val="20"/>
                <w:szCs w:val="20"/>
                <w:color w:val="auto"/>
              </w:rPr>
            </w:pPr>
          </w:p>
        </w:tc>
        <w:tc>
          <w:tcPr>
            <w:tcW w:w="1620" w:type="dxa"/>
            <w:vAlign w:val="bottom"/>
            <w:tcBorders>
              <w:top w:val="single" w:sz="8" w:color="D64000"/>
            </w:tcBorders>
          </w:tcPr>
          <w:p>
            <w:pPr>
              <w:spacing w:after="0"/>
              <w:rPr>
                <w:sz w:val="20"/>
                <w:szCs w:val="20"/>
                <w:color w:val="auto"/>
              </w:rPr>
            </w:pPr>
          </w:p>
        </w:tc>
      </w:tr>
      <w:tr>
        <w:trPr>
          <w:trHeight w:val="261"/>
        </w:trPr>
        <w:tc>
          <w:tcPr>
            <w:tcW w:w="400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Employee Stock Purchase Plans</w:t>
            </w:r>
          </w:p>
        </w:tc>
        <w:tc>
          <w:tcPr>
            <w:tcW w:w="2440" w:type="dxa"/>
            <w:vAlign w:val="bottom"/>
            <w:tcBorders>
              <w:right w:val="single" w:sz="8" w:color="1F473D"/>
            </w:tcBorders>
            <w:shd w:val="clear" w:color="auto" w:fill="1F473D"/>
          </w:tcPr>
          <w:p>
            <w:pPr>
              <w:spacing w:after="0"/>
              <w:rPr>
                <w:sz w:val="22"/>
                <w:szCs w:val="22"/>
                <w:color w:val="auto"/>
              </w:rPr>
            </w:pPr>
          </w:p>
        </w:tc>
        <w:tc>
          <w:tcPr>
            <w:tcW w:w="1220" w:type="dxa"/>
            <w:vAlign w:val="bottom"/>
            <w:tcBorders>
              <w:right w:val="single" w:sz="8" w:color="1F473D"/>
            </w:tcBorders>
            <w:shd w:val="clear" w:color="auto" w:fill="1F473D"/>
          </w:tcPr>
          <w:p>
            <w:pPr>
              <w:spacing w:after="0"/>
              <w:rPr>
                <w:sz w:val="22"/>
                <w:szCs w:val="22"/>
                <w:color w:val="auto"/>
              </w:rPr>
            </w:pPr>
          </w:p>
        </w:tc>
        <w:tc>
          <w:tcPr>
            <w:tcW w:w="100" w:type="dxa"/>
            <w:vAlign w:val="bottom"/>
            <w:shd w:val="clear" w:color="auto" w:fill="1F473D"/>
          </w:tcPr>
          <w:p>
            <w:pPr>
              <w:spacing w:after="0"/>
              <w:rPr>
                <w:sz w:val="22"/>
                <w:szCs w:val="22"/>
                <w:color w:val="auto"/>
              </w:rPr>
            </w:pPr>
          </w:p>
        </w:tc>
        <w:tc>
          <w:tcPr>
            <w:tcW w:w="1540" w:type="dxa"/>
            <w:vAlign w:val="bottom"/>
            <w:tcBorders>
              <w:right w:val="single" w:sz="8" w:color="1F473D"/>
            </w:tcBorders>
            <w:shd w:val="clear" w:color="auto" w:fill="1F473D"/>
          </w:tcPr>
          <w:p>
            <w:pPr>
              <w:spacing w:after="0"/>
              <w:rPr>
                <w:sz w:val="22"/>
                <w:szCs w:val="22"/>
                <w:color w:val="auto"/>
              </w:rPr>
            </w:pPr>
          </w:p>
        </w:tc>
        <w:tc>
          <w:tcPr>
            <w:tcW w:w="1620" w:type="dxa"/>
            <w:vAlign w:val="bottom"/>
            <w:shd w:val="clear" w:color="auto" w:fill="1F473D"/>
          </w:tcPr>
          <w:p>
            <w:pPr>
              <w:spacing w:after="0"/>
              <w:rPr>
                <w:sz w:val="22"/>
                <w:szCs w:val="22"/>
                <w:color w:val="auto"/>
              </w:rPr>
            </w:pPr>
          </w:p>
        </w:tc>
      </w:tr>
      <w:tr>
        <w:trPr>
          <w:trHeight w:val="67"/>
        </w:trPr>
        <w:tc>
          <w:tcPr>
            <w:tcW w:w="4000" w:type="dxa"/>
            <w:vAlign w:val="bottom"/>
            <w:tcBorders>
              <w:bottom w:val="single" w:sz="8" w:color="D64000"/>
            </w:tcBorders>
            <w:shd w:val="clear" w:color="auto" w:fill="1F473D"/>
          </w:tcPr>
          <w:p>
            <w:pPr>
              <w:spacing w:after="0"/>
              <w:rPr>
                <w:sz w:val="5"/>
                <w:szCs w:val="5"/>
                <w:color w:val="auto"/>
              </w:rPr>
            </w:pPr>
          </w:p>
        </w:tc>
        <w:tc>
          <w:tcPr>
            <w:tcW w:w="6920" w:type="dxa"/>
            <w:vAlign w:val="bottom"/>
            <w:tcBorders>
              <w:bottom w:val="single" w:sz="8" w:color="D64000"/>
            </w:tcBorders>
            <w:gridSpan w:val="5"/>
            <w:shd w:val="clear" w:color="auto" w:fill="1F473D"/>
          </w:tcPr>
          <w:p>
            <w:pPr>
              <w:spacing w:after="0"/>
              <w:rPr>
                <w:sz w:val="5"/>
                <w:szCs w:val="5"/>
                <w:color w:val="auto"/>
              </w:rPr>
            </w:pPr>
          </w:p>
        </w:tc>
      </w:tr>
      <w:tr>
        <w:trPr>
          <w:trHeight w:val="241"/>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Eligibility</w:t>
            </w:r>
          </w:p>
        </w:tc>
        <w:tc>
          <w:tcPr>
            <w:tcW w:w="6920" w:type="dxa"/>
            <w:vAlign w:val="bottom"/>
            <w:tcBorders>
              <w:bottom w:val="single" w:sz="8" w:color="B2B2B2"/>
            </w:tcBorders>
            <w:gridSpan w:val="5"/>
          </w:tcPr>
          <w:p>
            <w:pPr>
              <w:ind w:left="120"/>
              <w:spacing w:after="0"/>
              <w:rPr>
                <w:sz w:val="20"/>
                <w:szCs w:val="20"/>
                <w:color w:val="auto"/>
              </w:rPr>
            </w:pPr>
            <w:r>
              <w:rPr>
                <w:rFonts w:ascii="Arial" w:cs="Arial" w:eastAsia="Arial" w:hAnsi="Arial"/>
                <w:sz w:val="16"/>
                <w:szCs w:val="16"/>
                <w:color w:val="auto"/>
              </w:rPr>
              <w:t>Designated employees in the United States, United Kingdom, Canada and other countries.</w:t>
            </w: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Purpose</w:t>
            </w:r>
          </w:p>
        </w:tc>
        <w:tc>
          <w:tcPr>
            <w:tcW w:w="6920" w:type="dxa"/>
            <w:vAlign w:val="bottom"/>
            <w:gridSpan w:val="5"/>
          </w:tcPr>
          <w:p>
            <w:pPr>
              <w:ind w:left="120"/>
              <w:spacing w:after="0"/>
              <w:rPr>
                <w:sz w:val="20"/>
                <w:szCs w:val="20"/>
                <w:color w:val="auto"/>
              </w:rPr>
            </w:pPr>
            <w:r>
              <w:rPr>
                <w:rFonts w:ascii="Arial" w:cs="Arial" w:eastAsia="Arial" w:hAnsi="Arial"/>
                <w:sz w:val="16"/>
                <w:szCs w:val="16"/>
                <w:color w:val="auto"/>
              </w:rPr>
              <w:t>Provide eligible employees with an opportunity to purchase shares and to further align their</w:t>
            </w:r>
          </w:p>
        </w:tc>
      </w:tr>
      <w:tr>
        <w:trPr>
          <w:trHeight w:val="201"/>
        </w:trPr>
        <w:tc>
          <w:tcPr>
            <w:tcW w:w="4000" w:type="dxa"/>
            <w:vAlign w:val="bottom"/>
            <w:tcBorders>
              <w:bottom w:val="single" w:sz="8" w:color="B2B2B2"/>
            </w:tcBorders>
          </w:tcPr>
          <w:p>
            <w:pPr>
              <w:spacing w:after="0"/>
              <w:rPr>
                <w:sz w:val="17"/>
                <w:szCs w:val="17"/>
                <w:color w:val="auto"/>
              </w:rPr>
            </w:pPr>
          </w:p>
        </w:tc>
        <w:tc>
          <w:tcPr>
            <w:tcW w:w="3760" w:type="dxa"/>
            <w:vAlign w:val="bottom"/>
            <w:tcBorders>
              <w:bottom w:val="single" w:sz="8" w:color="B2B2B2"/>
            </w:tcBorders>
            <w:gridSpan w:val="3"/>
          </w:tcPr>
          <w:p>
            <w:pPr>
              <w:ind w:left="120"/>
              <w:spacing w:after="0"/>
              <w:rPr>
                <w:sz w:val="20"/>
                <w:szCs w:val="20"/>
                <w:color w:val="auto"/>
              </w:rPr>
            </w:pPr>
            <w:r>
              <w:rPr>
                <w:rFonts w:ascii="Arial" w:cs="Arial" w:eastAsia="Arial" w:hAnsi="Arial"/>
                <w:sz w:val="16"/>
                <w:szCs w:val="16"/>
                <w:color w:val="auto"/>
              </w:rPr>
              <w:t>interests with those of our shareholders.</w:t>
            </w:r>
          </w:p>
        </w:tc>
        <w:tc>
          <w:tcPr>
            <w:tcW w:w="1540" w:type="dxa"/>
            <w:vAlign w:val="bottom"/>
            <w:tcBorders>
              <w:bottom w:val="single" w:sz="8" w:color="B2B2B2"/>
            </w:tcBorders>
          </w:tcPr>
          <w:p>
            <w:pPr>
              <w:spacing w:after="0"/>
              <w:rPr>
                <w:sz w:val="17"/>
                <w:szCs w:val="17"/>
                <w:color w:val="auto"/>
              </w:rPr>
            </w:pPr>
          </w:p>
        </w:tc>
        <w:tc>
          <w:tcPr>
            <w:tcW w:w="162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Maximum number of shares issuable</w:t>
            </w:r>
          </w:p>
        </w:tc>
        <w:tc>
          <w:tcPr>
            <w:tcW w:w="6920" w:type="dxa"/>
            <w:vAlign w:val="bottom"/>
            <w:gridSpan w:val="5"/>
          </w:tcPr>
          <w:p>
            <w:pPr>
              <w:ind w:left="120"/>
              <w:spacing w:after="0"/>
              <w:rPr>
                <w:sz w:val="20"/>
                <w:szCs w:val="20"/>
                <w:color w:val="auto"/>
              </w:rPr>
            </w:pPr>
            <w:r>
              <w:rPr>
                <w:rFonts w:ascii="Arial" w:cs="Arial" w:eastAsia="Arial" w:hAnsi="Arial"/>
                <w:sz w:val="16"/>
                <w:szCs w:val="16"/>
                <w:color w:val="auto"/>
              </w:rPr>
              <w:t>20,388,909 shares (comprised of 14,633,208 for U.S. employee stock purchase plan and</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120"/>
              <w:spacing w:after="0"/>
              <w:rPr>
                <w:sz w:val="20"/>
                <w:szCs w:val="20"/>
                <w:color w:val="auto"/>
              </w:rPr>
            </w:pPr>
            <w:r>
              <w:rPr>
                <w:rFonts w:ascii="Arial" w:cs="Arial" w:eastAsia="Arial" w:hAnsi="Arial"/>
                <w:sz w:val="16"/>
                <w:szCs w:val="16"/>
                <w:color w:val="auto"/>
              </w:rPr>
              <w:t>5,755,701 for global employee stock purchase plan), representing approximately 4.58% of our</w:t>
            </w:r>
          </w:p>
        </w:tc>
      </w:tr>
      <w:tr>
        <w:trPr>
          <w:trHeight w:val="201"/>
        </w:trPr>
        <w:tc>
          <w:tcPr>
            <w:tcW w:w="4000" w:type="dxa"/>
            <w:vAlign w:val="bottom"/>
            <w:tcBorders>
              <w:bottom w:val="single" w:sz="8" w:color="B2B2B2"/>
            </w:tcBorders>
          </w:tcPr>
          <w:p>
            <w:pPr>
              <w:spacing w:after="0"/>
              <w:rPr>
                <w:sz w:val="17"/>
                <w:szCs w:val="17"/>
                <w:color w:val="auto"/>
              </w:rPr>
            </w:pPr>
          </w:p>
        </w:tc>
        <w:tc>
          <w:tcPr>
            <w:tcW w:w="3760" w:type="dxa"/>
            <w:vAlign w:val="bottom"/>
            <w:tcBorders>
              <w:bottom w:val="single" w:sz="8" w:color="B2B2B2"/>
            </w:tcBorders>
            <w:gridSpan w:val="3"/>
          </w:tcPr>
          <w:p>
            <w:pPr>
              <w:ind w:left="120"/>
              <w:spacing w:after="0"/>
              <w:rPr>
                <w:sz w:val="20"/>
                <w:szCs w:val="20"/>
                <w:color w:val="auto"/>
              </w:rPr>
            </w:pPr>
            <w:r>
              <w:rPr>
                <w:rFonts w:ascii="Arial" w:cs="Arial" w:eastAsia="Arial" w:hAnsi="Arial"/>
                <w:sz w:val="16"/>
                <w:szCs w:val="16"/>
                <w:color w:val="auto"/>
                <w:w w:val="99"/>
              </w:rPr>
              <w:t>total issued and outstanding shares as of year-end.</w:t>
            </w:r>
          </w:p>
        </w:tc>
        <w:tc>
          <w:tcPr>
            <w:tcW w:w="1540" w:type="dxa"/>
            <w:vAlign w:val="bottom"/>
            <w:tcBorders>
              <w:bottom w:val="single" w:sz="8" w:color="B2B2B2"/>
            </w:tcBorders>
          </w:tcPr>
          <w:p>
            <w:pPr>
              <w:spacing w:after="0"/>
              <w:rPr>
                <w:sz w:val="17"/>
                <w:szCs w:val="17"/>
                <w:color w:val="auto"/>
              </w:rPr>
            </w:pPr>
          </w:p>
        </w:tc>
        <w:tc>
          <w:tcPr>
            <w:tcW w:w="162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Shares issued as of December 31, 2025</w:t>
            </w:r>
          </w:p>
        </w:tc>
        <w:tc>
          <w:tcPr>
            <w:tcW w:w="6920" w:type="dxa"/>
            <w:vAlign w:val="bottom"/>
            <w:gridSpan w:val="5"/>
          </w:tcPr>
          <w:p>
            <w:pPr>
              <w:ind w:left="120"/>
              <w:spacing w:after="0"/>
              <w:rPr>
                <w:sz w:val="20"/>
                <w:szCs w:val="20"/>
                <w:color w:val="auto"/>
              </w:rPr>
            </w:pPr>
            <w:r>
              <w:rPr>
                <w:rFonts w:ascii="Arial" w:cs="Arial" w:eastAsia="Arial" w:hAnsi="Arial"/>
                <w:sz w:val="16"/>
                <w:szCs w:val="16"/>
                <w:color w:val="auto"/>
              </w:rPr>
              <w:t>16,410,228 shares, representing approximately 3.69% of our total issued and outstanding</w:t>
            </w:r>
          </w:p>
        </w:tc>
      </w:tr>
      <w:tr>
        <w:trPr>
          <w:trHeight w:val="201"/>
        </w:trPr>
        <w:tc>
          <w:tcPr>
            <w:tcW w:w="4000" w:type="dxa"/>
            <w:vAlign w:val="bottom"/>
            <w:tcBorders>
              <w:bottom w:val="single" w:sz="8" w:color="B2B2B2"/>
            </w:tcBorders>
          </w:tcPr>
          <w:p>
            <w:pPr>
              <w:spacing w:after="0"/>
              <w:rPr>
                <w:sz w:val="17"/>
                <w:szCs w:val="17"/>
                <w:color w:val="auto"/>
              </w:rPr>
            </w:pPr>
          </w:p>
        </w:tc>
        <w:tc>
          <w:tcPr>
            <w:tcW w:w="244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shares.</w:t>
            </w:r>
          </w:p>
        </w:tc>
        <w:tc>
          <w:tcPr>
            <w:tcW w:w="1220" w:type="dxa"/>
            <w:vAlign w:val="bottom"/>
            <w:tcBorders>
              <w:bottom w:val="single" w:sz="8" w:color="B2B2B2"/>
            </w:tcBorders>
          </w:tcPr>
          <w:p>
            <w:pPr>
              <w:spacing w:after="0"/>
              <w:rPr>
                <w:sz w:val="17"/>
                <w:szCs w:val="17"/>
                <w:color w:val="auto"/>
              </w:rPr>
            </w:pPr>
          </w:p>
        </w:tc>
        <w:tc>
          <w:tcPr>
            <w:tcW w:w="100" w:type="dxa"/>
            <w:vAlign w:val="bottom"/>
            <w:tcBorders>
              <w:bottom w:val="single" w:sz="8" w:color="B2B2B2"/>
            </w:tcBorders>
          </w:tcPr>
          <w:p>
            <w:pPr>
              <w:spacing w:after="0"/>
              <w:rPr>
                <w:sz w:val="17"/>
                <w:szCs w:val="17"/>
                <w:color w:val="auto"/>
              </w:rPr>
            </w:pPr>
          </w:p>
        </w:tc>
        <w:tc>
          <w:tcPr>
            <w:tcW w:w="1540" w:type="dxa"/>
            <w:vAlign w:val="bottom"/>
            <w:tcBorders>
              <w:bottom w:val="single" w:sz="8" w:color="B2B2B2"/>
            </w:tcBorders>
          </w:tcPr>
          <w:p>
            <w:pPr>
              <w:spacing w:after="0"/>
              <w:rPr>
                <w:sz w:val="17"/>
                <w:szCs w:val="17"/>
                <w:color w:val="auto"/>
              </w:rPr>
            </w:pPr>
          </w:p>
        </w:tc>
        <w:tc>
          <w:tcPr>
            <w:tcW w:w="162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Shares available for issue as of December 31, 2025</w:t>
            </w:r>
          </w:p>
        </w:tc>
        <w:tc>
          <w:tcPr>
            <w:tcW w:w="6920" w:type="dxa"/>
            <w:vAlign w:val="bottom"/>
            <w:gridSpan w:val="5"/>
          </w:tcPr>
          <w:p>
            <w:pPr>
              <w:ind w:left="120"/>
              <w:spacing w:after="0"/>
              <w:rPr>
                <w:sz w:val="20"/>
                <w:szCs w:val="20"/>
                <w:color w:val="auto"/>
              </w:rPr>
            </w:pPr>
            <w:r>
              <w:rPr>
                <w:rFonts w:ascii="Arial" w:cs="Arial" w:eastAsia="Arial" w:hAnsi="Arial"/>
                <w:sz w:val="16"/>
                <w:szCs w:val="16"/>
                <w:color w:val="auto"/>
              </w:rPr>
              <w:t>3,978,681 shares, comprised of 1,930,238 shares for the U.S. ESPP and 2,048,443 for the</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120"/>
              <w:spacing w:after="0"/>
              <w:rPr>
                <w:sz w:val="20"/>
                <w:szCs w:val="20"/>
                <w:color w:val="auto"/>
              </w:rPr>
            </w:pPr>
            <w:r>
              <w:rPr>
                <w:rFonts w:ascii="Arial" w:cs="Arial" w:eastAsia="Arial" w:hAnsi="Arial"/>
                <w:sz w:val="16"/>
                <w:szCs w:val="16"/>
                <w:color w:val="auto"/>
              </w:rPr>
              <w:t>global ESPP, representing approximately 0.89% of our total issued and outstanding shares</w:t>
            </w:r>
          </w:p>
        </w:tc>
      </w:tr>
      <w:tr>
        <w:trPr>
          <w:trHeight w:val="201"/>
        </w:trPr>
        <w:tc>
          <w:tcPr>
            <w:tcW w:w="4000" w:type="dxa"/>
            <w:vAlign w:val="bottom"/>
            <w:tcBorders>
              <w:bottom w:val="single" w:sz="8" w:color="B2B2B2"/>
            </w:tcBorders>
          </w:tcPr>
          <w:p>
            <w:pPr>
              <w:spacing w:after="0"/>
              <w:rPr>
                <w:sz w:val="17"/>
                <w:szCs w:val="17"/>
                <w:color w:val="auto"/>
              </w:rPr>
            </w:pPr>
          </w:p>
        </w:tc>
        <w:tc>
          <w:tcPr>
            <w:tcW w:w="5300" w:type="dxa"/>
            <w:vAlign w:val="bottom"/>
            <w:tcBorders>
              <w:bottom w:val="single" w:sz="8" w:color="B2B2B2"/>
            </w:tcBorders>
            <w:gridSpan w:val="4"/>
          </w:tcPr>
          <w:p>
            <w:pPr>
              <w:ind w:left="120"/>
              <w:spacing w:after="0"/>
              <w:rPr>
                <w:sz w:val="20"/>
                <w:szCs w:val="20"/>
                <w:color w:val="auto"/>
              </w:rPr>
            </w:pPr>
            <w:r>
              <w:rPr>
                <w:rFonts w:ascii="Arial" w:cs="Arial" w:eastAsia="Arial" w:hAnsi="Arial"/>
                <w:sz w:val="16"/>
                <w:szCs w:val="16"/>
                <w:color w:val="auto"/>
              </w:rPr>
              <w:t>(0.43% for the U.S. ESPP and 0.46% for the global ESPP).</w:t>
            </w:r>
          </w:p>
        </w:tc>
        <w:tc>
          <w:tcPr>
            <w:tcW w:w="1620" w:type="dxa"/>
            <w:vAlign w:val="bottom"/>
            <w:tcBorders>
              <w:bottom w:val="single" w:sz="8" w:color="B2B2B2"/>
            </w:tcBorders>
          </w:tcPr>
          <w:p>
            <w:pPr>
              <w:spacing w:after="0"/>
              <w:rPr>
                <w:sz w:val="17"/>
                <w:szCs w:val="17"/>
                <w:color w:val="auto"/>
              </w:rPr>
            </w:pP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Types of equity-based awards that may be issued</w:t>
            </w:r>
          </w:p>
        </w:tc>
        <w:tc>
          <w:tcPr>
            <w:tcW w:w="244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Common shares</w:t>
            </w:r>
          </w:p>
        </w:tc>
        <w:tc>
          <w:tcPr>
            <w:tcW w:w="122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1540" w:type="dxa"/>
            <w:vAlign w:val="bottom"/>
            <w:tcBorders>
              <w:bottom w:val="single" w:sz="8" w:color="B2B2B2"/>
            </w:tcBorders>
          </w:tcPr>
          <w:p>
            <w:pPr>
              <w:spacing w:after="0"/>
              <w:rPr>
                <w:sz w:val="20"/>
                <w:szCs w:val="20"/>
                <w:color w:val="auto"/>
              </w:rPr>
            </w:pPr>
          </w:p>
        </w:tc>
        <w:tc>
          <w:tcPr>
            <w:tcW w:w="1620" w:type="dxa"/>
            <w:vAlign w:val="bottom"/>
            <w:tcBorders>
              <w:bottom w:val="single" w:sz="8" w:color="B2B2B2"/>
            </w:tcBorders>
          </w:tcPr>
          <w:p>
            <w:pPr>
              <w:spacing w:after="0"/>
              <w:rPr>
                <w:sz w:val="20"/>
                <w:szCs w:val="20"/>
                <w:color w:val="auto"/>
              </w:rPr>
            </w:pPr>
          </w:p>
        </w:tc>
      </w:tr>
      <w:tr>
        <w:trPr>
          <w:trHeight w:val="220"/>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ESPP—key terms</w:t>
            </w:r>
          </w:p>
        </w:tc>
        <w:tc>
          <w:tcPr>
            <w:tcW w:w="6920" w:type="dxa"/>
            <w:vAlign w:val="bottom"/>
            <w:gridSpan w:val="5"/>
          </w:tcPr>
          <w:p>
            <w:pPr>
              <w:ind w:left="1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The ESPP is voluntary. Eligible employees contribute to the ESPP through payroll</w:t>
            </w:r>
          </w:p>
        </w:tc>
      </w:tr>
      <w:tr>
        <w:trPr>
          <w:trHeight w:val="201"/>
        </w:trPr>
        <w:tc>
          <w:tcPr>
            <w:tcW w:w="4000" w:type="dxa"/>
            <w:vAlign w:val="bottom"/>
          </w:tcPr>
          <w:p>
            <w:pPr>
              <w:spacing w:after="0"/>
              <w:rPr>
                <w:sz w:val="17"/>
                <w:szCs w:val="17"/>
                <w:color w:val="auto"/>
              </w:rPr>
            </w:pPr>
          </w:p>
        </w:tc>
        <w:tc>
          <w:tcPr>
            <w:tcW w:w="6920" w:type="dxa"/>
            <w:vAlign w:val="bottom"/>
            <w:tcBorders>
              <w:bottom w:val="single" w:sz="8" w:color="B2B2B2"/>
            </w:tcBorders>
            <w:gridSpan w:val="5"/>
          </w:tcPr>
          <w:p>
            <w:pPr>
              <w:ind w:left="360"/>
              <w:spacing w:after="0"/>
              <w:rPr>
                <w:sz w:val="20"/>
                <w:szCs w:val="20"/>
                <w:color w:val="auto"/>
              </w:rPr>
            </w:pPr>
            <w:r>
              <w:rPr>
                <w:rFonts w:ascii="Arial" w:cs="Arial" w:eastAsia="Arial" w:hAnsi="Arial"/>
                <w:sz w:val="16"/>
                <w:szCs w:val="16"/>
                <w:color w:val="auto"/>
              </w:rPr>
              <w:t>deductions by designating from 1% to 10% of eligible compensation to be withheld.</w:t>
            </w:r>
          </w:p>
        </w:tc>
      </w:tr>
      <w:tr>
        <w:trPr>
          <w:trHeight w:val="220"/>
        </w:trPr>
        <w:tc>
          <w:tcPr>
            <w:tcW w:w="4000" w:type="dxa"/>
            <w:vAlign w:val="bottom"/>
          </w:tcPr>
          <w:p>
            <w:pPr>
              <w:spacing w:after="0"/>
              <w:rPr>
                <w:sz w:val="19"/>
                <w:szCs w:val="19"/>
                <w:color w:val="auto"/>
              </w:rPr>
            </w:pPr>
          </w:p>
        </w:tc>
        <w:tc>
          <w:tcPr>
            <w:tcW w:w="6920" w:type="dxa"/>
            <w:vAlign w:val="bottom"/>
            <w:gridSpan w:val="5"/>
          </w:tcPr>
          <w:p>
            <w:pPr>
              <w:ind w:left="1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On the last business day of each calendar quarter, we use accumulated payroll deductions</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to buy common shares for participants. The price paid for shares is 85% of the closing price</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(i.e., a 15% discount) of our common shares on the Nasdaq on the last trading day of the</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quarter. Non-U.S. participants purchase shares in the local foreign currency equivalent of</w:t>
            </w:r>
          </w:p>
        </w:tc>
      </w:tr>
      <w:tr>
        <w:trPr>
          <w:trHeight w:val="201"/>
        </w:trPr>
        <w:tc>
          <w:tcPr>
            <w:tcW w:w="4000" w:type="dxa"/>
            <w:vAlign w:val="bottom"/>
          </w:tcPr>
          <w:p>
            <w:pPr>
              <w:spacing w:after="0"/>
              <w:rPr>
                <w:sz w:val="17"/>
                <w:szCs w:val="17"/>
                <w:color w:val="auto"/>
              </w:rPr>
            </w:pPr>
          </w:p>
        </w:tc>
        <w:tc>
          <w:tcPr>
            <w:tcW w:w="2440" w:type="dxa"/>
            <w:vAlign w:val="bottom"/>
            <w:tcBorders>
              <w:bottom w:val="single" w:sz="8" w:color="B2B2B2"/>
            </w:tcBorders>
          </w:tcPr>
          <w:p>
            <w:pPr>
              <w:ind w:left="360"/>
              <w:spacing w:after="0"/>
              <w:rPr>
                <w:sz w:val="20"/>
                <w:szCs w:val="20"/>
                <w:color w:val="auto"/>
              </w:rPr>
            </w:pPr>
            <w:r>
              <w:rPr>
                <w:rFonts w:ascii="Arial" w:cs="Arial" w:eastAsia="Arial" w:hAnsi="Arial"/>
                <w:sz w:val="16"/>
                <w:szCs w:val="16"/>
                <w:color w:val="auto"/>
              </w:rPr>
              <w:t>this amount.</w:t>
            </w:r>
          </w:p>
        </w:tc>
        <w:tc>
          <w:tcPr>
            <w:tcW w:w="1220" w:type="dxa"/>
            <w:vAlign w:val="bottom"/>
            <w:tcBorders>
              <w:bottom w:val="single" w:sz="8" w:color="B2B2B2"/>
            </w:tcBorders>
          </w:tcPr>
          <w:p>
            <w:pPr>
              <w:spacing w:after="0"/>
              <w:rPr>
                <w:sz w:val="17"/>
                <w:szCs w:val="17"/>
                <w:color w:val="auto"/>
              </w:rPr>
            </w:pPr>
          </w:p>
        </w:tc>
        <w:tc>
          <w:tcPr>
            <w:tcW w:w="100" w:type="dxa"/>
            <w:vAlign w:val="bottom"/>
            <w:tcBorders>
              <w:bottom w:val="single" w:sz="8" w:color="B2B2B2"/>
            </w:tcBorders>
          </w:tcPr>
          <w:p>
            <w:pPr>
              <w:spacing w:after="0"/>
              <w:rPr>
                <w:sz w:val="17"/>
                <w:szCs w:val="17"/>
                <w:color w:val="auto"/>
              </w:rPr>
            </w:pPr>
          </w:p>
        </w:tc>
        <w:tc>
          <w:tcPr>
            <w:tcW w:w="1540" w:type="dxa"/>
            <w:vAlign w:val="bottom"/>
            <w:tcBorders>
              <w:bottom w:val="single" w:sz="8" w:color="B2B2B2"/>
            </w:tcBorders>
          </w:tcPr>
          <w:p>
            <w:pPr>
              <w:spacing w:after="0"/>
              <w:rPr>
                <w:sz w:val="17"/>
                <w:szCs w:val="17"/>
                <w:color w:val="auto"/>
              </w:rPr>
            </w:pPr>
          </w:p>
        </w:tc>
        <w:tc>
          <w:tcPr>
            <w:tcW w:w="162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19"/>
                <w:szCs w:val="19"/>
                <w:color w:val="auto"/>
              </w:rPr>
            </w:pPr>
          </w:p>
        </w:tc>
        <w:tc>
          <w:tcPr>
            <w:tcW w:w="6920" w:type="dxa"/>
            <w:vAlign w:val="bottom"/>
            <w:gridSpan w:val="5"/>
          </w:tcPr>
          <w:p>
            <w:pPr>
              <w:ind w:left="1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A minimum holding period applies to all shares purchased under the ESPP, unless</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participants in a particular country are exempted from this requirement due to legal,</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regulatory or tax considerations. While a participant is a Thomson Reuters employee, if he</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or she is subject to a holding period, then shares purchased at the end of a calendar quarter</w:t>
            </w:r>
          </w:p>
        </w:tc>
      </w:tr>
      <w:tr>
        <w:trPr>
          <w:trHeight w:val="201"/>
        </w:trPr>
        <w:tc>
          <w:tcPr>
            <w:tcW w:w="4000" w:type="dxa"/>
            <w:vAlign w:val="bottom"/>
          </w:tcPr>
          <w:p>
            <w:pPr>
              <w:spacing w:after="0"/>
              <w:rPr>
                <w:sz w:val="17"/>
                <w:szCs w:val="17"/>
                <w:color w:val="auto"/>
              </w:rPr>
            </w:pPr>
          </w:p>
        </w:tc>
        <w:tc>
          <w:tcPr>
            <w:tcW w:w="5300" w:type="dxa"/>
            <w:vAlign w:val="bottom"/>
            <w:tcBorders>
              <w:bottom w:val="single" w:sz="8" w:color="B2B2B2"/>
            </w:tcBorders>
            <w:gridSpan w:val="4"/>
          </w:tcPr>
          <w:p>
            <w:pPr>
              <w:ind w:left="360"/>
              <w:spacing w:after="0"/>
              <w:rPr>
                <w:sz w:val="20"/>
                <w:szCs w:val="20"/>
                <w:color w:val="auto"/>
              </w:rPr>
            </w:pPr>
            <w:r>
              <w:rPr>
                <w:rFonts w:ascii="Arial" w:cs="Arial" w:eastAsia="Arial" w:hAnsi="Arial"/>
                <w:sz w:val="16"/>
                <w:szCs w:val="16"/>
                <w:color w:val="auto"/>
              </w:rPr>
              <w:t>may not be sold until the next quarterly offering period ends.</w:t>
            </w:r>
          </w:p>
        </w:tc>
        <w:tc>
          <w:tcPr>
            <w:tcW w:w="1620" w:type="dxa"/>
            <w:vAlign w:val="bottom"/>
            <w:tcBorders>
              <w:bottom w:val="single" w:sz="8" w:color="B2B2B2"/>
            </w:tcBorders>
          </w:tcPr>
          <w:p>
            <w:pPr>
              <w:spacing w:after="0"/>
              <w:rPr>
                <w:sz w:val="17"/>
                <w:szCs w:val="17"/>
                <w:color w:val="auto"/>
              </w:rPr>
            </w:pPr>
          </w:p>
        </w:tc>
      </w:tr>
      <w:tr>
        <w:trPr>
          <w:trHeight w:val="220"/>
        </w:trPr>
        <w:tc>
          <w:tcPr>
            <w:tcW w:w="4000" w:type="dxa"/>
            <w:vAlign w:val="bottom"/>
          </w:tcPr>
          <w:p>
            <w:pPr>
              <w:spacing w:after="0"/>
              <w:rPr>
                <w:sz w:val="19"/>
                <w:szCs w:val="19"/>
                <w:color w:val="auto"/>
              </w:rPr>
            </w:pPr>
          </w:p>
        </w:tc>
        <w:tc>
          <w:tcPr>
            <w:tcW w:w="6920" w:type="dxa"/>
            <w:vAlign w:val="bottom"/>
            <w:gridSpan w:val="5"/>
          </w:tcPr>
          <w:p>
            <w:pPr>
              <w:ind w:left="120"/>
              <w:spacing w:after="0"/>
              <w:rPr>
                <w:sz w:val="20"/>
                <w:szCs w:val="20"/>
                <w:color w:val="auto"/>
              </w:rPr>
            </w:pPr>
            <w:r>
              <w:rPr>
                <w:rFonts w:ascii="Arial" w:cs="Arial" w:eastAsia="Arial" w:hAnsi="Arial"/>
                <w:sz w:val="16"/>
                <w:szCs w:val="16"/>
                <w:color w:val="D64000"/>
              </w:rPr>
              <w:t xml:space="preserve">•  </w:t>
            </w:r>
            <w:r>
              <w:rPr>
                <w:rFonts w:ascii="Arial" w:cs="Arial" w:eastAsia="Arial" w:hAnsi="Arial"/>
                <w:sz w:val="16"/>
                <w:szCs w:val="16"/>
                <w:color w:val="000000"/>
              </w:rPr>
              <w:t>Employees may elect to change or suspend payroll deductions during each quarterly</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offering period and may elect to withdraw from the ESPP at least 10 business days before a</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quarterly purchase date. If an individual ceases to be an eligible employee of Thomson</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rPr>
              <w:t>Reuters, he or she is considered to have withdrawn from the ESPP. If ESPP enrollment is</w:t>
            </w:r>
          </w:p>
        </w:tc>
      </w:tr>
      <w:tr>
        <w:trPr>
          <w:trHeight w:val="187"/>
        </w:trPr>
        <w:tc>
          <w:tcPr>
            <w:tcW w:w="4000" w:type="dxa"/>
            <w:vAlign w:val="bottom"/>
          </w:tcPr>
          <w:p>
            <w:pPr>
              <w:spacing w:after="0"/>
              <w:rPr>
                <w:sz w:val="16"/>
                <w:szCs w:val="16"/>
                <w:color w:val="auto"/>
              </w:rPr>
            </w:pPr>
          </w:p>
        </w:tc>
        <w:tc>
          <w:tcPr>
            <w:tcW w:w="6920" w:type="dxa"/>
            <w:vAlign w:val="bottom"/>
            <w:gridSpan w:val="5"/>
          </w:tcPr>
          <w:p>
            <w:pPr>
              <w:ind w:left="360"/>
              <w:spacing w:after="0"/>
              <w:rPr>
                <w:sz w:val="20"/>
                <w:szCs w:val="20"/>
                <w:color w:val="auto"/>
              </w:rPr>
            </w:pPr>
            <w:r>
              <w:rPr>
                <w:rFonts w:ascii="Arial" w:cs="Arial" w:eastAsia="Arial" w:hAnsi="Arial"/>
                <w:sz w:val="16"/>
                <w:szCs w:val="16"/>
                <w:color w:val="auto"/>
                <w:w w:val="99"/>
              </w:rPr>
              <w:t>cancelled, an employee may withdraw all of his or her payroll deductions from the ESPP that</w:t>
            </w:r>
          </w:p>
        </w:tc>
      </w:tr>
      <w:tr>
        <w:trPr>
          <w:trHeight w:val="201"/>
        </w:trPr>
        <w:tc>
          <w:tcPr>
            <w:tcW w:w="4000" w:type="dxa"/>
            <w:vAlign w:val="bottom"/>
            <w:tcBorders>
              <w:bottom w:val="single" w:sz="8" w:color="B2B2B2"/>
            </w:tcBorders>
          </w:tcPr>
          <w:p>
            <w:pPr>
              <w:spacing w:after="0"/>
              <w:rPr>
                <w:sz w:val="17"/>
                <w:szCs w:val="17"/>
                <w:color w:val="auto"/>
              </w:rPr>
            </w:pPr>
          </w:p>
        </w:tc>
        <w:tc>
          <w:tcPr>
            <w:tcW w:w="3760" w:type="dxa"/>
            <w:vAlign w:val="bottom"/>
            <w:tcBorders>
              <w:bottom w:val="single" w:sz="8" w:color="B2B2B2"/>
            </w:tcBorders>
            <w:gridSpan w:val="3"/>
          </w:tcPr>
          <w:p>
            <w:pPr>
              <w:ind w:left="360"/>
              <w:spacing w:after="0"/>
              <w:rPr>
                <w:sz w:val="20"/>
                <w:szCs w:val="20"/>
                <w:color w:val="auto"/>
              </w:rPr>
            </w:pPr>
            <w:r>
              <w:rPr>
                <w:rFonts w:ascii="Arial" w:cs="Arial" w:eastAsia="Arial" w:hAnsi="Arial"/>
                <w:sz w:val="16"/>
                <w:szCs w:val="16"/>
                <w:color w:val="auto"/>
              </w:rPr>
              <w:t>have not been used to purchase shares.</w:t>
            </w:r>
          </w:p>
        </w:tc>
        <w:tc>
          <w:tcPr>
            <w:tcW w:w="1540" w:type="dxa"/>
            <w:vAlign w:val="bottom"/>
            <w:tcBorders>
              <w:bottom w:val="single" w:sz="8" w:color="B2B2B2"/>
            </w:tcBorders>
          </w:tcPr>
          <w:p>
            <w:pPr>
              <w:spacing w:after="0"/>
              <w:rPr>
                <w:sz w:val="17"/>
                <w:szCs w:val="17"/>
                <w:color w:val="auto"/>
              </w:rPr>
            </w:pPr>
          </w:p>
        </w:tc>
        <w:tc>
          <w:tcPr>
            <w:tcW w:w="1620" w:type="dxa"/>
            <w:vAlign w:val="bottom"/>
            <w:tcBorders>
              <w:bottom w:val="single" w:sz="8" w:color="B2B2B2"/>
            </w:tcBorders>
          </w:tcPr>
          <w:p>
            <w:pPr>
              <w:spacing w:after="0"/>
              <w:rPr>
                <w:sz w:val="17"/>
                <w:szCs w:val="17"/>
                <w:color w:val="auto"/>
              </w:rPr>
            </w:pPr>
          </w:p>
        </w:tc>
      </w:tr>
      <w:tr>
        <w:trPr>
          <w:trHeight w:val="234"/>
        </w:trPr>
        <w:tc>
          <w:tcPr>
            <w:tcW w:w="4000" w:type="dxa"/>
            <w:vAlign w:val="bottom"/>
            <w:tcBorders>
              <w:bottom w:val="single" w:sz="8" w:color="B2B2B2"/>
            </w:tcBorders>
          </w:tcPr>
          <w:p>
            <w:pPr>
              <w:ind w:left="100"/>
              <w:spacing w:after="0"/>
              <w:rPr>
                <w:sz w:val="20"/>
                <w:szCs w:val="20"/>
                <w:color w:val="auto"/>
              </w:rPr>
            </w:pPr>
            <w:r>
              <w:rPr>
                <w:rFonts w:ascii="Arial" w:cs="Arial" w:eastAsia="Arial" w:hAnsi="Arial"/>
                <w:sz w:val="16"/>
                <w:szCs w:val="16"/>
                <w:b w:val="1"/>
                <w:bCs w:val="1"/>
                <w:color w:val="auto"/>
              </w:rPr>
              <w:t>Plan amendments and changes</w:t>
            </w:r>
          </w:p>
        </w:tc>
        <w:tc>
          <w:tcPr>
            <w:tcW w:w="6920" w:type="dxa"/>
            <w:vAlign w:val="bottom"/>
            <w:tcBorders>
              <w:bottom w:val="single" w:sz="8" w:color="B2B2B2"/>
            </w:tcBorders>
            <w:gridSpan w:val="5"/>
          </w:tcPr>
          <w:p>
            <w:pPr>
              <w:ind w:left="120"/>
              <w:spacing w:after="0"/>
              <w:rPr>
                <w:sz w:val="20"/>
                <w:szCs w:val="20"/>
                <w:color w:val="auto"/>
              </w:rPr>
            </w:pPr>
            <w:r>
              <w:rPr>
                <w:rFonts w:ascii="Arial" w:cs="Arial" w:eastAsia="Arial" w:hAnsi="Arial"/>
                <w:sz w:val="16"/>
                <w:szCs w:val="16"/>
                <w:color w:val="auto"/>
              </w:rPr>
              <w:t>Substantially similar to the provisions of the stock incentive plan described above.</w:t>
            </w:r>
          </w:p>
        </w:tc>
      </w:tr>
      <w:tr>
        <w:trPr>
          <w:trHeight w:val="254"/>
        </w:trPr>
        <w:tc>
          <w:tcPr>
            <w:tcW w:w="4000" w:type="dxa"/>
            <w:vAlign w:val="bottom"/>
          </w:tcPr>
          <w:p>
            <w:pPr>
              <w:ind w:left="100"/>
              <w:spacing w:after="0"/>
              <w:rPr>
                <w:sz w:val="20"/>
                <w:szCs w:val="20"/>
                <w:color w:val="auto"/>
              </w:rPr>
            </w:pPr>
            <w:r>
              <w:rPr>
                <w:rFonts w:ascii="Arial" w:cs="Arial" w:eastAsia="Arial" w:hAnsi="Arial"/>
                <w:sz w:val="16"/>
                <w:szCs w:val="16"/>
                <w:b w:val="1"/>
                <w:bCs w:val="1"/>
                <w:color w:val="auto"/>
              </w:rPr>
              <w:t>Transfers and assignments</w:t>
            </w:r>
          </w:p>
        </w:tc>
        <w:tc>
          <w:tcPr>
            <w:tcW w:w="5300" w:type="dxa"/>
            <w:vAlign w:val="bottom"/>
            <w:gridSpan w:val="4"/>
          </w:tcPr>
          <w:p>
            <w:pPr>
              <w:ind w:left="120"/>
              <w:spacing w:after="0"/>
              <w:rPr>
                <w:sz w:val="20"/>
                <w:szCs w:val="20"/>
                <w:color w:val="auto"/>
              </w:rPr>
            </w:pPr>
            <w:r>
              <w:rPr>
                <w:rFonts w:ascii="Arial" w:cs="Arial" w:eastAsia="Arial" w:hAnsi="Arial"/>
                <w:sz w:val="16"/>
                <w:szCs w:val="16"/>
                <w:color w:val="auto"/>
              </w:rPr>
              <w:t>Not possible other than by the laws of descent and distribution.</w:t>
            </w:r>
          </w:p>
        </w:tc>
        <w:tc>
          <w:tcPr>
            <w:tcW w:w="1620" w:type="dxa"/>
            <w:vAlign w:val="bottom"/>
          </w:tcPr>
          <w:p>
            <w:pPr>
              <w:spacing w:after="0"/>
              <w:rPr>
                <w:sz w:val="22"/>
                <w:szCs w:val="22"/>
                <w:color w:val="auto"/>
              </w:rPr>
            </w:pPr>
          </w:p>
        </w:tc>
      </w:tr>
      <w:tr>
        <w:trPr>
          <w:trHeight w:val="54"/>
        </w:trPr>
        <w:tc>
          <w:tcPr>
            <w:tcW w:w="6440" w:type="dxa"/>
            <w:vAlign w:val="bottom"/>
            <w:tcBorders>
              <w:bottom w:val="single" w:sz="8" w:color="D64000"/>
            </w:tcBorders>
            <w:gridSpan w:val="2"/>
          </w:tcPr>
          <w:p>
            <w:pPr>
              <w:spacing w:after="0"/>
              <w:rPr>
                <w:sz w:val="4"/>
                <w:szCs w:val="4"/>
                <w:color w:val="auto"/>
              </w:rPr>
            </w:pPr>
          </w:p>
        </w:tc>
        <w:tc>
          <w:tcPr>
            <w:tcW w:w="1220" w:type="dxa"/>
            <w:vAlign w:val="bottom"/>
            <w:tcBorders>
              <w:bottom w:val="single" w:sz="8" w:color="D64000"/>
            </w:tcBorders>
          </w:tcPr>
          <w:p>
            <w:pPr>
              <w:spacing w:after="0"/>
              <w:rPr>
                <w:sz w:val="4"/>
                <w:szCs w:val="4"/>
                <w:color w:val="auto"/>
              </w:rPr>
            </w:pPr>
          </w:p>
        </w:tc>
        <w:tc>
          <w:tcPr>
            <w:tcW w:w="100" w:type="dxa"/>
            <w:vAlign w:val="bottom"/>
            <w:tcBorders>
              <w:bottom w:val="single" w:sz="8" w:color="D64000"/>
            </w:tcBorders>
          </w:tcPr>
          <w:p>
            <w:pPr>
              <w:spacing w:after="0"/>
              <w:rPr>
                <w:sz w:val="4"/>
                <w:szCs w:val="4"/>
                <w:color w:val="auto"/>
              </w:rPr>
            </w:pPr>
          </w:p>
        </w:tc>
        <w:tc>
          <w:tcPr>
            <w:tcW w:w="1540" w:type="dxa"/>
            <w:vAlign w:val="bottom"/>
            <w:tcBorders>
              <w:bottom w:val="single" w:sz="8" w:color="D64000"/>
            </w:tcBorders>
          </w:tcPr>
          <w:p>
            <w:pPr>
              <w:spacing w:after="0"/>
              <w:rPr>
                <w:sz w:val="4"/>
                <w:szCs w:val="4"/>
                <w:color w:val="auto"/>
              </w:rPr>
            </w:pPr>
          </w:p>
        </w:tc>
        <w:tc>
          <w:tcPr>
            <w:tcW w:w="1620" w:type="dxa"/>
            <w:vAlign w:val="bottom"/>
            <w:tcBorders>
              <w:bottom w:val="single" w:sz="8" w:color="D64000"/>
            </w:tcBorders>
          </w:tcPr>
          <w:p>
            <w:pPr>
              <w:spacing w:after="0"/>
              <w:rPr>
                <w:sz w:val="4"/>
                <w:szCs w:val="4"/>
                <w:color w:val="auto"/>
              </w:rPr>
            </w:pPr>
          </w:p>
        </w:tc>
      </w:tr>
      <w:tr>
        <w:trPr>
          <w:trHeight w:val="160"/>
        </w:trPr>
        <w:tc>
          <w:tcPr>
            <w:tcW w:w="6440" w:type="dxa"/>
            <w:vAlign w:val="bottom"/>
            <w:tcBorders>
              <w:bottom w:val="single" w:sz="8" w:color="7F7F7F"/>
            </w:tcBorders>
            <w:gridSpan w:val="2"/>
          </w:tcPr>
          <w:p>
            <w:pPr>
              <w:spacing w:after="0"/>
              <w:rPr>
                <w:sz w:val="13"/>
                <w:szCs w:val="13"/>
                <w:color w:val="auto"/>
              </w:rPr>
            </w:pPr>
          </w:p>
        </w:tc>
        <w:tc>
          <w:tcPr>
            <w:tcW w:w="1220" w:type="dxa"/>
            <w:vAlign w:val="bottom"/>
            <w:tcBorders>
              <w:bottom w:val="single" w:sz="8" w:color="7F7F7F"/>
            </w:tcBorders>
          </w:tcPr>
          <w:p>
            <w:pPr>
              <w:spacing w:after="0"/>
              <w:rPr>
                <w:sz w:val="13"/>
                <w:szCs w:val="13"/>
                <w:color w:val="auto"/>
              </w:rPr>
            </w:pPr>
          </w:p>
        </w:tc>
        <w:tc>
          <w:tcPr>
            <w:tcW w:w="100" w:type="dxa"/>
            <w:vAlign w:val="bottom"/>
            <w:tcBorders>
              <w:bottom w:val="single" w:sz="8" w:color="7F7F7F"/>
            </w:tcBorders>
          </w:tcPr>
          <w:p>
            <w:pPr>
              <w:spacing w:after="0"/>
              <w:rPr>
                <w:sz w:val="13"/>
                <w:szCs w:val="13"/>
                <w:color w:val="auto"/>
              </w:rPr>
            </w:pPr>
          </w:p>
        </w:tc>
        <w:tc>
          <w:tcPr>
            <w:tcW w:w="1540" w:type="dxa"/>
            <w:vAlign w:val="bottom"/>
            <w:tcBorders>
              <w:bottom w:val="single" w:sz="8" w:color="7F7F7F"/>
            </w:tcBorders>
          </w:tcPr>
          <w:p>
            <w:pPr>
              <w:spacing w:after="0"/>
              <w:rPr>
                <w:sz w:val="13"/>
                <w:szCs w:val="13"/>
                <w:color w:val="auto"/>
              </w:rPr>
            </w:pPr>
          </w:p>
        </w:tc>
        <w:tc>
          <w:tcPr>
            <w:tcW w:w="1620" w:type="dxa"/>
            <w:vAlign w:val="bottom"/>
            <w:tcBorders>
              <w:bottom w:val="single" w:sz="8" w:color="7F7F7F"/>
            </w:tcBorders>
          </w:tcPr>
          <w:p>
            <w:pPr>
              <w:spacing w:after="0"/>
              <w:rPr>
                <w:sz w:val="13"/>
                <w:szCs w:val="13"/>
                <w:color w:val="auto"/>
              </w:rPr>
            </w:pPr>
          </w:p>
        </w:tc>
      </w:tr>
      <w:tr>
        <w:trPr>
          <w:trHeight w:val="243"/>
        </w:trPr>
        <w:tc>
          <w:tcPr>
            <w:tcW w:w="6440" w:type="dxa"/>
            <w:vAlign w:val="bottom"/>
            <w:gridSpan w:val="2"/>
          </w:tcPr>
          <w:p>
            <w:pPr>
              <w:spacing w:after="0"/>
              <w:rPr>
                <w:sz w:val="20"/>
                <w:szCs w:val="20"/>
                <w:color w:val="auto"/>
              </w:rPr>
            </w:pPr>
            <w:r>
              <w:rPr>
                <w:rFonts w:ascii="Arial" w:cs="Arial" w:eastAsia="Arial" w:hAnsi="Arial"/>
                <w:sz w:val="17"/>
                <w:szCs w:val="17"/>
                <w:b w:val="1"/>
                <w:bCs w:val="1"/>
                <w:color w:val="auto"/>
              </w:rPr>
              <w:t>Management Proxy Circular and Notice of Annual Meeting of Shareholders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20" w:type="dxa"/>
            <w:vAlign w:val="bottom"/>
          </w:tcPr>
          <w:p>
            <w:pPr>
              <w:ind w:left="920"/>
              <w:spacing w:after="0"/>
              <w:rPr>
                <w:sz w:val="20"/>
                <w:szCs w:val="20"/>
                <w:color w:val="auto"/>
              </w:rPr>
            </w:pPr>
            <w:r>
              <w:rPr>
                <w:rFonts w:ascii="Arial" w:cs="Arial" w:eastAsia="Arial" w:hAnsi="Arial"/>
                <w:sz w:val="17"/>
                <w:szCs w:val="17"/>
                <w:color w:val="auto"/>
                <w:w w:val="95"/>
              </w:rPr>
              <w:t>Page A-5</w:t>
            </w:r>
          </w:p>
        </w:tc>
      </w:tr>
    </w:tbl>
    <w:p>
      <w:pPr>
        <w:sectPr>
          <w:pgSz w:w="11900" w:h="16838" w:orient="portrait"/>
          <w:cols w:equalWidth="0" w:num="1">
            <w:col w:w="10920"/>
          </w:cols>
          <w:pgMar w:left="480" w:top="268" w:right="499" w:bottom="1440" w:gutter="0" w:footer="0" w:header="0"/>
        </w:sectPr>
      </w:pPr>
    </w:p>
    <w:bookmarkStart w:id="113" w:name="page114"/>
    <w:bookmarkEnd w:id="113"/>
    <w:p>
      <w:pPr>
        <w:ind w:right="46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following table provides information as of the end of each year indicated related to the ESPP’s share usage, burn rates, potential dilution and full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69297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0" w:type="dxa"/>
            <w:vAlign w:val="bottom"/>
            <w:tcBorders>
              <w:right w:val="single" w:sz="8" w:color="E3F3EE"/>
            </w:tcBorders>
          </w:tcPr>
          <w:p>
            <w:pPr>
              <w:spacing w:after="0"/>
              <w:rPr>
                <w:sz w:val="20"/>
                <w:szCs w:val="20"/>
                <w:color w:val="auto"/>
              </w:rPr>
            </w:pPr>
          </w:p>
        </w:tc>
        <w:tc>
          <w:tcPr>
            <w:tcW w:w="1220" w:type="dxa"/>
            <w:vAlign w:val="bottom"/>
            <w:tcBorders>
              <w:right w:val="single" w:sz="8" w:color="E3F3EE"/>
            </w:tcBorders>
            <w:shd w:val="clear" w:color="auto" w:fill="E3F3EE"/>
          </w:tcPr>
          <w:p>
            <w:pPr>
              <w:spacing w:after="0"/>
              <w:rPr>
                <w:sz w:val="20"/>
                <w:szCs w:val="20"/>
                <w:color w:val="auto"/>
              </w:rPr>
            </w:pPr>
          </w:p>
        </w:tc>
        <w:tc>
          <w:tcPr>
            <w:tcW w:w="1980" w:type="dxa"/>
            <w:vAlign w:val="bottom"/>
            <w:gridSpan w:val="2"/>
            <w:shd w:val="clear" w:color="auto" w:fill="E3F3EE"/>
          </w:tcPr>
          <w:p>
            <w:pPr>
              <w:jc w:val="center"/>
              <w:ind w:right="140"/>
              <w:spacing w:after="0"/>
              <w:rPr>
                <w:sz w:val="20"/>
                <w:szCs w:val="20"/>
                <w:color w:val="auto"/>
              </w:rPr>
            </w:pPr>
            <w:r>
              <w:rPr>
                <w:rFonts w:ascii="Arial" w:cs="Arial" w:eastAsia="Arial" w:hAnsi="Arial"/>
                <w:sz w:val="16"/>
                <w:szCs w:val="16"/>
                <w:b w:val="1"/>
                <w:bCs w:val="1"/>
                <w:color w:val="auto"/>
                <w:w w:val="99"/>
              </w:rPr>
              <w:t>As of December 31,</w:t>
            </w:r>
          </w:p>
        </w:tc>
        <w:tc>
          <w:tcPr>
            <w:tcW w:w="1320" w:type="dxa"/>
            <w:vAlign w:val="bottom"/>
            <w:shd w:val="clear" w:color="auto" w:fill="E3F3EE"/>
          </w:tcPr>
          <w:p>
            <w:pPr>
              <w:spacing w:after="0"/>
              <w:rPr>
                <w:sz w:val="20"/>
                <w:szCs w:val="20"/>
                <w:color w:val="auto"/>
              </w:rPr>
            </w:pPr>
          </w:p>
        </w:tc>
      </w:tr>
      <w:tr>
        <w:trPr>
          <w:trHeight w:val="247"/>
        </w:trPr>
        <w:tc>
          <w:tcPr>
            <w:tcW w:w="6400" w:type="dxa"/>
            <w:vAlign w:val="bottom"/>
            <w:tcBorders>
              <w:bottom w:val="single" w:sz="8" w:color="D64000"/>
              <w:right w:val="single" w:sz="8" w:color="1F473D"/>
            </w:tcBorders>
          </w:tcPr>
          <w:p>
            <w:pPr>
              <w:spacing w:after="0"/>
              <w:rPr>
                <w:sz w:val="21"/>
                <w:szCs w:val="21"/>
                <w:color w:val="auto"/>
              </w:rPr>
            </w:pPr>
          </w:p>
        </w:tc>
        <w:tc>
          <w:tcPr>
            <w:tcW w:w="1220" w:type="dxa"/>
            <w:vAlign w:val="bottom"/>
            <w:tcBorders>
              <w:bottom w:val="single" w:sz="8" w:color="D64000"/>
              <w:right w:val="single" w:sz="8" w:color="1F473D"/>
            </w:tcBorders>
            <w:shd w:val="clear" w:color="auto" w:fill="1F473D"/>
          </w:tcPr>
          <w:p>
            <w:pPr>
              <w:jc w:val="right"/>
              <w:ind w:right="380"/>
              <w:spacing w:after="0"/>
              <w:rPr>
                <w:sz w:val="20"/>
                <w:szCs w:val="20"/>
                <w:color w:val="auto"/>
              </w:rPr>
            </w:pPr>
            <w:r>
              <w:rPr>
                <w:rFonts w:ascii="Arial" w:cs="Arial" w:eastAsia="Arial" w:hAnsi="Arial"/>
                <w:sz w:val="16"/>
                <w:szCs w:val="16"/>
                <w:b w:val="1"/>
                <w:bCs w:val="1"/>
                <w:color w:val="FFFFFF"/>
              </w:rPr>
              <w:t>2025</w:t>
            </w:r>
          </w:p>
        </w:tc>
        <w:tc>
          <w:tcPr>
            <w:tcW w:w="1660" w:type="dxa"/>
            <w:vAlign w:val="bottom"/>
            <w:tcBorders>
              <w:bottom w:val="single" w:sz="8" w:color="D64000"/>
              <w:right w:val="single" w:sz="8" w:color="1F473D"/>
            </w:tcBorders>
            <w:shd w:val="clear" w:color="auto" w:fill="1F473D"/>
          </w:tcPr>
          <w:p>
            <w:pPr>
              <w:jc w:val="right"/>
              <w:ind w:right="580"/>
              <w:spacing w:after="0"/>
              <w:rPr>
                <w:sz w:val="20"/>
                <w:szCs w:val="20"/>
                <w:color w:val="auto"/>
              </w:rPr>
            </w:pPr>
            <w:r>
              <w:rPr>
                <w:rFonts w:ascii="Arial" w:cs="Arial" w:eastAsia="Arial" w:hAnsi="Arial"/>
                <w:sz w:val="16"/>
                <w:szCs w:val="16"/>
                <w:b w:val="1"/>
                <w:bCs w:val="1"/>
                <w:color w:val="FFFFFF"/>
              </w:rPr>
              <w:t>2024</w:t>
            </w:r>
          </w:p>
        </w:tc>
        <w:tc>
          <w:tcPr>
            <w:tcW w:w="320" w:type="dxa"/>
            <w:vAlign w:val="bottom"/>
            <w:tcBorders>
              <w:bottom w:val="single" w:sz="8" w:color="D64000"/>
            </w:tcBorders>
            <w:shd w:val="clear" w:color="auto" w:fill="1F473D"/>
          </w:tcPr>
          <w:p>
            <w:pPr>
              <w:spacing w:after="0"/>
              <w:rPr>
                <w:sz w:val="21"/>
                <w:szCs w:val="21"/>
                <w:color w:val="auto"/>
              </w:rPr>
            </w:pPr>
          </w:p>
        </w:tc>
        <w:tc>
          <w:tcPr>
            <w:tcW w:w="1320" w:type="dxa"/>
            <w:vAlign w:val="bottom"/>
            <w:tcBorders>
              <w:bottom w:val="single" w:sz="8" w:color="D64000"/>
            </w:tcBorders>
            <w:shd w:val="clear" w:color="auto" w:fill="1F473D"/>
          </w:tcPr>
          <w:p>
            <w:pPr>
              <w:jc w:val="right"/>
              <w:ind w:right="580"/>
              <w:spacing w:after="0"/>
              <w:rPr>
                <w:sz w:val="20"/>
                <w:szCs w:val="20"/>
                <w:color w:val="auto"/>
              </w:rPr>
            </w:pPr>
            <w:r>
              <w:rPr>
                <w:rFonts w:ascii="Arial" w:cs="Arial" w:eastAsia="Arial" w:hAnsi="Arial"/>
                <w:sz w:val="16"/>
                <w:szCs w:val="16"/>
                <w:b w:val="1"/>
                <w:bCs w:val="1"/>
                <w:color w:val="FFFFFF"/>
              </w:rPr>
              <w:t>2023</w:t>
            </w:r>
          </w:p>
        </w:tc>
      </w:tr>
      <w:tr>
        <w:trPr>
          <w:trHeight w:val="213"/>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xml:space="preserve">Share usage – </w:t>
            </w:r>
            <w:r>
              <w:rPr>
                <w:rFonts w:ascii="Arial" w:cs="Arial" w:eastAsia="Arial" w:hAnsi="Arial"/>
                <w:sz w:val="16"/>
                <w:szCs w:val="16"/>
                <w:color w:val="auto"/>
              </w:rPr>
              <w:t>the total number of common shares issued under the ESPP in the</w:t>
            </w:r>
          </w:p>
        </w:tc>
        <w:tc>
          <w:tcPr>
            <w:tcW w:w="1220" w:type="dxa"/>
            <w:vAlign w:val="bottom"/>
            <w:tcBorders>
              <w:right w:val="single" w:sz="8" w:color="B2B2B2"/>
            </w:tcBorders>
          </w:tcPr>
          <w:p>
            <w:pPr>
              <w:spacing w:after="0"/>
              <w:rPr>
                <w:sz w:val="18"/>
                <w:szCs w:val="18"/>
                <w:color w:val="auto"/>
              </w:rPr>
            </w:pPr>
          </w:p>
        </w:tc>
        <w:tc>
          <w:tcPr>
            <w:tcW w:w="1660" w:type="dxa"/>
            <w:vAlign w:val="bottom"/>
            <w:tcBorders>
              <w:right w:val="single" w:sz="8" w:color="B2B2B2"/>
            </w:tcBorders>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applicable year, divided by the total weighted average of common shares outstanding</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1"/>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during the year</w:t>
            </w: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0.04%</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0.04%</w:t>
            </w:r>
          </w:p>
        </w:tc>
        <w:tc>
          <w:tcPr>
            <w:tcW w:w="32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0.05%</w:t>
            </w:r>
          </w:p>
        </w:tc>
      </w:tr>
      <w:tr>
        <w:trPr>
          <w:trHeight w:val="44"/>
        </w:trPr>
        <w:tc>
          <w:tcPr>
            <w:tcW w:w="6400" w:type="dxa"/>
            <w:vAlign w:val="bottom"/>
            <w:tcBorders>
              <w:bottom w:val="single" w:sz="8" w:color="B2B2B2"/>
              <w:right w:val="single" w:sz="8" w:color="B2B2B2"/>
            </w:tcBorders>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660" w:type="dxa"/>
            <w:vAlign w:val="bottom"/>
            <w:tcBorders>
              <w:bottom w:val="single" w:sz="8" w:color="B2B2B2"/>
              <w:right w:val="single" w:sz="8" w:color="B2B2B2"/>
            </w:tcBorders>
          </w:tcPr>
          <w:p>
            <w:pPr>
              <w:spacing w:after="0"/>
              <w:rPr>
                <w:sz w:val="3"/>
                <w:szCs w:val="3"/>
                <w:color w:val="auto"/>
              </w:rPr>
            </w:pPr>
          </w:p>
        </w:tc>
        <w:tc>
          <w:tcPr>
            <w:tcW w:w="32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0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xml:space="preserve">Burn rate – </w:t>
            </w:r>
            <w:r>
              <w:rPr>
                <w:rFonts w:ascii="Arial" w:cs="Arial" w:eastAsia="Arial" w:hAnsi="Arial"/>
                <w:sz w:val="16"/>
                <w:szCs w:val="16"/>
                <w:color w:val="auto"/>
              </w:rPr>
              <w:t>the total number of common shares granted under the ESPP in the</w:t>
            </w:r>
          </w:p>
        </w:tc>
        <w:tc>
          <w:tcPr>
            <w:tcW w:w="1220" w:type="dxa"/>
            <w:vAlign w:val="bottom"/>
            <w:tcBorders>
              <w:right w:val="single" w:sz="8" w:color="B2B2B2"/>
            </w:tcBorders>
          </w:tcPr>
          <w:p>
            <w:pPr>
              <w:spacing w:after="0"/>
              <w:rPr>
                <w:sz w:val="17"/>
                <w:szCs w:val="17"/>
                <w:color w:val="auto"/>
              </w:rPr>
            </w:pPr>
          </w:p>
        </w:tc>
        <w:tc>
          <w:tcPr>
            <w:tcW w:w="1660" w:type="dxa"/>
            <w:vAlign w:val="bottom"/>
            <w:tcBorders>
              <w:right w:val="single" w:sz="8" w:color="B2B2B2"/>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applicable year, divided by the total weighted average of common shares outstanding</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1"/>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during the year</w:t>
            </w: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0.04%</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0.04%</w:t>
            </w:r>
          </w:p>
        </w:tc>
        <w:tc>
          <w:tcPr>
            <w:tcW w:w="32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0.05%</w:t>
            </w:r>
          </w:p>
        </w:tc>
      </w:tr>
      <w:tr>
        <w:trPr>
          <w:trHeight w:val="44"/>
        </w:trPr>
        <w:tc>
          <w:tcPr>
            <w:tcW w:w="6400" w:type="dxa"/>
            <w:vAlign w:val="bottom"/>
            <w:tcBorders>
              <w:bottom w:val="single" w:sz="8" w:color="B2B2B2"/>
              <w:right w:val="single" w:sz="8" w:color="B2B2B2"/>
            </w:tcBorders>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660" w:type="dxa"/>
            <w:vAlign w:val="bottom"/>
            <w:tcBorders>
              <w:bottom w:val="single" w:sz="8" w:color="B2B2B2"/>
              <w:right w:val="single" w:sz="8" w:color="B2B2B2"/>
            </w:tcBorders>
          </w:tcPr>
          <w:p>
            <w:pPr>
              <w:spacing w:after="0"/>
              <w:rPr>
                <w:sz w:val="3"/>
                <w:szCs w:val="3"/>
                <w:color w:val="auto"/>
              </w:rPr>
            </w:pPr>
          </w:p>
        </w:tc>
        <w:tc>
          <w:tcPr>
            <w:tcW w:w="32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0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xml:space="preserve">Potential Dilution – </w:t>
            </w:r>
            <w:r>
              <w:rPr>
                <w:rFonts w:ascii="Arial" w:cs="Arial" w:eastAsia="Arial" w:hAnsi="Arial"/>
                <w:sz w:val="16"/>
                <w:szCs w:val="16"/>
                <w:color w:val="auto"/>
              </w:rPr>
              <w:t>the total number of all common shares available for issue under the</w:t>
            </w:r>
          </w:p>
        </w:tc>
        <w:tc>
          <w:tcPr>
            <w:tcW w:w="1220" w:type="dxa"/>
            <w:vAlign w:val="bottom"/>
            <w:tcBorders>
              <w:right w:val="single" w:sz="8" w:color="B2B2B2"/>
            </w:tcBorders>
          </w:tcPr>
          <w:p>
            <w:pPr>
              <w:spacing w:after="0"/>
              <w:rPr>
                <w:sz w:val="17"/>
                <w:szCs w:val="17"/>
                <w:color w:val="auto"/>
              </w:rPr>
            </w:pPr>
          </w:p>
        </w:tc>
        <w:tc>
          <w:tcPr>
            <w:tcW w:w="1660" w:type="dxa"/>
            <w:vAlign w:val="bottom"/>
            <w:tcBorders>
              <w:right w:val="single" w:sz="8" w:color="B2B2B2"/>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ESPP, divided by the total weighted average of common shares outstanding during the</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1"/>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year</w:t>
            </w: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0.89%</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0.93%</w:t>
            </w:r>
          </w:p>
        </w:tc>
        <w:tc>
          <w:tcPr>
            <w:tcW w:w="320" w:type="dxa"/>
            <w:vAlign w:val="bottom"/>
          </w:tcPr>
          <w:p>
            <w:pPr>
              <w:spacing w:after="0"/>
              <w:rPr>
                <w:sz w:val="18"/>
                <w:szCs w:val="18"/>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0.94%</w:t>
            </w:r>
          </w:p>
        </w:tc>
      </w:tr>
      <w:tr>
        <w:trPr>
          <w:trHeight w:val="44"/>
        </w:trPr>
        <w:tc>
          <w:tcPr>
            <w:tcW w:w="6400" w:type="dxa"/>
            <w:vAlign w:val="bottom"/>
            <w:tcBorders>
              <w:bottom w:val="single" w:sz="8" w:color="B2B2B2"/>
              <w:right w:val="single" w:sz="8" w:color="B2B2B2"/>
            </w:tcBorders>
          </w:tcPr>
          <w:p>
            <w:pPr>
              <w:spacing w:after="0"/>
              <w:rPr>
                <w:sz w:val="3"/>
                <w:szCs w:val="3"/>
                <w:color w:val="auto"/>
              </w:rPr>
            </w:pPr>
          </w:p>
        </w:tc>
        <w:tc>
          <w:tcPr>
            <w:tcW w:w="1220" w:type="dxa"/>
            <w:vAlign w:val="bottom"/>
            <w:tcBorders>
              <w:bottom w:val="single" w:sz="8" w:color="B2B2B2"/>
              <w:right w:val="single" w:sz="8" w:color="B2B2B2"/>
            </w:tcBorders>
          </w:tcPr>
          <w:p>
            <w:pPr>
              <w:spacing w:after="0"/>
              <w:rPr>
                <w:sz w:val="3"/>
                <w:szCs w:val="3"/>
                <w:color w:val="auto"/>
              </w:rPr>
            </w:pPr>
          </w:p>
        </w:tc>
        <w:tc>
          <w:tcPr>
            <w:tcW w:w="1660" w:type="dxa"/>
            <w:vAlign w:val="bottom"/>
            <w:tcBorders>
              <w:bottom w:val="single" w:sz="8" w:color="B2B2B2"/>
              <w:right w:val="single" w:sz="8" w:color="B2B2B2"/>
            </w:tcBorders>
          </w:tcPr>
          <w:p>
            <w:pPr>
              <w:spacing w:after="0"/>
              <w:rPr>
                <w:sz w:val="3"/>
                <w:szCs w:val="3"/>
                <w:color w:val="auto"/>
              </w:rPr>
            </w:pPr>
          </w:p>
        </w:tc>
        <w:tc>
          <w:tcPr>
            <w:tcW w:w="320" w:type="dxa"/>
            <w:vAlign w:val="bottom"/>
            <w:tcBorders>
              <w:bottom w:val="single" w:sz="8" w:color="B2B2B2"/>
            </w:tcBorders>
          </w:tcPr>
          <w:p>
            <w:pPr>
              <w:spacing w:after="0"/>
              <w:rPr>
                <w:sz w:val="3"/>
                <w:szCs w:val="3"/>
                <w:color w:val="auto"/>
              </w:rPr>
            </w:pPr>
          </w:p>
        </w:tc>
        <w:tc>
          <w:tcPr>
            <w:tcW w:w="1320" w:type="dxa"/>
            <w:vAlign w:val="bottom"/>
            <w:tcBorders>
              <w:bottom w:val="single" w:sz="8" w:color="B2B2B2"/>
            </w:tcBorders>
          </w:tcPr>
          <w:p>
            <w:pPr>
              <w:spacing w:after="0"/>
              <w:rPr>
                <w:sz w:val="3"/>
                <w:szCs w:val="3"/>
                <w:color w:val="auto"/>
              </w:rPr>
            </w:pPr>
          </w:p>
        </w:tc>
      </w:tr>
      <w:tr>
        <w:trPr>
          <w:trHeight w:val="20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b w:val="1"/>
                <w:bCs w:val="1"/>
                <w:color w:val="auto"/>
              </w:rPr>
              <w:t xml:space="preserve">Full Dilution – </w:t>
            </w:r>
            <w:r>
              <w:rPr>
                <w:rFonts w:ascii="Arial" w:cs="Arial" w:eastAsia="Arial" w:hAnsi="Arial"/>
                <w:sz w:val="16"/>
                <w:szCs w:val="16"/>
                <w:color w:val="auto"/>
              </w:rPr>
              <w:t>the total number of all common shares available for issue under the</w:t>
            </w:r>
          </w:p>
        </w:tc>
        <w:tc>
          <w:tcPr>
            <w:tcW w:w="1220" w:type="dxa"/>
            <w:vAlign w:val="bottom"/>
            <w:tcBorders>
              <w:right w:val="single" w:sz="8" w:color="B2B2B2"/>
            </w:tcBorders>
          </w:tcPr>
          <w:p>
            <w:pPr>
              <w:spacing w:after="0"/>
              <w:rPr>
                <w:sz w:val="17"/>
                <w:szCs w:val="17"/>
                <w:color w:val="auto"/>
              </w:rPr>
            </w:pPr>
          </w:p>
        </w:tc>
        <w:tc>
          <w:tcPr>
            <w:tcW w:w="1660" w:type="dxa"/>
            <w:vAlign w:val="bottom"/>
            <w:tcBorders>
              <w:right w:val="single" w:sz="8" w:color="B2B2B2"/>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ESPP plus all common shares outstanding under the ESPP, divided by the weighted</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7"/>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average of common shares outstanding during the year plus all common shares</w:t>
            </w:r>
          </w:p>
        </w:tc>
        <w:tc>
          <w:tcPr>
            <w:tcW w:w="1220" w:type="dxa"/>
            <w:vAlign w:val="bottom"/>
            <w:tcBorders>
              <w:right w:val="single" w:sz="8" w:color="B2B2B2"/>
            </w:tcBorders>
          </w:tcPr>
          <w:p>
            <w:pPr>
              <w:spacing w:after="0"/>
              <w:rPr>
                <w:sz w:val="16"/>
                <w:szCs w:val="16"/>
                <w:color w:val="auto"/>
              </w:rPr>
            </w:pPr>
          </w:p>
        </w:tc>
        <w:tc>
          <w:tcPr>
            <w:tcW w:w="1660" w:type="dxa"/>
            <w:vAlign w:val="bottom"/>
            <w:tcBorders>
              <w:right w:val="single" w:sz="8" w:color="B2B2B2"/>
            </w:tcBorders>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5"/>
        </w:trPr>
        <w:tc>
          <w:tcPr>
            <w:tcW w:w="6400" w:type="dxa"/>
            <w:vAlign w:val="bottom"/>
            <w:tcBorders>
              <w:right w:val="single" w:sz="8" w:color="B2B2B2"/>
            </w:tcBorders>
          </w:tcPr>
          <w:p>
            <w:pPr>
              <w:spacing w:after="0"/>
              <w:rPr>
                <w:sz w:val="20"/>
                <w:szCs w:val="20"/>
                <w:color w:val="auto"/>
              </w:rPr>
            </w:pPr>
            <w:r>
              <w:rPr>
                <w:rFonts w:ascii="Arial" w:cs="Arial" w:eastAsia="Arial" w:hAnsi="Arial"/>
                <w:sz w:val="16"/>
                <w:szCs w:val="16"/>
                <w:color w:val="auto"/>
              </w:rPr>
              <w:t>outstanding and available for issue under the ESPP</w:t>
            </w:r>
          </w:p>
        </w:tc>
        <w:tc>
          <w:tcPr>
            <w:tcW w:w="1220" w:type="dxa"/>
            <w:vAlign w:val="bottom"/>
            <w:tcBorders>
              <w:right w:val="single" w:sz="8" w:color="B2B2B2"/>
            </w:tcBorders>
          </w:tcPr>
          <w:p>
            <w:pPr>
              <w:jc w:val="right"/>
              <w:ind w:right="220"/>
              <w:spacing w:after="0"/>
              <w:rPr>
                <w:sz w:val="20"/>
                <w:szCs w:val="20"/>
                <w:color w:val="auto"/>
              </w:rPr>
            </w:pPr>
            <w:r>
              <w:rPr>
                <w:rFonts w:ascii="Arial" w:cs="Arial" w:eastAsia="Arial" w:hAnsi="Arial"/>
                <w:sz w:val="16"/>
                <w:szCs w:val="16"/>
                <w:color w:val="auto"/>
              </w:rPr>
              <w:t>0.88%</w:t>
            </w:r>
          </w:p>
        </w:tc>
        <w:tc>
          <w:tcPr>
            <w:tcW w:w="1660" w:type="dxa"/>
            <w:vAlign w:val="bottom"/>
            <w:tcBorders>
              <w:right w:val="single" w:sz="8" w:color="B2B2B2"/>
            </w:tcBorders>
          </w:tcPr>
          <w:p>
            <w:pPr>
              <w:jc w:val="center"/>
              <w:ind w:left="80"/>
              <w:spacing w:after="0"/>
              <w:rPr>
                <w:sz w:val="20"/>
                <w:szCs w:val="20"/>
                <w:color w:val="auto"/>
              </w:rPr>
            </w:pPr>
            <w:r>
              <w:rPr>
                <w:rFonts w:ascii="Arial" w:cs="Arial" w:eastAsia="Arial" w:hAnsi="Arial"/>
                <w:sz w:val="16"/>
                <w:szCs w:val="16"/>
                <w:color w:val="auto"/>
              </w:rPr>
              <w:t>0.92%</w:t>
            </w:r>
          </w:p>
        </w:tc>
        <w:tc>
          <w:tcPr>
            <w:tcW w:w="320" w:type="dxa"/>
            <w:vAlign w:val="bottom"/>
          </w:tcPr>
          <w:p>
            <w:pPr>
              <w:spacing w:after="0"/>
              <w:rPr>
                <w:sz w:val="22"/>
                <w:szCs w:val="22"/>
                <w:color w:val="auto"/>
              </w:rPr>
            </w:pPr>
          </w:p>
        </w:tc>
        <w:tc>
          <w:tcPr>
            <w:tcW w:w="1320" w:type="dxa"/>
            <w:vAlign w:val="bottom"/>
          </w:tcPr>
          <w:p>
            <w:pPr>
              <w:jc w:val="right"/>
              <w:ind w:right="420"/>
              <w:spacing w:after="0"/>
              <w:rPr>
                <w:sz w:val="20"/>
                <w:szCs w:val="20"/>
                <w:color w:val="auto"/>
              </w:rPr>
            </w:pPr>
            <w:r>
              <w:rPr>
                <w:rFonts w:ascii="Arial" w:cs="Arial" w:eastAsia="Arial" w:hAnsi="Arial"/>
                <w:sz w:val="16"/>
                <w:szCs w:val="16"/>
                <w:color w:val="auto"/>
              </w:rPr>
              <w:t>0.93%</w:t>
            </w:r>
          </w:p>
        </w:tc>
      </w:tr>
      <w:tr>
        <w:trPr>
          <w:trHeight w:val="27"/>
        </w:trPr>
        <w:tc>
          <w:tcPr>
            <w:tcW w:w="6400" w:type="dxa"/>
            <w:vAlign w:val="bottom"/>
            <w:tcBorders>
              <w:right w:val="single" w:sz="8" w:color="D64000"/>
            </w:tcBorders>
            <w:shd w:val="clear" w:color="auto" w:fill="D64000"/>
          </w:tcPr>
          <w:p>
            <w:pPr>
              <w:spacing w:after="0"/>
              <w:rPr>
                <w:sz w:val="2"/>
                <w:szCs w:val="2"/>
                <w:color w:val="auto"/>
              </w:rPr>
            </w:pPr>
          </w:p>
        </w:tc>
        <w:tc>
          <w:tcPr>
            <w:tcW w:w="1220" w:type="dxa"/>
            <w:vAlign w:val="bottom"/>
            <w:tcBorders>
              <w:right w:val="single" w:sz="8" w:color="D64000"/>
            </w:tcBorders>
            <w:shd w:val="clear" w:color="auto" w:fill="D64000"/>
          </w:tcPr>
          <w:p>
            <w:pPr>
              <w:spacing w:after="0"/>
              <w:rPr>
                <w:sz w:val="2"/>
                <w:szCs w:val="2"/>
                <w:color w:val="auto"/>
              </w:rPr>
            </w:pPr>
          </w:p>
        </w:tc>
        <w:tc>
          <w:tcPr>
            <w:tcW w:w="1660" w:type="dxa"/>
            <w:vAlign w:val="bottom"/>
            <w:tcBorders>
              <w:right w:val="single" w:sz="8" w:color="D64000"/>
            </w:tcBorders>
            <w:shd w:val="clear" w:color="auto" w:fill="D64000"/>
          </w:tcPr>
          <w:p>
            <w:pPr>
              <w:spacing w:after="0"/>
              <w:rPr>
                <w:sz w:val="2"/>
                <w:szCs w:val="2"/>
                <w:color w:val="auto"/>
              </w:rPr>
            </w:pPr>
          </w:p>
        </w:tc>
        <w:tc>
          <w:tcPr>
            <w:tcW w:w="320" w:type="dxa"/>
            <w:vAlign w:val="bottom"/>
            <w:shd w:val="clear" w:color="auto" w:fill="D64000"/>
          </w:tcPr>
          <w:p>
            <w:pPr>
              <w:spacing w:after="0"/>
              <w:rPr>
                <w:sz w:val="2"/>
                <w:szCs w:val="2"/>
                <w:color w:val="auto"/>
              </w:rPr>
            </w:pPr>
          </w:p>
        </w:tc>
        <w:tc>
          <w:tcPr>
            <w:tcW w:w="1320" w:type="dxa"/>
            <w:vAlign w:val="bottom"/>
            <w:shd w:val="clear" w:color="auto" w:fill="D64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69297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A-6</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268" w:right="499" w:bottom="1440" w:gutter="0" w:footer="0" w:header="0"/>
        </w:sectPr>
      </w:pPr>
    </w:p>
    <w:bookmarkStart w:id="114" w:name="page115"/>
    <w:bookmarkEnd w:id="114"/>
    <w:p>
      <w:pPr>
        <w:spacing w:after="0"/>
        <w:rPr>
          <w:sz w:val="20"/>
          <w:szCs w:val="20"/>
          <w:color w:val="auto"/>
        </w:rPr>
      </w:pPr>
      <w:r>
        <w:rPr>
          <w:rFonts w:ascii="Arial" w:cs="Arial" w:eastAsia="Arial" w:hAnsi="Arial"/>
          <w:sz w:val="46"/>
          <w:szCs w:val="46"/>
          <w:b w:val="1"/>
          <w:bCs w:val="1"/>
          <w:color w:val="D64000"/>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B – Shareholder Proposal</w:t>
      </w:r>
    </w:p>
    <w:p>
      <w:pPr>
        <w:spacing w:after="0" w:line="200" w:lineRule="exact"/>
        <w:rPr>
          <w:sz w:val="20"/>
          <w:szCs w:val="20"/>
          <w:color w:val="auto"/>
        </w:rPr>
      </w:pPr>
    </w:p>
    <w:p>
      <w:pPr>
        <w:spacing w:after="0" w:line="25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following proposal has been submitted by the B.C. Government and Service Employees’ Union General Fund and the B.C. Government and Service Employees’ Union Defence Fund of 4911 Canada Way, Burnaby, British Columbia V5G 3W3, Canada, for consideration at the annual meeting of shareholders.</w:t>
      </w:r>
    </w:p>
    <w:p>
      <w:pPr>
        <w:spacing w:after="0" w:line="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proposal and the supporting statement represent the views of the shareholder submitting it. Thomson Reuters is required by law to include the following proposal, and the related supporting statement, in its Proxy Circular without alteration. Thomson Reuters’ response below addresses the substantive request set out in the resolution: namely, a request to commission an independent human rights impact assessment.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Board of Directors’ response, including its recommendation to vote </w:t>
      </w:r>
      <w:r>
        <w:rPr>
          <w:rFonts w:ascii="Arial" w:cs="Arial" w:eastAsia="Arial" w:hAnsi="Arial"/>
          <w:sz w:val="17"/>
          <w:szCs w:val="17"/>
          <w:b w:val="1"/>
          <w:bCs w:val="1"/>
          <w:u w:val="single" w:color="auto"/>
          <w:color w:val="auto"/>
        </w:rPr>
        <w:t>AGAINST</w:t>
      </w:r>
      <w:r>
        <w:rPr>
          <w:rFonts w:ascii="Arial" w:cs="Arial" w:eastAsia="Arial" w:hAnsi="Arial"/>
          <w:sz w:val="17"/>
          <w:szCs w:val="17"/>
          <w:color w:val="auto"/>
        </w:rPr>
        <w:t xml:space="preserve"> the proposal, follows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6934200" cy="55499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34200" cy="5549900"/>
                    </a:xfrm>
                    <a:prstGeom prst="rect">
                      <a:avLst/>
                    </a:prstGeom>
                    <a:noFill/>
                  </pic:spPr>
                </pic:pic>
              </a:graphicData>
            </a:graphic>
          </wp:anchor>
        </w:drawing>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25"/>
          <w:szCs w:val="25"/>
          <w:color w:val="D64000"/>
        </w:rPr>
        <w:t>Shareholder Proposal</w:t>
      </w:r>
    </w:p>
    <w:p>
      <w:pPr>
        <w:spacing w:after="0" w:line="104" w:lineRule="exact"/>
        <w:rPr>
          <w:sz w:val="20"/>
          <w:szCs w:val="20"/>
          <w:color w:val="auto"/>
        </w:rPr>
      </w:pPr>
    </w:p>
    <w:p>
      <w:pPr>
        <w:ind w:left="240" w:right="80"/>
        <w:spacing w:after="0" w:line="233" w:lineRule="auto"/>
        <w:rPr>
          <w:sz w:val="20"/>
          <w:szCs w:val="20"/>
          <w:color w:val="auto"/>
        </w:rPr>
      </w:pPr>
      <w:r>
        <w:rPr>
          <w:rFonts w:ascii="Arial" w:cs="Arial" w:eastAsia="Arial" w:hAnsi="Arial"/>
          <w:sz w:val="18"/>
          <w:szCs w:val="18"/>
          <w:color w:val="auto"/>
        </w:rPr>
        <w:t>Thomson Reuters (TRI) faces renewed controversy for the use of its products by U.S. Department of Homeland Security (DHS) and Immigration and Customs Enforcement (ICE). Its products and data, which aggregate billions of private and public records, are integral to ICE’s ability to track, detain, and carry out the largest deportation in U.S. history. In March 2026, TRI had over US$40 million in contracts and subawards for risk mitigation services, CLEAR</w:t>
      </w:r>
      <w:r>
        <w:rPr>
          <w:rFonts w:ascii="Arial" w:cs="Arial" w:eastAsia="Arial" w:hAnsi="Arial"/>
          <w:sz w:val="26"/>
          <w:szCs w:val="26"/>
          <w:color w:val="auto"/>
          <w:vertAlign w:val="superscript"/>
        </w:rPr>
        <w:t>®</w:t>
      </w:r>
      <w:r>
        <w:rPr>
          <w:rFonts w:ascii="Arial" w:cs="Arial" w:eastAsia="Arial" w:hAnsi="Arial"/>
          <w:sz w:val="18"/>
          <w:szCs w:val="18"/>
          <w:color w:val="auto"/>
        </w:rPr>
        <w:t>, and licence plate recognition (LPR) technology.</w:t>
      </w:r>
    </w:p>
    <w:p>
      <w:pPr>
        <w:spacing w:after="0" w:line="2" w:lineRule="exact"/>
        <w:rPr>
          <w:sz w:val="20"/>
          <w:szCs w:val="20"/>
          <w:color w:val="auto"/>
        </w:rPr>
      </w:pPr>
    </w:p>
    <w:p>
      <w:pPr>
        <w:ind w:left="240" w:right="220"/>
        <w:spacing w:after="0" w:line="236" w:lineRule="auto"/>
        <w:rPr>
          <w:sz w:val="20"/>
          <w:szCs w:val="20"/>
          <w:color w:val="auto"/>
        </w:rPr>
      </w:pPr>
      <w:r>
        <w:rPr>
          <w:rFonts w:ascii="Arial" w:cs="Arial" w:eastAsia="Arial" w:hAnsi="Arial"/>
          <w:sz w:val="17"/>
          <w:szCs w:val="17"/>
          <w:color w:val="auto"/>
        </w:rPr>
        <w:t>ICE’s immigration enforcement activities are the subject of multiple lawsuits in response to credible reports of unlawful and improper detentions, due process violations, surveillance of citizens, and deaths</w:t>
      </w:r>
      <w:r>
        <w:rPr>
          <w:rFonts w:ascii="Arial" w:cs="Arial" w:eastAsia="Arial" w:hAnsi="Arial"/>
          <w:sz w:val="12"/>
          <w:szCs w:val="12"/>
          <w:color w:val="auto"/>
        </w:rPr>
        <w:t>.1</w:t>
      </w:r>
      <w:r>
        <w:rPr>
          <w:rFonts w:ascii="Arial" w:cs="Arial" w:eastAsia="Arial" w:hAnsi="Arial"/>
          <w:sz w:val="17"/>
          <w:szCs w:val="17"/>
          <w:color w:val="auto"/>
        </w:rPr>
        <w:t xml:space="preserve"> Technology and data used by DHS will likely be subject to litigation. Technology providers Capgemini and Stantec have begun divesting or terminating DHS service contracts, signaling a shift in corporate risk appetite.</w:t>
      </w:r>
    </w:p>
    <w:p>
      <w:pPr>
        <w:spacing w:after="0" w:line="58" w:lineRule="exact"/>
        <w:rPr>
          <w:sz w:val="20"/>
          <w:szCs w:val="20"/>
          <w:color w:val="auto"/>
        </w:rPr>
      </w:pPr>
    </w:p>
    <w:p>
      <w:pPr>
        <w:ind w:left="240" w:right="540"/>
        <w:spacing w:after="0" w:line="263" w:lineRule="auto"/>
        <w:rPr>
          <w:sz w:val="20"/>
          <w:szCs w:val="20"/>
          <w:color w:val="auto"/>
        </w:rPr>
      </w:pPr>
      <w:r>
        <w:rPr>
          <w:rFonts w:ascii="Arial" w:cs="Arial" w:eastAsia="Arial" w:hAnsi="Arial"/>
          <w:sz w:val="17"/>
          <w:szCs w:val="17"/>
          <w:color w:val="auto"/>
        </w:rPr>
        <w:t>TRI faces compounding legal, reputational, and governance risks. TRI’s employees have spoken out publicly,</w:t>
      </w:r>
      <w:r>
        <w:rPr>
          <w:rFonts w:ascii="Arial" w:cs="Arial" w:eastAsia="Arial" w:hAnsi="Arial"/>
          <w:sz w:val="12"/>
          <w:szCs w:val="12"/>
          <w:color w:val="auto"/>
        </w:rPr>
        <w:t>2</w:t>
      </w:r>
      <w:r>
        <w:rPr>
          <w:rFonts w:ascii="Arial" w:cs="Arial" w:eastAsia="Arial" w:hAnsi="Arial"/>
          <w:sz w:val="17"/>
          <w:szCs w:val="17"/>
          <w:color w:val="auto"/>
        </w:rPr>
        <w:t xml:space="preserve"> which could impact TRI’s ability to deliver on its goals.</w:t>
      </w:r>
    </w:p>
    <w:p>
      <w:pPr>
        <w:spacing w:after="0" w:line="40" w:lineRule="exact"/>
        <w:rPr>
          <w:sz w:val="20"/>
          <w:szCs w:val="20"/>
          <w:color w:val="auto"/>
        </w:rPr>
      </w:pPr>
    </w:p>
    <w:p>
      <w:pPr>
        <w:jc w:val="both"/>
        <w:ind w:left="240" w:right="380"/>
        <w:spacing w:after="0" w:line="246" w:lineRule="auto"/>
        <w:rPr>
          <w:sz w:val="20"/>
          <w:szCs w:val="20"/>
          <w:color w:val="auto"/>
        </w:rPr>
      </w:pPr>
      <w:r>
        <w:rPr>
          <w:rFonts w:ascii="Arial" w:cs="Arial" w:eastAsia="Arial" w:hAnsi="Arial"/>
          <w:sz w:val="17"/>
          <w:szCs w:val="17"/>
          <w:color w:val="auto"/>
        </w:rPr>
        <w:t>TRI maintains its technology is not used for deportations. However, its products and data are being integrated with and into new products and offerings, including more invasive high-risk surveillance technologies with less oversight.</w:t>
      </w:r>
      <w:r>
        <w:rPr>
          <w:rFonts w:ascii="Arial" w:cs="Arial" w:eastAsia="Arial" w:hAnsi="Arial"/>
          <w:sz w:val="12"/>
          <w:szCs w:val="12"/>
          <w:color w:val="auto"/>
        </w:rPr>
        <w:t>3,4</w:t>
      </w:r>
      <w:r>
        <w:rPr>
          <w:rFonts w:ascii="Arial" w:cs="Arial" w:eastAsia="Arial" w:hAnsi="Arial"/>
          <w:sz w:val="17"/>
          <w:szCs w:val="17"/>
          <w:color w:val="auto"/>
        </w:rPr>
        <w:t xml:space="preserve"> This could expose TRI and its investors to new, unforeseeable, or difficult to contain risks.</w:t>
      </w:r>
      <w:r>
        <w:rPr>
          <w:rFonts w:ascii="Arial" w:cs="Arial" w:eastAsia="Arial" w:hAnsi="Arial"/>
          <w:sz w:val="12"/>
          <w:szCs w:val="12"/>
          <w:color w:val="auto"/>
        </w:rPr>
        <w:t>5</w:t>
      </w:r>
    </w:p>
    <w:p>
      <w:pPr>
        <w:spacing w:after="0" w:line="41" w:lineRule="exact"/>
        <w:rPr>
          <w:sz w:val="20"/>
          <w:szCs w:val="20"/>
          <w:color w:val="auto"/>
        </w:rPr>
      </w:pPr>
    </w:p>
    <w:p>
      <w:pPr>
        <w:ind w:left="240" w:right="440"/>
        <w:spacing w:after="0" w:line="263" w:lineRule="auto"/>
        <w:rPr>
          <w:sz w:val="20"/>
          <w:szCs w:val="20"/>
          <w:color w:val="auto"/>
        </w:rPr>
      </w:pPr>
      <w:r>
        <w:rPr>
          <w:rFonts w:ascii="Arial" w:cs="Arial" w:eastAsia="Arial" w:hAnsi="Arial"/>
          <w:sz w:val="17"/>
          <w:szCs w:val="17"/>
          <w:color w:val="auto"/>
        </w:rPr>
        <w:t>GenAI litigation including product liability is increasing, representing a growing category of uninsured risk.</w:t>
      </w:r>
      <w:r>
        <w:rPr>
          <w:rFonts w:ascii="Arial" w:cs="Arial" w:eastAsia="Arial" w:hAnsi="Arial"/>
          <w:sz w:val="12"/>
          <w:szCs w:val="12"/>
          <w:color w:val="auto"/>
        </w:rPr>
        <w:t>6</w:t>
      </w:r>
      <w:r>
        <w:rPr>
          <w:rFonts w:ascii="Arial" w:cs="Arial" w:eastAsia="Arial" w:hAnsi="Arial"/>
          <w:sz w:val="17"/>
          <w:szCs w:val="17"/>
          <w:color w:val="auto"/>
        </w:rPr>
        <w:t xml:space="preserve"> Norges Bank says high-risk AI systems should be subject to additional controls, independent verification and regular audits.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Currently:</w:t>
      </w:r>
    </w:p>
    <w:p>
      <w:pPr>
        <w:spacing w:after="0" w:line="112" w:lineRule="exact"/>
        <w:rPr>
          <w:sz w:val="20"/>
          <w:szCs w:val="20"/>
          <w:color w:val="auto"/>
        </w:rPr>
      </w:pPr>
    </w:p>
    <w:p>
      <w:pPr>
        <w:ind w:left="1100" w:right="300" w:hanging="437"/>
        <w:spacing w:after="0" w:line="263" w:lineRule="auto"/>
        <w:tabs>
          <w:tab w:leader="none" w:pos="1100" w:val="left"/>
        </w:tabs>
        <w:numPr>
          <w:ilvl w:val="0"/>
          <w:numId w:val="10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LPR Mobile Companion </w:t>
      </w:r>
      <w:r>
        <w:rPr>
          <w:rFonts w:ascii="Arial" w:cs="Arial" w:eastAsia="Arial" w:hAnsi="Arial"/>
          <w:sz w:val="17"/>
          <w:szCs w:val="17"/>
          <w:color w:val="auto"/>
        </w:rPr>
        <w:t>is integrated into CLEAR</w:t>
      </w:r>
      <w:r>
        <w:rPr>
          <w:rFonts w:ascii="Arial" w:cs="Arial" w:eastAsia="Arial" w:hAnsi="Arial"/>
          <w:sz w:val="12"/>
          <w:szCs w:val="12"/>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unprecedented scale and capabilities are changing “how immigration</w:t>
      </w:r>
      <w:r>
        <w:rPr>
          <w:rFonts w:ascii="Arial" w:cs="Arial" w:eastAsia="Arial" w:hAnsi="Arial"/>
          <w:sz w:val="17"/>
          <w:szCs w:val="17"/>
          <w:i w:val="1"/>
          <w:iCs w:val="1"/>
          <w:color w:val="auto"/>
        </w:rPr>
        <w:t xml:space="preserve"> </w:t>
      </w:r>
      <w:r>
        <w:rPr>
          <w:rFonts w:ascii="Arial" w:cs="Arial" w:eastAsia="Arial" w:hAnsi="Arial"/>
          <w:sz w:val="17"/>
          <w:szCs w:val="17"/>
          <w:color w:val="auto"/>
        </w:rPr>
        <w:t>enforcement operates”.</w:t>
      </w:r>
      <w:r>
        <w:rPr>
          <w:rFonts w:ascii="Arial" w:cs="Arial" w:eastAsia="Arial" w:hAnsi="Arial"/>
          <w:sz w:val="12"/>
          <w:szCs w:val="12"/>
          <w:color w:val="auto"/>
        </w:rPr>
        <w:t>7</w:t>
      </w:r>
      <w:r>
        <w:rPr>
          <w:rFonts w:ascii="Arial" w:cs="Arial" w:eastAsia="Arial" w:hAnsi="Arial"/>
          <w:sz w:val="17"/>
          <w:szCs w:val="17"/>
          <w:color w:val="auto"/>
        </w:rPr>
        <w:t xml:space="preserve"> It is used by ICE’s deportation division.</w:t>
      </w:r>
      <w:r>
        <w:rPr>
          <w:rFonts w:ascii="Arial" w:cs="Arial" w:eastAsia="Arial" w:hAnsi="Arial"/>
          <w:sz w:val="12"/>
          <w:szCs w:val="12"/>
          <w:color w:val="auto"/>
        </w:rPr>
        <w:t>8</w:t>
      </w:r>
    </w:p>
    <w:p>
      <w:pPr>
        <w:spacing w:after="0" w:line="66" w:lineRule="exact"/>
        <w:rPr>
          <w:rFonts w:ascii="Arial" w:cs="Arial" w:eastAsia="Arial" w:hAnsi="Arial"/>
          <w:sz w:val="17"/>
          <w:szCs w:val="17"/>
          <w:i w:val="1"/>
          <w:iCs w:val="1"/>
          <w:color w:val="auto"/>
        </w:rPr>
      </w:pPr>
    </w:p>
    <w:p>
      <w:pPr>
        <w:ind w:left="1100" w:right="980" w:hanging="437"/>
        <w:spacing w:after="0" w:line="263" w:lineRule="auto"/>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Penlink’s warrantless phone-tracking data is integrated into CLEAR</w:t>
      </w:r>
      <w:r>
        <w:rPr>
          <w:rFonts w:ascii="Arial" w:cs="Arial" w:eastAsia="Arial" w:hAnsi="Arial"/>
          <w:sz w:val="12"/>
          <w:szCs w:val="12"/>
          <w:color w:val="auto"/>
        </w:rPr>
        <w:t>®</w:t>
      </w:r>
      <w:r>
        <w:rPr>
          <w:rFonts w:ascii="Arial" w:cs="Arial" w:eastAsia="Arial" w:hAnsi="Arial"/>
          <w:sz w:val="17"/>
          <w:szCs w:val="17"/>
          <w:color w:val="auto"/>
        </w:rPr>
        <w:t>. Penlink faces allegations of violating privacy and constitutional rights.</w:t>
      </w:r>
      <w:r>
        <w:rPr>
          <w:rFonts w:ascii="Arial" w:cs="Arial" w:eastAsia="Arial" w:hAnsi="Arial"/>
          <w:sz w:val="12"/>
          <w:szCs w:val="12"/>
          <w:color w:val="auto"/>
        </w:rPr>
        <w:t>9</w:t>
      </w:r>
    </w:p>
    <w:p>
      <w:pPr>
        <w:spacing w:after="0" w:line="66" w:lineRule="exact"/>
        <w:rPr>
          <w:rFonts w:ascii="Arial" w:cs="Arial" w:eastAsia="Arial" w:hAnsi="Arial"/>
          <w:sz w:val="17"/>
          <w:szCs w:val="17"/>
          <w:color w:val="auto"/>
        </w:rPr>
      </w:pPr>
    </w:p>
    <w:p>
      <w:pPr>
        <w:ind w:left="1100" w:right="760" w:hanging="437"/>
        <w:spacing w:after="0" w:line="263" w:lineRule="auto"/>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DHS has required TRI’s products to be interoperable with Palantir systems.</w:t>
      </w:r>
      <w:r>
        <w:rPr>
          <w:rFonts w:ascii="Arial" w:cs="Arial" w:eastAsia="Arial" w:hAnsi="Arial"/>
          <w:sz w:val="12"/>
          <w:szCs w:val="12"/>
          <w:color w:val="auto"/>
        </w:rPr>
        <w:t>10</w:t>
      </w:r>
      <w:r>
        <w:rPr>
          <w:rFonts w:ascii="Arial" w:cs="Arial" w:eastAsia="Arial" w:hAnsi="Arial"/>
          <w:sz w:val="17"/>
          <w:szCs w:val="17"/>
          <w:color w:val="auto"/>
        </w:rPr>
        <w:t xml:space="preserve"> One app, Enhanced Lead Identification and Targeting (ELITE) integrates TRI data, enabling mapping of targets for detention</w:t>
      </w:r>
      <w:r>
        <w:rPr>
          <w:rFonts w:ascii="Arial" w:cs="Arial" w:eastAsia="Arial" w:hAnsi="Arial"/>
          <w:sz w:val="12"/>
          <w:szCs w:val="12"/>
          <w:color w:val="auto"/>
        </w:rPr>
        <w:t>11</w:t>
      </w:r>
      <w:r>
        <w:rPr>
          <w:rFonts w:ascii="Arial" w:cs="Arial" w:eastAsia="Arial" w:hAnsi="Arial"/>
          <w:sz w:val="17"/>
          <w:szCs w:val="17"/>
          <w:color w:val="auto"/>
        </w:rPr>
        <w:t xml:space="preserve"> with allegations of misuse.</w:t>
      </w:r>
      <w:r>
        <w:rPr>
          <w:rFonts w:ascii="Arial" w:cs="Arial" w:eastAsia="Arial" w:hAnsi="Arial"/>
          <w:sz w:val="12"/>
          <w:szCs w:val="12"/>
          <w:color w:val="auto"/>
        </w:rPr>
        <w:t>12,13</w:t>
      </w:r>
    </w:p>
    <w:p>
      <w:pPr>
        <w:spacing w:after="0" w:line="40" w:lineRule="exact"/>
        <w:rPr>
          <w:sz w:val="20"/>
          <w:szCs w:val="20"/>
          <w:color w:val="auto"/>
        </w:rPr>
      </w:pPr>
    </w:p>
    <w:p>
      <w:pPr>
        <w:ind w:left="240" w:right="540"/>
        <w:spacing w:after="0" w:line="263" w:lineRule="auto"/>
        <w:rPr>
          <w:sz w:val="20"/>
          <w:szCs w:val="20"/>
          <w:color w:val="auto"/>
        </w:rPr>
      </w:pPr>
      <w:r>
        <w:rPr>
          <w:rFonts w:ascii="Arial" w:cs="Arial" w:eastAsia="Arial" w:hAnsi="Arial"/>
          <w:sz w:val="17"/>
          <w:szCs w:val="17"/>
          <w:color w:val="auto"/>
        </w:rPr>
        <w:t>In 2022, TRI committed to align with the UN Guiding Principles on Business and Human Rights (UNGPs). Investors are provided limited disclosure on due diligence efforts, including audits, impeding their ability to measure adequacy and effectiveness.</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Per the UNGPs, and given harms can emerge from the interaction of multiple technologies, companies must conduct due diligence on:</w:t>
      </w:r>
    </w:p>
    <w:p>
      <w:pPr>
        <w:spacing w:after="0" w:line="112" w:lineRule="exact"/>
        <w:rPr>
          <w:sz w:val="20"/>
          <w:szCs w:val="20"/>
          <w:color w:val="auto"/>
        </w:rPr>
      </w:pPr>
    </w:p>
    <w:p>
      <w:pPr>
        <w:ind w:left="1100" w:hanging="437"/>
        <w:spacing w:after="0"/>
        <w:tabs>
          <w:tab w:leader="none" w:pos="11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actual and potential impacts including where data may be accessed, used or repurposed</w:t>
      </w:r>
    </w:p>
    <w:p>
      <w:pPr>
        <w:spacing w:after="0" w:line="118" w:lineRule="exact"/>
        <w:rPr>
          <w:sz w:val="20"/>
          <w:szCs w:val="20"/>
          <w:color w:val="auto"/>
        </w:rPr>
      </w:pPr>
    </w:p>
    <w:p>
      <w:pPr>
        <w:ind w:left="340" w:hanging="105"/>
        <w:spacing w:after="0"/>
        <w:tabs>
          <w:tab w:leader="none" w:pos="340" w:val="left"/>
        </w:tabs>
        <w:numPr>
          <w:ilvl w:val="0"/>
          <w:numId w:val="110"/>
        </w:numPr>
        <w:rPr>
          <w:rFonts w:ascii="Arial" w:cs="Arial" w:eastAsia="Arial" w:hAnsi="Arial"/>
          <w:sz w:val="20"/>
          <w:szCs w:val="20"/>
          <w:color w:val="auto"/>
          <w:vertAlign w:val="superscript"/>
        </w:rPr>
      </w:pPr>
      <w:r>
        <w:rPr>
          <w:rFonts w:ascii="Arial" w:cs="Arial" w:eastAsia="Arial" w:hAnsi="Arial"/>
          <w:sz w:val="13"/>
          <w:szCs w:val="13"/>
          <w:color w:val="auto"/>
        </w:rPr>
        <w:t>https://www.nytimes.com/live/2026/01/28/us/minneapolis-shooting-ice-minnesota</w:t>
      </w:r>
    </w:p>
    <w:p>
      <w:pPr>
        <w:ind w:left="340" w:hanging="105"/>
        <w:spacing w:after="0" w:line="180" w:lineRule="auto"/>
        <w:tabs>
          <w:tab w:leader="none" w:pos="340" w:val="left"/>
        </w:tabs>
        <w:numPr>
          <w:ilvl w:val="0"/>
          <w:numId w:val="111"/>
        </w:numPr>
        <w:rPr>
          <w:rFonts w:ascii="Arial" w:cs="Arial" w:eastAsia="Arial" w:hAnsi="Arial"/>
          <w:sz w:val="17"/>
          <w:szCs w:val="17"/>
          <w:color w:val="auto"/>
          <w:vertAlign w:val="superscript"/>
        </w:rPr>
      </w:pPr>
      <w:r>
        <w:rPr>
          <w:rFonts w:ascii="Arial" w:cs="Arial" w:eastAsia="Arial" w:hAnsi="Arial"/>
          <w:sz w:val="12"/>
          <w:szCs w:val="12"/>
          <w:color w:val="auto"/>
        </w:rPr>
        <w:t>https://www.nytimes.com/2026/03/11/technology/thomson-reuters-ice-minnesota.html</w:t>
      </w:r>
    </w:p>
    <w:p>
      <w:pPr>
        <w:ind w:left="240"/>
        <w:spacing w:after="0" w:line="180" w:lineRule="auto"/>
        <w:rPr>
          <w:rFonts w:ascii="Arial" w:cs="Arial" w:eastAsia="Arial" w:hAnsi="Arial"/>
          <w:sz w:val="17"/>
          <w:szCs w:val="17"/>
          <w:color w:val="auto"/>
          <w:vertAlign w:val="superscript"/>
        </w:rPr>
      </w:pPr>
      <w:r>
        <w:rPr>
          <w:rFonts w:ascii="Arial" w:cs="Arial" w:eastAsia="Arial" w:hAnsi="Arial"/>
          <w:sz w:val="17"/>
          <w:szCs w:val="17"/>
          <w:color w:val="auto"/>
          <w:vertAlign w:val="superscript"/>
        </w:rPr>
        <w:t>3</w:t>
      </w:r>
      <w:r>
        <w:rPr>
          <w:rFonts w:ascii="Arial" w:cs="Arial" w:eastAsia="Arial" w:hAnsi="Arial"/>
          <w:sz w:val="12"/>
          <w:szCs w:val="12"/>
          <w:color w:val="auto"/>
        </w:rPr>
        <w:t xml:space="preserve"> https://www.migrationpolicy.org/article/trump-ice-data-surveillance</w:t>
      </w:r>
    </w:p>
    <w:p>
      <w:pPr>
        <w:ind w:left="240" w:right="5800"/>
        <w:spacing w:after="0" w:line="186" w:lineRule="auto"/>
        <w:rPr>
          <w:rFonts w:ascii="Arial" w:cs="Arial" w:eastAsia="Arial" w:hAnsi="Arial"/>
          <w:sz w:val="17"/>
          <w:szCs w:val="17"/>
          <w:color w:val="auto"/>
          <w:vertAlign w:val="superscript"/>
        </w:rPr>
      </w:pPr>
      <w:r>
        <w:rPr>
          <w:rFonts w:ascii="Arial" w:cs="Arial" w:eastAsia="Arial" w:hAnsi="Arial"/>
          <w:sz w:val="20"/>
          <w:szCs w:val="20"/>
          <w:color w:val="auto"/>
          <w:vertAlign w:val="superscript"/>
        </w:rPr>
        <w:t>4</w:t>
      </w:r>
      <w:r>
        <w:rPr>
          <w:rFonts w:ascii="Arial" w:cs="Arial" w:eastAsia="Arial" w:hAnsi="Arial"/>
          <w:sz w:val="13"/>
          <w:szCs w:val="13"/>
          <w:color w:val="auto"/>
        </w:rPr>
        <w:t xml:space="preserve"> https://fedscoop.com/dhs-surveillance-technology-ai-funding-document-spyware/ </w:t>
      </w:r>
      <w:r>
        <w:rPr>
          <w:rFonts w:ascii="Arial" w:cs="Arial" w:eastAsia="Arial" w:hAnsi="Arial"/>
          <w:sz w:val="20"/>
          <w:szCs w:val="20"/>
          <w:color w:val="auto"/>
          <w:vertAlign w:val="superscript"/>
        </w:rPr>
        <w:t>5</w:t>
      </w:r>
      <w:r>
        <w:rPr>
          <w:rFonts w:ascii="Arial" w:cs="Arial" w:eastAsia="Arial" w:hAnsi="Arial"/>
          <w:sz w:val="13"/>
          <w:szCs w:val="13"/>
          <w:color w:val="auto"/>
        </w:rPr>
        <w:t xml:space="preserve"> https://papers.ssrn.com/sol3/papers.cfm?abstract_id=6345099</w:t>
      </w:r>
    </w:p>
    <w:p>
      <w:pPr>
        <w:ind w:left="240"/>
        <w:spacing w:after="0" w:line="180" w:lineRule="auto"/>
        <w:rPr>
          <w:rFonts w:ascii="Arial" w:cs="Arial" w:eastAsia="Arial" w:hAnsi="Arial"/>
          <w:sz w:val="17"/>
          <w:szCs w:val="17"/>
          <w:color w:val="auto"/>
          <w:vertAlign w:val="superscript"/>
        </w:rPr>
      </w:pPr>
      <w:r>
        <w:rPr>
          <w:rFonts w:ascii="Arial" w:cs="Arial" w:eastAsia="Arial" w:hAnsi="Arial"/>
          <w:sz w:val="17"/>
          <w:szCs w:val="17"/>
          <w:color w:val="auto"/>
          <w:vertAlign w:val="superscript"/>
        </w:rPr>
        <w:t>6</w:t>
      </w:r>
      <w:r>
        <w:rPr>
          <w:rFonts w:ascii="Arial" w:cs="Arial" w:eastAsia="Arial" w:hAnsi="Arial"/>
          <w:sz w:val="12"/>
          <w:szCs w:val="12"/>
          <w:color w:val="auto"/>
        </w:rPr>
        <w:t xml:space="preserve"> https://riskandinsurance.com/traditional-insurance-leaves-enterprises-exposed-as-ai-liability-claims-surge/</w:t>
      </w:r>
    </w:p>
    <w:p>
      <w:pPr>
        <w:ind w:left="240" w:right="4020"/>
        <w:spacing w:after="0" w:line="186" w:lineRule="auto"/>
        <w:rPr>
          <w:rFonts w:ascii="Arial" w:cs="Arial" w:eastAsia="Arial" w:hAnsi="Arial"/>
          <w:sz w:val="17"/>
          <w:szCs w:val="17"/>
          <w:color w:val="auto"/>
          <w:vertAlign w:val="superscript"/>
        </w:rPr>
      </w:pPr>
      <w:r>
        <w:rPr>
          <w:rFonts w:ascii="Arial" w:cs="Arial" w:eastAsia="Arial" w:hAnsi="Arial"/>
          <w:sz w:val="20"/>
          <w:szCs w:val="20"/>
          <w:color w:val="auto"/>
          <w:vertAlign w:val="superscript"/>
        </w:rPr>
        <w:t>7</w:t>
      </w:r>
      <w:r>
        <w:rPr>
          <w:rFonts w:ascii="Arial" w:cs="Arial" w:eastAsia="Arial" w:hAnsi="Arial"/>
          <w:sz w:val="13"/>
          <w:szCs w:val="13"/>
          <w:color w:val="auto"/>
        </w:rPr>
        <w:t xml:space="preserve"> https://www.biometricupdate.com/202511/ices-license-plate-app-quietly-expands-a-nationwide-surveillanceweb </w:t>
      </w:r>
      <w:r>
        <w:rPr>
          <w:rFonts w:ascii="Arial" w:cs="Arial" w:eastAsia="Arial" w:hAnsi="Arial"/>
          <w:sz w:val="20"/>
          <w:szCs w:val="20"/>
          <w:color w:val="auto"/>
          <w:vertAlign w:val="superscript"/>
        </w:rPr>
        <w:t>8</w:t>
      </w:r>
      <w:r>
        <w:rPr>
          <w:rFonts w:ascii="Arial" w:cs="Arial" w:eastAsia="Arial" w:hAnsi="Arial"/>
          <w:sz w:val="13"/>
          <w:szCs w:val="13"/>
          <w:color w:val="auto"/>
        </w:rPr>
        <w:t xml:space="preserve"> https://www.404media.co/this-app-lets-ice-track-vehicles-and-owners-across-the-country/</w:t>
      </w:r>
    </w:p>
    <w:p>
      <w:pPr>
        <w:ind w:left="240" w:right="1200"/>
        <w:spacing w:after="0" w:line="186" w:lineRule="auto"/>
        <w:rPr>
          <w:rFonts w:ascii="Arial" w:cs="Arial" w:eastAsia="Arial" w:hAnsi="Arial"/>
          <w:sz w:val="17"/>
          <w:szCs w:val="17"/>
          <w:color w:val="auto"/>
          <w:vertAlign w:val="superscript"/>
        </w:rPr>
      </w:pPr>
      <w:r>
        <w:rPr>
          <w:rFonts w:ascii="Arial" w:cs="Arial" w:eastAsia="Arial" w:hAnsi="Arial"/>
          <w:sz w:val="20"/>
          <w:szCs w:val="20"/>
          <w:color w:val="auto"/>
          <w:vertAlign w:val="superscript"/>
        </w:rPr>
        <w:t>9</w:t>
      </w:r>
      <w:r>
        <w:rPr>
          <w:rFonts w:ascii="Arial" w:cs="Arial" w:eastAsia="Arial" w:hAnsi="Arial"/>
          <w:sz w:val="13"/>
          <w:szCs w:val="13"/>
          <w:color w:val="auto"/>
        </w:rPr>
        <w:t xml:space="preserve"> https://www.business-humanrights.org/en/latest-news/texas-state-police-expands-surveillance-with-penlinks-controversial-technology-raising-privacy-concerns/ </w:t>
      </w:r>
      <w:r>
        <w:rPr>
          <w:rFonts w:ascii="Arial" w:cs="Arial" w:eastAsia="Arial" w:hAnsi="Arial"/>
          <w:sz w:val="20"/>
          <w:szCs w:val="20"/>
          <w:color w:val="auto"/>
          <w:vertAlign w:val="superscript"/>
        </w:rPr>
        <w:t>10</w:t>
      </w:r>
      <w:r>
        <w:rPr>
          <w:rFonts w:ascii="Arial" w:cs="Arial" w:eastAsia="Arial" w:hAnsi="Arial"/>
          <w:sz w:val="13"/>
          <w:szCs w:val="13"/>
          <w:color w:val="auto"/>
        </w:rPr>
        <w:t xml:space="preserve"> https://oaklandprivacy.org/wp-content/uploads/2017/10/LSJ_Final.pdf</w:t>
      </w:r>
    </w:p>
    <w:p>
      <w:pPr>
        <w:ind w:left="240"/>
        <w:spacing w:after="0" w:line="180" w:lineRule="auto"/>
        <w:rPr>
          <w:rFonts w:ascii="Arial" w:cs="Arial" w:eastAsia="Arial" w:hAnsi="Arial"/>
          <w:sz w:val="17"/>
          <w:szCs w:val="17"/>
          <w:color w:val="auto"/>
          <w:vertAlign w:val="superscript"/>
        </w:rPr>
      </w:pPr>
      <w:r>
        <w:rPr>
          <w:rFonts w:ascii="Arial" w:cs="Arial" w:eastAsia="Arial" w:hAnsi="Arial"/>
          <w:sz w:val="17"/>
          <w:szCs w:val="17"/>
          <w:color w:val="auto"/>
          <w:vertAlign w:val="superscript"/>
        </w:rPr>
        <w:t>11</w:t>
      </w:r>
      <w:r>
        <w:rPr>
          <w:rFonts w:ascii="Arial" w:cs="Arial" w:eastAsia="Arial" w:hAnsi="Arial"/>
          <w:sz w:val="12"/>
          <w:szCs w:val="12"/>
          <w:color w:val="auto"/>
        </w:rPr>
        <w:t xml:space="preserve"> https://www.404media.co/how-thomson-reuters-powers-ice-and-palantir/</w:t>
      </w:r>
    </w:p>
    <w:p>
      <w:pPr>
        <w:ind w:left="240" w:right="5180"/>
        <w:spacing w:after="0" w:line="288" w:lineRule="auto"/>
        <w:rPr>
          <w:rFonts w:ascii="Arial" w:cs="Arial" w:eastAsia="Arial" w:hAnsi="Arial"/>
          <w:sz w:val="17"/>
          <w:szCs w:val="17"/>
          <w:color w:val="auto"/>
          <w:vertAlign w:val="superscript"/>
        </w:rPr>
      </w:pPr>
      <w:r>
        <w:rPr>
          <w:rFonts w:ascii="Arial" w:cs="Arial" w:eastAsia="Arial" w:hAnsi="Arial"/>
          <w:sz w:val="20"/>
          <w:szCs w:val="20"/>
          <w:color w:val="auto"/>
          <w:vertAlign w:val="superscript"/>
        </w:rPr>
        <w:t>12</w:t>
      </w:r>
      <w:r>
        <w:rPr>
          <w:rFonts w:ascii="Arial" w:cs="Arial" w:eastAsia="Arial" w:hAnsi="Arial"/>
          <w:sz w:val="13"/>
          <w:szCs w:val="13"/>
          <w:color w:val="auto"/>
        </w:rPr>
        <w:t xml:space="preserve"> https://www.404media.co/this-app-lets-ice-track-vehicles-and-owners-across-the-country/ </w:t>
      </w:r>
      <w:r>
        <w:rPr>
          <w:rFonts w:ascii="Arial" w:cs="Arial" w:eastAsia="Arial" w:hAnsi="Arial"/>
          <w:sz w:val="20"/>
          <w:szCs w:val="20"/>
          <w:color w:val="auto"/>
          <w:vertAlign w:val="superscript"/>
        </w:rPr>
        <w:t>13</w:t>
      </w:r>
      <w:r>
        <w:rPr>
          <w:rFonts w:ascii="Arial" w:cs="Arial" w:eastAsia="Arial" w:hAnsi="Arial"/>
          <w:sz w:val="13"/>
          <w:szCs w:val="13"/>
          <w:color w:val="auto"/>
        </w:rPr>
        <w:t xml:space="preserve"> https://law.justia.com/cases/federal/districtcourts/oregon/ordce/3:2025cv02083/190309/15/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9297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9" w:lineRule="exact"/>
        <w:rPr>
          <w:sz w:val="20"/>
          <w:szCs w:val="20"/>
          <w:color w:val="auto"/>
        </w:rPr>
      </w:pPr>
    </w:p>
    <w:p>
      <w:pPr>
        <w:spacing w:after="0"/>
        <w:tabs>
          <w:tab w:leader="none" w:pos="1020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B-1</w:t>
      </w:r>
    </w:p>
    <w:p>
      <w:pPr>
        <w:sectPr>
          <w:pgSz w:w="11900" w:h="16838" w:orient="portrait"/>
          <w:cols w:equalWidth="0" w:num="1">
            <w:col w:w="10920"/>
          </w:cols>
          <w:pgMar w:left="480" w:top="234" w:right="499" w:bottom="1440" w:gutter="0" w:footer="0" w:header="0"/>
        </w:sectPr>
      </w:pPr>
    </w:p>
    <w:bookmarkStart w:id="115" w:name="page116"/>
    <w:bookmarkEnd w:id="115"/>
    <w:p>
      <w:pPr>
        <w:ind w:left="1100" w:hanging="437"/>
        <w:spacing w:after="0"/>
        <w:tabs>
          <w:tab w:leader="none" w:pos="11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11315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1131570"/>
                    </a:xfrm>
                    <a:prstGeom prst="rect">
                      <a:avLst/>
                    </a:prstGeom>
                    <a:noFill/>
                  </pic:spPr>
                </pic:pic>
              </a:graphicData>
            </a:graphic>
          </wp:anchor>
        </w:drawing>
        <w:t>beyond original intent; and</w:t>
      </w:r>
    </w:p>
    <w:p>
      <w:pPr>
        <w:spacing w:after="0" w:line="112" w:lineRule="exact"/>
        <w:rPr>
          <w:rFonts w:ascii="Arial" w:cs="Arial" w:eastAsia="Arial" w:hAnsi="Arial"/>
          <w:sz w:val="17"/>
          <w:szCs w:val="17"/>
          <w:color w:val="auto"/>
        </w:rPr>
      </w:pPr>
    </w:p>
    <w:p>
      <w:pPr>
        <w:ind w:left="1100" w:hanging="437"/>
        <w:spacing w:after="0"/>
        <w:tabs>
          <w:tab w:leader="none" w:pos="11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direct and indirect impacts, including from business relationships.</w:t>
      </w:r>
    </w:p>
    <w:p>
      <w:pPr>
        <w:spacing w:after="0" w:line="72" w:lineRule="exact"/>
        <w:rPr>
          <w:sz w:val="20"/>
          <w:szCs w:val="20"/>
          <w:color w:val="auto"/>
        </w:rPr>
      </w:pPr>
    </w:p>
    <w:p>
      <w:pPr>
        <w:ind w:left="240" w:right="200"/>
        <w:spacing w:after="0" w:line="238"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the Board commission an independent human rights impact assessment evaluating the extent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TRI’s products may contribute to adverse human rights impacts when used by law enforcement agencies, including when TRI’s products are combined with other surveillance technologies. The assessment should address reasonably foreseeable risks arising from aggregated or integrated use of surveillance tools by law enforcement or immigration authorities and recommend measures to mitigate such risks. The report should be publicly available, subject to confidentiality and competitive considerations.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color w:val="D64000"/>
        </w:rPr>
        <w:t xml:space="preserve">The Board of Directors recommends voting </w:t>
      </w:r>
      <w:r>
        <w:rPr>
          <w:rFonts w:ascii="Arial" w:cs="Arial" w:eastAsia="Arial" w:hAnsi="Arial"/>
          <w:sz w:val="25"/>
          <w:szCs w:val="25"/>
          <w:b w:val="1"/>
          <w:bCs w:val="1"/>
          <w:u w:val="single" w:color="auto"/>
          <w:color w:val="D64000"/>
        </w:rPr>
        <w:t>AGAINST</w:t>
      </w:r>
      <w:r>
        <w:rPr>
          <w:rFonts w:ascii="Arial" w:cs="Arial" w:eastAsia="Arial" w:hAnsi="Arial"/>
          <w:sz w:val="25"/>
          <w:szCs w:val="25"/>
          <w:color w:val="D64000"/>
        </w:rPr>
        <w:t xml:space="preserve"> the proposal for the following reasons:</w:t>
      </w:r>
    </w:p>
    <w:p>
      <w:pPr>
        <w:spacing w:after="0" w:line="10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Board believes that Thomson Reuters’ existing policies and practices appropriately address the resolution’s request. An additional independent assessment would be duplicative and an inefficient use of shareholder resources. Thomson Reuters has established a robust human rights governance framework aligned with international standards and conducts a regular company-wide human rights saliency assessment (HRSA) and human rights impact assessment (HRIA). Thomson Reuters undertakes a comprehensive HRSA/HRIA review, partnering with expert consultants to evaluate risks, develop actionable recommendations and create a roadmap for ongoing improvement and recently completed a major milestone HRSA/HRIA. We intend to disclose key findings of the most recent HRSA/HRIA on our website, in line with previous assessments.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Established Human Rights Governance</w:t>
      </w:r>
    </w:p>
    <w:p>
      <w:pPr>
        <w:spacing w:after="0" w:line="85"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Our commitment to respecting human rights is evidenced by Thomson Reuters’ established human rights governance framework that is aligned with internationally recognized standards. Thomson Reuters has management-level accountability for human rights with a Human Rights Steering Committee that is co-chaired by our Chief Legal Officer and Chief People Officer. This cross-functional body is responsible for embedding human rights awareness and accountability across the enterprise.</w:t>
      </w:r>
    </w:p>
    <w:p>
      <w:pPr>
        <w:spacing w:after="0" w:line="44"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In 2022, Thomson Reuters formally aligned with the United Nations Guiding Principles on Business and Human Rights (UNGPs), further strengthening our longstanding commitment to the United Nations Global Compact, the United Nations Declaration on Human Rights, and other international standards. Importantly, Thomson Reuters has already engaged independent, external expertise to conduct its HRSA/HRIAs. The UNGPs are the global standard for preventing and addressing the risk of adverse impacts on human rights linked to business activity, and they provide the internationally accepted framework for enhancing standards and practices about business and human rights.</w:t>
      </w:r>
    </w:p>
    <w:p>
      <w:pPr>
        <w:spacing w:after="0" w:line="45"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Under this framework, we conduct company-wide HRSA/HRIAs every three years and, as discussed in more detail below, we recently completed our second assessment with a major milestone HRSA/HRIA. We have also engaged legal counsel with expertise in ESG matters for ongoing work. The Human Rights Steering Committee has oversight of these HRSA/HRIAs and reports on the same to the Corporate Governance Committee of our Board, which has overall oversight of ESG.</w:t>
      </w:r>
    </w:p>
    <w:p>
      <w:pPr>
        <w:spacing w:after="0" w:line="5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March 2023, Thomson Reuters released a Human Rights Policy, underscoring our commitment to human rights, which sets out our approach to identifying, assessing and managing human rights impacts across our operations, products and services. This policy is regularly reviewed and updated by the Human Rights Steering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Rights Impact Assessment</w:t>
      </w:r>
    </w:p>
    <w:p>
      <w:pPr>
        <w:spacing w:after="0" w:line="7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2025, we completed our second HRSA/HRIA assessment of our global operations, services and products, including our investigative solutions. We partnered with a specialized strategy consultancy with expertise in human rights and responsible innovation (who also conducted our first assessment) and with outside legal counsel to assist us with ongoing assessments. The engagement of these external experts enhances objectivity and brings industry-leading best practices to our assessment process. Additional assessment activity will be undertaken in 2026 and beyond.</w:t>
      </w:r>
    </w:p>
    <w:p>
      <w:pPr>
        <w:spacing w:after="0" w:line="61" w:lineRule="exact"/>
        <w:rPr>
          <w:sz w:val="20"/>
          <w:szCs w:val="20"/>
          <w:color w:val="auto"/>
        </w:rPr>
      </w:pPr>
    </w:p>
    <w:p>
      <w:pPr>
        <w:ind w:right="600"/>
        <w:spacing w:after="0" w:line="237" w:lineRule="auto"/>
        <w:rPr>
          <w:sz w:val="20"/>
          <w:szCs w:val="20"/>
          <w:color w:val="auto"/>
        </w:rPr>
      </w:pPr>
      <w:r>
        <w:rPr>
          <w:rFonts w:ascii="Arial" w:cs="Arial" w:eastAsia="Arial" w:hAnsi="Arial"/>
          <w:sz w:val="17"/>
          <w:szCs w:val="17"/>
          <w:color w:val="auto"/>
        </w:rPr>
        <w:t>From the HRSA/HRIA, Thomson Reuters received an analysis of the Company’s human rights risks, changes since the last HRSA/HRIA (conducted in 2021 and 2022) and an assessment of the degree to which these risks and impacts are being managed. The Human Rights Steering Committee reviewed these recommendations, discussed them with management and the independent consultant and ultimately developed a three-year roadmap, which is aligned to the expectations of the UNGPs. The committee is responsible for overseeing the implementation of the roadmap across the enterprise and monitoring progress and effectiveness of our human rights strategy against this roadmap.</w:t>
      </w:r>
    </w:p>
    <w:p>
      <w:pPr>
        <w:spacing w:after="0" w:line="59"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expect to disclose the key findings of our most recent HRSA/HRIA on our website, demonstrating our commitment to transparency with shareholders and other stakeholders. We will also share information about our ongoing human rights efforts in our Social Impact &amp; ESG Report (which is posted annually on the Thomson Reuters website), our Annual Report, our Management Proxy Circular and through other public disclosures. This disclosure framework provides shareholders access to meaningful information about our human rights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9297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8"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Page B-2</w:t>
      </w:r>
      <w:r>
        <w:rPr>
          <w:sz w:val="20"/>
          <w:szCs w:val="20"/>
          <w:color w:val="auto"/>
        </w:rPr>
        <w:tab/>
      </w:r>
      <w:r>
        <w:rPr>
          <w:rFonts w:ascii="Arial" w:cs="Arial" w:eastAsia="Arial" w:hAnsi="Arial"/>
          <w:sz w:val="16"/>
          <w:szCs w:val="16"/>
          <w:b w:val="1"/>
          <w:bCs w:val="1"/>
          <w:color w:val="auto"/>
        </w:rPr>
        <w:t>Management Proxy Circular and Notice of Annual Meeting of Shareholders</w:t>
      </w:r>
    </w:p>
    <w:p>
      <w:pPr>
        <w:sectPr>
          <w:pgSz w:w="11900" w:h="16838" w:orient="portrait"/>
          <w:cols w:equalWidth="0" w:num="1">
            <w:col w:w="10920"/>
          </w:cols>
          <w:pgMar w:left="480" w:top="318" w:right="499" w:bottom="1440" w:gutter="0" w:footer="0" w:header="0"/>
        </w:sectPr>
      </w:pPr>
    </w:p>
    <w:bookmarkStart w:id="116" w:name="page117"/>
    <w:bookmarkEnd w:id="116"/>
    <w:p>
      <w:pPr>
        <w:ind w:right="26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Our human rights efforts are also reflected in other policies and reporting, including in our Code of Business Conduct and Ethics, Supply Chain Ethical Code and Modern Slavery Act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Supporting Communities and Societies</w:t>
      </w:r>
    </w:p>
    <w:p>
      <w:pPr>
        <w:spacing w:after="0" w:line="85"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We continue to work with our customers in federal, state and local government agencies in the United States and other countries, providing products and services that support investigations into areas of national security and public safety, such as child exploitation, human trafficking, narcotics and weapons trafficking and financial crime. In time-sensitive investigations — a missing child, an active crime scene, a drug interception — our tools provide law enforcement with rapid access to critical information</w:t>
      </w:r>
      <w:r>
        <w:rPr>
          <w:rFonts w:ascii="Arial" w:cs="Arial" w:eastAsia="Arial" w:hAnsi="Arial"/>
          <w:sz w:val="17"/>
          <w:szCs w:val="17"/>
          <w:i w:val="1"/>
          <w:iCs w:val="1"/>
          <w:color w:val="auto"/>
        </w:rPr>
        <w:t>.</w:t>
      </w:r>
      <w:r>
        <w:rPr>
          <w:rFonts w:ascii="Arial" w:cs="Arial" w:eastAsia="Arial" w:hAnsi="Arial"/>
          <w:sz w:val="17"/>
          <w:szCs w:val="17"/>
          <w:color w:val="auto"/>
        </w:rPr>
        <w:t xml:space="preserve"> This is demonstrated through our Everyday Heroes program, which highlights how our products and services have been used to find abducted children, stop exploitation, and save lives.</w:t>
      </w:r>
    </w:p>
    <w:p>
      <w:pPr>
        <w:spacing w:after="0" w:line="47"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We do not believe that providing investigative solutions to law enforcement agencies for these purposes is inconsistent with our human rights commitments. Further, in accordance with our human rights governance frameworks—</w:t>
      </w:r>
    </w:p>
    <w:p>
      <w:pPr>
        <w:spacing w:after="0" w:line="40" w:lineRule="exact"/>
        <w:rPr>
          <w:sz w:val="20"/>
          <w:szCs w:val="20"/>
          <w:color w:val="auto"/>
        </w:rPr>
      </w:pPr>
    </w:p>
    <w:p>
      <w:pPr>
        <w:ind w:left="860" w:right="240" w:hanging="425"/>
        <w:spacing w:after="0" w:line="263" w:lineRule="auto"/>
        <w:tabs>
          <w:tab w:leader="none" w:pos="8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We take seriously the legality and legitimacy of our products. Use of these products and services must comply with applicable laws, rules, and limitations on permissible uses.</w:t>
      </w:r>
    </w:p>
    <w:p>
      <w:pPr>
        <w:spacing w:after="0" w:line="66" w:lineRule="exact"/>
        <w:rPr>
          <w:rFonts w:ascii="Arial" w:cs="Arial" w:eastAsia="Arial" w:hAnsi="Arial"/>
          <w:sz w:val="17"/>
          <w:szCs w:val="17"/>
          <w:color w:val="auto"/>
        </w:rPr>
      </w:pPr>
    </w:p>
    <w:p>
      <w:pPr>
        <w:ind w:left="860" w:right="840" w:hanging="425"/>
        <w:spacing w:after="0" w:line="263" w:lineRule="auto"/>
        <w:tabs>
          <w:tab w:leader="none" w:pos="8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We maintain a robust credentialing and compliance program for our investigative solutions, including CLEAR, that validates permissible use.</w:t>
      </w:r>
    </w:p>
    <w:p>
      <w:pPr>
        <w:spacing w:after="0" w:line="66" w:lineRule="exact"/>
        <w:rPr>
          <w:rFonts w:ascii="Arial" w:cs="Arial" w:eastAsia="Arial" w:hAnsi="Arial"/>
          <w:sz w:val="17"/>
          <w:szCs w:val="17"/>
          <w:color w:val="auto"/>
        </w:rPr>
      </w:pPr>
    </w:p>
    <w:p>
      <w:pPr>
        <w:ind w:left="860" w:right="500" w:hanging="425"/>
        <w:spacing w:after="0" w:line="246" w:lineRule="auto"/>
        <w:tabs>
          <w:tab w:leader="none" w:pos="8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We perform routine customer audits, conduct ongoing monitoring of potentially suspicious activity, require a compliance acknowledgment upon each customer log in, and more. If misuse is detected, we will take immediate action, up to and including terminating customer accounts. We remain confident in these controls.</w:t>
      </w:r>
    </w:p>
    <w:p>
      <w:pPr>
        <w:spacing w:after="0" w:line="80" w:lineRule="exact"/>
        <w:rPr>
          <w:rFonts w:ascii="Arial" w:cs="Arial" w:eastAsia="Arial" w:hAnsi="Arial"/>
          <w:sz w:val="17"/>
          <w:szCs w:val="17"/>
          <w:color w:val="auto"/>
        </w:rPr>
      </w:pPr>
    </w:p>
    <w:p>
      <w:pPr>
        <w:ind w:left="860" w:right="300" w:hanging="425"/>
        <w:spacing w:after="0" w:line="246" w:lineRule="auto"/>
        <w:tabs>
          <w:tab w:leader="none" w:pos="8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Our investigative solutions, including CLEAR, are not surveillance tools. We sell our products and services to law enforcement and other government agencies as investigative solutions. The data we provide — such as court and property records — is publicly available or licensable directly from aggregators.</w:t>
      </w:r>
    </w:p>
    <w:p>
      <w:pPr>
        <w:spacing w:after="0" w:line="80" w:lineRule="exact"/>
        <w:rPr>
          <w:rFonts w:ascii="Arial" w:cs="Arial" w:eastAsia="Arial" w:hAnsi="Arial"/>
          <w:sz w:val="17"/>
          <w:szCs w:val="17"/>
          <w:color w:val="auto"/>
        </w:rPr>
      </w:pPr>
    </w:p>
    <w:p>
      <w:pPr>
        <w:ind w:left="860" w:right="40" w:hanging="425"/>
        <w:spacing w:after="0" w:line="263" w:lineRule="auto"/>
        <w:tabs>
          <w:tab w:leader="none" w:pos="8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Our investigative solutions may not be used as a factor in establishing a consumer’s eligibility for credit, insurance, employment, or for any other purpose governed under the Fair Credit Reporting Act.</w:t>
      </w:r>
    </w:p>
    <w:p>
      <w:pPr>
        <w:spacing w:after="0" w:line="4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evaluating the potential human rights impacts from the end-use of our products and services, Thomson Reuters does not limit its analysis to compliance with domestic law. Thomson Reuters also considers international human rights norms and standards, including our alignment to the UNGPs, the International Bill of Human Rights, the core International Labour Organization conventions, and the UN Global Compact. In situations where an end-user’s use of our products, while in compliance with domestic law, may run counter to these international human rights norms and standards, the matter would be thoroughly investigated and actioned as appropriate.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For the foregoing reasons, the Board of Directors recommends that shareholders vote </w:t>
      </w:r>
      <w:r>
        <w:rPr>
          <w:rFonts w:ascii="Arial" w:cs="Arial" w:eastAsia="Arial" w:hAnsi="Arial"/>
          <w:sz w:val="17"/>
          <w:szCs w:val="17"/>
          <w:b w:val="1"/>
          <w:bCs w:val="1"/>
          <w:u w:val="single" w:color="auto"/>
          <w:color w:val="auto"/>
        </w:rPr>
        <w:t>AGAINST</w:t>
      </w:r>
      <w:r>
        <w:rPr>
          <w:rFonts w:ascii="Arial" w:cs="Arial" w:eastAsia="Arial" w:hAnsi="Arial"/>
          <w:sz w:val="17"/>
          <w:szCs w:val="17"/>
          <w:b w:val="1"/>
          <w:bCs w:val="1"/>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69297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pacing w:after="0"/>
        <w:tabs>
          <w:tab w:leader="none" w:pos="10200" w:val="left"/>
        </w:tabs>
        <w:rPr>
          <w:sz w:val="20"/>
          <w:szCs w:val="20"/>
          <w:color w:val="auto"/>
        </w:rPr>
      </w:pPr>
      <w:r>
        <w:rPr>
          <w:rFonts w:ascii="Arial" w:cs="Arial" w:eastAsia="Arial" w:hAnsi="Arial"/>
          <w:sz w:val="17"/>
          <w:szCs w:val="17"/>
          <w:b w:val="1"/>
          <w:bCs w:val="1"/>
          <w:color w:val="auto"/>
        </w:rPr>
        <w:t>Management Proxy Circular and Notice of Annual Meeting of Shareholders</w:t>
      </w:r>
      <w:r>
        <w:rPr>
          <w:sz w:val="20"/>
          <w:szCs w:val="20"/>
          <w:color w:val="auto"/>
        </w:rPr>
        <w:tab/>
      </w:r>
      <w:r>
        <w:rPr>
          <w:rFonts w:ascii="Arial" w:cs="Arial" w:eastAsia="Arial" w:hAnsi="Arial"/>
          <w:sz w:val="16"/>
          <w:szCs w:val="16"/>
          <w:color w:val="auto"/>
        </w:rPr>
        <w:t>Page B-3</w:t>
      </w:r>
    </w:p>
    <w:p>
      <w:pPr>
        <w:sectPr>
          <w:pgSz w:w="11900" w:h="16838" w:orient="portrait"/>
          <w:cols w:equalWidth="0" w:num="1">
            <w:col w:w="10920"/>
          </w:cols>
          <w:pgMar w:left="480" w:top="264" w:right="49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D64000"/>
        </w:rPr>
        <w:t>THOMSON REUTERS</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auto"/>
        </w:rPr>
        <w:t>19 Duncan Street,</w:t>
      </w:r>
    </w:p>
    <w:p>
      <w:pPr>
        <w:spacing w:after="0" w:line="31" w:lineRule="exact"/>
        <w:rPr>
          <w:sz w:val="20"/>
          <w:szCs w:val="20"/>
          <w:color w:val="auto"/>
        </w:rPr>
      </w:pPr>
    </w:p>
    <w:p>
      <w:pPr>
        <w:spacing w:after="0"/>
        <w:rPr>
          <w:sz w:val="20"/>
          <w:szCs w:val="20"/>
          <w:color w:val="auto"/>
        </w:rPr>
      </w:pPr>
      <w:r>
        <w:rPr>
          <w:rFonts w:ascii="Arial" w:cs="Arial" w:eastAsia="Arial" w:hAnsi="Arial"/>
          <w:sz w:val="24"/>
          <w:szCs w:val="24"/>
          <w:color w:val="auto"/>
        </w:rPr>
        <w:t>Toronto, Ontario M5H 3H1</w:t>
      </w:r>
    </w:p>
    <w:p>
      <w:pPr>
        <w:spacing w:after="0" w:line="18" w:lineRule="exact"/>
        <w:rPr>
          <w:sz w:val="20"/>
          <w:szCs w:val="20"/>
          <w:color w:val="auto"/>
        </w:rPr>
      </w:pPr>
    </w:p>
    <w:p>
      <w:pPr>
        <w:spacing w:after="0"/>
        <w:rPr>
          <w:sz w:val="20"/>
          <w:szCs w:val="20"/>
          <w:color w:val="auto"/>
        </w:rPr>
      </w:pPr>
      <w:r>
        <w:rPr>
          <w:rFonts w:ascii="Arial" w:cs="Arial" w:eastAsia="Arial" w:hAnsi="Arial"/>
          <w:sz w:val="25"/>
          <w:szCs w:val="25"/>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-165735</wp:posOffset>
            </wp:positionV>
            <wp:extent cx="2038350" cy="679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38350" cy="679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25"/>
          <w:szCs w:val="25"/>
          <w:color w:val="auto"/>
        </w:rPr>
        <w:t>tel: +1 647 480 7000</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auto"/>
        </w:rPr>
        <w:t>thomsonreuters.com</w:t>
      </w:r>
    </w:p>
    <w:p>
      <w:pPr>
        <w:sectPr>
          <w:pgSz w:w="11900" w:h="16838" w:orient="portrait"/>
          <w:cols w:equalWidth="0" w:num="1">
            <w:col w:w="9979"/>
          </w:cols>
          <w:pgMar w:left="480" w:top="1440" w:right="1440" w:bottom="1440" w:gutter="0" w:footer="0" w:header="0"/>
        </w:sectPr>
      </w:pPr>
    </w:p>
    <w:bookmarkStart w:id="118" w:name="page119"/>
    <w:bookmarkEnd w:id="118"/>
    <w:p>
      <w:pPr>
        <w:ind w:left="904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26035</wp:posOffset>
            </wp:positionV>
            <wp:extent cx="6301105" cy="81527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9960"/>
          </w:cols>
          <w:pgMar w:left="1440" w:top="117" w:right="49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8390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839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ind w:left="1002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2038350" cy="679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038350"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line="271" w:lineRule="auto"/>
        <w:rPr>
          <w:sz w:val="20"/>
          <w:szCs w:val="20"/>
          <w:color w:val="auto"/>
        </w:rPr>
      </w:pPr>
      <w:r>
        <w:rPr>
          <w:rFonts w:ascii="Arial" w:cs="Arial" w:eastAsia="Arial" w:hAnsi="Arial"/>
          <w:sz w:val="30"/>
          <w:szCs w:val="30"/>
          <w:color w:val="B94831"/>
        </w:rPr>
        <w:t>NOTICE OF AVAILABILITY OF PROXY MATERIALS FOR THE 2026 THOMSON REUTERS CORPORATION ANNUAL MEETING OF 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To our Shareholders,</w:t>
      </w:r>
    </w:p>
    <w:p>
      <w:pPr>
        <w:spacing w:after="0" w:line="21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We are using the “notice-and-access” system for delivery of this year’s proxy materials, similar to last year’s meeting. Under notice-and-access, you still receive a proxy or voting instruction form enabling you to vote at our meeting. However, instead of a paper copy of the management proxy circular and other proxy materials, you have received this notice which contains information about how to access these materials electronically on our website, </w:t>
      </w:r>
      <w:r>
        <w:rPr>
          <w:rFonts w:ascii="Arial" w:cs="Arial" w:eastAsia="Arial" w:hAnsi="Arial"/>
          <w:sz w:val="16"/>
          <w:szCs w:val="16"/>
          <w:color w:val="B94831"/>
        </w:rPr>
        <w:t>www.thomsonreuters.com</w:t>
      </w:r>
      <w:r>
        <w:rPr>
          <w:rFonts w:ascii="Arial" w:cs="Arial" w:eastAsia="Arial" w:hAnsi="Arial"/>
          <w:sz w:val="16"/>
          <w:szCs w:val="16"/>
          <w:color w:val="000000"/>
        </w:rPr>
        <w:t>. Electronic delivery reduces the cost and environmental impact of producing and distributing paper copies of documents in very</w:t>
      </w:r>
      <w:r>
        <w:rPr>
          <w:rFonts w:ascii="Arial" w:cs="Arial" w:eastAsia="Arial" w:hAnsi="Arial"/>
          <w:sz w:val="16"/>
          <w:szCs w:val="16"/>
          <w:color w:val="B94831"/>
        </w:rPr>
        <w:t xml:space="preserve"> </w:t>
      </w:r>
      <w:r>
        <w:rPr>
          <w:rFonts w:ascii="Arial" w:cs="Arial" w:eastAsia="Arial" w:hAnsi="Arial"/>
          <w:sz w:val="16"/>
          <w:szCs w:val="16"/>
          <w:color w:val="000000"/>
        </w:rPr>
        <w:t>large quantities. It also provides shareholders with faster access to information about Thomson Reuters. Shareholders who have already signed up for electronic delivery of proxy materials will continue to receive them by e-mail.</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20" w:type="dxa"/>
            <w:vAlign w:val="bottom"/>
          </w:tcPr>
          <w:p>
            <w:pPr>
              <w:spacing w:after="0"/>
              <w:rPr>
                <w:sz w:val="20"/>
                <w:szCs w:val="20"/>
                <w:color w:val="auto"/>
              </w:rPr>
            </w:pPr>
            <w:r>
              <w:rPr>
                <w:rFonts w:ascii="Arial" w:cs="Arial" w:eastAsia="Arial" w:hAnsi="Arial"/>
                <w:sz w:val="16"/>
                <w:szCs w:val="16"/>
                <w:color w:val="B94831"/>
              </w:rPr>
              <w:t>MEETING DATE AND LOCATION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6"/>
                <w:szCs w:val="16"/>
                <w:color w:val="auto"/>
              </w:rPr>
              <w:t>WHEN:    Wednesday, June 10, 2026</w:t>
            </w:r>
          </w:p>
        </w:tc>
        <w:tc>
          <w:tcPr>
            <w:tcW w:w="4520" w:type="dxa"/>
            <w:vAlign w:val="bottom"/>
            <w:gridSpan w:val="4"/>
          </w:tcPr>
          <w:p>
            <w:pPr>
              <w:ind w:left="1280"/>
              <w:spacing w:after="0"/>
              <w:rPr>
                <w:sz w:val="20"/>
                <w:szCs w:val="20"/>
                <w:color w:val="auto"/>
              </w:rPr>
            </w:pPr>
            <w:r>
              <w:rPr>
                <w:rFonts w:ascii="Arial" w:cs="Arial" w:eastAsia="Arial" w:hAnsi="Arial"/>
                <w:sz w:val="16"/>
                <w:szCs w:val="16"/>
                <w:color w:val="auto"/>
              </w:rPr>
              <w:t>WHERE:   Roy Thomson Hall</w:t>
            </w:r>
          </w:p>
        </w:tc>
      </w:tr>
      <w:tr>
        <w:trPr>
          <w:trHeight w:val="201"/>
        </w:trPr>
        <w:tc>
          <w:tcPr>
            <w:tcW w:w="4420" w:type="dxa"/>
            <w:vAlign w:val="bottom"/>
          </w:tcPr>
          <w:p>
            <w:pPr>
              <w:ind w:left="640"/>
              <w:spacing w:after="0"/>
              <w:rPr>
                <w:sz w:val="20"/>
                <w:szCs w:val="20"/>
                <w:color w:val="auto"/>
              </w:rPr>
            </w:pPr>
            <w:r>
              <w:rPr>
                <w:rFonts w:ascii="Arial" w:cs="Arial" w:eastAsia="Arial" w:hAnsi="Arial"/>
                <w:sz w:val="16"/>
                <w:szCs w:val="16"/>
                <w:color w:val="auto"/>
              </w:rPr>
              <w:t>12:00 p.m. (Eastern Daylight Time)</w:t>
            </w:r>
          </w:p>
        </w:tc>
        <w:tc>
          <w:tcPr>
            <w:tcW w:w="1460" w:type="dxa"/>
            <w:vAlign w:val="bottom"/>
          </w:tcPr>
          <w:p>
            <w:pPr>
              <w:ind w:left="128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740" w:type="dxa"/>
            <w:vAlign w:val="bottom"/>
          </w:tcPr>
          <w:p>
            <w:pPr>
              <w:ind w:left="60"/>
              <w:spacing w:after="0"/>
              <w:rPr>
                <w:sz w:val="20"/>
                <w:szCs w:val="20"/>
                <w:color w:val="auto"/>
              </w:rPr>
            </w:pPr>
            <w:r>
              <w:rPr>
                <w:rFonts w:ascii="Arial" w:cs="Arial" w:eastAsia="Arial" w:hAnsi="Arial"/>
                <w:sz w:val="16"/>
                <w:szCs w:val="16"/>
                <w:color w:val="auto"/>
              </w:rPr>
              <w:t>      60 Simcoe Street</w:t>
            </w:r>
          </w:p>
        </w:tc>
      </w:tr>
      <w:tr>
        <w:trPr>
          <w:trHeight w:val="211"/>
        </w:trPr>
        <w:tc>
          <w:tcPr>
            <w:tcW w:w="4420" w:type="dxa"/>
            <w:vAlign w:val="bottom"/>
          </w:tcPr>
          <w:p>
            <w:pPr>
              <w:spacing w:after="0"/>
              <w:rPr>
                <w:sz w:val="18"/>
                <w:szCs w:val="18"/>
                <w:color w:val="auto"/>
              </w:rPr>
            </w:pPr>
          </w:p>
        </w:tc>
        <w:tc>
          <w:tcPr>
            <w:tcW w:w="1460" w:type="dxa"/>
            <w:vAlign w:val="bottom"/>
          </w:tcPr>
          <w:p>
            <w:pPr>
              <w:ind w:left="128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2740" w:type="dxa"/>
            <w:vAlign w:val="bottom"/>
          </w:tcPr>
          <w:p>
            <w:pPr>
              <w:ind w:left="60"/>
              <w:spacing w:after="0"/>
              <w:rPr>
                <w:sz w:val="20"/>
                <w:szCs w:val="20"/>
                <w:color w:val="auto"/>
              </w:rPr>
            </w:pPr>
            <w:r>
              <w:rPr>
                <w:rFonts w:ascii="Arial" w:cs="Arial" w:eastAsia="Arial" w:hAnsi="Arial"/>
                <w:sz w:val="16"/>
                <w:szCs w:val="16"/>
                <w:color w:val="auto"/>
                <w:w w:val="94"/>
              </w:rPr>
              <w:t>      Toronto, Ontario M5J 2H5, Canada</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B94831"/>
        </w:rPr>
        <w:t>WHO CAN VOTE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Holders of our common shares as of 5:00 p.m. (Eastern Daylight Time) on April 13, 2026.</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B94831"/>
        </w:rPr>
        <w:t>BUSINESS OF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This year’s meeting will cover the following 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87630</wp:posOffset>
            </wp:positionV>
            <wp:extent cx="8255" cy="33204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3320415"/>
                    </a:xfrm>
                    <a:prstGeom prst="rect">
                      <a:avLst/>
                    </a:prstGeom>
                    <a:noFill/>
                  </pic:spPr>
                </pic:pic>
              </a:graphicData>
            </a:graphic>
          </wp:anchor>
        </w:drawing>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00" w:type="dxa"/>
            <w:vAlign w:val="bottom"/>
            <w:tcBorders>
              <w:top w:val="single" w:sz="8" w:color="595959"/>
              <w:left w:val="single" w:sz="8" w:color="595959"/>
            </w:tcBorders>
            <w:shd w:val="clear" w:color="auto" w:fill="B94831"/>
          </w:tcPr>
          <w:p>
            <w:pPr>
              <w:spacing w:after="0"/>
              <w:rPr>
                <w:sz w:val="15"/>
                <w:szCs w:val="15"/>
                <w:color w:val="auto"/>
              </w:rPr>
            </w:pPr>
          </w:p>
        </w:tc>
        <w:tc>
          <w:tcPr>
            <w:tcW w:w="1240" w:type="dxa"/>
            <w:vAlign w:val="bottom"/>
            <w:tcBorders>
              <w:top w:val="single" w:sz="8" w:color="595959"/>
              <w:right w:val="single" w:sz="8" w:color="595959"/>
            </w:tcBorders>
            <w:shd w:val="clear" w:color="auto" w:fill="B94831"/>
          </w:tcPr>
          <w:p>
            <w:pPr>
              <w:ind w:left="40"/>
              <w:spacing w:after="0"/>
              <w:rPr>
                <w:sz w:val="20"/>
                <w:szCs w:val="20"/>
                <w:color w:val="auto"/>
              </w:rPr>
            </w:pPr>
            <w:r>
              <w:rPr>
                <w:rFonts w:ascii="Arial" w:cs="Arial" w:eastAsia="Arial" w:hAnsi="Arial"/>
                <w:sz w:val="14"/>
                <w:szCs w:val="14"/>
                <w:color w:val="FFFFFF"/>
              </w:rPr>
              <w:t>Item of</w:t>
            </w:r>
          </w:p>
        </w:tc>
        <w:tc>
          <w:tcPr>
            <w:tcW w:w="7540" w:type="dxa"/>
            <w:vAlign w:val="bottom"/>
            <w:tcBorders>
              <w:top w:val="single" w:sz="8" w:color="595959"/>
              <w:right w:val="single" w:sz="8" w:color="595959"/>
            </w:tcBorders>
            <w:gridSpan w:val="2"/>
            <w:shd w:val="clear" w:color="auto" w:fill="B94831"/>
          </w:tcPr>
          <w:p>
            <w:pPr>
              <w:ind w:left="100"/>
              <w:spacing w:after="0"/>
              <w:rPr>
                <w:sz w:val="20"/>
                <w:szCs w:val="20"/>
                <w:color w:val="auto"/>
              </w:rPr>
            </w:pPr>
            <w:r>
              <w:rPr>
                <w:rFonts w:ascii="Arial" w:cs="Arial" w:eastAsia="Arial" w:hAnsi="Arial"/>
                <w:sz w:val="14"/>
                <w:szCs w:val="14"/>
                <w:color w:val="FFFFFF"/>
              </w:rPr>
              <w:t>Highlights</w:t>
            </w:r>
          </w:p>
        </w:tc>
        <w:tc>
          <w:tcPr>
            <w:tcW w:w="1760" w:type="dxa"/>
            <w:vAlign w:val="bottom"/>
            <w:tcBorders>
              <w:top w:val="single" w:sz="8" w:color="595959"/>
              <w:right w:val="single" w:sz="8" w:color="595959"/>
            </w:tcBorders>
            <w:shd w:val="clear" w:color="auto" w:fill="B94831"/>
          </w:tcPr>
          <w:p>
            <w:pPr>
              <w:ind w:left="100"/>
              <w:spacing w:after="0"/>
              <w:rPr>
                <w:sz w:val="20"/>
                <w:szCs w:val="20"/>
                <w:color w:val="auto"/>
              </w:rPr>
            </w:pPr>
            <w:r>
              <w:rPr>
                <w:rFonts w:ascii="Arial" w:cs="Arial" w:eastAsia="Arial" w:hAnsi="Arial"/>
                <w:sz w:val="14"/>
                <w:szCs w:val="14"/>
                <w:color w:val="FFFFFF"/>
              </w:rPr>
              <w:t>Board Vote</w:t>
            </w:r>
          </w:p>
        </w:tc>
        <w:tc>
          <w:tcPr>
            <w:tcW w:w="0" w:type="dxa"/>
            <w:vAlign w:val="bottom"/>
          </w:tcPr>
          <w:p>
            <w:pPr>
              <w:spacing w:after="0"/>
              <w:rPr>
                <w:sz w:val="1"/>
                <w:szCs w:val="1"/>
                <w:color w:val="auto"/>
              </w:rPr>
            </w:pPr>
          </w:p>
        </w:tc>
      </w:tr>
      <w:tr>
        <w:trPr>
          <w:trHeight w:val="183"/>
        </w:trPr>
        <w:tc>
          <w:tcPr>
            <w:tcW w:w="400" w:type="dxa"/>
            <w:vAlign w:val="bottom"/>
            <w:tcBorders>
              <w:left w:val="single" w:sz="8" w:color="595959"/>
              <w:bottom w:val="single" w:sz="8" w:color="595959"/>
            </w:tcBorders>
            <w:shd w:val="clear" w:color="auto" w:fill="B94831"/>
          </w:tcPr>
          <w:p>
            <w:pPr>
              <w:spacing w:after="0"/>
              <w:rPr>
                <w:sz w:val="15"/>
                <w:szCs w:val="15"/>
                <w:color w:val="auto"/>
              </w:rPr>
            </w:pPr>
          </w:p>
        </w:tc>
        <w:tc>
          <w:tcPr>
            <w:tcW w:w="1240" w:type="dxa"/>
            <w:vAlign w:val="bottom"/>
            <w:tcBorders>
              <w:bottom w:val="single" w:sz="8" w:color="595959"/>
              <w:right w:val="single" w:sz="8" w:color="595959"/>
            </w:tcBorders>
            <w:shd w:val="clear" w:color="auto" w:fill="B94831"/>
          </w:tcPr>
          <w:p>
            <w:pPr>
              <w:ind w:left="40"/>
              <w:spacing w:after="0"/>
              <w:rPr>
                <w:sz w:val="20"/>
                <w:szCs w:val="20"/>
                <w:color w:val="auto"/>
              </w:rPr>
            </w:pPr>
            <w:r>
              <w:rPr>
                <w:rFonts w:ascii="Arial" w:cs="Arial" w:eastAsia="Arial" w:hAnsi="Arial"/>
                <w:sz w:val="14"/>
                <w:szCs w:val="14"/>
                <w:color w:val="FFFFFF"/>
              </w:rPr>
              <w:t>Business</w:t>
            </w:r>
          </w:p>
        </w:tc>
        <w:tc>
          <w:tcPr>
            <w:tcW w:w="260" w:type="dxa"/>
            <w:vAlign w:val="bottom"/>
            <w:tcBorders>
              <w:bottom w:val="single" w:sz="8" w:color="595959"/>
            </w:tcBorders>
            <w:shd w:val="clear" w:color="auto" w:fill="B94831"/>
          </w:tcPr>
          <w:p>
            <w:pPr>
              <w:spacing w:after="0"/>
              <w:rPr>
                <w:sz w:val="15"/>
                <w:szCs w:val="15"/>
                <w:color w:val="auto"/>
              </w:rPr>
            </w:pPr>
          </w:p>
        </w:tc>
        <w:tc>
          <w:tcPr>
            <w:tcW w:w="7280" w:type="dxa"/>
            <w:vAlign w:val="bottom"/>
            <w:tcBorders>
              <w:bottom w:val="single" w:sz="8" w:color="595959"/>
              <w:right w:val="single" w:sz="8" w:color="595959"/>
            </w:tcBorders>
            <w:shd w:val="clear" w:color="auto" w:fill="B94831"/>
          </w:tcPr>
          <w:p>
            <w:pPr>
              <w:spacing w:after="0"/>
              <w:rPr>
                <w:sz w:val="15"/>
                <w:szCs w:val="15"/>
                <w:color w:val="auto"/>
              </w:rPr>
            </w:pPr>
          </w:p>
        </w:tc>
        <w:tc>
          <w:tcPr>
            <w:tcW w:w="1760" w:type="dxa"/>
            <w:vAlign w:val="bottom"/>
            <w:tcBorders>
              <w:bottom w:val="single" w:sz="8" w:color="595959"/>
              <w:right w:val="single" w:sz="8" w:color="595959"/>
            </w:tcBorders>
            <w:shd w:val="clear" w:color="auto" w:fill="B94831"/>
          </w:tcPr>
          <w:p>
            <w:pPr>
              <w:ind w:left="100"/>
              <w:spacing w:after="0"/>
              <w:rPr>
                <w:sz w:val="20"/>
                <w:szCs w:val="20"/>
                <w:color w:val="auto"/>
              </w:rPr>
            </w:pPr>
            <w:r>
              <w:rPr>
                <w:rFonts w:ascii="Arial" w:cs="Arial" w:eastAsia="Arial" w:hAnsi="Arial"/>
                <w:sz w:val="14"/>
                <w:szCs w:val="14"/>
                <w:color w:val="FFFFFF"/>
              </w:rPr>
              <w:t>Recommendation</w:t>
            </w:r>
          </w:p>
        </w:tc>
        <w:tc>
          <w:tcPr>
            <w:tcW w:w="0" w:type="dxa"/>
            <w:vAlign w:val="bottom"/>
          </w:tcPr>
          <w:p>
            <w:pPr>
              <w:spacing w:after="0"/>
              <w:rPr>
                <w:sz w:val="1"/>
                <w:szCs w:val="1"/>
                <w:color w:val="auto"/>
              </w:rPr>
            </w:pPr>
          </w:p>
        </w:tc>
      </w:tr>
      <w:tr>
        <w:trPr>
          <w:trHeight w:val="185"/>
        </w:trPr>
        <w:tc>
          <w:tcPr>
            <w:tcW w:w="400" w:type="dxa"/>
            <w:vAlign w:val="bottom"/>
            <w:tcBorders>
              <w:left w:val="single" w:sz="8" w:color="595959"/>
            </w:tcBorders>
          </w:tcPr>
          <w:p>
            <w:pPr>
              <w:ind w:left="160"/>
              <w:spacing w:after="0"/>
              <w:rPr>
                <w:sz w:val="20"/>
                <w:szCs w:val="20"/>
                <w:color w:val="auto"/>
              </w:rPr>
            </w:pPr>
            <w:r>
              <w:rPr>
                <w:rFonts w:ascii="Arial" w:cs="Arial" w:eastAsia="Arial" w:hAnsi="Arial"/>
                <w:sz w:val="14"/>
                <w:szCs w:val="14"/>
                <w:color w:val="auto"/>
              </w:rPr>
              <w:t xml:space="preserve">1 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Financial</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Receipt of our 2025 audited financial statements.</w:t>
            </w:r>
          </w:p>
        </w:tc>
        <w:tc>
          <w:tcPr>
            <w:tcW w:w="176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1"/>
        </w:trPr>
        <w:tc>
          <w:tcPr>
            <w:tcW w:w="400" w:type="dxa"/>
            <w:vAlign w:val="bottom"/>
            <w:tcBorders>
              <w:left w:val="single" w:sz="8" w:color="595959"/>
            </w:tcBorders>
          </w:tcPr>
          <w:p>
            <w:pPr>
              <w:spacing w:after="0"/>
              <w:rPr>
                <w:sz w:val="17"/>
                <w:szCs w:val="17"/>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statements</w:t>
            </w:r>
          </w:p>
        </w:tc>
        <w:tc>
          <w:tcPr>
            <w:tcW w:w="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Our 2025 annual consolidated financial statements are included in our 2025 annual report, which is available in</w:t>
            </w:r>
          </w:p>
        </w:tc>
        <w:tc>
          <w:tcPr>
            <w:tcW w:w="176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595959"/>
            </w:tcBorders>
          </w:tcPr>
          <w:p>
            <w:pPr>
              <w:spacing w:after="0"/>
              <w:rPr>
                <w:sz w:val="16"/>
                <w:szCs w:val="16"/>
                <w:color w:val="auto"/>
              </w:rPr>
            </w:pPr>
          </w:p>
        </w:tc>
        <w:tc>
          <w:tcPr>
            <w:tcW w:w="1240" w:type="dxa"/>
            <w:vAlign w:val="bottom"/>
            <w:tcBorders>
              <w:right w:val="single" w:sz="8" w:color="595959"/>
            </w:tcBorders>
          </w:tcPr>
          <w:p>
            <w:pPr>
              <w:spacing w:after="0"/>
              <w:rPr>
                <w:sz w:val="16"/>
                <w:szCs w:val="16"/>
                <w:color w:val="auto"/>
              </w:rPr>
            </w:pPr>
          </w:p>
        </w:tc>
        <w:tc>
          <w:tcPr>
            <w:tcW w:w="260" w:type="dxa"/>
            <w:vAlign w:val="bottom"/>
          </w:tcPr>
          <w:p>
            <w:pPr>
              <w:spacing w:after="0"/>
              <w:rPr>
                <w:sz w:val="16"/>
                <w:szCs w:val="16"/>
                <w:color w:val="auto"/>
              </w:rPr>
            </w:pP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 xml:space="preserve">the “Investor Relations” section of our website, </w:t>
            </w:r>
            <w:r>
              <w:rPr>
                <w:rFonts w:ascii="Arial" w:cs="Arial" w:eastAsia="Arial" w:hAnsi="Arial"/>
                <w:sz w:val="14"/>
                <w:szCs w:val="14"/>
                <w:color w:val="B94831"/>
              </w:rPr>
              <w:t>www.thomsonreuters.com</w:t>
            </w:r>
            <w:r>
              <w:rPr>
                <w:rFonts w:ascii="Arial" w:cs="Arial" w:eastAsia="Arial" w:hAnsi="Arial"/>
                <w:sz w:val="14"/>
                <w:szCs w:val="14"/>
                <w:color w:val="auto"/>
              </w:rPr>
              <w:t>.</w:t>
            </w:r>
          </w:p>
        </w:tc>
        <w:tc>
          <w:tcPr>
            <w:tcW w:w="1760" w:type="dxa"/>
            <w:vAlign w:val="bottom"/>
            <w:tcBorders>
              <w:right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tcBorders>
              <w:left w:val="single" w:sz="8" w:color="595959"/>
            </w:tcBorders>
          </w:tcPr>
          <w:p>
            <w:pPr>
              <w:spacing w:after="0"/>
              <w:rPr>
                <w:sz w:val="17"/>
                <w:szCs w:val="17"/>
                <w:color w:val="auto"/>
              </w:rPr>
            </w:pPr>
          </w:p>
        </w:tc>
        <w:tc>
          <w:tcPr>
            <w:tcW w:w="1240" w:type="dxa"/>
            <w:vAlign w:val="bottom"/>
            <w:tcBorders>
              <w:right w:val="single" w:sz="8" w:color="595959"/>
            </w:tcBorders>
          </w:tcPr>
          <w:p>
            <w:pPr>
              <w:spacing w:after="0"/>
              <w:rPr>
                <w:sz w:val="17"/>
                <w:szCs w:val="17"/>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Shareholders who requested a copy of the 2025 annual report will receive it by mail or e-mail.</w:t>
            </w:r>
          </w:p>
        </w:tc>
        <w:tc>
          <w:tcPr>
            <w:tcW w:w="176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0" w:type="dxa"/>
            <w:vAlign w:val="bottom"/>
            <w:tcBorders>
              <w:left w:val="single" w:sz="8" w:color="595959"/>
            </w:tcBorders>
          </w:tcPr>
          <w:p>
            <w:pPr>
              <w:spacing w:after="0"/>
              <w:rPr>
                <w:sz w:val="14"/>
                <w:szCs w:val="14"/>
                <w:color w:val="auto"/>
              </w:rPr>
            </w:pPr>
          </w:p>
        </w:tc>
        <w:tc>
          <w:tcPr>
            <w:tcW w:w="1240" w:type="dxa"/>
            <w:vAlign w:val="bottom"/>
            <w:tcBorders>
              <w:right w:val="single" w:sz="8" w:color="595959"/>
            </w:tcBorders>
          </w:tcPr>
          <w:p>
            <w:pPr>
              <w:spacing w:after="0"/>
              <w:rPr>
                <w:sz w:val="14"/>
                <w:szCs w:val="1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Representatives from Thomson Reuters and our independent auditor, PricewaterhouseCoopers LLP, will be</w:t>
            </w:r>
          </w:p>
        </w:tc>
        <w:tc>
          <w:tcPr>
            <w:tcW w:w="1760" w:type="dxa"/>
            <w:vAlign w:val="bottom"/>
            <w:tcBorders>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 w:type="dxa"/>
            <w:vAlign w:val="bottom"/>
            <w:tcBorders>
              <w:left w:val="single" w:sz="8" w:color="595959"/>
              <w:bottom w:val="single" w:sz="8" w:color="auto"/>
            </w:tcBorders>
          </w:tcPr>
          <w:p>
            <w:pPr>
              <w:spacing w:after="0"/>
              <w:rPr>
                <w:sz w:val="14"/>
                <w:szCs w:val="14"/>
                <w:color w:val="auto"/>
              </w:rPr>
            </w:pPr>
          </w:p>
        </w:tc>
        <w:tc>
          <w:tcPr>
            <w:tcW w:w="1240" w:type="dxa"/>
            <w:vAlign w:val="bottom"/>
            <w:tcBorders>
              <w:bottom w:val="single" w:sz="8" w:color="auto"/>
              <w:right w:val="single" w:sz="8" w:color="59595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80" w:type="dxa"/>
            <w:vAlign w:val="bottom"/>
            <w:tcBorders>
              <w:bottom w:val="single" w:sz="8" w:color="auto"/>
              <w:right w:val="single" w:sz="8" w:color="595959"/>
            </w:tcBorders>
          </w:tcPr>
          <w:p>
            <w:pPr>
              <w:ind w:left="100"/>
              <w:spacing w:after="0"/>
              <w:rPr>
                <w:sz w:val="20"/>
                <w:szCs w:val="20"/>
                <w:color w:val="auto"/>
              </w:rPr>
            </w:pPr>
            <w:r>
              <w:rPr>
                <w:rFonts w:ascii="Arial" w:cs="Arial" w:eastAsia="Arial" w:hAnsi="Arial"/>
                <w:sz w:val="14"/>
                <w:szCs w:val="14"/>
                <w:color w:val="auto"/>
              </w:rPr>
              <w:t>available to discuss any questions about our financial statements at the meeting.</w:t>
            </w:r>
          </w:p>
        </w:tc>
        <w:tc>
          <w:tcPr>
            <w:tcW w:w="1760" w:type="dxa"/>
            <w:vAlign w:val="bottom"/>
            <w:tcBorders>
              <w:bottom w:val="single" w:sz="8" w:color="auto"/>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0" w:type="dxa"/>
            <w:vAlign w:val="bottom"/>
            <w:tcBorders>
              <w:left w:val="single" w:sz="8" w:color="595959"/>
            </w:tcBorders>
          </w:tcPr>
          <w:p>
            <w:pPr>
              <w:ind w:left="160"/>
              <w:spacing w:after="0"/>
              <w:rPr>
                <w:sz w:val="20"/>
                <w:szCs w:val="20"/>
                <w:color w:val="auto"/>
              </w:rPr>
            </w:pPr>
            <w:r>
              <w:rPr>
                <w:rFonts w:ascii="Arial" w:cs="Arial" w:eastAsia="Arial" w:hAnsi="Arial"/>
                <w:sz w:val="14"/>
                <w:szCs w:val="14"/>
                <w:color w:val="auto"/>
              </w:rPr>
              <w:t xml:space="preserve">2 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Election of</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At the meeting, 14 individuals are proposed to be elected to our Board of Directors. 12 of the 14 director nominees</w:t>
            </w:r>
          </w:p>
        </w:tc>
        <w:tc>
          <w:tcPr>
            <w:tcW w:w="176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 EACH DIRECTOR</w:t>
            </w:r>
          </w:p>
        </w:tc>
        <w:tc>
          <w:tcPr>
            <w:tcW w:w="0" w:type="dxa"/>
            <w:vAlign w:val="bottom"/>
          </w:tcPr>
          <w:p>
            <w:pPr>
              <w:spacing w:after="0"/>
              <w:rPr>
                <w:sz w:val="1"/>
                <w:szCs w:val="1"/>
                <w:color w:val="auto"/>
              </w:rPr>
            </w:pPr>
          </w:p>
        </w:tc>
      </w:tr>
      <w:tr>
        <w:trPr>
          <w:trHeight w:val="189"/>
        </w:trPr>
        <w:tc>
          <w:tcPr>
            <w:tcW w:w="400" w:type="dxa"/>
            <w:vAlign w:val="bottom"/>
            <w:tcBorders>
              <w:left w:val="single" w:sz="8" w:color="595959"/>
            </w:tcBorders>
          </w:tcPr>
          <w:p>
            <w:pPr>
              <w:spacing w:after="0"/>
              <w:rPr>
                <w:sz w:val="16"/>
                <w:szCs w:val="16"/>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Directors</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are currently directors of our company and two individuals are new director nominees.</w:t>
            </w:r>
          </w:p>
        </w:tc>
        <w:tc>
          <w:tcPr>
            <w:tcW w:w="176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NOMINEE</w:t>
            </w:r>
          </w:p>
        </w:tc>
        <w:tc>
          <w:tcPr>
            <w:tcW w:w="0" w:type="dxa"/>
            <w:vAlign w:val="bottom"/>
          </w:tcPr>
          <w:p>
            <w:pPr>
              <w:spacing w:after="0"/>
              <w:rPr>
                <w:sz w:val="1"/>
                <w:szCs w:val="1"/>
                <w:color w:val="auto"/>
              </w:rPr>
            </w:pPr>
          </w:p>
        </w:tc>
      </w:tr>
      <w:tr>
        <w:trPr>
          <w:trHeight w:val="172"/>
        </w:trPr>
        <w:tc>
          <w:tcPr>
            <w:tcW w:w="400" w:type="dxa"/>
            <w:vAlign w:val="bottom"/>
            <w:tcBorders>
              <w:left w:val="single" w:sz="8" w:color="595959"/>
            </w:tcBorders>
          </w:tcPr>
          <w:p>
            <w:pPr>
              <w:spacing w:after="0"/>
              <w:rPr>
                <w:sz w:val="14"/>
                <w:szCs w:val="14"/>
                <w:color w:val="auto"/>
              </w:rPr>
            </w:pPr>
          </w:p>
        </w:tc>
        <w:tc>
          <w:tcPr>
            <w:tcW w:w="1240" w:type="dxa"/>
            <w:vAlign w:val="bottom"/>
            <w:tcBorders>
              <w:right w:val="single" w:sz="8" w:color="595959"/>
            </w:tcBorders>
          </w:tcPr>
          <w:p>
            <w:pPr>
              <w:spacing w:after="0"/>
              <w:rPr>
                <w:sz w:val="14"/>
                <w:szCs w:val="1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A majority of our director nominees are independent and five of our director nominees are affiliated with our</w:t>
            </w:r>
          </w:p>
        </w:tc>
        <w:tc>
          <w:tcPr>
            <w:tcW w:w="1760" w:type="dxa"/>
            <w:vAlign w:val="bottom"/>
            <w:tcBorders>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595959"/>
            </w:tcBorders>
          </w:tcPr>
          <w:p>
            <w:pPr>
              <w:spacing w:after="0"/>
              <w:rPr>
                <w:sz w:val="16"/>
                <w:szCs w:val="16"/>
                <w:color w:val="auto"/>
              </w:rPr>
            </w:pPr>
          </w:p>
        </w:tc>
        <w:tc>
          <w:tcPr>
            <w:tcW w:w="1240" w:type="dxa"/>
            <w:vAlign w:val="bottom"/>
            <w:tcBorders>
              <w:right w:val="single" w:sz="8" w:color="595959"/>
            </w:tcBorders>
          </w:tcPr>
          <w:p>
            <w:pPr>
              <w:spacing w:after="0"/>
              <w:rPr>
                <w:sz w:val="16"/>
                <w:szCs w:val="16"/>
                <w:color w:val="auto"/>
              </w:rPr>
            </w:pPr>
          </w:p>
        </w:tc>
        <w:tc>
          <w:tcPr>
            <w:tcW w:w="260" w:type="dxa"/>
            <w:vAlign w:val="bottom"/>
          </w:tcPr>
          <w:p>
            <w:pPr>
              <w:spacing w:after="0"/>
              <w:rPr>
                <w:sz w:val="16"/>
                <w:szCs w:val="16"/>
                <w:color w:val="auto"/>
              </w:rPr>
            </w:pP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principal shareholder, Woodbridge. Only one director (our CEO) is a member of management.</w:t>
            </w:r>
          </w:p>
        </w:tc>
        <w:tc>
          <w:tcPr>
            <w:tcW w:w="1760" w:type="dxa"/>
            <w:vAlign w:val="bottom"/>
            <w:tcBorders>
              <w:right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 w:type="dxa"/>
            <w:vAlign w:val="bottom"/>
            <w:tcBorders>
              <w:left w:val="single" w:sz="8" w:color="595959"/>
            </w:tcBorders>
          </w:tcPr>
          <w:p>
            <w:pPr>
              <w:spacing w:after="0"/>
              <w:rPr>
                <w:sz w:val="17"/>
                <w:szCs w:val="17"/>
                <w:color w:val="auto"/>
              </w:rPr>
            </w:pPr>
          </w:p>
        </w:tc>
        <w:tc>
          <w:tcPr>
            <w:tcW w:w="1240" w:type="dxa"/>
            <w:vAlign w:val="bottom"/>
            <w:tcBorders>
              <w:right w:val="single" w:sz="8" w:color="595959"/>
            </w:tcBorders>
          </w:tcPr>
          <w:p>
            <w:pPr>
              <w:spacing w:after="0"/>
              <w:rPr>
                <w:sz w:val="17"/>
                <w:szCs w:val="17"/>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The roles and responsibilities of the Chairman and the CEO are separate.</w:t>
            </w:r>
          </w:p>
        </w:tc>
        <w:tc>
          <w:tcPr>
            <w:tcW w:w="176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0" w:type="dxa"/>
            <w:vAlign w:val="bottom"/>
            <w:tcBorders>
              <w:left w:val="single" w:sz="8" w:color="595959"/>
            </w:tcBorders>
          </w:tcPr>
          <w:p>
            <w:pPr>
              <w:spacing w:after="0"/>
              <w:rPr>
                <w:sz w:val="17"/>
                <w:szCs w:val="17"/>
                <w:color w:val="auto"/>
              </w:rPr>
            </w:pPr>
          </w:p>
        </w:tc>
        <w:tc>
          <w:tcPr>
            <w:tcW w:w="1240" w:type="dxa"/>
            <w:vAlign w:val="bottom"/>
            <w:tcBorders>
              <w:right w:val="single" w:sz="8" w:color="595959"/>
            </w:tcBorders>
          </w:tcPr>
          <w:p>
            <w:pPr>
              <w:spacing w:after="0"/>
              <w:rPr>
                <w:sz w:val="17"/>
                <w:szCs w:val="17"/>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280" w:type="dxa"/>
            <w:vAlign w:val="bottom"/>
            <w:tcBorders>
              <w:right w:val="single" w:sz="8" w:color="595959"/>
            </w:tcBorders>
          </w:tcPr>
          <w:p>
            <w:pPr>
              <w:ind w:left="100"/>
              <w:spacing w:after="0"/>
              <w:rPr>
                <w:sz w:val="20"/>
                <w:szCs w:val="20"/>
                <w:color w:val="auto"/>
              </w:rPr>
            </w:pPr>
            <w:r>
              <w:rPr>
                <w:rFonts w:ascii="Arial" w:cs="Arial" w:eastAsia="Arial" w:hAnsi="Arial"/>
                <w:sz w:val="14"/>
                <w:szCs w:val="14"/>
                <w:color w:val="auto"/>
              </w:rPr>
              <w:t>Shareholders vote annually for individual directors.</w:t>
            </w:r>
          </w:p>
        </w:tc>
        <w:tc>
          <w:tcPr>
            <w:tcW w:w="1760" w:type="dxa"/>
            <w:vAlign w:val="bottom"/>
            <w:tcBorders>
              <w:right w:val="single" w:sz="8" w:color="595959"/>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595959"/>
              <w:bottom w:val="single" w:sz="8" w:color="auto"/>
            </w:tcBorders>
          </w:tcPr>
          <w:p>
            <w:pPr>
              <w:spacing w:after="0"/>
              <w:rPr>
                <w:sz w:val="20"/>
                <w:szCs w:val="20"/>
                <w:color w:val="auto"/>
              </w:rPr>
            </w:pPr>
          </w:p>
        </w:tc>
        <w:tc>
          <w:tcPr>
            <w:tcW w:w="1240" w:type="dxa"/>
            <w:vAlign w:val="bottom"/>
            <w:tcBorders>
              <w:bottom w:val="single" w:sz="8" w:color="auto"/>
              <w:right w:val="single" w:sz="8" w:color="595959"/>
            </w:tcBorders>
          </w:tcPr>
          <w:p>
            <w:pPr>
              <w:spacing w:after="0"/>
              <w:rPr>
                <w:sz w:val="20"/>
                <w:szCs w:val="20"/>
                <w:color w:val="auto"/>
              </w:rPr>
            </w:pPr>
          </w:p>
        </w:tc>
        <w:tc>
          <w:tcPr>
            <w:tcW w:w="7540" w:type="dxa"/>
            <w:vAlign w:val="bottom"/>
            <w:tcBorders>
              <w:bottom w:val="single" w:sz="8" w:color="auto"/>
              <w:right w:val="single" w:sz="8" w:color="595959"/>
            </w:tcBorders>
            <w:gridSpan w:val="2"/>
          </w:tcPr>
          <w:p>
            <w:pPr>
              <w:ind w:left="100"/>
              <w:spacing w:after="0"/>
              <w:rPr>
                <w:sz w:val="20"/>
                <w:szCs w:val="20"/>
                <w:color w:val="auto"/>
              </w:rPr>
            </w:pPr>
            <w:r>
              <w:rPr>
                <w:rFonts w:ascii="Arial" w:cs="Arial" w:eastAsia="Arial" w:hAnsi="Arial"/>
                <w:sz w:val="14"/>
                <w:szCs w:val="14"/>
                <w:color w:val="auto"/>
              </w:rPr>
              <w:t>Additional information may be found in the “About Our Directors” section of our management proxy circular.</w:t>
            </w:r>
          </w:p>
        </w:tc>
        <w:tc>
          <w:tcPr>
            <w:tcW w:w="1760" w:type="dxa"/>
            <w:vAlign w:val="bottom"/>
            <w:tcBorders>
              <w:bottom w:val="single" w:sz="8" w:color="auto"/>
              <w:right w:val="single" w:sz="8" w:color="595959"/>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0" w:type="dxa"/>
            <w:vAlign w:val="bottom"/>
            <w:tcBorders>
              <w:left w:val="single" w:sz="8" w:color="595959"/>
            </w:tcBorders>
          </w:tcPr>
          <w:p>
            <w:pPr>
              <w:ind w:left="160"/>
              <w:spacing w:after="0"/>
              <w:rPr>
                <w:sz w:val="20"/>
                <w:szCs w:val="20"/>
                <w:color w:val="auto"/>
              </w:rPr>
            </w:pPr>
            <w:r>
              <w:rPr>
                <w:rFonts w:ascii="Arial" w:cs="Arial" w:eastAsia="Arial" w:hAnsi="Arial"/>
                <w:sz w:val="14"/>
                <w:szCs w:val="14"/>
                <w:color w:val="auto"/>
              </w:rPr>
              <w:t xml:space="preserve">3 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Appointment of</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We are proposing to re-appoint PricewaterhouseCoopers LLP as our independent auditor for another year until the</w:t>
            </w:r>
          </w:p>
        </w:tc>
        <w:tc>
          <w:tcPr>
            <w:tcW w:w="176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89"/>
        </w:trPr>
        <w:tc>
          <w:tcPr>
            <w:tcW w:w="400" w:type="dxa"/>
            <w:vAlign w:val="bottom"/>
            <w:tcBorders>
              <w:left w:val="single" w:sz="8" w:color="595959"/>
            </w:tcBorders>
          </w:tcPr>
          <w:p>
            <w:pPr>
              <w:spacing w:after="0"/>
              <w:rPr>
                <w:sz w:val="16"/>
                <w:szCs w:val="16"/>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Auditor</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2027 annual meeting of shareholders.</w:t>
            </w:r>
          </w:p>
        </w:tc>
        <w:tc>
          <w:tcPr>
            <w:tcW w:w="1760" w:type="dxa"/>
            <w:vAlign w:val="bottom"/>
            <w:tcBorders>
              <w:right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 w:type="dxa"/>
            <w:vAlign w:val="bottom"/>
            <w:tcBorders>
              <w:left w:val="single" w:sz="8" w:color="595959"/>
            </w:tcBorders>
          </w:tcPr>
          <w:p>
            <w:pPr>
              <w:spacing w:after="0"/>
              <w:rPr>
                <w:sz w:val="18"/>
                <w:szCs w:val="18"/>
                <w:color w:val="auto"/>
              </w:rPr>
            </w:pPr>
          </w:p>
        </w:tc>
        <w:tc>
          <w:tcPr>
            <w:tcW w:w="1240" w:type="dxa"/>
            <w:vAlign w:val="bottom"/>
            <w:tcBorders>
              <w:right w:val="single" w:sz="8" w:color="595959"/>
            </w:tcBorders>
          </w:tcPr>
          <w:p>
            <w:pPr>
              <w:spacing w:after="0"/>
              <w:rPr>
                <w:sz w:val="18"/>
                <w:szCs w:val="18"/>
                <w:color w:val="auto"/>
              </w:rPr>
            </w:pP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Additional information may be found in the “About Our Independent Auditor” section of our management proxy</w:t>
            </w:r>
          </w:p>
        </w:tc>
        <w:tc>
          <w:tcPr>
            <w:tcW w:w="1760" w:type="dxa"/>
            <w:vAlign w:val="bottom"/>
            <w:tcBorders>
              <w:right w:val="single" w:sz="8" w:color="595959"/>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595959"/>
              <w:bottom w:val="single" w:sz="8" w:color="auto"/>
            </w:tcBorders>
          </w:tcPr>
          <w:p>
            <w:pPr>
              <w:spacing w:after="0"/>
              <w:rPr>
                <w:sz w:val="15"/>
                <w:szCs w:val="15"/>
                <w:color w:val="auto"/>
              </w:rPr>
            </w:pPr>
          </w:p>
        </w:tc>
        <w:tc>
          <w:tcPr>
            <w:tcW w:w="1240" w:type="dxa"/>
            <w:vAlign w:val="bottom"/>
            <w:tcBorders>
              <w:bottom w:val="single" w:sz="8" w:color="auto"/>
              <w:right w:val="single" w:sz="8" w:color="595959"/>
            </w:tcBorders>
          </w:tcPr>
          <w:p>
            <w:pPr>
              <w:spacing w:after="0"/>
              <w:rPr>
                <w:sz w:val="15"/>
                <w:szCs w:val="15"/>
                <w:color w:val="auto"/>
              </w:rPr>
            </w:pPr>
          </w:p>
        </w:tc>
        <w:tc>
          <w:tcPr>
            <w:tcW w:w="7540" w:type="dxa"/>
            <w:vAlign w:val="bottom"/>
            <w:tcBorders>
              <w:bottom w:val="single" w:sz="8" w:color="auto"/>
              <w:right w:val="single" w:sz="8" w:color="595959"/>
            </w:tcBorders>
            <w:gridSpan w:val="2"/>
          </w:tcPr>
          <w:p>
            <w:pPr>
              <w:ind w:left="100"/>
              <w:spacing w:after="0"/>
              <w:rPr>
                <w:sz w:val="20"/>
                <w:szCs w:val="20"/>
                <w:color w:val="auto"/>
              </w:rPr>
            </w:pPr>
            <w:r>
              <w:rPr>
                <w:rFonts w:ascii="Arial" w:cs="Arial" w:eastAsia="Arial" w:hAnsi="Arial"/>
                <w:sz w:val="14"/>
                <w:szCs w:val="14"/>
                <w:color w:val="auto"/>
              </w:rPr>
              <w:t>circular.</w:t>
            </w:r>
          </w:p>
        </w:tc>
        <w:tc>
          <w:tcPr>
            <w:tcW w:w="1760" w:type="dxa"/>
            <w:vAlign w:val="bottom"/>
            <w:tcBorders>
              <w:bottom w:val="single" w:sz="8" w:color="auto"/>
              <w:right w:val="single" w:sz="8" w:color="595959"/>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 w:type="dxa"/>
            <w:vAlign w:val="bottom"/>
            <w:tcBorders>
              <w:left w:val="single" w:sz="8" w:color="595959"/>
            </w:tcBorders>
          </w:tcPr>
          <w:p>
            <w:pPr>
              <w:ind w:left="160"/>
              <w:spacing w:after="0"/>
              <w:rPr>
                <w:sz w:val="20"/>
                <w:szCs w:val="20"/>
                <w:color w:val="auto"/>
              </w:rPr>
            </w:pPr>
            <w:r>
              <w:rPr>
                <w:rFonts w:ascii="Arial" w:cs="Arial" w:eastAsia="Arial" w:hAnsi="Arial"/>
                <w:sz w:val="14"/>
                <w:szCs w:val="14"/>
                <w:color w:val="auto"/>
              </w:rPr>
              <w:t xml:space="preserve">4 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Advisory</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We will have a non-binding advisory resolution on executive compensation, which is sometimes called “say on pay”.</w:t>
            </w:r>
          </w:p>
        </w:tc>
        <w:tc>
          <w:tcPr>
            <w:tcW w:w="176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60"/>
        </w:trPr>
        <w:tc>
          <w:tcPr>
            <w:tcW w:w="400" w:type="dxa"/>
            <w:vAlign w:val="bottom"/>
            <w:tcBorders>
              <w:left w:val="single" w:sz="8" w:color="595959"/>
            </w:tcBorders>
          </w:tcPr>
          <w:p>
            <w:pPr>
              <w:spacing w:after="0"/>
              <w:rPr>
                <w:sz w:val="13"/>
                <w:szCs w:val="13"/>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resolution on</w:t>
            </w:r>
          </w:p>
        </w:tc>
        <w:tc>
          <w:tcPr>
            <w:tcW w:w="7540" w:type="dxa"/>
            <w:vAlign w:val="bottom"/>
            <w:tcBorders>
              <w:right w:val="single" w:sz="8" w:color="595959"/>
            </w:tcBorders>
            <w:gridSpan w:val="2"/>
            <w:vMerge w:val="restart"/>
          </w:tcPr>
          <w:p>
            <w:pPr>
              <w:ind w:left="100"/>
              <w:spacing w:after="0"/>
              <w:rPr>
                <w:sz w:val="20"/>
                <w:szCs w:val="20"/>
                <w:color w:val="auto"/>
              </w:rPr>
            </w:pPr>
            <w:r>
              <w:rPr>
                <w:rFonts w:ascii="Arial" w:cs="Arial" w:eastAsia="Arial" w:hAnsi="Arial"/>
                <w:sz w:val="14"/>
                <w:szCs w:val="14"/>
                <w:color w:val="auto"/>
              </w:rPr>
              <w:t>Additional information may be found in the “Advisory Resolution on Executive Compensation (Say on Pay)” section of</w:t>
            </w:r>
          </w:p>
        </w:tc>
        <w:tc>
          <w:tcPr>
            <w:tcW w:w="1760" w:type="dxa"/>
            <w:vAlign w:val="bottom"/>
            <w:tcBorders>
              <w:right w:val="single" w:sz="8" w:color="595959"/>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595959"/>
            </w:tcBorders>
          </w:tcPr>
          <w:p>
            <w:pPr>
              <w:spacing w:after="0"/>
              <w:rPr>
                <w:sz w:val="6"/>
                <w:szCs w:val="6"/>
                <w:color w:val="auto"/>
              </w:rPr>
            </w:pPr>
          </w:p>
        </w:tc>
        <w:tc>
          <w:tcPr>
            <w:tcW w:w="1240" w:type="dxa"/>
            <w:vAlign w:val="bottom"/>
            <w:tcBorders>
              <w:right w:val="single" w:sz="8" w:color="595959"/>
            </w:tcBorders>
            <w:vMerge w:val="restart"/>
          </w:tcPr>
          <w:p>
            <w:pPr>
              <w:ind w:left="40"/>
              <w:spacing w:after="0"/>
              <w:rPr>
                <w:sz w:val="20"/>
                <w:szCs w:val="20"/>
                <w:color w:val="auto"/>
              </w:rPr>
            </w:pPr>
            <w:r>
              <w:rPr>
                <w:rFonts w:ascii="Arial" w:cs="Arial" w:eastAsia="Arial" w:hAnsi="Arial"/>
                <w:sz w:val="14"/>
                <w:szCs w:val="14"/>
                <w:color w:val="auto"/>
              </w:rPr>
              <w:t>executive</w:t>
            </w:r>
          </w:p>
        </w:tc>
        <w:tc>
          <w:tcPr>
            <w:tcW w:w="7540" w:type="dxa"/>
            <w:vAlign w:val="bottom"/>
            <w:tcBorders>
              <w:right w:val="single" w:sz="8" w:color="595959"/>
            </w:tcBorders>
            <w:gridSpan w:val="2"/>
            <w:vMerge w:val="continue"/>
          </w:tcPr>
          <w:p>
            <w:pPr>
              <w:spacing w:after="0"/>
              <w:rPr>
                <w:sz w:val="6"/>
                <w:szCs w:val="6"/>
                <w:color w:val="auto"/>
              </w:rPr>
            </w:pPr>
          </w:p>
        </w:tc>
        <w:tc>
          <w:tcPr>
            <w:tcW w:w="1760" w:type="dxa"/>
            <w:vAlign w:val="bottom"/>
            <w:tcBorders>
              <w:right w:val="single" w:sz="8" w:color="595959"/>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595959"/>
            </w:tcBorders>
          </w:tcPr>
          <w:p>
            <w:pPr>
              <w:spacing w:after="0"/>
              <w:rPr>
                <w:sz w:val="6"/>
                <w:szCs w:val="6"/>
                <w:color w:val="auto"/>
              </w:rPr>
            </w:pPr>
          </w:p>
        </w:tc>
        <w:tc>
          <w:tcPr>
            <w:tcW w:w="1240" w:type="dxa"/>
            <w:vAlign w:val="bottom"/>
            <w:tcBorders>
              <w:right w:val="single" w:sz="8" w:color="595959"/>
            </w:tcBorders>
            <w:vMerge w:val="continue"/>
          </w:tcPr>
          <w:p>
            <w:pPr>
              <w:spacing w:after="0"/>
              <w:rPr>
                <w:sz w:val="6"/>
                <w:szCs w:val="6"/>
                <w:color w:val="auto"/>
              </w:rPr>
            </w:pPr>
          </w:p>
        </w:tc>
        <w:tc>
          <w:tcPr>
            <w:tcW w:w="7540" w:type="dxa"/>
            <w:vAlign w:val="bottom"/>
            <w:tcBorders>
              <w:right w:val="single" w:sz="8" w:color="595959"/>
            </w:tcBorders>
            <w:gridSpan w:val="2"/>
            <w:vMerge w:val="restart"/>
          </w:tcPr>
          <w:p>
            <w:pPr>
              <w:ind w:left="100"/>
              <w:spacing w:after="0"/>
              <w:rPr>
                <w:sz w:val="20"/>
                <w:szCs w:val="20"/>
                <w:color w:val="auto"/>
              </w:rPr>
            </w:pPr>
            <w:r>
              <w:rPr>
                <w:rFonts w:ascii="Arial" w:cs="Arial" w:eastAsia="Arial" w:hAnsi="Arial"/>
                <w:sz w:val="14"/>
                <w:szCs w:val="14"/>
                <w:color w:val="auto"/>
              </w:rPr>
              <w:t>our management proxy circular.</w:t>
            </w:r>
          </w:p>
        </w:tc>
        <w:tc>
          <w:tcPr>
            <w:tcW w:w="1760" w:type="dxa"/>
            <w:vAlign w:val="bottom"/>
            <w:tcBorders>
              <w:right w:val="single" w:sz="8" w:color="595959"/>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00" w:type="dxa"/>
            <w:vAlign w:val="bottom"/>
            <w:tcBorders>
              <w:left w:val="single" w:sz="8" w:color="595959"/>
            </w:tcBorders>
          </w:tcPr>
          <w:p>
            <w:pPr>
              <w:spacing w:after="0"/>
              <w:rPr>
                <w:sz w:val="9"/>
                <w:szCs w:val="9"/>
                <w:color w:val="auto"/>
              </w:rPr>
            </w:pPr>
          </w:p>
        </w:tc>
        <w:tc>
          <w:tcPr>
            <w:tcW w:w="1240" w:type="dxa"/>
            <w:vAlign w:val="bottom"/>
            <w:tcBorders>
              <w:right w:val="single" w:sz="8" w:color="595959"/>
            </w:tcBorders>
            <w:vMerge w:val="restart"/>
          </w:tcPr>
          <w:p>
            <w:pPr>
              <w:ind w:left="40"/>
              <w:spacing w:after="0"/>
              <w:rPr>
                <w:sz w:val="20"/>
                <w:szCs w:val="20"/>
                <w:color w:val="auto"/>
              </w:rPr>
            </w:pPr>
            <w:r>
              <w:rPr>
                <w:rFonts w:ascii="Arial" w:cs="Arial" w:eastAsia="Arial" w:hAnsi="Arial"/>
                <w:sz w:val="14"/>
                <w:szCs w:val="14"/>
                <w:color w:val="auto"/>
              </w:rPr>
              <w:t>compensation</w:t>
            </w:r>
          </w:p>
        </w:tc>
        <w:tc>
          <w:tcPr>
            <w:tcW w:w="7540" w:type="dxa"/>
            <w:vAlign w:val="bottom"/>
            <w:tcBorders>
              <w:right w:val="single" w:sz="8" w:color="595959"/>
            </w:tcBorders>
            <w:gridSpan w:val="2"/>
            <w:vMerge w:val="continue"/>
          </w:tcPr>
          <w:p>
            <w:pPr>
              <w:spacing w:after="0"/>
              <w:rPr>
                <w:sz w:val="9"/>
                <w:szCs w:val="9"/>
                <w:color w:val="auto"/>
              </w:rPr>
            </w:pPr>
          </w:p>
        </w:tc>
        <w:tc>
          <w:tcPr>
            <w:tcW w:w="1760" w:type="dxa"/>
            <w:vAlign w:val="bottom"/>
            <w:tcBorders>
              <w:right w:val="single" w:sz="8" w:color="595959"/>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0" w:type="dxa"/>
            <w:vAlign w:val="bottom"/>
            <w:tcBorders>
              <w:left w:val="single" w:sz="8" w:color="595959"/>
              <w:bottom w:val="single" w:sz="8" w:color="auto"/>
            </w:tcBorders>
          </w:tcPr>
          <w:p>
            <w:pPr>
              <w:spacing w:after="0"/>
              <w:rPr>
                <w:sz w:val="5"/>
                <w:szCs w:val="5"/>
                <w:color w:val="auto"/>
              </w:rPr>
            </w:pPr>
          </w:p>
        </w:tc>
        <w:tc>
          <w:tcPr>
            <w:tcW w:w="1240" w:type="dxa"/>
            <w:vAlign w:val="bottom"/>
            <w:tcBorders>
              <w:bottom w:val="single" w:sz="8" w:color="auto"/>
              <w:right w:val="single" w:sz="8" w:color="595959"/>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80" w:type="dxa"/>
            <w:vAlign w:val="bottom"/>
            <w:tcBorders>
              <w:bottom w:val="single" w:sz="8" w:color="auto"/>
              <w:right w:val="single" w:sz="8" w:color="595959"/>
            </w:tcBorders>
          </w:tcPr>
          <w:p>
            <w:pPr>
              <w:spacing w:after="0"/>
              <w:rPr>
                <w:sz w:val="5"/>
                <w:szCs w:val="5"/>
                <w:color w:val="auto"/>
              </w:rPr>
            </w:pPr>
          </w:p>
        </w:tc>
        <w:tc>
          <w:tcPr>
            <w:tcW w:w="1760" w:type="dxa"/>
            <w:vAlign w:val="bottom"/>
            <w:tcBorders>
              <w:bottom w:val="single" w:sz="8" w:color="auto"/>
              <w:right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00" w:type="dxa"/>
            <w:vAlign w:val="bottom"/>
            <w:tcBorders>
              <w:left w:val="single" w:sz="8" w:color="595959"/>
            </w:tcBorders>
          </w:tcPr>
          <w:p>
            <w:pPr>
              <w:ind w:left="160"/>
              <w:spacing w:after="0"/>
              <w:rPr>
                <w:sz w:val="20"/>
                <w:szCs w:val="20"/>
                <w:color w:val="auto"/>
              </w:rPr>
            </w:pPr>
            <w:r>
              <w:rPr>
                <w:rFonts w:ascii="Arial" w:cs="Arial" w:eastAsia="Arial" w:hAnsi="Arial"/>
                <w:sz w:val="14"/>
                <w:szCs w:val="14"/>
                <w:color w:val="auto"/>
              </w:rPr>
              <w:t xml:space="preserve">5 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Shareholder</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Consider the shareholder proposal set out in Appendix B of our management proxy circular.</w:t>
            </w:r>
          </w:p>
        </w:tc>
        <w:tc>
          <w:tcPr>
            <w:tcW w:w="176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89"/>
        </w:trPr>
        <w:tc>
          <w:tcPr>
            <w:tcW w:w="400" w:type="dxa"/>
            <w:vAlign w:val="bottom"/>
            <w:tcBorders>
              <w:left w:val="single" w:sz="8" w:color="595959"/>
            </w:tcBorders>
          </w:tcPr>
          <w:p>
            <w:pPr>
              <w:spacing w:after="0"/>
              <w:rPr>
                <w:sz w:val="16"/>
                <w:szCs w:val="16"/>
                <w:color w:val="auto"/>
              </w:rPr>
            </w:pP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resolution</w:t>
            </w:r>
          </w:p>
        </w:tc>
        <w:tc>
          <w:tcPr>
            <w:tcW w:w="7540" w:type="dxa"/>
            <w:vAlign w:val="bottom"/>
            <w:tcBorders>
              <w:right w:val="single" w:sz="8" w:color="595959"/>
            </w:tcBorders>
            <w:gridSpan w:val="2"/>
            <w:vMerge w:val="restart"/>
          </w:tcPr>
          <w:p>
            <w:pPr>
              <w:ind w:left="100"/>
              <w:spacing w:after="0"/>
              <w:rPr>
                <w:sz w:val="20"/>
                <w:szCs w:val="20"/>
                <w:color w:val="auto"/>
              </w:rPr>
            </w:pPr>
            <w:r>
              <w:rPr>
                <w:rFonts w:ascii="Arial" w:cs="Arial" w:eastAsia="Arial" w:hAnsi="Arial"/>
                <w:sz w:val="14"/>
                <w:szCs w:val="14"/>
                <w:color w:val="auto"/>
              </w:rPr>
              <w:t>Additional information may be found in Appendix B of our management proxy circular.</w:t>
            </w:r>
          </w:p>
        </w:tc>
        <w:tc>
          <w:tcPr>
            <w:tcW w:w="1760" w:type="dxa"/>
            <w:vAlign w:val="bottom"/>
            <w:tcBorders>
              <w:right w:val="single" w:sz="8" w:color="595959"/>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0" w:type="dxa"/>
            <w:vAlign w:val="bottom"/>
            <w:tcBorders>
              <w:left w:val="single" w:sz="8" w:color="595959"/>
              <w:bottom w:val="single" w:sz="8" w:color="auto"/>
            </w:tcBorders>
          </w:tcPr>
          <w:p>
            <w:pPr>
              <w:spacing w:after="0"/>
              <w:rPr>
                <w:sz w:val="6"/>
                <w:szCs w:val="6"/>
                <w:color w:val="auto"/>
              </w:rPr>
            </w:pPr>
          </w:p>
        </w:tc>
        <w:tc>
          <w:tcPr>
            <w:tcW w:w="1240" w:type="dxa"/>
            <w:vAlign w:val="bottom"/>
            <w:tcBorders>
              <w:bottom w:val="single" w:sz="8" w:color="auto"/>
              <w:right w:val="single" w:sz="8" w:color="595959"/>
            </w:tcBorders>
          </w:tcPr>
          <w:p>
            <w:pPr>
              <w:spacing w:after="0"/>
              <w:rPr>
                <w:sz w:val="6"/>
                <w:szCs w:val="6"/>
                <w:color w:val="auto"/>
              </w:rPr>
            </w:pPr>
          </w:p>
        </w:tc>
        <w:tc>
          <w:tcPr>
            <w:tcW w:w="7540" w:type="dxa"/>
            <w:vAlign w:val="bottom"/>
            <w:tcBorders>
              <w:bottom w:val="single" w:sz="8" w:color="auto"/>
              <w:right w:val="single" w:sz="8" w:color="595959"/>
            </w:tcBorders>
            <w:gridSpan w:val="2"/>
            <w:vMerge w:val="continue"/>
          </w:tcPr>
          <w:p>
            <w:pPr>
              <w:spacing w:after="0"/>
              <w:rPr>
                <w:sz w:val="6"/>
                <w:szCs w:val="6"/>
                <w:color w:val="auto"/>
              </w:rPr>
            </w:pPr>
          </w:p>
        </w:tc>
        <w:tc>
          <w:tcPr>
            <w:tcW w:w="1760" w:type="dxa"/>
            <w:vAlign w:val="bottom"/>
            <w:tcBorders>
              <w:bottom w:val="single" w:sz="8" w:color="auto"/>
              <w:right w:val="single" w:sz="8" w:color="595959"/>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0" w:type="dxa"/>
            <w:vAlign w:val="bottom"/>
            <w:tcBorders>
              <w:left w:val="single" w:sz="8" w:color="595959"/>
            </w:tcBorders>
          </w:tcPr>
          <w:p>
            <w:pPr>
              <w:ind w:left="160"/>
              <w:spacing w:after="0"/>
              <w:rPr>
                <w:sz w:val="20"/>
                <w:szCs w:val="20"/>
                <w:color w:val="auto"/>
              </w:rPr>
            </w:pPr>
            <w:r>
              <w:rPr>
                <w:rFonts w:ascii="Arial" w:cs="Arial" w:eastAsia="Arial" w:hAnsi="Arial"/>
                <w:sz w:val="14"/>
                <w:szCs w:val="14"/>
                <w:color w:val="auto"/>
              </w:rPr>
              <w:t xml:space="preserve">6   </w:t>
            </w:r>
          </w:p>
        </w:tc>
        <w:tc>
          <w:tcPr>
            <w:tcW w:w="1240" w:type="dxa"/>
            <w:vAlign w:val="bottom"/>
            <w:tcBorders>
              <w:right w:val="single" w:sz="8" w:color="595959"/>
            </w:tcBorders>
          </w:tcPr>
          <w:p>
            <w:pPr>
              <w:ind w:left="40"/>
              <w:spacing w:after="0"/>
              <w:rPr>
                <w:sz w:val="20"/>
                <w:szCs w:val="20"/>
                <w:color w:val="auto"/>
              </w:rPr>
            </w:pPr>
            <w:r>
              <w:rPr>
                <w:rFonts w:ascii="Arial" w:cs="Arial" w:eastAsia="Arial" w:hAnsi="Arial"/>
                <w:sz w:val="14"/>
                <w:szCs w:val="14"/>
                <w:color w:val="auto"/>
              </w:rPr>
              <w:t>Other business</w:t>
            </w:r>
          </w:p>
        </w:tc>
        <w:tc>
          <w:tcPr>
            <w:tcW w:w="7540" w:type="dxa"/>
            <w:vAlign w:val="bottom"/>
            <w:tcBorders>
              <w:right w:val="single" w:sz="8" w:color="595959"/>
            </w:tcBorders>
            <w:gridSpan w:val="2"/>
          </w:tcPr>
          <w:p>
            <w:pPr>
              <w:ind w:left="100"/>
              <w:spacing w:after="0"/>
              <w:rPr>
                <w:sz w:val="20"/>
                <w:szCs w:val="20"/>
                <w:color w:val="auto"/>
              </w:rPr>
            </w:pPr>
            <w:r>
              <w:rPr>
                <w:rFonts w:ascii="Arial" w:cs="Arial" w:eastAsia="Arial" w:hAnsi="Arial"/>
                <w:sz w:val="14"/>
                <w:szCs w:val="14"/>
                <w:color w:val="auto"/>
              </w:rPr>
              <w:t>If any other items of business are properly brought before the meeting (or any adjourned or postponed meeting),</w:t>
            </w:r>
          </w:p>
        </w:tc>
        <w:tc>
          <w:tcPr>
            <w:tcW w:w="1760" w:type="dxa"/>
            <w:vAlign w:val="bottom"/>
            <w:tcBorders>
              <w:right w:val="single" w:sz="8" w:color="595959"/>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0"/>
        </w:trPr>
        <w:tc>
          <w:tcPr>
            <w:tcW w:w="400" w:type="dxa"/>
            <w:vAlign w:val="bottom"/>
            <w:tcBorders>
              <w:left w:val="single" w:sz="8" w:color="595959"/>
              <w:bottom w:val="single" w:sz="8" w:color="auto"/>
            </w:tcBorders>
          </w:tcPr>
          <w:p>
            <w:pPr>
              <w:spacing w:after="0"/>
              <w:rPr>
                <w:sz w:val="14"/>
                <w:szCs w:val="14"/>
                <w:color w:val="auto"/>
              </w:rPr>
            </w:pPr>
          </w:p>
        </w:tc>
        <w:tc>
          <w:tcPr>
            <w:tcW w:w="1240" w:type="dxa"/>
            <w:vAlign w:val="bottom"/>
            <w:tcBorders>
              <w:bottom w:val="single" w:sz="8" w:color="auto"/>
              <w:right w:val="single" w:sz="8" w:color="595959"/>
            </w:tcBorders>
          </w:tcPr>
          <w:p>
            <w:pPr>
              <w:spacing w:after="0"/>
              <w:rPr>
                <w:sz w:val="14"/>
                <w:szCs w:val="14"/>
                <w:color w:val="auto"/>
              </w:rPr>
            </w:pPr>
          </w:p>
        </w:tc>
        <w:tc>
          <w:tcPr>
            <w:tcW w:w="7540" w:type="dxa"/>
            <w:vAlign w:val="bottom"/>
            <w:tcBorders>
              <w:bottom w:val="single" w:sz="8" w:color="auto"/>
              <w:right w:val="single" w:sz="8" w:color="595959"/>
            </w:tcBorders>
            <w:gridSpan w:val="2"/>
          </w:tcPr>
          <w:p>
            <w:pPr>
              <w:ind w:left="100"/>
              <w:spacing w:after="0"/>
              <w:rPr>
                <w:sz w:val="20"/>
                <w:szCs w:val="20"/>
                <w:color w:val="auto"/>
              </w:rPr>
            </w:pPr>
            <w:r>
              <w:rPr>
                <w:rFonts w:ascii="Arial" w:cs="Arial" w:eastAsia="Arial" w:hAnsi="Arial"/>
                <w:sz w:val="14"/>
                <w:szCs w:val="14"/>
                <w:color w:val="auto"/>
              </w:rPr>
              <w:t>shareholders will be asked to vote. We are not aware of any other items of business at this time.</w:t>
            </w:r>
          </w:p>
        </w:tc>
        <w:tc>
          <w:tcPr>
            <w:tcW w:w="1760" w:type="dxa"/>
            <w:vAlign w:val="bottom"/>
            <w:tcBorders>
              <w:bottom w:val="single" w:sz="8" w:color="auto"/>
              <w:right w:val="single" w:sz="8" w:color="595959"/>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 w:type="dxa"/>
            <w:vAlign w:val="bottom"/>
            <w:tcBorders>
              <w:bottom w:val="single" w:sz="8" w:color="7F7F7F"/>
            </w:tcBorders>
          </w:tcPr>
          <w:p>
            <w:pPr>
              <w:spacing w:after="0"/>
              <w:rPr>
                <w:sz w:val="16"/>
                <w:szCs w:val="16"/>
                <w:color w:val="auto"/>
              </w:rPr>
            </w:pPr>
          </w:p>
        </w:tc>
        <w:tc>
          <w:tcPr>
            <w:tcW w:w="1240" w:type="dxa"/>
            <w:vAlign w:val="bottom"/>
            <w:tcBorders>
              <w:bottom w:val="single" w:sz="8" w:color="7F7F7F"/>
            </w:tcBorders>
          </w:tcPr>
          <w:p>
            <w:pPr>
              <w:spacing w:after="0"/>
              <w:rPr>
                <w:sz w:val="16"/>
                <w:szCs w:val="16"/>
                <w:color w:val="auto"/>
              </w:rPr>
            </w:pPr>
          </w:p>
        </w:tc>
        <w:tc>
          <w:tcPr>
            <w:tcW w:w="260" w:type="dxa"/>
            <w:vAlign w:val="bottom"/>
            <w:tcBorders>
              <w:bottom w:val="single" w:sz="8" w:color="7F7F7F"/>
            </w:tcBorders>
          </w:tcPr>
          <w:p>
            <w:pPr>
              <w:spacing w:after="0"/>
              <w:rPr>
                <w:sz w:val="16"/>
                <w:szCs w:val="16"/>
                <w:color w:val="auto"/>
              </w:rPr>
            </w:pPr>
          </w:p>
        </w:tc>
        <w:tc>
          <w:tcPr>
            <w:tcW w:w="7280" w:type="dxa"/>
            <w:vAlign w:val="bottom"/>
            <w:tcBorders>
              <w:bottom w:val="single" w:sz="8" w:color="7F7F7F"/>
            </w:tcBorders>
          </w:tcPr>
          <w:p>
            <w:pPr>
              <w:spacing w:after="0"/>
              <w:rPr>
                <w:sz w:val="16"/>
                <w:szCs w:val="16"/>
                <w:color w:val="auto"/>
              </w:rPr>
            </w:pPr>
          </w:p>
        </w:tc>
        <w:tc>
          <w:tcPr>
            <w:tcW w:w="176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760" w:type="dxa"/>
            <w:vAlign w:val="bottom"/>
          </w:tcPr>
          <w:p>
            <w:pPr>
              <w:ind w:left="1320"/>
              <w:spacing w:after="0"/>
              <w:rPr>
                <w:sz w:val="20"/>
                <w:szCs w:val="20"/>
                <w:color w:val="auto"/>
              </w:rPr>
            </w:pPr>
            <w:r>
              <w:rPr>
                <w:rFonts w:ascii="Arial" w:cs="Arial" w:eastAsia="Arial" w:hAnsi="Arial"/>
                <w:sz w:val="13"/>
                <w:szCs w:val="13"/>
                <w:color w:val="auto"/>
                <w:w w:val="96"/>
              </w:rPr>
              <w:t>Page 1</w:t>
            </w:r>
          </w:p>
        </w:tc>
        <w:tc>
          <w:tcPr>
            <w:tcW w:w="0" w:type="dxa"/>
            <w:vAlign w:val="bottom"/>
          </w:tcPr>
          <w:p>
            <w:pPr>
              <w:spacing w:after="0"/>
              <w:rPr>
                <w:sz w:val="1"/>
                <w:szCs w:val="1"/>
                <w:color w:val="auto"/>
              </w:rPr>
            </w:pPr>
          </w:p>
        </w:tc>
      </w:tr>
    </w:tbl>
    <w:p>
      <w:pPr>
        <w:sectPr>
          <w:pgSz w:w="11900" w:h="16838" w:orient="portrait"/>
          <w:cols w:equalWidth="0" w:num="1">
            <w:col w:w="10940"/>
          </w:cols>
          <w:pgMar w:left="480" w:top="125" w:right="47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B94831"/>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SHAREHOLDERS ARE REMINDED TO VIEW OUR PROXY MATERIALS PRIOR TO VOTING.</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B94831"/>
        </w:rPr>
        <w:t>WEBSITES WHERE PROXY MATERIALS ARE POSTED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You can find the management proxy circular and other proxy materials at the following websites:</w:t>
      </w:r>
    </w:p>
    <w:p>
      <w:pPr>
        <w:spacing w:after="0" w:line="106" w:lineRule="exact"/>
        <w:rPr>
          <w:sz w:val="20"/>
          <w:szCs w:val="20"/>
          <w:color w:val="auto"/>
        </w:rPr>
      </w:pPr>
    </w:p>
    <w:p>
      <w:pPr>
        <w:ind w:left="1980"/>
        <w:spacing w:after="0"/>
        <w:rPr>
          <w:sz w:val="20"/>
          <w:szCs w:val="20"/>
          <w:color w:val="auto"/>
        </w:rPr>
      </w:pPr>
      <w:r>
        <w:rPr>
          <w:rFonts w:ascii="Arial" w:cs="Arial" w:eastAsia="Arial" w:hAnsi="Arial"/>
          <w:sz w:val="18"/>
          <w:szCs w:val="18"/>
          <w:color w:val="B94831"/>
        </w:rPr>
        <w:t>www.thomsonreuters.com/AGM/            www.sedarplus.ca            www.sec.gov</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B94831"/>
        </w:rPr>
        <w:t>REGISTERED AND NON-REGISTERED/BENEFICIAL HOLDERS</w:t>
      </w:r>
    </w:p>
    <w:p>
      <w:pPr>
        <w:spacing w:after="0" w:line="110"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If you’d like to obtain paper copies of the proxy materials, you should first determine whether you are a registered or non-registered/beneficial holder of our common shares. Most of our shareholders are non-registered/beneficial holders.</w:t>
      </w:r>
    </w:p>
    <w:p>
      <w:pPr>
        <w:spacing w:after="0" w:line="67" w:lineRule="exact"/>
        <w:rPr>
          <w:sz w:val="20"/>
          <w:szCs w:val="20"/>
          <w:color w:val="auto"/>
        </w:rPr>
      </w:pPr>
    </w:p>
    <w:p>
      <w:pPr>
        <w:ind w:left="640" w:right="100" w:hanging="312"/>
        <w:spacing w:after="0" w:line="207" w:lineRule="auto"/>
        <w:tabs>
          <w:tab w:leader="none" w:pos="640" w:val="left"/>
        </w:tabs>
        <w:numPr>
          <w:ilvl w:val="0"/>
          <w:numId w:val="114"/>
        </w:numPr>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You are a registered shareholder if your name appears directly on your share certificates, or if you hold your common shares in book-entry form through the direct registration system (DRS) on the records of our transfer agent, Computershare Trust Company of Canada.</w:t>
      </w:r>
    </w:p>
    <w:p>
      <w:pPr>
        <w:spacing w:after="0" w:line="98" w:lineRule="exact"/>
        <w:rPr>
          <w:rFonts w:ascii="Times New Roman" w:cs="Times New Roman" w:eastAsia="Times New Roman" w:hAnsi="Times New Roman"/>
          <w:sz w:val="24"/>
          <w:szCs w:val="24"/>
          <w:color w:val="auto"/>
          <w:vertAlign w:val="superscript"/>
        </w:rPr>
      </w:pPr>
    </w:p>
    <w:p>
      <w:pPr>
        <w:ind w:left="640" w:right="280" w:hanging="312"/>
        <w:spacing w:after="0" w:line="207" w:lineRule="auto"/>
        <w:tabs>
          <w:tab w:leader="none" w:pos="640" w:val="left"/>
        </w:tabs>
        <w:numPr>
          <w:ilvl w:val="0"/>
          <w:numId w:val="114"/>
        </w:numPr>
        <w:rPr>
          <w:rFonts w:ascii="Times New Roman" w:cs="Times New Roman" w:eastAsia="Times New Roman" w:hAnsi="Times New Roman"/>
          <w:sz w:val="24"/>
          <w:szCs w:val="24"/>
          <w:color w:val="auto"/>
          <w:vertAlign w:val="superscript"/>
        </w:rPr>
      </w:pPr>
      <w:r>
        <w:rPr>
          <w:rFonts w:ascii="Arial" w:cs="Arial" w:eastAsia="Arial" w:hAnsi="Arial"/>
          <w:sz w:val="16"/>
          <w:szCs w:val="16"/>
          <w:color w:val="auto"/>
        </w:rPr>
        <w:t>You are a non-registered shareholder if you own shares indirectly and the shares are registered in the name of an intermediary. For example, you are a non-registered shareholder if:</w:t>
      </w:r>
    </w:p>
    <w:p>
      <w:pPr>
        <w:spacing w:after="0" w:line="98" w:lineRule="exact"/>
        <w:rPr>
          <w:rFonts w:ascii="Times New Roman" w:cs="Times New Roman" w:eastAsia="Times New Roman" w:hAnsi="Times New Roman"/>
          <w:sz w:val="24"/>
          <w:szCs w:val="24"/>
          <w:color w:val="auto"/>
          <w:vertAlign w:val="superscript"/>
        </w:rPr>
      </w:pPr>
    </w:p>
    <w:p>
      <w:pPr>
        <w:ind w:left="1300" w:hanging="316"/>
        <w:spacing w:after="0"/>
        <w:tabs>
          <w:tab w:leader="none" w:pos="1300" w:val="left"/>
        </w:tabs>
        <w:numPr>
          <w:ilvl w:val="1"/>
          <w:numId w:val="114"/>
        </w:numPr>
        <w:rPr>
          <w:rFonts w:ascii="Wingdings" w:cs="Wingdings" w:eastAsia="Wingdings" w:hAnsi="Wingdings"/>
          <w:sz w:val="12"/>
          <w:szCs w:val="12"/>
          <w:b w:val="1"/>
          <w:bCs w:val="1"/>
          <w:color w:val="auto"/>
        </w:rPr>
      </w:pPr>
      <w:r>
        <w:rPr>
          <w:rFonts w:ascii="Arial" w:cs="Arial" w:eastAsia="Arial" w:hAnsi="Arial"/>
          <w:sz w:val="16"/>
          <w:szCs w:val="16"/>
          <w:color w:val="auto"/>
        </w:rPr>
        <w:t>your common shares are held in the name of a bank, trust company, securities broker, trustee or custodian; or</w:t>
      </w:r>
    </w:p>
    <w:p>
      <w:pPr>
        <w:spacing w:after="0" w:line="123" w:lineRule="exact"/>
        <w:rPr>
          <w:rFonts w:ascii="Wingdings" w:cs="Wingdings" w:eastAsia="Wingdings" w:hAnsi="Wingdings"/>
          <w:sz w:val="12"/>
          <w:szCs w:val="12"/>
          <w:b w:val="1"/>
          <w:bCs w:val="1"/>
          <w:color w:val="auto"/>
        </w:rPr>
      </w:pPr>
    </w:p>
    <w:p>
      <w:pPr>
        <w:ind w:left="1300" w:right="340" w:hanging="316"/>
        <w:spacing w:after="0" w:line="279" w:lineRule="auto"/>
        <w:tabs>
          <w:tab w:leader="none" w:pos="1300" w:val="left"/>
        </w:tabs>
        <w:numPr>
          <w:ilvl w:val="1"/>
          <w:numId w:val="114"/>
        </w:numPr>
        <w:rPr>
          <w:rFonts w:ascii="Wingdings" w:cs="Wingdings" w:eastAsia="Wingdings" w:hAnsi="Wingdings"/>
          <w:sz w:val="12"/>
          <w:szCs w:val="12"/>
          <w:b w:val="1"/>
          <w:bCs w:val="1"/>
          <w:color w:val="auto"/>
        </w:rPr>
      </w:pPr>
      <w:r>
        <w:rPr>
          <w:rFonts w:ascii="Arial" w:cs="Arial" w:eastAsia="Arial" w:hAnsi="Arial"/>
          <w:sz w:val="16"/>
          <w:szCs w:val="16"/>
          <w:color w:val="auto"/>
        </w:rPr>
        <w:t>you hold Depositary Interests representing our common shares which are held in the name of Computershare Company Nominees Limited as nominee and custodian.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B94831"/>
        </w:rPr>
        <w:t>HOW TO OBTAIN PAPER COPIES OF THE PROXY MATERIALS</w:t>
      </w:r>
    </w:p>
    <w:p>
      <w:pPr>
        <w:spacing w:after="0" w:line="110"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u w:val="single" w:color="auto"/>
          <w:color w:val="auto"/>
        </w:rPr>
        <w:t>Non-registered/beneficial shareholders</w:t>
      </w:r>
      <w:r>
        <w:rPr>
          <w:rFonts w:ascii="Arial" w:cs="Arial" w:eastAsia="Arial" w:hAnsi="Arial"/>
          <w:sz w:val="16"/>
          <w:szCs w:val="16"/>
          <w:color w:val="auto"/>
        </w:rPr>
        <w:t xml:space="preserve"> may request that paper copies of the proxy materials be sent to them by mail at no cost. Requests may be made up to one year from the date that our management proxy circular was filed on SEDAR+ by going to </w:t>
      </w:r>
      <w:r>
        <w:rPr>
          <w:rFonts w:ascii="Arial" w:cs="Arial" w:eastAsia="Arial" w:hAnsi="Arial"/>
          <w:sz w:val="16"/>
          <w:szCs w:val="16"/>
          <w:color w:val="B94831"/>
        </w:rPr>
        <w:t>www.proxyvote.com</w:t>
      </w:r>
      <w:r>
        <w:rPr>
          <w:rFonts w:ascii="Arial" w:cs="Arial" w:eastAsia="Arial" w:hAnsi="Arial"/>
          <w:sz w:val="16"/>
          <w:szCs w:val="16"/>
          <w:color w:val="auto"/>
        </w:rPr>
        <w:t xml:space="preserve"> and entering the Control Number located on your voting instruction form and following the instructions provided. Alternatively, at any time prior to the meeting, you may submit a request by phone by calling 1.877.907.7643 and then entering your Control Number. Requests should be received at least five business days in advance of the date and time set out in your voting instruction form as a voting deadline if you’d like to receive the proxy materials in advance of the proxy voting deadline and the meeting date.</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6"/>
          <w:szCs w:val="16"/>
          <w:u w:val="single" w:color="auto"/>
          <w:color w:val="auto"/>
        </w:rPr>
        <w:t>Registered shareholders</w:t>
      </w:r>
      <w:r>
        <w:rPr>
          <w:rFonts w:ascii="Arial" w:cs="Arial" w:eastAsia="Arial" w:hAnsi="Arial"/>
          <w:sz w:val="16"/>
          <w:szCs w:val="16"/>
          <w:color w:val="auto"/>
        </w:rPr>
        <w:t xml:space="preserve"> may request that paper copies of the proxy materials be sent to them by mail at no cost. At any time prior to the meeting, you may submit a request by phone by calling 1.866.962.0498 or 1.514.982.8716 (Depositary Interest holders can call +44 (0) 370.707.1804) and entering the Control Number reflected on your proxy form. Requests should be received at least five business days in advance of the date and time set out in your proxy form as a voting deadline if you’d like to receive the proxy materials in advance of the proxy voting deadline and the meeting date. Following the meeting, requests may also be made up to one year from the date that our management proxy circular was filed on SEDAR+ by contacting our Investor Relations department by e-mail at </w:t>
      </w:r>
      <w:r>
        <w:rPr>
          <w:rFonts w:ascii="Arial" w:cs="Arial" w:eastAsia="Arial" w:hAnsi="Arial"/>
          <w:sz w:val="16"/>
          <w:szCs w:val="16"/>
          <w:color w:val="B94831"/>
        </w:rPr>
        <w:t>investor.relations@thomsonreuters.com</w:t>
      </w:r>
      <w:r>
        <w:rPr>
          <w:rFonts w:ascii="Arial" w:cs="Arial" w:eastAsia="Arial" w:hAnsi="Arial"/>
          <w:sz w:val="16"/>
          <w:szCs w:val="16"/>
          <w:color w:val="auto"/>
        </w:rPr>
        <w:t xml:space="preserve"> or by phone at 1.332.219.1046.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B94831"/>
        </w:rPr>
        <w:t>VOTING</w:t>
      </w:r>
    </w:p>
    <w:p>
      <w:pPr>
        <w:spacing w:after="0" w:line="110"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u w:val="single" w:color="auto"/>
          <w:color w:val="auto"/>
        </w:rPr>
        <w:t>Non-registered/beneficial shareholders</w:t>
      </w:r>
      <w:r>
        <w:rPr>
          <w:rFonts w:ascii="Arial" w:cs="Arial" w:eastAsia="Arial" w:hAnsi="Arial"/>
          <w:sz w:val="16"/>
          <w:szCs w:val="16"/>
          <w:color w:val="auto"/>
        </w:rPr>
        <w:t xml:space="preserve"> should vote using the methods reflected on your voting instruction form. Your proxy or vote must be received by the proxy deadline noted on your voting instruction form.</w:t>
      </w:r>
    </w:p>
    <w:p>
      <w:pPr>
        <w:spacing w:after="0" w:line="54"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u w:val="single" w:color="auto"/>
          <w:color w:val="auto"/>
        </w:rPr>
        <w:t>Registered shareholders</w:t>
      </w:r>
      <w:r>
        <w:rPr>
          <w:rFonts w:ascii="Arial" w:cs="Arial" w:eastAsia="Arial" w:hAnsi="Arial"/>
          <w:sz w:val="16"/>
          <w:szCs w:val="16"/>
          <w:color w:val="auto"/>
        </w:rPr>
        <w:t xml:space="preserve"> should vote using the methods reflected on your proxy form. Our transfer agent, Computershare Trust Company of Canada, must receive your proxy or voting instructions by 5:00 p.m. (Eastern Daylight Time) on June 8, 2026.</w:t>
      </w:r>
    </w:p>
    <w:p>
      <w:pPr>
        <w:spacing w:after="0" w:line="5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For more information on how to attend, participate or vote at the meeting, how to deposit a proxy and how to appoint and register a proxyholder, please refer to the “Voting Information and How to Attend” section of the management proxy circular.</w:t>
      </w:r>
    </w:p>
    <w:p>
      <w:pPr>
        <w:spacing w:after="0" w:line="5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Shareholders with questions about notice-and-access may call Computershare Trust Company of Canada at 1.800.564.6253 (toll free in Canada and the United States) or 1.514.982.7555.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9297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ectPr>
          <w:pgSz w:w="11900" w:h="16838" w:orient="portrait"/>
          <w:cols w:equalWidth="0" w:num="1">
            <w:col w:w="10920"/>
          </w:cols>
          <w:pgMar w:left="480" w:top="272" w:right="4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THOMSON REUTERS</w:t>
      </w:r>
    </w:p>
    <w:p>
      <w:pPr>
        <w:spacing w:after="0" w:line="20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31"/>
          <w:szCs w:val="31"/>
          <w:b w:val="1"/>
          <w:bCs w:val="1"/>
          <w:color w:val="auto"/>
        </w:rPr>
        <w:t>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EFFECTIVE</w:t>
      </w:r>
    </w:p>
    <w:p>
      <w:pPr>
        <w:spacing w:after="0" w:line="3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March 4, 2026</w:t>
      </w:r>
    </w:p>
    <w:p>
      <w:pPr>
        <w:sectPr>
          <w:pgSz w:w="11900" w:h="16838" w:orient="portrait"/>
          <w:cols w:equalWidth="0" w:num="1">
            <w:col w:w="9960"/>
          </w:cols>
          <w:pgMar w:left="1440" w:top="117" w:right="4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8280" w:type="dxa"/>
            <w:vAlign w:val="bottom"/>
          </w:tcPr>
          <w:p>
            <w:pPr>
              <w:ind w:left="4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r>
      <w:tr>
        <w:trPr>
          <w:trHeight w:val="43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COMPOSITION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RESPONSIBILITIES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SHAREHOLDER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DEPUTY CHAIRMAN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SECRETARY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COMMITTEES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AND COMMITTEE MEETINGS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COMPENSATION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REIMBURSEMENT OF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OWNERSHIP GUIDELINES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ORIENTATION AND CONTINUING EDUCATION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ACCESS TO MANAGEMENT AND ADVISORS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ASSESSMENTS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PROHIBITION ON PERSONAL LOANS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CONFLICTS OF INTEREST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CONTACT THE BOARD AND ITS COMMITTEES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jc w:val="right"/>
        <w:spacing w:after="0"/>
        <w:rPr>
          <w:sz w:val="20"/>
          <w:szCs w:val="20"/>
          <w:color w:val="auto"/>
        </w:rPr>
        <w:sectPr>
          <w:pgSz w:w="11900" w:h="16838" w:orient="portrait"/>
          <w:cols w:equalWidth="0" w:num="1">
            <w:col w:w="10860"/>
          </w:cols>
          <w:pgMar w:left="480" w:top="264"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124" w:name="page125"/>
    <w:bookmarkEnd w:id="124"/>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THOMSON REUTERS</w:t>
      </w:r>
    </w:p>
    <w:p>
      <w:pPr>
        <w:spacing w:after="0" w:line="22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48" w:lineRule="exact"/>
        <w:rPr>
          <w:sz w:val="20"/>
          <w:szCs w:val="20"/>
          <w:color w:val="auto"/>
        </w:rPr>
      </w:pPr>
    </w:p>
    <w:p>
      <w:pPr>
        <w:ind w:left="433" w:hanging="433"/>
        <w:spacing w:after="0"/>
        <w:tabs>
          <w:tab w:leader="none" w:pos="433"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17" w:lineRule="exact"/>
        <w:rPr>
          <w:rFonts w:ascii="Times New Roman" w:cs="Times New Roman" w:eastAsia="Times New Roman" w:hAnsi="Times New Roman"/>
          <w:sz w:val="18"/>
          <w:szCs w:val="18"/>
          <w:b w:val="1"/>
          <w:bCs w:val="1"/>
          <w:color w:val="auto"/>
        </w:rPr>
      </w:pPr>
    </w:p>
    <w:p>
      <w:pPr>
        <w:ind w:left="43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(the “Board”) of Thomson Reuters Corporation (the “Corporation”) believes that sound corporate governance practices are essential to the well-being of the Corporation and its subsidiaries (collectively, “Thomson Reuters”) and the promotion and protection of its shareholders’ interests. The Board oversees the functioning of Thomson Reuters governance system, in part, through the work of the Corporate Governance Committee.</w:t>
      </w:r>
    </w:p>
    <w:p>
      <w:pPr>
        <w:spacing w:after="0" w:line="72" w:lineRule="exact"/>
        <w:rPr>
          <w:rFonts w:ascii="Times New Roman" w:cs="Times New Roman" w:eastAsia="Times New Roman" w:hAnsi="Times New Roman"/>
          <w:sz w:val="18"/>
          <w:szCs w:val="18"/>
          <w:b w:val="1"/>
          <w:bCs w:val="1"/>
          <w:color w:val="auto"/>
        </w:rPr>
      </w:pPr>
    </w:p>
    <w:p>
      <w:pPr>
        <w:ind w:left="433" w:right="1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adopted these guidelines, which reflect Thomson Reuters commitment to high standards of corporate governance, to assist the Board in supervising the management of the business and affairs of Thomson Reuters as required under applicable law and stock exchange rules and requirements.</w:t>
      </w:r>
    </w:p>
    <w:p>
      <w:pPr>
        <w:spacing w:after="0" w:line="68" w:lineRule="exact"/>
        <w:rPr>
          <w:rFonts w:ascii="Times New Roman" w:cs="Times New Roman" w:eastAsia="Times New Roman" w:hAnsi="Times New Roman"/>
          <w:sz w:val="18"/>
          <w:szCs w:val="18"/>
          <w:b w:val="1"/>
          <w:bCs w:val="1"/>
          <w:color w:val="auto"/>
        </w:rPr>
      </w:pPr>
    </w:p>
    <w:p>
      <w:pPr>
        <w:ind w:left="433" w:right="4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fundamental responsibility of the Board is to supervise the management of the business and affairs of Thomson Reuters with a view to sustainable value creation for all shareholders. The Board seeks to ensure fair reporting, including financial reporting, to shareholders of the Corporation and other interested persons as well as ethical and legal corporate conduct by maintaining an appropriate system of corporate governance, internal control over financial reporting and disclosure controls and procedures.</w:t>
      </w:r>
    </w:p>
    <w:p>
      <w:pPr>
        <w:spacing w:after="0" w:line="72" w:lineRule="exact"/>
        <w:rPr>
          <w:rFonts w:ascii="Times New Roman" w:cs="Times New Roman" w:eastAsia="Times New Roman" w:hAnsi="Times New Roman"/>
          <w:sz w:val="18"/>
          <w:szCs w:val="18"/>
          <w:b w:val="1"/>
          <w:bCs w:val="1"/>
          <w:color w:val="auto"/>
        </w:rPr>
      </w:pPr>
    </w:p>
    <w:p>
      <w:pPr>
        <w:ind w:left="433" w:right="10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believes that Thomson Reuters is best served by a board of directors that functions independently of management and that is informed and engaged. The Board believes that the inclusion of different perspectives, experiences and backgrounds on the Board enhances board operations, promotes healthy debate and improves oversight, decision-making and governance.</w:t>
      </w:r>
    </w:p>
    <w:p>
      <w:pPr>
        <w:spacing w:after="0" w:line="68" w:lineRule="exact"/>
        <w:rPr>
          <w:rFonts w:ascii="Times New Roman" w:cs="Times New Roman" w:eastAsia="Times New Roman" w:hAnsi="Times New Roman"/>
          <w:sz w:val="18"/>
          <w:szCs w:val="18"/>
          <w:b w:val="1"/>
          <w:bCs w:val="1"/>
          <w:color w:val="auto"/>
        </w:rPr>
      </w:pPr>
    </w:p>
    <w:p>
      <w:pPr>
        <w:ind w:left="433" w:right="5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Corporate Governance Committee will review these guidelines annually, or more often if warranted, and recommend to the Board such changes as it determines necessary and appropriate in light of Thomson Reuters needs and legal, regulatory and other developments.</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COMPOSITION</w:t>
      </w:r>
    </w:p>
    <w:p>
      <w:pPr>
        <w:spacing w:after="0" w:line="127"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Membership Criteria</w:t>
      </w:r>
    </w:p>
    <w:p>
      <w:pPr>
        <w:spacing w:after="0" w:line="117" w:lineRule="exact"/>
        <w:rPr>
          <w:rFonts w:ascii="Times New Roman" w:cs="Times New Roman" w:eastAsia="Times New Roman" w:hAnsi="Times New Roman"/>
          <w:sz w:val="18"/>
          <w:szCs w:val="18"/>
          <w:color w:val="auto"/>
        </w:rPr>
      </w:pPr>
    </w:p>
    <w:p>
      <w:pPr>
        <w:jc w:val="both"/>
        <w:ind w:left="973" w:right="1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Corporate Governance Committee is responsible for assessing the need for new directors, the preferred experience and qualifications for new directors, and the skills and competencies that the Board, its committees, individual directors and candidates should possess. The Corporate Governance Committee recommends candidates for initial Board membership and Board members for renomination.</w:t>
      </w:r>
    </w:p>
    <w:p>
      <w:pPr>
        <w:spacing w:after="0" w:line="1" w:lineRule="exact"/>
        <w:rPr>
          <w:rFonts w:ascii="Times New Roman" w:cs="Times New Roman" w:eastAsia="Times New Roman" w:hAnsi="Times New Roman"/>
          <w:sz w:val="18"/>
          <w:szCs w:val="18"/>
          <w:color w:val="auto"/>
        </w:rPr>
      </w:pPr>
    </w:p>
    <w:p>
      <w:pPr>
        <w:ind w:left="973"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are based on character, integrity, judgment, skills, competencies, business experience, specific areas of expertise, merit, including a</w:t>
      </w:r>
    </w:p>
    <w:p>
      <w:pPr>
        <w:sectPr>
          <w:pgSz w:w="11900" w:h="16838" w:orient="portrait"/>
          <w:cols w:equalWidth="0" w:num="1">
            <w:col w:w="10893"/>
          </w:cols>
          <w:pgMar w:left="487" w:top="264" w:right="519" w:bottom="1440" w:gutter="0" w:footer="0" w:header="0"/>
        </w:sectPr>
      </w:pPr>
    </w:p>
    <w:bookmarkStart w:id="125" w:name="page126"/>
    <w:bookmarkEnd w:id="125"/>
    <w:p>
      <w:pPr>
        <w:jc w:val="both"/>
        <w:ind w:left="545" w:right="2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candidate’s record of achievement and any other attributes which would enhance the Board and overall management of the business and affairs of Thomson Reuters.</w:t>
      </w:r>
    </w:p>
    <w:p>
      <w:pPr>
        <w:spacing w:after="0" w:line="55" w:lineRule="exact"/>
        <w:rPr>
          <w:sz w:val="20"/>
          <w:szCs w:val="20"/>
          <w:color w:val="auto"/>
        </w:rPr>
      </w:pPr>
    </w:p>
    <w:p>
      <w:pPr>
        <w:ind w:left="545" w:right="640"/>
        <w:spacing w:after="0" w:line="278" w:lineRule="auto"/>
        <w:rPr>
          <w:sz w:val="20"/>
          <w:szCs w:val="20"/>
          <w:color w:val="auto"/>
        </w:rPr>
      </w:pPr>
      <w:r>
        <w:rPr>
          <w:rFonts w:ascii="Times New Roman" w:cs="Times New Roman" w:eastAsia="Times New Roman" w:hAnsi="Times New Roman"/>
          <w:sz w:val="18"/>
          <w:szCs w:val="18"/>
          <w:color w:val="auto"/>
        </w:rPr>
        <w:t>Each director must have an understanding of Thomson Reuters principal operational and financial objectives, plans and strategies, financial position and performance and the performance of Thomson Reuters relative to its principal competitors.</w:t>
      </w:r>
    </w:p>
    <w:p>
      <w:pPr>
        <w:spacing w:after="0" w:line="55" w:lineRule="exact"/>
        <w:rPr>
          <w:sz w:val="20"/>
          <w:szCs w:val="20"/>
          <w:color w:val="auto"/>
        </w:rPr>
      </w:pPr>
    </w:p>
    <w:p>
      <w:pPr>
        <w:jc w:val="both"/>
        <w:ind w:left="545" w:right="240"/>
        <w:spacing w:after="0" w:line="263" w:lineRule="auto"/>
        <w:rPr>
          <w:sz w:val="20"/>
          <w:szCs w:val="20"/>
          <w:color w:val="auto"/>
        </w:rPr>
      </w:pPr>
      <w:r>
        <w:rPr>
          <w:rFonts w:ascii="Times New Roman" w:cs="Times New Roman" w:eastAsia="Times New Roman" w:hAnsi="Times New Roman"/>
          <w:sz w:val="18"/>
          <w:szCs w:val="18"/>
          <w:color w:val="auto"/>
        </w:rPr>
        <w:t>Directors must be able to dedicate sufficient time to carry out their duties and not assume responsibilities that would materially interfere with or be incompatible with Board membership. Directors who change their principal occupation are expected to advise the Corporate Governance Committee and, if determined appropriate by the Corporate Governance Committee, resign from the Board.</w:t>
      </w:r>
    </w:p>
    <w:p>
      <w:pPr>
        <w:spacing w:after="0" w:line="319" w:lineRule="exact"/>
        <w:rPr>
          <w:sz w:val="20"/>
          <w:szCs w:val="20"/>
          <w:color w:val="auto"/>
        </w:rPr>
      </w:pPr>
    </w:p>
    <w:p>
      <w:pPr>
        <w:ind w:left="545" w:hanging="545"/>
        <w:spacing w:after="0"/>
        <w:tabs>
          <w:tab w:leader="none" w:pos="54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 Independence</w:t>
      </w:r>
    </w:p>
    <w:p>
      <w:pPr>
        <w:spacing w:after="0" w:line="117" w:lineRule="exact"/>
        <w:rPr>
          <w:rFonts w:ascii="Times New Roman" w:cs="Times New Roman" w:eastAsia="Times New Roman" w:hAnsi="Times New Roman"/>
          <w:sz w:val="18"/>
          <w:szCs w:val="18"/>
          <w:color w:val="auto"/>
        </w:rPr>
      </w:pPr>
    </w:p>
    <w:p>
      <w:pPr>
        <w:ind w:left="545" w:right="4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composition and procedures are designed to permit it to function independently from management and to promote and protect the interests of all shareholders. The Board believes that, except during periods of temporary vacancies, at least a majority of its members should be independent.</w:t>
      </w:r>
    </w:p>
    <w:p>
      <w:pPr>
        <w:spacing w:after="0" w:line="68" w:lineRule="exact"/>
        <w:rPr>
          <w:rFonts w:ascii="Times New Roman" w:cs="Times New Roman" w:eastAsia="Times New Roman" w:hAnsi="Times New Roman"/>
          <w:sz w:val="18"/>
          <w:szCs w:val="18"/>
          <w:color w:val="auto"/>
        </w:rPr>
      </w:pPr>
    </w:p>
    <w:p>
      <w:pPr>
        <w:ind w:left="545"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determines whether a director is independent. In determining independence, the Board relies on the applicable definitions in National Instrument 58-101 — </w:t>
      </w:r>
      <w:r>
        <w:rPr>
          <w:rFonts w:ascii="Times New Roman" w:cs="Times New Roman" w:eastAsia="Times New Roman" w:hAnsi="Times New Roman"/>
          <w:sz w:val="18"/>
          <w:szCs w:val="18"/>
          <w:i w:val="1"/>
          <w:iCs w:val="1"/>
          <w:color w:val="auto"/>
        </w:rPr>
        <w:t>Disclosure of Corporate Governance Practices</w:t>
      </w:r>
      <w:r>
        <w:rPr>
          <w:rFonts w:ascii="Times New Roman" w:cs="Times New Roman" w:eastAsia="Times New Roman" w:hAnsi="Times New Roman"/>
          <w:sz w:val="18"/>
          <w:szCs w:val="18"/>
          <w:color w:val="auto"/>
        </w:rPr>
        <w:t xml:space="preserve"> and the Nasdaq Stock Market (“Nasdaq”) listing standards. Generally, an independent director means a director who has been affirmatively determined by the Board to have no “material relationship” with Thomson Reuters. In determining the independence of directors, the Board considers all relevant facts and circumstances, including that in the normal course of business, Thomson Reuters provides services to, and receives services from, companies that some of the independent directors are affiliated with.</w:t>
      </w:r>
    </w:p>
    <w:p>
      <w:pPr>
        <w:spacing w:after="0" w:line="76" w:lineRule="exact"/>
        <w:rPr>
          <w:rFonts w:ascii="Times New Roman" w:cs="Times New Roman" w:eastAsia="Times New Roman" w:hAnsi="Times New Roman"/>
          <w:sz w:val="18"/>
          <w:szCs w:val="18"/>
          <w:color w:val="auto"/>
        </w:rPr>
      </w:pPr>
    </w:p>
    <w:p>
      <w:pPr>
        <w:ind w:left="545" w:right="5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independence of all directors on an annual basis and publicly discloses its determinations. Directors have an ongoing obligation to inform the Board of any material changes in their circumstances or relationships that may affect the Board’s determination as to their independence.</w:t>
      </w:r>
    </w:p>
    <w:p>
      <w:pPr>
        <w:spacing w:after="0" w:line="318"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Size</w:t>
      </w:r>
    </w:p>
    <w:p>
      <w:pPr>
        <w:spacing w:after="0" w:line="117" w:lineRule="exact"/>
        <w:rPr>
          <w:rFonts w:ascii="Times New Roman" w:cs="Times New Roman" w:eastAsia="Times New Roman" w:hAnsi="Times New Roman"/>
          <w:sz w:val="18"/>
          <w:szCs w:val="18"/>
          <w:color w:val="auto"/>
        </w:rPr>
      </w:pPr>
    </w:p>
    <w:p>
      <w:pPr>
        <w:ind w:left="545"/>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Articles provide that the Board shall consist of no less than five members and no more than 20 members. The size of the Board for effective decision-making and committee work may vary from time to time as appropriate, including because of or in anticipation of retirements from the Board. The Corporate Governance Committee will make recommendations to the Board periodically regarding the size of the Board.</w:t>
      </w:r>
    </w:p>
    <w:p>
      <w:pPr>
        <w:spacing w:after="0" w:line="113" w:lineRule="exact"/>
        <w:rPr>
          <w:rFonts w:ascii="Times New Roman" w:cs="Times New Roman" w:eastAsia="Times New Roman" w:hAnsi="Times New Roman"/>
          <w:sz w:val="18"/>
          <w:szCs w:val="18"/>
          <w:color w:val="auto"/>
        </w:rPr>
      </w:pPr>
    </w:p>
    <w:p>
      <w:pPr>
        <w:ind w:left="4985" w:hanging="105"/>
        <w:spacing w:after="0"/>
        <w:tabs>
          <w:tab w:leader="none" w:pos="498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485"/>
          </w:cols>
          <w:pgMar w:left="915" w:top="268" w:right="499" w:bottom="1440" w:gutter="0" w:footer="0" w:header="0"/>
        </w:sectPr>
      </w:pPr>
    </w:p>
    <w:bookmarkStart w:id="126" w:name="page127"/>
    <w:bookmarkEnd w:id="126"/>
    <w:p>
      <w:pPr>
        <w:ind w:left="545" w:hanging="545"/>
        <w:spacing w:after="0"/>
        <w:tabs>
          <w:tab w:leader="none" w:pos="5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w:t>
      </w:r>
    </w:p>
    <w:p>
      <w:pPr>
        <w:spacing w:after="0" w:line="117" w:lineRule="exact"/>
        <w:rPr>
          <w:rFonts w:ascii="Times New Roman" w:cs="Times New Roman" w:eastAsia="Times New Roman" w:hAnsi="Times New Roman"/>
          <w:sz w:val="18"/>
          <w:szCs w:val="18"/>
          <w:color w:val="auto"/>
        </w:rPr>
      </w:pPr>
    </w:p>
    <w:p>
      <w:pPr>
        <w:ind w:left="545" w:right="34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are elected or appointed until the next annual meeting of shareholders or until they resign or their successor is elected or appointed.</w:t>
      </w:r>
    </w:p>
    <w:p>
      <w:pPr>
        <w:spacing w:after="0" w:line="55" w:lineRule="exact"/>
        <w:rPr>
          <w:rFonts w:ascii="Times New Roman" w:cs="Times New Roman" w:eastAsia="Times New Roman" w:hAnsi="Times New Roman"/>
          <w:sz w:val="18"/>
          <w:szCs w:val="18"/>
          <w:color w:val="auto"/>
        </w:rPr>
      </w:pPr>
    </w:p>
    <w:p>
      <w:pPr>
        <w:ind w:left="545" w:right="1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does not believe it should establish term limits or mandatory retirement ages for its members as such limits may deprive Thomson Reuters and its shareholders of the contributions of members who have been able to develop, over time, valuable insights into Thomson Reuters, its strategy and business operations.</w:t>
      </w:r>
    </w:p>
    <w:p>
      <w:pPr>
        <w:spacing w:after="0" w:line="318"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Majority Voting Policy</w:t>
      </w:r>
    </w:p>
    <w:p>
      <w:pPr>
        <w:spacing w:after="0" w:line="117" w:lineRule="exact"/>
        <w:rPr>
          <w:rFonts w:ascii="Times New Roman" w:cs="Times New Roman" w:eastAsia="Times New Roman" w:hAnsi="Times New Roman"/>
          <w:sz w:val="18"/>
          <w:szCs w:val="18"/>
          <w:color w:val="auto"/>
        </w:rPr>
      </w:pPr>
    </w:p>
    <w:p>
      <w:pPr>
        <w:ind w:left="545"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director does not receive the support of a majority of votes cast at a meeting of shareholders (other than at contested meetings), the director must immediately tender his or her resignation, to be effective when accepted by the Board. The Corporate Governance Committee will consider the director’s offer to resign and make a recommendation to the Board as to whether to accept it. The Board will accept resignations, absent exceptional circumstances, and in any case, must make its decision within 90 days of the relevant meeting of shareholders. A director who tenders a resignation will not participate in any meeting of the Corporate Governance Committee or the Board at which the resignation is considered. The Corporation will provide disclosure of any determinations under this policy, including by way of a news release and notification to the Toronto Stock Exchange.</w:t>
      </w:r>
    </w:p>
    <w:p>
      <w:pPr>
        <w:spacing w:after="0" w:line="327"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Succession</w:t>
      </w:r>
    </w:p>
    <w:p>
      <w:pPr>
        <w:spacing w:after="0" w:line="117" w:lineRule="exact"/>
        <w:rPr>
          <w:rFonts w:ascii="Times New Roman" w:cs="Times New Roman" w:eastAsia="Times New Roman" w:hAnsi="Times New Roman"/>
          <w:sz w:val="18"/>
          <w:szCs w:val="18"/>
          <w:color w:val="auto"/>
        </w:rPr>
      </w:pPr>
    </w:p>
    <w:p>
      <w:pPr>
        <w:ind w:left="545" w:right="44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Committee is responsible for maintaining a succession plan for the Board that is responsive to Thomson Reuters needs and the interests of its shareholders.</w:t>
      </w:r>
    </w:p>
    <w:p>
      <w:pPr>
        <w:spacing w:after="0" w:line="305"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on Other Boards and Audit Committees</w:t>
      </w:r>
    </w:p>
    <w:p>
      <w:pPr>
        <w:spacing w:after="0" w:line="117" w:lineRule="exact"/>
        <w:rPr>
          <w:rFonts w:ascii="Times New Roman" w:cs="Times New Roman" w:eastAsia="Times New Roman" w:hAnsi="Times New Roman"/>
          <w:sz w:val="18"/>
          <w:szCs w:val="18"/>
          <w:color w:val="auto"/>
        </w:rPr>
      </w:pPr>
    </w:p>
    <w:p>
      <w:pPr>
        <w:ind w:left="545"/>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does not believe that its members should be prohibited from serving on the boards of other public or private companies so long as these commitments do not materially interfere with and are not incompatible with their ability to fulfill their duties as a member of the Board.</w:t>
      </w:r>
    </w:p>
    <w:p>
      <w:pPr>
        <w:spacing w:after="0" w:line="68" w:lineRule="exact"/>
        <w:rPr>
          <w:rFonts w:ascii="Times New Roman" w:cs="Times New Roman" w:eastAsia="Times New Roman" w:hAnsi="Times New Roman"/>
          <w:sz w:val="18"/>
          <w:szCs w:val="18"/>
          <w:color w:val="auto"/>
        </w:rPr>
      </w:pPr>
    </w:p>
    <w:p>
      <w:pPr>
        <w:ind w:left="545"/>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must receive approval from the Chair of the Corporate Governance Committee in advance of accepting an invitation to serve, or being publicly reflected as a nominee to serve, on the board of another public company. Directors must notify the Chair of the Corporate Governance Committee in advance of accepting an invitation to serve, or being publicly reflected as a nominee to serve, on the board of a for-profit, private company that is not a family business. In either case, the director must indicate whether another director of the Corporation is also a member of the board of the other company.</w:t>
      </w:r>
    </w:p>
    <w:p>
      <w:pPr>
        <w:spacing w:after="0" w:line="117" w:lineRule="exact"/>
        <w:rPr>
          <w:rFonts w:ascii="Times New Roman" w:cs="Times New Roman" w:eastAsia="Times New Roman" w:hAnsi="Times New Roman"/>
          <w:sz w:val="18"/>
          <w:szCs w:val="18"/>
          <w:color w:val="auto"/>
        </w:rPr>
      </w:pPr>
    </w:p>
    <w:p>
      <w:pPr>
        <w:ind w:left="4985" w:hanging="105"/>
        <w:spacing w:after="0"/>
        <w:tabs>
          <w:tab w:leader="none" w:pos="4985"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405"/>
          </w:cols>
          <w:pgMar w:left="915" w:top="264" w:right="579" w:bottom="1440" w:gutter="0" w:footer="0" w:header="0"/>
        </w:sectPr>
      </w:pPr>
    </w:p>
    <w:bookmarkStart w:id="127" w:name="page128"/>
    <w:bookmarkEnd w:id="127"/>
    <w:p>
      <w:pPr>
        <w:ind w:left="973" w:right="620"/>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As a general rule, directors are not allowed to join a board of another public company on which two or more other directors of the Corporation serve (unless otherwise approved by the Corporate Governance Committee or its Chair).</w:t>
      </w:r>
    </w:p>
    <w:p>
      <w:pPr>
        <w:spacing w:after="0" w:line="55" w:lineRule="exact"/>
        <w:rPr>
          <w:sz w:val="20"/>
          <w:szCs w:val="20"/>
          <w:color w:val="auto"/>
        </w:rPr>
      </w:pPr>
    </w:p>
    <w:p>
      <w:pPr>
        <w:ind w:left="973" w:right="460"/>
        <w:spacing w:after="0" w:line="278" w:lineRule="auto"/>
        <w:rPr>
          <w:sz w:val="20"/>
          <w:szCs w:val="20"/>
          <w:color w:val="auto"/>
        </w:rPr>
      </w:pPr>
      <w:r>
        <w:rPr>
          <w:rFonts w:ascii="Times New Roman" w:cs="Times New Roman" w:eastAsia="Times New Roman" w:hAnsi="Times New Roman"/>
          <w:sz w:val="18"/>
          <w:szCs w:val="18"/>
          <w:color w:val="auto"/>
        </w:rPr>
        <w:t>Members of the Audit Committee may not serve on the audit committees of more than two other public companies without the prior approval of the Board.</w:t>
      </w:r>
    </w:p>
    <w:p>
      <w:pPr>
        <w:spacing w:after="0" w:line="306" w:lineRule="exact"/>
        <w:rPr>
          <w:sz w:val="20"/>
          <w:szCs w:val="20"/>
          <w:color w:val="auto"/>
        </w:rPr>
      </w:pPr>
    </w:p>
    <w:p>
      <w:pPr>
        <w:ind w:left="433" w:hanging="433"/>
        <w:spacing w:after="0"/>
        <w:tabs>
          <w:tab w:leader="none" w:pos="433"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RESPONSIBILITIES</w:t>
      </w:r>
    </w:p>
    <w:p>
      <w:pPr>
        <w:spacing w:after="0" w:line="117" w:lineRule="exact"/>
        <w:rPr>
          <w:rFonts w:ascii="Times New Roman" w:cs="Times New Roman" w:eastAsia="Times New Roman" w:hAnsi="Times New Roman"/>
          <w:sz w:val="18"/>
          <w:szCs w:val="18"/>
          <w:b w:val="1"/>
          <w:bCs w:val="1"/>
          <w:color w:val="auto"/>
        </w:rPr>
      </w:pPr>
    </w:p>
    <w:p>
      <w:pPr>
        <w:ind w:left="433" w:right="22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have a duty to act honestly and in good faith with a view to the best interests of Thomson Reuters. In fulfilling its responsibilities, the Board is responsible for the following matters:</w:t>
      </w:r>
    </w:p>
    <w:p>
      <w:pPr>
        <w:spacing w:after="0" w:line="64"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and Supervision of the Chief Executive Officer and Senior Management</w:t>
      </w:r>
    </w:p>
    <w:p>
      <w:pPr>
        <w:spacing w:after="0" w:line="117" w:lineRule="exact"/>
        <w:rPr>
          <w:rFonts w:ascii="Times New Roman" w:cs="Times New Roman" w:eastAsia="Times New Roman" w:hAnsi="Times New Roman"/>
          <w:sz w:val="18"/>
          <w:szCs w:val="18"/>
          <w:color w:val="auto"/>
        </w:rPr>
      </w:pPr>
    </w:p>
    <w:p>
      <w:pPr>
        <w:jc w:val="both"/>
        <w:ind w:left="973" w:right="2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appoints and supervises the Chief Executive Officer and other members of Thomson Reuters senior management, approves their compensation and, as permitted by applicable law, delegates to senior management responsibility for the day-to-day operations of Thomson Reuters.</w:t>
      </w:r>
    </w:p>
    <w:p>
      <w:pPr>
        <w:spacing w:after="0" w:line="68" w:lineRule="exact"/>
        <w:rPr>
          <w:rFonts w:ascii="Times New Roman" w:cs="Times New Roman" w:eastAsia="Times New Roman" w:hAnsi="Times New Roman"/>
          <w:sz w:val="18"/>
          <w:szCs w:val="18"/>
          <w:color w:val="auto"/>
        </w:rPr>
      </w:pPr>
    </w:p>
    <w:p>
      <w:pPr>
        <w:ind w:left="973" w:right="28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Board will satisfy itself that a process is in place to provide for the development, evaluation and succession of the Chief Executive Officer and other members of senior management. The Board maintains a position description for the Chief Executive Officer.</w:t>
      </w:r>
    </w:p>
    <w:p>
      <w:pPr>
        <w:spacing w:after="0" w:line="33" w:lineRule="exact"/>
        <w:rPr>
          <w:rFonts w:ascii="Times New Roman" w:cs="Times New Roman" w:eastAsia="Times New Roman" w:hAnsi="Times New Roman"/>
          <w:sz w:val="18"/>
          <w:szCs w:val="18"/>
          <w:color w:val="auto"/>
        </w:rPr>
      </w:pPr>
    </w:p>
    <w:p>
      <w:pPr>
        <w:ind w:left="973" w:right="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satisfy itself as to the integrity of the Chief Executive Officer and other members of senior management, including confirming that the Chief Executive Officer and other members of senior management maintain a culture of integrity throughout Thomson Reuters.</w:t>
      </w:r>
    </w:p>
    <w:p>
      <w:pPr>
        <w:spacing w:after="0" w:line="318"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Planning and Risk Management</w:t>
      </w:r>
    </w:p>
    <w:p>
      <w:pPr>
        <w:spacing w:after="0" w:line="117" w:lineRule="exact"/>
        <w:rPr>
          <w:rFonts w:ascii="Times New Roman" w:cs="Times New Roman" w:eastAsia="Times New Roman" w:hAnsi="Times New Roman"/>
          <w:sz w:val="18"/>
          <w:szCs w:val="18"/>
          <w:color w:val="auto"/>
        </w:rPr>
      </w:pPr>
    </w:p>
    <w:p>
      <w:pPr>
        <w:ind w:left="973" w:right="80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establish and maintain Thomson Reuters mission, values, long-term strategic goals, performance objectives and operational policies. In this regard, the Board will:</w:t>
      </w:r>
    </w:p>
    <w:p>
      <w:pPr>
        <w:spacing w:after="0" w:line="68" w:lineRule="exact"/>
        <w:rPr>
          <w:rFonts w:ascii="Times New Roman" w:cs="Times New Roman" w:eastAsia="Times New Roman" w:hAnsi="Times New Roman"/>
          <w:sz w:val="18"/>
          <w:szCs w:val="18"/>
          <w:color w:val="auto"/>
        </w:rPr>
      </w:pPr>
    </w:p>
    <w:p>
      <w:pPr>
        <w:ind w:left="1413" w:right="340" w:hanging="329"/>
        <w:spacing w:after="0" w:line="278" w:lineRule="auto"/>
        <w:tabs>
          <w:tab w:leader="none" w:pos="141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strategic planning process and review and approve, on an annual basis, a strategic plan which takes into account, among other things, the opportunities and risks of the business;</w:t>
      </w:r>
    </w:p>
    <w:p>
      <w:pPr>
        <w:spacing w:after="0" w:line="68" w:lineRule="exact"/>
        <w:rPr>
          <w:rFonts w:ascii="Times New Roman" w:cs="Times New Roman" w:eastAsia="Times New Roman" w:hAnsi="Times New Roman"/>
          <w:sz w:val="18"/>
          <w:szCs w:val="18"/>
          <w:color w:val="auto"/>
        </w:rPr>
      </w:pPr>
    </w:p>
    <w:p>
      <w:pPr>
        <w:ind w:left="1413" w:hanging="329"/>
        <w:spacing w:after="0"/>
        <w:tabs>
          <w:tab w:leader="none" w:pos="141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on an annual basis a business plan developed with management which includes rigorous but realistic goals;</w:t>
      </w:r>
    </w:p>
    <w:p>
      <w:pPr>
        <w:spacing w:after="0" w:line="127" w:lineRule="exact"/>
        <w:rPr>
          <w:rFonts w:ascii="Times New Roman" w:cs="Times New Roman" w:eastAsia="Times New Roman" w:hAnsi="Times New Roman"/>
          <w:sz w:val="18"/>
          <w:szCs w:val="18"/>
          <w:color w:val="auto"/>
        </w:rPr>
      </w:pPr>
    </w:p>
    <w:p>
      <w:pPr>
        <w:ind w:left="1413" w:hanging="329"/>
        <w:spacing w:after="0" w:line="278" w:lineRule="auto"/>
        <w:tabs>
          <w:tab w:leader="none" w:pos="1413"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strategic and operational policies within which management will operate in relation to capital expenditures, acquisitions and dispositions, disclosure and communications, finance and investment, risk management,</w:t>
      </w:r>
    </w:p>
    <w:p>
      <w:pPr>
        <w:spacing w:after="0" w:line="95" w:lineRule="exact"/>
        <w:rPr>
          <w:rFonts w:ascii="Times New Roman" w:cs="Times New Roman" w:eastAsia="Times New Roman" w:hAnsi="Times New Roman"/>
          <w:sz w:val="18"/>
          <w:szCs w:val="18"/>
          <w:color w:val="auto"/>
        </w:rPr>
      </w:pPr>
    </w:p>
    <w:p>
      <w:pPr>
        <w:ind w:left="5413" w:hanging="105"/>
        <w:spacing w:after="0"/>
        <w:tabs>
          <w:tab w:leader="none" w:pos="5413" w:val="left"/>
        </w:tabs>
        <w:numPr>
          <w:ilvl w:val="3"/>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873"/>
          </w:cols>
          <w:pgMar w:left="487" w:top="268" w:right="539" w:bottom="1440" w:gutter="0" w:footer="0" w:header="0"/>
        </w:sectPr>
      </w:pPr>
    </w:p>
    <w:bookmarkStart w:id="128" w:name="page129"/>
    <w:bookmarkEnd w:id="128"/>
    <w:p>
      <w:pPr>
        <w:ind w:left="985"/>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human resources, internal control over financial reporting, disclosure controls and procedures and management information systems;</w:t>
      </w:r>
    </w:p>
    <w:p>
      <w:pPr>
        <w:spacing w:after="0" w:line="139" w:lineRule="exact"/>
        <w:rPr>
          <w:sz w:val="20"/>
          <w:szCs w:val="20"/>
          <w:color w:val="auto"/>
        </w:rPr>
      </w:pPr>
    </w:p>
    <w:p>
      <w:pPr>
        <w:ind w:left="985" w:hanging="329"/>
        <w:spacing w:after="0"/>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annual corporate and management performance targets;</w:t>
      </w:r>
    </w:p>
    <w:p>
      <w:pPr>
        <w:spacing w:after="0" w:line="127" w:lineRule="exact"/>
        <w:rPr>
          <w:rFonts w:ascii="Times New Roman" w:cs="Times New Roman" w:eastAsia="Times New Roman" w:hAnsi="Times New Roman"/>
          <w:sz w:val="18"/>
          <w:szCs w:val="18"/>
          <w:color w:val="auto"/>
        </w:rPr>
      </w:pPr>
    </w:p>
    <w:p>
      <w:pPr>
        <w:ind w:left="985" w:right="500" w:hanging="329"/>
        <w:spacing w:after="0" w:line="278" w:lineRule="auto"/>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a system is in place to identify the principal risks facing Thomson Reuters and its businesses and that appropriate procedures and systems are in place to monitor, mitigate and manage such risks; and</w:t>
      </w:r>
    </w:p>
    <w:p>
      <w:pPr>
        <w:spacing w:after="0" w:line="68" w:lineRule="exact"/>
        <w:rPr>
          <w:rFonts w:ascii="Times New Roman" w:cs="Times New Roman" w:eastAsia="Times New Roman" w:hAnsi="Times New Roman"/>
          <w:sz w:val="18"/>
          <w:szCs w:val="18"/>
          <w:color w:val="auto"/>
        </w:rPr>
      </w:pPr>
    </w:p>
    <w:p>
      <w:pPr>
        <w:ind w:left="985" w:right="120" w:hanging="329"/>
        <w:spacing w:after="0" w:line="278" w:lineRule="auto"/>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processes are in place for Thomson Reuters and its businesses to address and comply with applicable legal, regulatory, corporate, securities and other compliance matters.</w:t>
      </w:r>
    </w:p>
    <w:p>
      <w:pPr>
        <w:spacing w:after="0" w:line="305" w:lineRule="exact"/>
        <w:rPr>
          <w:rFonts w:ascii="Times New Roman" w:cs="Times New Roman" w:eastAsia="Times New Roman" w:hAnsi="Times New Roman"/>
          <w:sz w:val="18"/>
          <w:szCs w:val="18"/>
          <w:color w:val="auto"/>
        </w:rPr>
      </w:pPr>
    </w:p>
    <w:p>
      <w:pPr>
        <w:ind w:left="545" w:right="7020" w:hanging="545"/>
        <w:spacing w:after="0" w:line="382" w:lineRule="auto"/>
        <w:tabs>
          <w:tab w:leader="none" w:pos="5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Reporting and Management </w:t>
      </w:r>
      <w:r>
        <w:rPr>
          <w:rFonts w:ascii="Times New Roman" w:cs="Times New Roman" w:eastAsia="Times New Roman" w:hAnsi="Times New Roman"/>
          <w:sz w:val="18"/>
          <w:szCs w:val="18"/>
          <w:color w:val="auto"/>
        </w:rPr>
        <w:t>The Board will:</w:t>
      </w:r>
    </w:p>
    <w:p>
      <w:pPr>
        <w:ind w:left="985" w:right="200" w:hanging="329"/>
        <w:spacing w:after="0" w:line="278" w:lineRule="auto"/>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the integrity of Thomson Reuters with regard to its compliance with applicable audit, accounting and financial reporting requirements;</w:t>
      </w:r>
    </w:p>
    <w:p>
      <w:pPr>
        <w:spacing w:after="0" w:line="68"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annual financial statements and related management’s discussion and analysis;</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annual operating plan;</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integrity of Thomson Reuters internal controls and management information systems;</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Thomson Reuters dividend policy; and</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operating and financial performance results relative to established strategies, plans, budgets and objectives.</w:t>
      </w:r>
    </w:p>
    <w:p>
      <w:pPr>
        <w:spacing w:after="0" w:line="364"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and Communications</w:t>
      </w:r>
    </w:p>
    <w:p>
      <w:pPr>
        <w:spacing w:after="0" w:line="117" w:lineRule="exact"/>
        <w:rPr>
          <w:rFonts w:ascii="Times New Roman" w:cs="Times New Roman" w:eastAsia="Times New Roman" w:hAnsi="Times New Roman"/>
          <w:sz w:val="18"/>
          <w:szCs w:val="18"/>
          <w:color w:val="auto"/>
        </w:rPr>
      </w:pPr>
    </w:p>
    <w:p>
      <w:pPr>
        <w:ind w:left="545"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satisfy itself that appropriate policies and procedures are in place regarding public disclosure and restricted trading by insiders. In this regard, the Board will periodically review Thomson Reuters corporate disclosure policy and will confirm that a process is in place to disclose all material information in compliance with Thomson Reuters timely disclosure obligations and to prevent market abuse, whether by way of selective disclosure of material information to analysts, institutional investors, market professionals and others or otherwise.</w:t>
      </w:r>
    </w:p>
    <w:p>
      <w:pPr>
        <w:spacing w:after="0" w:line="327" w:lineRule="exact"/>
        <w:rPr>
          <w:rFonts w:ascii="Times New Roman" w:cs="Times New Roman" w:eastAsia="Times New Roman" w:hAnsi="Times New Roman"/>
          <w:sz w:val="18"/>
          <w:szCs w:val="18"/>
          <w:color w:val="auto"/>
        </w:rPr>
      </w:pPr>
    </w:p>
    <w:p>
      <w:pPr>
        <w:ind w:left="545" w:right="4120" w:hanging="545"/>
        <w:spacing w:after="0" w:line="397" w:lineRule="auto"/>
        <w:tabs>
          <w:tab w:leader="none" w:pos="5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Governance and Environmental, Social and Governance (“ESG”) </w:t>
      </w:r>
      <w:r>
        <w:rPr>
          <w:rFonts w:ascii="Times New Roman" w:cs="Times New Roman" w:eastAsia="Times New Roman" w:hAnsi="Times New Roman"/>
          <w:sz w:val="18"/>
          <w:szCs w:val="18"/>
          <w:color w:val="auto"/>
        </w:rPr>
        <w:t>The Board will:</w:t>
      </w:r>
    </w:p>
    <w:p>
      <w:pPr>
        <w:spacing w:after="0" w:line="1" w:lineRule="exact"/>
        <w:rPr>
          <w:rFonts w:ascii="Times New Roman" w:cs="Times New Roman" w:eastAsia="Times New Roman" w:hAnsi="Times New Roman"/>
          <w:sz w:val="18"/>
          <w:szCs w:val="18"/>
          <w:color w:val="auto"/>
        </w:rPr>
      </w:pPr>
    </w:p>
    <w:p>
      <w:pPr>
        <w:ind w:left="4985" w:hanging="105"/>
        <w:spacing w:after="0"/>
        <w:tabs>
          <w:tab w:leader="none" w:pos="4985"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465"/>
          </w:cols>
          <w:pgMar w:left="915" w:top="268" w:right="519" w:bottom="1440" w:gutter="0" w:footer="0" w:header="0"/>
        </w:sectPr>
      </w:pPr>
    </w:p>
    <w:bookmarkStart w:id="129" w:name="page130"/>
    <w:bookmarkEnd w:id="129"/>
    <w:p>
      <w:pPr>
        <w:ind w:left="985" w:hanging="329"/>
        <w:spacing w:after="0" w:line="278" w:lineRule="auto"/>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develop Thomson Reuters’ approach to corporate governance, including establishing appropriate principles and guidelines relating to corporate governance that are specifically applicable to Thomson Reuters and practices to facilitate the Board’s independence;</w:t>
      </w:r>
    </w:p>
    <w:p>
      <w:pPr>
        <w:spacing w:after="0" w:line="68" w:lineRule="exact"/>
        <w:rPr>
          <w:rFonts w:ascii="Times New Roman" w:cs="Times New Roman" w:eastAsia="Times New Roman" w:hAnsi="Times New Roman"/>
          <w:sz w:val="18"/>
          <w:szCs w:val="18"/>
          <w:color w:val="auto"/>
        </w:rPr>
      </w:pPr>
    </w:p>
    <w:p>
      <w:pPr>
        <w:ind w:left="985" w:right="640" w:hanging="329"/>
        <w:spacing w:after="0" w:line="278" w:lineRule="auto"/>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Thomson Reuters’ overall approach to ESG and its alignment with the Corporation’s long-term business strategy;</w:t>
      </w:r>
    </w:p>
    <w:p>
      <w:pPr>
        <w:spacing w:after="0" w:line="68"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itself that Thomson Reuters communicates effectively with its shareholders, other interested stakeholders and the public;</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committees and approve their respective charters and the limits of authority delegated to each committee;</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appropriate processes for the regular evaluation of the effectiveness of the Board and its committees;</w:t>
      </w:r>
    </w:p>
    <w:p>
      <w:pPr>
        <w:spacing w:after="0" w:line="127"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nomination of directors;</w:t>
      </w:r>
    </w:p>
    <w:p>
      <w:pPr>
        <w:spacing w:after="0" w:line="127" w:lineRule="exact"/>
        <w:rPr>
          <w:rFonts w:ascii="Times New Roman" w:cs="Times New Roman" w:eastAsia="Times New Roman" w:hAnsi="Times New Roman"/>
          <w:sz w:val="18"/>
          <w:szCs w:val="18"/>
          <w:color w:val="auto"/>
        </w:rPr>
      </w:pPr>
    </w:p>
    <w:p>
      <w:pPr>
        <w:jc w:val="both"/>
        <w:ind w:left="985" w:right="180" w:hanging="329"/>
        <w:spacing w:after="0" w:line="263" w:lineRule="auto"/>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form of directors’ compensation to confirm that it is competitive and appropriately compensates directors for the responsibilities, time commitment and risks involved in being a director or a member of one or more Board committees, as applicable;</w:t>
      </w:r>
    </w:p>
    <w:p>
      <w:pPr>
        <w:spacing w:after="0" w:line="81" w:lineRule="exact"/>
        <w:rPr>
          <w:rFonts w:ascii="Times New Roman" w:cs="Times New Roman" w:eastAsia="Times New Roman" w:hAnsi="Times New Roman"/>
          <w:sz w:val="18"/>
          <w:szCs w:val="18"/>
          <w:color w:val="auto"/>
        </w:rPr>
      </w:pPr>
    </w:p>
    <w:p>
      <w:pPr>
        <w:ind w:left="985" w:right="140" w:hanging="329"/>
        <w:spacing w:after="0" w:line="278" w:lineRule="auto"/>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non-management directors to meet at least quarterly without management present and for independent directors to meet at least annually; and</w:t>
      </w:r>
    </w:p>
    <w:p>
      <w:pPr>
        <w:spacing w:after="0" w:line="68" w:lineRule="exact"/>
        <w:rPr>
          <w:rFonts w:ascii="Times New Roman" w:cs="Times New Roman" w:eastAsia="Times New Roman" w:hAnsi="Times New Roman"/>
          <w:sz w:val="18"/>
          <w:szCs w:val="18"/>
          <w:color w:val="auto"/>
        </w:rPr>
      </w:pPr>
    </w:p>
    <w:p>
      <w:pPr>
        <w:ind w:left="985" w:hanging="329"/>
        <w:spacing w:after="0"/>
        <w:tabs>
          <w:tab w:leader="none" w:pos="98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sufficient funds are available for its effective operation and that of its committees.</w:t>
      </w:r>
    </w:p>
    <w:p>
      <w:pPr>
        <w:spacing w:after="0" w:line="364"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Observance of Thomson Reuters Trust Principles</w:t>
      </w:r>
    </w:p>
    <w:p>
      <w:pPr>
        <w:spacing w:after="0" w:line="117" w:lineRule="exact"/>
        <w:rPr>
          <w:rFonts w:ascii="Times New Roman" w:cs="Times New Roman" w:eastAsia="Times New Roman" w:hAnsi="Times New Roman"/>
          <w:sz w:val="18"/>
          <w:szCs w:val="18"/>
          <w:color w:val="auto"/>
        </w:rPr>
      </w:pPr>
    </w:p>
    <w:p>
      <w:pPr>
        <w:ind w:left="5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satisfy itself that Thomson Reuters observes and upholds the Thomson Reuters Trust Principles.</w:t>
      </w:r>
    </w:p>
    <w:p>
      <w:pPr>
        <w:spacing w:after="0" w:line="364" w:lineRule="exact"/>
        <w:rPr>
          <w:rFonts w:ascii="Times New Roman" w:cs="Times New Roman" w:eastAsia="Times New Roman" w:hAnsi="Times New Roman"/>
          <w:sz w:val="18"/>
          <w:szCs w:val="18"/>
          <w:color w:val="auto"/>
        </w:rPr>
      </w:pPr>
    </w:p>
    <w:p>
      <w:pPr>
        <w:ind w:left="545" w:hanging="545"/>
        <w:spacing w:after="0"/>
        <w:tabs>
          <w:tab w:leader="none" w:pos="5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 of Certain Other Matters</w:t>
      </w:r>
    </w:p>
    <w:p>
      <w:pPr>
        <w:spacing w:after="0" w:line="117" w:lineRule="exact"/>
        <w:rPr>
          <w:rFonts w:ascii="Times New Roman" w:cs="Times New Roman" w:eastAsia="Times New Roman" w:hAnsi="Times New Roman"/>
          <w:sz w:val="18"/>
          <w:szCs w:val="18"/>
          <w:color w:val="auto"/>
        </w:rPr>
      </w:pPr>
    </w:p>
    <w:p>
      <w:pPr>
        <w:ind w:left="545"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must itself approve those matters which may not be delegated by the Board under applicable corporate law including, among others, the issuance of securities (except in the manner and on terms authorized by the Board), the declaration of dividends, the repurchase or redemption of shares and matters relating to the adoption, repeal or amendment of the by-laws of the Corporation. The Board may also reserve to itself the right to approve certain matters notwithstanding the delegation to senior management of the authority to manage the business of Thomson Reuters.</w:t>
      </w:r>
    </w:p>
    <w:p>
      <w:pPr>
        <w:spacing w:after="0" w:line="117" w:lineRule="exact"/>
        <w:rPr>
          <w:rFonts w:ascii="Times New Roman" w:cs="Times New Roman" w:eastAsia="Times New Roman" w:hAnsi="Times New Roman"/>
          <w:sz w:val="18"/>
          <w:szCs w:val="18"/>
          <w:color w:val="auto"/>
        </w:rPr>
      </w:pPr>
    </w:p>
    <w:p>
      <w:pPr>
        <w:ind w:left="4985" w:hanging="105"/>
        <w:spacing w:after="0"/>
        <w:tabs>
          <w:tab w:leader="none" w:pos="4985"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85"/>
          </w:cols>
          <w:pgMar w:left="915" w:top="268" w:right="499" w:bottom="1440" w:gutter="0" w:footer="0" w:header="0"/>
        </w:sectPr>
      </w:pPr>
    </w:p>
    <w:bookmarkStart w:id="130" w:name="page131"/>
    <w:bookmarkEnd w:id="130"/>
    <w:p>
      <w:pPr>
        <w:ind w:left="433" w:hanging="433"/>
        <w:spacing w:after="0"/>
        <w:tabs>
          <w:tab w:leader="none" w:pos="43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PRINCIPAL SHAREHOLDER</w:t>
      </w:r>
    </w:p>
    <w:p>
      <w:pPr>
        <w:spacing w:after="0" w:line="117" w:lineRule="exact"/>
        <w:rPr>
          <w:rFonts w:ascii="Times New Roman" w:cs="Times New Roman" w:eastAsia="Times New Roman" w:hAnsi="Times New Roman"/>
          <w:sz w:val="18"/>
          <w:szCs w:val="18"/>
          <w:b w:val="1"/>
          <w:bCs w:val="1"/>
          <w:color w:val="auto"/>
        </w:rPr>
      </w:pPr>
    </w:p>
    <w:p>
      <w:pPr>
        <w:ind w:left="43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hereof, The Woodbridge Company Limited (“Woodbridge”), a private company that is the primary investment vehicle for members of the family of the late First Lord Thomson of Fleet, is the principal shareholder of the Corporation. Woodbridge’s primary investment is its investment in the Corporation. It actively monitors Thomson Reuters as a principal shareholder. In its involvement with Thomson Reuters, Woodbridge focuses principally on the following matters:</w:t>
      </w:r>
    </w:p>
    <w:p>
      <w:pPr>
        <w:spacing w:after="0" w:line="86" w:lineRule="exact"/>
        <w:rPr>
          <w:rFonts w:ascii="Times New Roman" w:cs="Times New Roman" w:eastAsia="Times New Roman" w:hAnsi="Times New Roman"/>
          <w:sz w:val="18"/>
          <w:szCs w:val="18"/>
          <w:b w:val="1"/>
          <w:bCs w:val="1"/>
          <w:color w:val="auto"/>
        </w:rPr>
      </w:pPr>
    </w:p>
    <w:p>
      <w:pPr>
        <w:ind w:left="973" w:hanging="438"/>
        <w:spacing w:after="0"/>
        <w:tabs>
          <w:tab w:leader="none" w:pos="97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including the effectiveness of the Board;</w:t>
      </w:r>
    </w:p>
    <w:p>
      <w:pPr>
        <w:spacing w:after="0" w:line="127" w:lineRule="exact"/>
        <w:rPr>
          <w:rFonts w:ascii="Times New Roman" w:cs="Times New Roman" w:eastAsia="Times New Roman" w:hAnsi="Times New Roman"/>
          <w:sz w:val="18"/>
          <w:szCs w:val="18"/>
          <w:color w:val="auto"/>
        </w:rPr>
      </w:pPr>
    </w:p>
    <w:p>
      <w:pPr>
        <w:ind w:left="973" w:hanging="438"/>
        <w:spacing w:after="0"/>
        <w:tabs>
          <w:tab w:leader="none" w:pos="97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the Chief Executive Officer and other members of senior management and related succession planning;</w:t>
      </w:r>
    </w:p>
    <w:p>
      <w:pPr>
        <w:spacing w:after="0" w:line="127" w:lineRule="exact"/>
        <w:rPr>
          <w:rFonts w:ascii="Times New Roman" w:cs="Times New Roman" w:eastAsia="Times New Roman" w:hAnsi="Times New Roman"/>
          <w:sz w:val="18"/>
          <w:szCs w:val="18"/>
          <w:color w:val="auto"/>
        </w:rPr>
      </w:pPr>
    </w:p>
    <w:p>
      <w:pPr>
        <w:ind w:left="973" w:hanging="438"/>
        <w:spacing w:after="0"/>
        <w:tabs>
          <w:tab w:leader="none" w:pos="97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long-term business strategy of Thomson Reuters and assessment of its implementation; and</w:t>
      </w:r>
    </w:p>
    <w:p>
      <w:pPr>
        <w:spacing w:after="0" w:line="127" w:lineRule="exact"/>
        <w:rPr>
          <w:rFonts w:ascii="Times New Roman" w:cs="Times New Roman" w:eastAsia="Times New Roman" w:hAnsi="Times New Roman"/>
          <w:sz w:val="18"/>
          <w:szCs w:val="18"/>
          <w:color w:val="auto"/>
        </w:rPr>
      </w:pPr>
    </w:p>
    <w:p>
      <w:pPr>
        <w:ind w:left="973" w:hanging="438"/>
        <w:spacing w:after="0"/>
        <w:tabs>
          <w:tab w:leader="none" w:pos="97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strategy.</w:t>
      </w:r>
    </w:p>
    <w:p>
      <w:pPr>
        <w:spacing w:after="0" w:line="114" w:lineRule="exact"/>
        <w:rPr>
          <w:sz w:val="20"/>
          <w:szCs w:val="20"/>
          <w:color w:val="auto"/>
        </w:rPr>
      </w:pPr>
    </w:p>
    <w:p>
      <w:pPr>
        <w:ind w:left="433" w:right="300"/>
        <w:spacing w:after="0" w:line="278" w:lineRule="auto"/>
        <w:rPr>
          <w:sz w:val="20"/>
          <w:szCs w:val="20"/>
          <w:color w:val="auto"/>
        </w:rPr>
      </w:pPr>
      <w:r>
        <w:rPr>
          <w:rFonts w:ascii="Times New Roman" w:cs="Times New Roman" w:eastAsia="Times New Roman" w:hAnsi="Times New Roman"/>
          <w:sz w:val="18"/>
          <w:szCs w:val="18"/>
          <w:color w:val="auto"/>
        </w:rPr>
        <w:t>With its substantial equity investment in the Corporation, Woodbridge considers that its interests as a shareholder are aligned with those of all other shareholders.</w:t>
      </w:r>
    </w:p>
    <w:p>
      <w:pPr>
        <w:spacing w:after="0" w:line="306" w:lineRule="exact"/>
        <w:rPr>
          <w:sz w:val="20"/>
          <w:szCs w:val="20"/>
          <w:color w:val="auto"/>
        </w:rPr>
      </w:pPr>
    </w:p>
    <w:p>
      <w:pPr>
        <w:ind w:left="433" w:hanging="433"/>
        <w:spacing w:after="0"/>
        <w:tabs>
          <w:tab w:leader="none" w:pos="433"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CHAIRMAN</w:t>
      </w:r>
    </w:p>
    <w:p>
      <w:pPr>
        <w:spacing w:after="0" w:line="117" w:lineRule="exact"/>
        <w:rPr>
          <w:rFonts w:ascii="Times New Roman" w:cs="Times New Roman" w:eastAsia="Times New Roman" w:hAnsi="Times New Roman"/>
          <w:sz w:val="18"/>
          <w:szCs w:val="18"/>
          <w:b w:val="1"/>
          <w:bCs w:val="1"/>
          <w:color w:val="auto"/>
        </w:rPr>
      </w:pPr>
    </w:p>
    <w:p>
      <w:pPr>
        <w:ind w:left="433" w:right="1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in each year elect from among its members a Chairman who is not the Chief Executive Officer or otherwise a member of senior management.</w:t>
      </w:r>
    </w:p>
    <w:p>
      <w:pPr>
        <w:spacing w:after="0" w:line="55" w:lineRule="exact"/>
        <w:rPr>
          <w:rFonts w:ascii="Times New Roman" w:cs="Times New Roman" w:eastAsia="Times New Roman" w:hAnsi="Times New Roman"/>
          <w:sz w:val="18"/>
          <w:szCs w:val="18"/>
          <w:b w:val="1"/>
          <w:bCs w:val="1"/>
          <w:color w:val="auto"/>
        </w:rPr>
      </w:pPr>
    </w:p>
    <w:p>
      <w:pPr>
        <w:ind w:left="433" w:right="2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Chairman is principally responsible for overseeing the operations and affairs of the Board. The Board maintains a position description for the Chairman.</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DEPUTY CHAIRMAN</w:t>
      </w:r>
    </w:p>
    <w:p>
      <w:pPr>
        <w:spacing w:after="0" w:line="117" w:lineRule="exact"/>
        <w:rPr>
          <w:rFonts w:ascii="Times New Roman" w:cs="Times New Roman" w:eastAsia="Times New Roman" w:hAnsi="Times New Roman"/>
          <w:sz w:val="18"/>
          <w:szCs w:val="18"/>
          <w:b w:val="1"/>
          <w:bCs w:val="1"/>
          <w:color w:val="auto"/>
        </w:rPr>
      </w:pPr>
    </w:p>
    <w:p>
      <w:pPr>
        <w:ind w:left="433" w:right="14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in each year elect from among its members one or more Deputy Chairmen who are not the Chief Executive Officer or otherwise members of senior management.</w:t>
      </w:r>
    </w:p>
    <w:p>
      <w:pPr>
        <w:spacing w:after="0" w:line="55" w:lineRule="exact"/>
        <w:rPr>
          <w:rFonts w:ascii="Times New Roman" w:cs="Times New Roman" w:eastAsia="Times New Roman" w:hAnsi="Times New Roman"/>
          <w:sz w:val="18"/>
          <w:szCs w:val="18"/>
          <w:b w:val="1"/>
          <w:bCs w:val="1"/>
          <w:color w:val="auto"/>
        </w:rPr>
      </w:pPr>
    </w:p>
    <w:p>
      <w:pPr>
        <w:ind w:left="433" w:right="42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Deputy Chairman is responsible for assisting the Chairman in fulfilling his duties and for performing additional duties requested by the Board.</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LEAD INDEPENDENT DIRECTOR</w:t>
      </w:r>
    </w:p>
    <w:p>
      <w:pPr>
        <w:spacing w:after="0" w:line="117" w:lineRule="exact"/>
        <w:rPr>
          <w:rFonts w:ascii="Times New Roman" w:cs="Times New Roman" w:eastAsia="Times New Roman" w:hAnsi="Times New Roman"/>
          <w:sz w:val="18"/>
          <w:szCs w:val="18"/>
          <w:b w:val="1"/>
          <w:bCs w:val="1"/>
          <w:color w:val="auto"/>
        </w:rPr>
      </w:pPr>
    </w:p>
    <w:p>
      <w:pPr>
        <w:ind w:left="43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in each year elect a Lead Independent Director from among its members who have been determined to be independent.</w:t>
      </w:r>
    </w:p>
    <w:p>
      <w:pPr>
        <w:spacing w:after="0" w:line="364"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SECRETARY</w:t>
      </w:r>
    </w:p>
    <w:p>
      <w:pPr>
        <w:spacing w:after="0" w:line="117" w:lineRule="exact"/>
        <w:rPr>
          <w:rFonts w:ascii="Times New Roman" w:cs="Times New Roman" w:eastAsia="Times New Roman" w:hAnsi="Times New Roman"/>
          <w:sz w:val="18"/>
          <w:szCs w:val="18"/>
          <w:b w:val="1"/>
          <w:bCs w:val="1"/>
          <w:color w:val="auto"/>
        </w:rPr>
      </w:pPr>
    </w:p>
    <w:p>
      <w:pPr>
        <w:ind w:left="43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appoint an individual to act as the Company Secretary.</w:t>
      </w:r>
    </w:p>
    <w:p>
      <w:pPr>
        <w:spacing w:after="0" w:line="154" w:lineRule="exact"/>
        <w:rPr>
          <w:rFonts w:ascii="Times New Roman" w:cs="Times New Roman" w:eastAsia="Times New Roman" w:hAnsi="Times New Roman"/>
          <w:sz w:val="18"/>
          <w:szCs w:val="18"/>
          <w:b w:val="1"/>
          <w:bCs w:val="1"/>
          <w:color w:val="auto"/>
        </w:rPr>
      </w:pPr>
    </w:p>
    <w:p>
      <w:pPr>
        <w:ind w:left="5413" w:hanging="105"/>
        <w:spacing w:after="0"/>
        <w:tabs>
          <w:tab w:leader="none" w:pos="541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853"/>
          </w:cols>
          <w:pgMar w:left="487" w:top="264" w:right="559" w:bottom="1440" w:gutter="0" w:footer="0" w:header="0"/>
        </w:sectPr>
      </w:pPr>
    </w:p>
    <w:bookmarkStart w:id="131" w:name="page132"/>
    <w:bookmarkEnd w:id="131"/>
    <w:p>
      <w:pPr>
        <w:ind w:left="433" w:right="100"/>
        <w:spacing w:after="0" w:line="28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Secretary is responsible for assisting the Chairman, any Deputy Chairman and the Lead Independent Director in managing the operations and affairs of the Board and for performing additional duties requested by the Chairman, any Deputy Chairman, the Lead Independent Director or the Board or any of its committees. The Company Secretary reports directly to the Chairman and any Deputy Chairman.</w:t>
      </w:r>
    </w:p>
    <w:p>
      <w:pPr>
        <w:spacing w:after="0" w:line="303" w:lineRule="exact"/>
        <w:rPr>
          <w:sz w:val="20"/>
          <w:szCs w:val="20"/>
          <w:color w:val="auto"/>
        </w:rPr>
      </w:pPr>
    </w:p>
    <w:p>
      <w:pPr>
        <w:ind w:left="433" w:hanging="433"/>
        <w:spacing w:after="0"/>
        <w:tabs>
          <w:tab w:leader="none" w:pos="433"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COMMITTEES</w:t>
      </w:r>
    </w:p>
    <w:p>
      <w:pPr>
        <w:spacing w:after="0" w:line="127"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117" w:lineRule="exact"/>
        <w:rPr>
          <w:rFonts w:ascii="Times New Roman" w:cs="Times New Roman" w:eastAsia="Times New Roman" w:hAnsi="Times New Roman"/>
          <w:sz w:val="18"/>
          <w:szCs w:val="18"/>
          <w:color w:val="auto"/>
        </w:rPr>
      </w:pPr>
    </w:p>
    <w:p>
      <w:pPr>
        <w:ind w:left="973" w:right="3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carries out its responsibilities directly and through the following committees and such other committees as it may establish from time to time: the Audit Committee, the Corporate Governance Committee, the Human Resources Committee and the Risk Committee.</w:t>
      </w:r>
    </w:p>
    <w:p>
      <w:pPr>
        <w:spacing w:after="0" w:line="318"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Composition</w:t>
      </w:r>
    </w:p>
    <w:p>
      <w:pPr>
        <w:spacing w:after="0" w:line="117" w:lineRule="exact"/>
        <w:rPr>
          <w:rFonts w:ascii="Times New Roman" w:cs="Times New Roman" w:eastAsia="Times New Roman" w:hAnsi="Times New Roman"/>
          <w:sz w:val="18"/>
          <w:szCs w:val="18"/>
          <w:color w:val="auto"/>
        </w:rPr>
      </w:pPr>
    </w:p>
    <w:p>
      <w:pPr>
        <w:ind w:left="973"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committees are comprised solely of directors who are not members of management and who are selected by the Board on the recommendation of the Corporate Governance Committee. Thomson Reuters believes it is appropriate for directors who are affiliated with Woodbridge to serve on committees apart from the Audit Committee and the Board has approved the Corporation’s reliance on the “controlled company” exemption in the Nasdaq listing standards to do so.</w:t>
      </w:r>
    </w:p>
    <w:p>
      <w:pPr>
        <w:spacing w:after="0" w:line="72" w:lineRule="exact"/>
        <w:rPr>
          <w:rFonts w:ascii="Times New Roman" w:cs="Times New Roman" w:eastAsia="Times New Roman" w:hAnsi="Times New Roman"/>
          <w:sz w:val="18"/>
          <w:szCs w:val="18"/>
          <w:color w:val="auto"/>
        </w:rPr>
      </w:pPr>
    </w:p>
    <w:p>
      <w:pPr>
        <w:ind w:left="973"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Audit Committee must be independent and are subject to the additional requirements that they may not (i) accept directly or indirectly any consulting, advisory, or other compensatory fee from Thomson Reuters, other than director and committee fees and pension or other forms of deferred compensation for prior service (provided such compensation is not contingent in any way on continued service), or (ii) be an “affiliated person” of Thomson Reuters (within the meaning of applicable law). Each member of the Audit Committee must be “financially literate” (within the meaning of applicable law).</w:t>
      </w:r>
    </w:p>
    <w:p>
      <w:pPr>
        <w:spacing w:after="0" w:line="77" w:lineRule="exact"/>
        <w:rPr>
          <w:rFonts w:ascii="Times New Roman" w:cs="Times New Roman" w:eastAsia="Times New Roman" w:hAnsi="Times New Roman"/>
          <w:sz w:val="18"/>
          <w:szCs w:val="18"/>
          <w:color w:val="auto"/>
        </w:rPr>
      </w:pPr>
    </w:p>
    <w:p>
      <w:pPr>
        <w:ind w:left="973" w:right="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determining the independence of members of the Human Resources Committee who are not affiliated with Woodbridge, the Board shall also consider all factors specifically relevant to determining whether the director has a relationship to the Corporation that is material to that director’s ability to be independent from management in connection with the duties of a Human Resources Committee member, including, but not limited to, the source of the director’s compensation and whether the director is affiliated with the Corporation.</w:t>
      </w:r>
    </w:p>
    <w:p>
      <w:pPr>
        <w:spacing w:after="0" w:line="307"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Chair</w:t>
      </w:r>
    </w:p>
    <w:p>
      <w:pPr>
        <w:spacing w:after="0" w:line="117" w:lineRule="exact"/>
        <w:rPr>
          <w:rFonts w:ascii="Times New Roman" w:cs="Times New Roman" w:eastAsia="Times New Roman" w:hAnsi="Times New Roman"/>
          <w:sz w:val="18"/>
          <w:szCs w:val="18"/>
          <w:color w:val="auto"/>
        </w:rPr>
      </w:pPr>
    </w:p>
    <w:p>
      <w:pPr>
        <w:ind w:left="973"/>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Corporate Governance Committee, Human Resources Committee and Risk Committee are each chaired by a director who is selected by the Board on the recommendation of the Corporate Governance Committee. If the current chair of a Committee is unavailable for any scheduled Committee meeting, the Lead Independent Director or their delegate will chair that meeting. If both the current chair of a Committee and the Lead Independent Director are unavailable for any scheduled Committee meeting, the Company Secretary will ask another committee chair to chair that meeting. The chair of each committee is responsible for determining the agenda, frequency and conduct of committee meetings. The Board maintains a position description for the committee chairs.</w:t>
      </w:r>
    </w:p>
    <w:p>
      <w:pPr>
        <w:spacing w:after="0" w:line="116" w:lineRule="exact"/>
        <w:rPr>
          <w:rFonts w:ascii="Times New Roman" w:cs="Times New Roman" w:eastAsia="Times New Roman" w:hAnsi="Times New Roman"/>
          <w:sz w:val="18"/>
          <w:szCs w:val="18"/>
          <w:color w:val="auto"/>
        </w:rPr>
      </w:pPr>
    </w:p>
    <w:p>
      <w:pPr>
        <w:ind w:left="5413" w:hanging="105"/>
        <w:spacing w:after="0"/>
        <w:tabs>
          <w:tab w:leader="none" w:pos="5413"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893"/>
          </w:cols>
          <w:pgMar w:left="487" w:top="268" w:right="519" w:bottom="1440" w:gutter="0" w:footer="0" w:header="0"/>
        </w:sectPr>
      </w:pPr>
    </w:p>
    <w:bookmarkStart w:id="132" w:name="page133"/>
    <w:bookmarkEnd w:id="132"/>
    <w:p>
      <w:pPr>
        <w:ind w:left="973" w:hanging="545"/>
        <w:spacing w:after="0"/>
        <w:tabs>
          <w:tab w:leader="none" w:pos="97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Charters</w:t>
      </w:r>
    </w:p>
    <w:p>
      <w:pPr>
        <w:spacing w:after="0" w:line="117" w:lineRule="exact"/>
        <w:rPr>
          <w:rFonts w:ascii="Times New Roman" w:cs="Times New Roman" w:eastAsia="Times New Roman" w:hAnsi="Times New Roman"/>
          <w:sz w:val="18"/>
          <w:szCs w:val="18"/>
          <w:color w:val="auto"/>
        </w:rPr>
      </w:pPr>
    </w:p>
    <w:p>
      <w:pPr>
        <w:ind w:left="973"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committee has its own charter that sets out its responsibilities and duties, qualifications for membership, procedures for committee member removal and appointment and reporting to the Board. On an annual basis, each committee’s charter is reviewed by both the committee itself and the Corporate Governance Committee and an update regarding the annual review is provided to the Board. Copies of each charter are posted on the Thomson Reuters website.</w:t>
      </w:r>
    </w:p>
    <w:p>
      <w:pPr>
        <w:spacing w:after="0" w:line="322"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AND COMMITTEE MEETINGS</w:t>
      </w:r>
    </w:p>
    <w:p>
      <w:pPr>
        <w:spacing w:after="0" w:line="127"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Scheduling</w:t>
      </w:r>
    </w:p>
    <w:p>
      <w:pPr>
        <w:spacing w:after="0" w:line="117" w:lineRule="exact"/>
        <w:rPr>
          <w:rFonts w:ascii="Times New Roman" w:cs="Times New Roman" w:eastAsia="Times New Roman" w:hAnsi="Times New Roman"/>
          <w:sz w:val="18"/>
          <w:szCs w:val="18"/>
          <w:color w:val="auto"/>
        </w:rPr>
      </w:pPr>
    </w:p>
    <w:p>
      <w:pPr>
        <w:ind w:left="973"/>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meetings are scheduled in advance at appropriate intervals throughout the year. In addition to regularly scheduled Board meetings, additional Board meetings may be called upon proper notice at any time to address specific needs of Thomson Reuters. The Board may also take action from time to time by unanimous written consent. A Board meeting may be called by the Chairman, any Deputy Chairman, the Lead Independent Director, the Chief Executive Officer or any two directors.</w:t>
      </w:r>
    </w:p>
    <w:p>
      <w:pPr>
        <w:spacing w:after="0" w:line="72" w:lineRule="exact"/>
        <w:rPr>
          <w:rFonts w:ascii="Times New Roman" w:cs="Times New Roman" w:eastAsia="Times New Roman" w:hAnsi="Times New Roman"/>
          <w:sz w:val="18"/>
          <w:szCs w:val="18"/>
          <w:color w:val="auto"/>
        </w:rPr>
      </w:pPr>
    </w:p>
    <w:p>
      <w:pPr>
        <w:jc w:val="both"/>
        <w:ind w:left="973"/>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Each committee meets as often as it determines is necessary to fulfill its responsibilities. A meeting of any committee may be called by the chair or any other member of the committee, the Chairman, any Deputy Chairman, the Chief Executive Officer or the Company Secretary.</w:t>
      </w:r>
    </w:p>
    <w:p>
      <w:pPr>
        <w:spacing w:after="0" w:line="33" w:lineRule="exact"/>
        <w:rPr>
          <w:rFonts w:ascii="Times New Roman" w:cs="Times New Roman" w:eastAsia="Times New Roman" w:hAnsi="Times New Roman"/>
          <w:sz w:val="18"/>
          <w:szCs w:val="18"/>
          <w:color w:val="auto"/>
        </w:rPr>
      </w:pPr>
    </w:p>
    <w:p>
      <w:pPr>
        <w:ind w:left="973"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meetings are held in a manner and at a location or virtually, as determined by the Chairman, and meetings of each committee are held in a manner and at a location or virtually, as determined by the committee chair. The Board generally meets at least once a year at the offices of one of Thomson Reuters businesses so that directors may meet operating management and develop a deeper understanding of a particular business group.</w:t>
      </w:r>
    </w:p>
    <w:p>
      <w:pPr>
        <w:spacing w:after="0" w:line="322"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Agenda</w:t>
      </w:r>
    </w:p>
    <w:p>
      <w:pPr>
        <w:spacing w:after="0" w:line="117" w:lineRule="exact"/>
        <w:rPr>
          <w:rFonts w:ascii="Times New Roman" w:cs="Times New Roman" w:eastAsia="Times New Roman" w:hAnsi="Times New Roman"/>
          <w:sz w:val="18"/>
          <w:szCs w:val="18"/>
          <w:color w:val="auto"/>
        </w:rPr>
      </w:pPr>
    </w:p>
    <w:p>
      <w:pPr>
        <w:ind w:left="973" w:right="1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establishes the agenda for each Board meeting in consultation with any Deputy Chairman, the Lead Independent Director, the other directors, the Company Secretary and the Chief Executive Officer. Any director may propose the inclusion of items on the agenda or at any Board meeting raise subjects that are not on the agenda for that meeting.</w:t>
      </w:r>
    </w:p>
    <w:p>
      <w:pPr>
        <w:spacing w:after="0" w:line="68" w:lineRule="exact"/>
        <w:rPr>
          <w:rFonts w:ascii="Times New Roman" w:cs="Times New Roman" w:eastAsia="Times New Roman" w:hAnsi="Times New Roman"/>
          <w:sz w:val="18"/>
          <w:szCs w:val="18"/>
          <w:color w:val="auto"/>
        </w:rPr>
      </w:pPr>
    </w:p>
    <w:p>
      <w:pPr>
        <w:ind w:left="973" w:right="26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chairs establish the agenda for each committee meeting. Any committee member may propose the inclusion of items on the agenda or at any committee meeting raise subjects that are not on the agenda for the meeting.</w:t>
      </w:r>
    </w:p>
    <w:p>
      <w:pPr>
        <w:spacing w:after="0" w:line="95" w:lineRule="exact"/>
        <w:rPr>
          <w:rFonts w:ascii="Times New Roman" w:cs="Times New Roman" w:eastAsia="Times New Roman" w:hAnsi="Times New Roman"/>
          <w:sz w:val="18"/>
          <w:szCs w:val="18"/>
          <w:color w:val="auto"/>
        </w:rPr>
      </w:pPr>
    </w:p>
    <w:p>
      <w:pPr>
        <w:ind w:left="5413" w:hanging="105"/>
        <w:spacing w:after="0"/>
        <w:tabs>
          <w:tab w:leader="none" w:pos="5413"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873"/>
          </w:cols>
          <w:pgMar w:left="487" w:top="264" w:right="539" w:bottom="1440" w:gutter="0" w:footer="0" w:header="0"/>
        </w:sectPr>
      </w:pPr>
    </w:p>
    <w:bookmarkStart w:id="133" w:name="page134"/>
    <w:bookmarkEnd w:id="133"/>
    <w:p>
      <w:pPr>
        <w:ind w:left="973" w:hanging="545"/>
        <w:spacing w:after="0"/>
        <w:tabs>
          <w:tab w:leader="none" w:pos="97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Meetings of Non-Management and Independent Directors</w:t>
      </w:r>
    </w:p>
    <w:p>
      <w:pPr>
        <w:spacing w:after="0" w:line="117" w:lineRule="exact"/>
        <w:rPr>
          <w:rFonts w:ascii="Times New Roman" w:cs="Times New Roman" w:eastAsia="Times New Roman" w:hAnsi="Times New Roman"/>
          <w:sz w:val="18"/>
          <w:szCs w:val="18"/>
          <w:color w:val="auto"/>
        </w:rPr>
      </w:pPr>
    </w:p>
    <w:p>
      <w:pPr>
        <w:ind w:left="973"/>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Board’s independence, non-management directors meet as a group during each regularly scheduled Board meeting without management present. Non-management directors may also meet without management present at such other times as appropriate. Any Deputy Chairman, the Lead Independent Director or the Chair of the Corporate Governance Committee will chair these meetings and inform management of their substance to the extent that action is appropriate or required. The independent directors meet separately as a group as part of each regularly scheduled Board meeting without management or non-independent directors present. Any Lead Independent Director (or if none has been elected, the Chair of the Corporate Governance Committee, or in their absence, a committee chair that is an independent director) chairs these meetings and informs the Chairman of the substance of these meetings to the extent that action is appropriate or required.</w:t>
      </w:r>
    </w:p>
    <w:p>
      <w:pPr>
        <w:spacing w:after="0" w:line="330"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 of Information</w:t>
      </w:r>
    </w:p>
    <w:p>
      <w:pPr>
        <w:spacing w:after="0" w:line="117" w:lineRule="exact"/>
        <w:rPr>
          <w:rFonts w:ascii="Times New Roman" w:cs="Times New Roman" w:eastAsia="Times New Roman" w:hAnsi="Times New Roman"/>
          <w:sz w:val="18"/>
          <w:szCs w:val="18"/>
          <w:color w:val="auto"/>
        </w:rPr>
      </w:pPr>
    </w:p>
    <w:p>
      <w:pPr>
        <w:ind w:left="973" w:right="2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is important to the Board’s understanding of the business and its meeting agenda is distributed to the Board before it meets. Sensitive subject matters may be discussed at a meeting without written materials being distributed in advance or at the meeting. The Board periodically receives reports on the operating activities of Thomson Reuters, as well as reports on certain functional matters, including corporate governance, tax, information security, pensions and treasury matters. Thomson Reuters utilizes a board portal for directors, which is used to distribute information and to foster communication among directors and between directors and Thomson Reuters senior management.</w:t>
      </w:r>
    </w:p>
    <w:p>
      <w:pPr>
        <w:spacing w:after="0" w:line="326"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Preparation, Attendance and Participation</w:t>
      </w:r>
    </w:p>
    <w:p>
      <w:pPr>
        <w:spacing w:after="0" w:line="117" w:lineRule="exact"/>
        <w:rPr>
          <w:rFonts w:ascii="Times New Roman" w:cs="Times New Roman" w:eastAsia="Times New Roman" w:hAnsi="Times New Roman"/>
          <w:sz w:val="18"/>
          <w:szCs w:val="18"/>
          <w:color w:val="auto"/>
        </w:rPr>
      </w:pPr>
    </w:p>
    <w:p>
      <w:pPr>
        <w:jc w:val="both"/>
        <w:ind w:left="973" w:right="6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is expected to prepare adequately for and attend all meetings of the Board and any committee of which he or she is a member. A director who is unable to attend a Board or committee meeting in person may participate by telephone, teleconference, videoconference or telepresence.</w:t>
      </w:r>
    </w:p>
    <w:p>
      <w:pPr>
        <w:spacing w:after="0" w:line="318"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w:t>
      </w:r>
    </w:p>
    <w:p>
      <w:pPr>
        <w:spacing w:after="0" w:line="117" w:lineRule="exact"/>
        <w:rPr>
          <w:rFonts w:ascii="Times New Roman" w:cs="Times New Roman" w:eastAsia="Times New Roman" w:hAnsi="Times New Roman"/>
          <w:sz w:val="18"/>
          <w:szCs w:val="18"/>
          <w:color w:val="auto"/>
        </w:rPr>
      </w:pPr>
    </w:p>
    <w:p>
      <w:pPr>
        <w:ind w:left="973" w:right="5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Board meetings are determined by the Chairman unless otherwise determined by the by-laws of the Corporation or a resolution of the Board.</w:t>
      </w:r>
    </w:p>
    <w:p>
      <w:pPr>
        <w:spacing w:after="0" w:line="55" w:lineRule="exact"/>
        <w:rPr>
          <w:rFonts w:ascii="Times New Roman" w:cs="Times New Roman" w:eastAsia="Times New Roman" w:hAnsi="Times New Roman"/>
          <w:sz w:val="18"/>
          <w:szCs w:val="18"/>
          <w:color w:val="auto"/>
        </w:rPr>
      </w:pPr>
    </w:p>
    <w:p>
      <w:pPr>
        <w:ind w:left="973" w:right="5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committee meetings are determined by the chair of the committee unless otherwise determined by the by-laws of the Corporation or a resolution of the committee or the Board.</w:t>
      </w:r>
    </w:p>
    <w:p>
      <w:pPr>
        <w:spacing w:after="0" w:line="305"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rFonts w:ascii="Times New Roman" w:cs="Times New Roman" w:eastAsia="Times New Roman" w:hAnsi="Times New Roman"/>
          <w:sz w:val="18"/>
          <w:szCs w:val="18"/>
          <w:b w:val="1"/>
          <w:bCs w:val="1"/>
          <w:color w:val="auto"/>
        </w:rPr>
      </w:pPr>
    </w:p>
    <w:p>
      <w:pPr>
        <w:ind w:left="433" w:right="2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for directors of the Corporation is designed to attract and retain highly talented, committed and experienced directors. The Board believes that directors must be competitively compensated, taking into account the size and complexity of Thomson</w:t>
      </w:r>
    </w:p>
    <w:p>
      <w:pPr>
        <w:spacing w:after="0" w:line="95" w:lineRule="exact"/>
        <w:rPr>
          <w:rFonts w:ascii="Times New Roman" w:cs="Times New Roman" w:eastAsia="Times New Roman" w:hAnsi="Times New Roman"/>
          <w:sz w:val="18"/>
          <w:szCs w:val="18"/>
          <w:b w:val="1"/>
          <w:bCs w:val="1"/>
          <w:color w:val="auto"/>
        </w:rPr>
      </w:pPr>
    </w:p>
    <w:p>
      <w:pPr>
        <w:ind w:left="5373" w:hanging="109"/>
        <w:spacing w:after="0"/>
        <w:tabs>
          <w:tab w:leader="none" w:pos="5373"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893"/>
          </w:cols>
          <w:pgMar w:left="487" w:top="264" w:right="519" w:bottom="1440" w:gutter="0" w:footer="0" w:header="0"/>
        </w:sectPr>
      </w:pPr>
    </w:p>
    <w:bookmarkStart w:id="134" w:name="page135"/>
    <w:bookmarkEnd w:id="134"/>
    <w:p>
      <w:pPr>
        <w:ind w:left="433"/>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Reuters. The Corporate Governance Committee is responsible for reviewing directors’ compensation to ensure that it is competitive and consistent with the responsibilities, time commitment and risks associated with being an effective director and, to this end, periodically reviews directors’ compensation in the marketplace.</w:t>
      </w:r>
    </w:p>
    <w:p>
      <w:pPr>
        <w:spacing w:after="0" w:line="68" w:lineRule="exact"/>
        <w:rPr>
          <w:sz w:val="20"/>
          <w:szCs w:val="20"/>
          <w:color w:val="auto"/>
        </w:rPr>
      </w:pPr>
    </w:p>
    <w:p>
      <w:pPr>
        <w:ind w:left="433" w:right="120"/>
        <w:spacing w:after="0" w:line="251" w:lineRule="auto"/>
        <w:rPr>
          <w:sz w:val="20"/>
          <w:szCs w:val="20"/>
          <w:color w:val="auto"/>
        </w:rPr>
      </w:pPr>
      <w:r>
        <w:rPr>
          <w:rFonts w:ascii="Times New Roman" w:cs="Times New Roman" w:eastAsia="Times New Roman" w:hAnsi="Times New Roman"/>
          <w:sz w:val="18"/>
          <w:szCs w:val="18"/>
          <w:color w:val="auto"/>
        </w:rPr>
        <w:t>Non-management directors (other than the Chairman) are required to receive a specified portion of their annual retainer paid in deferred share units and they have the option to receive the remaining portion of their annual retainer in the form of deferred share units, common shares of the Corporation or cash (or a mix thereof). The mandatory equity component will be established by the Corporate Governance Committee. If a director elects to receive any portion of his or her annual retainer or other compensation in the form of common shares, the amount (net of withholding taxes) is used to buy common shares on the open market. If a director elects to receive deferred share units, units representing the value of the common shares are credited to the director’s account based on the market value of a share. Deferred share units are paid to the director following termination of Board service. Payment will be made in common shares or cash (net of withholding taxes) based on the market value of the common shares. Deferred share units also accumulate additional units based on notional equivalents of dividends paid on the Corporation’s common shares. The Board believes that the Corporation’s director compensation arrangements further align the interests of directors with the interests of other shareholders.</w:t>
      </w:r>
    </w:p>
    <w:p>
      <w:pPr>
        <w:spacing w:after="0" w:line="82" w:lineRule="exact"/>
        <w:rPr>
          <w:sz w:val="20"/>
          <w:szCs w:val="20"/>
          <w:color w:val="auto"/>
        </w:rPr>
      </w:pPr>
    </w:p>
    <w:p>
      <w:pPr>
        <w:ind w:left="433" w:right="20"/>
        <w:spacing w:after="0" w:line="278" w:lineRule="auto"/>
        <w:rPr>
          <w:sz w:val="20"/>
          <w:szCs w:val="20"/>
          <w:color w:val="auto"/>
        </w:rPr>
      </w:pPr>
      <w:r>
        <w:rPr>
          <w:rFonts w:ascii="Times New Roman" w:cs="Times New Roman" w:eastAsia="Times New Roman" w:hAnsi="Times New Roman"/>
          <w:sz w:val="18"/>
          <w:szCs w:val="18"/>
          <w:color w:val="auto"/>
        </w:rPr>
        <w:t>The Chairman, any Deputy Chairman and the Lead Independent Director receive an annual retainer. The Chief Executive Officer does not receive additional compensation for serving as a director.</w:t>
      </w:r>
    </w:p>
    <w:p>
      <w:pPr>
        <w:spacing w:after="0" w:line="306" w:lineRule="exact"/>
        <w:rPr>
          <w:sz w:val="20"/>
          <w:szCs w:val="20"/>
          <w:color w:val="auto"/>
        </w:rPr>
      </w:pPr>
    </w:p>
    <w:p>
      <w:pPr>
        <w:ind w:left="433" w:hanging="433"/>
        <w:spacing w:after="0"/>
        <w:tabs>
          <w:tab w:leader="none" w:pos="43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REIMBURSEMENT OF EXPENSES</w:t>
      </w:r>
    </w:p>
    <w:p>
      <w:pPr>
        <w:spacing w:after="0" w:line="117" w:lineRule="exact"/>
        <w:rPr>
          <w:rFonts w:ascii="Times New Roman" w:cs="Times New Roman" w:eastAsia="Times New Roman" w:hAnsi="Times New Roman"/>
          <w:sz w:val="18"/>
          <w:szCs w:val="18"/>
          <w:b w:val="1"/>
          <w:bCs w:val="1"/>
          <w:color w:val="auto"/>
        </w:rPr>
      </w:pPr>
    </w:p>
    <w:p>
      <w:pPr>
        <w:ind w:left="433" w:right="5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are reimbursed by Thomson Reuters for reasonable travel and out-of-pocket expenses incurred in connection with their duties as directors. The Corporate Governance Committee periodically reviews expenses submitted for reimbursement.</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 GUIDELINES</w:t>
      </w:r>
    </w:p>
    <w:p>
      <w:pPr>
        <w:spacing w:after="0" w:line="117" w:lineRule="exact"/>
        <w:rPr>
          <w:rFonts w:ascii="Times New Roman" w:cs="Times New Roman" w:eastAsia="Times New Roman" w:hAnsi="Times New Roman"/>
          <w:sz w:val="18"/>
          <w:szCs w:val="18"/>
          <w:b w:val="1"/>
          <w:bCs w:val="1"/>
          <w:color w:val="auto"/>
        </w:rPr>
      </w:pPr>
    </w:p>
    <w:p>
      <w:pPr>
        <w:ind w:left="433" w:right="6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believes that meaningful share ownership by directors and senior executive officers is in the best interest of Thomson Reuters because it further aligns the interests of directors and senior executive officers with those of its shareholders.</w:t>
      </w:r>
    </w:p>
    <w:p>
      <w:pPr>
        <w:spacing w:after="0" w:line="64" w:lineRule="exact"/>
        <w:rPr>
          <w:rFonts w:ascii="Times New Roman" w:cs="Times New Roman" w:eastAsia="Times New Roman" w:hAnsi="Times New Roman"/>
          <w:sz w:val="18"/>
          <w:szCs w:val="18"/>
          <w:b w:val="1"/>
          <w:bCs w:val="1"/>
          <w:color w:val="auto"/>
        </w:rPr>
      </w:pPr>
    </w:p>
    <w:p>
      <w:pPr>
        <w:ind w:left="973" w:hanging="545"/>
        <w:spacing w:after="0"/>
        <w:tabs>
          <w:tab w:leader="none" w:pos="97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w:t>
      </w:r>
    </w:p>
    <w:p>
      <w:pPr>
        <w:spacing w:after="0" w:line="117" w:lineRule="exact"/>
        <w:rPr>
          <w:rFonts w:ascii="Times New Roman" w:cs="Times New Roman" w:eastAsia="Times New Roman" w:hAnsi="Times New Roman"/>
          <w:sz w:val="18"/>
          <w:szCs w:val="18"/>
          <w:color w:val="auto"/>
        </w:rPr>
      </w:pPr>
    </w:p>
    <w:p>
      <w:pPr>
        <w:jc w:val="both"/>
        <w:ind w:left="973" w:right="1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Non-management directors are required to hold common shares of the Corporation and/or deferred share units having a value equal to at least three times the amount of the annual directors’ retainer within five years from the date of their initial election or appointment to the Board.</w:t>
      </w:r>
    </w:p>
    <w:p>
      <w:pPr>
        <w:spacing w:after="0" w:line="318" w:lineRule="exact"/>
        <w:rPr>
          <w:rFonts w:ascii="Times New Roman" w:cs="Times New Roman" w:eastAsia="Times New Roman" w:hAnsi="Times New Roman"/>
          <w:sz w:val="18"/>
          <w:szCs w:val="18"/>
          <w:color w:val="auto"/>
        </w:rPr>
      </w:pPr>
    </w:p>
    <w:p>
      <w:pPr>
        <w:ind w:left="973" w:hanging="545"/>
        <w:spacing w:after="0"/>
        <w:tabs>
          <w:tab w:leader="none" w:pos="97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Senior Executive Officers</w:t>
      </w:r>
    </w:p>
    <w:p>
      <w:pPr>
        <w:spacing w:after="0" w:line="117" w:lineRule="exact"/>
        <w:rPr>
          <w:rFonts w:ascii="Times New Roman" w:cs="Times New Roman" w:eastAsia="Times New Roman" w:hAnsi="Times New Roman"/>
          <w:sz w:val="18"/>
          <w:szCs w:val="18"/>
          <w:color w:val="auto"/>
        </w:rPr>
      </w:pPr>
    </w:p>
    <w:p>
      <w:pPr>
        <w:ind w:left="973" w:right="18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is required to hold common shares of the Corporation and/or deferred share units having a value equal to at least six times his or her</w:t>
      </w:r>
    </w:p>
    <w:p>
      <w:pPr>
        <w:spacing w:after="0" w:line="95" w:lineRule="exact"/>
        <w:rPr>
          <w:rFonts w:ascii="Times New Roman" w:cs="Times New Roman" w:eastAsia="Times New Roman" w:hAnsi="Times New Roman"/>
          <w:sz w:val="18"/>
          <w:szCs w:val="18"/>
          <w:color w:val="auto"/>
        </w:rPr>
      </w:pPr>
    </w:p>
    <w:p>
      <w:pPr>
        <w:ind w:left="5373" w:hanging="106"/>
        <w:spacing w:after="0"/>
        <w:tabs>
          <w:tab w:leader="none" w:pos="5373"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873"/>
          </w:cols>
          <w:pgMar w:left="487" w:top="268" w:right="539" w:bottom="1440" w:gutter="0" w:footer="0" w:header="0"/>
        </w:sectPr>
      </w:pPr>
    </w:p>
    <w:bookmarkStart w:id="135" w:name="page136"/>
    <w:bookmarkEnd w:id="135"/>
    <w:p>
      <w:pPr>
        <w:ind w:left="973" w:right="220"/>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annual base salary. The other senior executive officers of the Corporation are required to hold common shares of the Corporation and/or deferred share units having a value equal to a multiple of their annual base salary depending on their position with the Corporation.</w:t>
      </w:r>
    </w:p>
    <w:p>
      <w:pPr>
        <w:spacing w:after="0" w:line="33" w:lineRule="exact"/>
        <w:rPr>
          <w:sz w:val="20"/>
          <w:szCs w:val="20"/>
          <w:color w:val="auto"/>
        </w:rPr>
      </w:pPr>
    </w:p>
    <w:p>
      <w:pPr>
        <w:ind w:left="973"/>
        <w:spacing w:after="0" w:line="254" w:lineRule="auto"/>
        <w:rPr>
          <w:sz w:val="20"/>
          <w:szCs w:val="20"/>
          <w:color w:val="auto"/>
        </w:rPr>
      </w:pPr>
      <w:r>
        <w:rPr>
          <w:rFonts w:ascii="Times New Roman" w:cs="Times New Roman" w:eastAsia="Times New Roman" w:hAnsi="Times New Roman"/>
          <w:sz w:val="18"/>
          <w:szCs w:val="18"/>
          <w:color w:val="auto"/>
        </w:rPr>
        <w:t>The Chief Executive Officer and the other executive officers of the Corporation do not have a deadline by which to meet the share ownership guidelines. They are, however, required to retain a specified percentage of the common shares of the Corporation that they acquire (after applicable tax withholdings) through option exercises and the vesting of restricted share units until they have met the share ownership guidelines. The Chief Executive Officer is currently required to retain 100% of the common shares of the Corporation that he or she acquires and the other executive officers of the Corporation are required to retain 50% of the common shares of the Corporation that they acquire, until they meet the share ownership guidelines.</w:t>
      </w:r>
    </w:p>
    <w:p>
      <w:pPr>
        <w:spacing w:after="0" w:line="327" w:lineRule="exact"/>
        <w:rPr>
          <w:sz w:val="20"/>
          <w:szCs w:val="20"/>
          <w:color w:val="auto"/>
        </w:rPr>
      </w:pPr>
    </w:p>
    <w:p>
      <w:pPr>
        <w:ind w:left="433" w:hanging="433"/>
        <w:spacing w:after="0"/>
        <w:tabs>
          <w:tab w:leader="none" w:pos="43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17" w:lineRule="exact"/>
        <w:rPr>
          <w:rFonts w:ascii="Times New Roman" w:cs="Times New Roman" w:eastAsia="Times New Roman" w:hAnsi="Times New Roman"/>
          <w:sz w:val="18"/>
          <w:szCs w:val="18"/>
          <w:b w:val="1"/>
          <w:bCs w:val="1"/>
          <w:color w:val="auto"/>
        </w:rPr>
      </w:pPr>
    </w:p>
    <w:p>
      <w:pPr>
        <w:ind w:left="433"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directors receive orientation materials describing the Thomson Reuters business, its corporate governance structure and related policies and information. New directors also have meetings with the Chairman, any Deputy Chairman, the Lead Independent Director, Chief Executive Officer and Chief Financial Officer and other executive officers, including the heads of Thomson Reuters major businesses. Early in their tenure, new directors are provided with the opportunity to visit major facilities and meet with operating management.</w:t>
      </w:r>
    </w:p>
    <w:p>
      <w:pPr>
        <w:spacing w:after="0" w:line="72" w:lineRule="exact"/>
        <w:rPr>
          <w:rFonts w:ascii="Times New Roman" w:cs="Times New Roman" w:eastAsia="Times New Roman" w:hAnsi="Times New Roman"/>
          <w:sz w:val="18"/>
          <w:szCs w:val="18"/>
          <w:b w:val="1"/>
          <w:bCs w:val="1"/>
          <w:color w:val="auto"/>
        </w:rPr>
      </w:pPr>
    </w:p>
    <w:p>
      <w:pPr>
        <w:ind w:left="433" w:right="100"/>
        <w:spacing w:after="0" w:line="30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Corporate Governance Committee is responsible for confirming that procedures are in place and resources are made available to provide directors with appropriate continuing education opportunities. Directors may attend continuing education programs at Thomson Reuters expense.</w:t>
      </w:r>
    </w:p>
    <w:p>
      <w:pPr>
        <w:spacing w:after="0" w:line="283"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ACCESS TO MANAGEMENT AND ADVISORS</w:t>
      </w:r>
    </w:p>
    <w:p>
      <w:pPr>
        <w:spacing w:after="0" w:line="117" w:lineRule="exact"/>
        <w:rPr>
          <w:rFonts w:ascii="Times New Roman" w:cs="Times New Roman" w:eastAsia="Times New Roman" w:hAnsi="Times New Roman"/>
          <w:sz w:val="18"/>
          <w:szCs w:val="18"/>
          <w:b w:val="1"/>
          <w:bCs w:val="1"/>
          <w:color w:val="auto"/>
        </w:rPr>
      </w:pPr>
    </w:p>
    <w:p>
      <w:pPr>
        <w:ind w:left="433" w:right="32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complete access to members of Thomson Reuters management and directors are encouraged to raise any questions or concerns directly with management. The Board and its committees may invite any member of senior management, employee, outside advisor or other person to attend or report at any of their meetings.</w:t>
      </w:r>
    </w:p>
    <w:p>
      <w:pPr>
        <w:spacing w:after="0" w:line="68" w:lineRule="exact"/>
        <w:rPr>
          <w:rFonts w:ascii="Times New Roman" w:cs="Times New Roman" w:eastAsia="Times New Roman" w:hAnsi="Times New Roman"/>
          <w:sz w:val="18"/>
          <w:szCs w:val="18"/>
          <w:b w:val="1"/>
          <w:bCs w:val="1"/>
          <w:color w:val="auto"/>
        </w:rPr>
      </w:pPr>
    </w:p>
    <w:p>
      <w:pPr>
        <w:ind w:left="433" w:right="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carrying out their duties, the Board and any of its committees may at any time retain an outside advisor at the expense of Thomson Reuters and have the authority to determine the advisor’s fees and other retention terms. Individual directors may retain an outside advisor at the expense of Thomson Reuters subject to notifying the Corporate Governance Committee in advance.</w:t>
      </w:r>
    </w:p>
    <w:p>
      <w:pPr>
        <w:spacing w:after="0" w:line="318"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EFFECTIVENESS REVIEW</w:t>
      </w:r>
    </w:p>
    <w:p>
      <w:pPr>
        <w:spacing w:after="0" w:line="117" w:lineRule="exact"/>
        <w:rPr>
          <w:rFonts w:ascii="Times New Roman" w:cs="Times New Roman" w:eastAsia="Times New Roman" w:hAnsi="Times New Roman"/>
          <w:sz w:val="18"/>
          <w:szCs w:val="18"/>
          <w:b w:val="1"/>
          <w:bCs w:val="1"/>
          <w:color w:val="auto"/>
        </w:rPr>
      </w:pPr>
    </w:p>
    <w:p>
      <w:pPr>
        <w:ind w:left="433" w:right="2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acting through the Corporate Governance Committee, annually reviews the effectiveness of the Board and each Board committee in fulfilling their responsibilities and</w:t>
      </w:r>
    </w:p>
    <w:p>
      <w:pPr>
        <w:spacing w:after="0" w:line="95" w:lineRule="exact"/>
        <w:rPr>
          <w:rFonts w:ascii="Times New Roman" w:cs="Times New Roman" w:eastAsia="Times New Roman" w:hAnsi="Times New Roman"/>
          <w:sz w:val="18"/>
          <w:szCs w:val="18"/>
          <w:b w:val="1"/>
          <w:bCs w:val="1"/>
          <w:color w:val="auto"/>
        </w:rPr>
      </w:pPr>
    </w:p>
    <w:p>
      <w:pPr>
        <w:ind w:left="5373" w:hanging="109"/>
        <w:spacing w:after="0"/>
        <w:tabs>
          <w:tab w:leader="none" w:pos="537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893"/>
          </w:cols>
          <w:pgMar w:left="487" w:top="268" w:right="519" w:bottom="1440" w:gutter="0" w:footer="0" w:header="0"/>
        </w:sectPr>
      </w:pPr>
    </w:p>
    <w:bookmarkStart w:id="136" w:name="page137"/>
    <w:bookmarkEnd w:id="136"/>
    <w:p>
      <w:pPr>
        <w:jc w:val="both"/>
        <w:ind w:left="433" w:right="180"/>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duties. The form of the Corporate Governance Committee’s annual review and assessment may vary from year to year, but is designed to assess the effectiveness of the Board and its committees and solicit constructive feedback on the performance of the Chairman, any Deputy Chairman, the Lead Independent Director, the chair of each of the Board committees and individual directors.</w:t>
      </w:r>
    </w:p>
    <w:p>
      <w:pPr>
        <w:spacing w:after="0" w:line="319" w:lineRule="exact"/>
        <w:rPr>
          <w:sz w:val="20"/>
          <w:szCs w:val="20"/>
          <w:color w:val="auto"/>
        </w:rPr>
      </w:pPr>
    </w:p>
    <w:p>
      <w:pPr>
        <w:ind w:left="433" w:hanging="433"/>
        <w:spacing w:after="0"/>
        <w:tabs>
          <w:tab w:leader="none" w:pos="43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BUSINESS CONDUCT AND ETHICS</w:t>
      </w:r>
    </w:p>
    <w:p>
      <w:pPr>
        <w:spacing w:after="0" w:line="117" w:lineRule="exact"/>
        <w:rPr>
          <w:rFonts w:ascii="Times New Roman" w:cs="Times New Roman" w:eastAsia="Times New Roman" w:hAnsi="Times New Roman"/>
          <w:sz w:val="18"/>
          <w:szCs w:val="18"/>
          <w:b w:val="1"/>
          <w:bCs w:val="1"/>
          <w:color w:val="auto"/>
        </w:rPr>
      </w:pPr>
    </w:p>
    <w:p>
      <w:pPr>
        <w:ind w:left="433"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has adopted a Code of Business Conduct and Ethics. The Board expects all directors, officers and employees of Thomson Reuters to conduct themselves in accordance with the highest ethical standards and to adhere to the Code. Any waiver of the Code for directors or executive officers may only be made by the Board or one of its committees and will be disclosed by Thomson Reuters to the extent required by law, regulation or stock exchange rules and requirements.</w:t>
      </w:r>
    </w:p>
    <w:p>
      <w:pPr>
        <w:spacing w:after="0" w:line="322"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PERSONAL LOANS</w:t>
      </w:r>
    </w:p>
    <w:p>
      <w:pPr>
        <w:spacing w:after="0" w:line="117" w:lineRule="exact"/>
        <w:rPr>
          <w:rFonts w:ascii="Times New Roman" w:cs="Times New Roman" w:eastAsia="Times New Roman" w:hAnsi="Times New Roman"/>
          <w:sz w:val="18"/>
          <w:szCs w:val="18"/>
          <w:b w:val="1"/>
          <w:bCs w:val="1"/>
          <w:color w:val="auto"/>
        </w:rPr>
      </w:pPr>
    </w:p>
    <w:p>
      <w:pPr>
        <w:ind w:left="433" w:right="4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Thomson Reuters does not extend or maintain credit, arrange for the extension of credit, or renew an extension of credit, in the form of a personal loan to or for any director or executive officer.</w:t>
      </w:r>
    </w:p>
    <w:p>
      <w:pPr>
        <w:spacing w:after="0" w:line="305"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AND INSURANCE</w:t>
      </w:r>
    </w:p>
    <w:p>
      <w:pPr>
        <w:spacing w:after="0" w:line="117" w:lineRule="exact"/>
        <w:rPr>
          <w:rFonts w:ascii="Times New Roman" w:cs="Times New Roman" w:eastAsia="Times New Roman" w:hAnsi="Times New Roman"/>
          <w:sz w:val="18"/>
          <w:szCs w:val="18"/>
          <w:b w:val="1"/>
          <w:bCs w:val="1"/>
          <w:color w:val="auto"/>
        </w:rPr>
      </w:pPr>
    </w:p>
    <w:p>
      <w:pPr>
        <w:ind w:left="43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are indemnified by the Corporation to the extent permitted by applicable laws and regulations.</w:t>
      </w:r>
    </w:p>
    <w:p>
      <w:pPr>
        <w:spacing w:after="0" w:line="113" w:lineRule="exact"/>
        <w:rPr>
          <w:rFonts w:ascii="Times New Roman" w:cs="Times New Roman" w:eastAsia="Times New Roman" w:hAnsi="Times New Roman"/>
          <w:sz w:val="18"/>
          <w:szCs w:val="18"/>
          <w:b w:val="1"/>
          <w:bCs w:val="1"/>
          <w:color w:val="auto"/>
        </w:rPr>
      </w:pPr>
    </w:p>
    <w:p>
      <w:pPr>
        <w:jc w:val="both"/>
        <w:ind w:left="433" w:right="18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maintains insurance for the benefit of its directors and officers against any liability incurred by them. The amount and terms of the insurance coverage are dependent upon prevailing market conditions and practices with the objective of adequately protecting directors and officers from such liability.</w:t>
      </w:r>
    </w:p>
    <w:p>
      <w:pPr>
        <w:spacing w:after="0" w:line="318" w:lineRule="exact"/>
        <w:rPr>
          <w:rFonts w:ascii="Times New Roman" w:cs="Times New Roman" w:eastAsia="Times New Roman" w:hAnsi="Times New Roman"/>
          <w:sz w:val="18"/>
          <w:szCs w:val="18"/>
          <w:b w:val="1"/>
          <w:bCs w:val="1"/>
          <w:color w:val="auto"/>
        </w:rPr>
      </w:pPr>
    </w:p>
    <w:p>
      <w:pPr>
        <w:ind w:left="433" w:hanging="433"/>
        <w:spacing w:after="0"/>
        <w:tabs>
          <w:tab w:leader="none" w:pos="433"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117" w:lineRule="exact"/>
        <w:rPr>
          <w:rFonts w:ascii="Times New Roman" w:cs="Times New Roman" w:eastAsia="Times New Roman" w:hAnsi="Times New Roman"/>
          <w:sz w:val="18"/>
          <w:szCs w:val="18"/>
          <w:b w:val="1"/>
          <w:bCs w:val="1"/>
          <w:color w:val="auto"/>
        </w:rPr>
      </w:pPr>
    </w:p>
    <w:p>
      <w:pPr>
        <w:ind w:left="433"/>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director is required to inform the Board of any potential or actual conflict of interest he or she may have with Thomson Reuters. Thomson Reuters’ policies on conflicts of interest are reflected in the Code, these guidelines and supplemental guidance provided to the Board. A director who has a conflict of interest in a matter before the Board or a committee must not receive or review any written materials related to the conflict subject area, nor may the director attend any part of a meeting during which the matter is discussed or participate in any vote on the matter, except where the Board or the applicable committee has expressly determined that it is appropriate for him or her to do so. If a director has a significant, ongoing and irreconcilable conflict, voluntary resignation from the Board or the conflicting interest may be appropriate or required.</w:t>
      </w:r>
    </w:p>
    <w:p>
      <w:pPr>
        <w:spacing w:after="0" w:line="76" w:lineRule="exact"/>
        <w:rPr>
          <w:rFonts w:ascii="Times New Roman" w:cs="Times New Roman" w:eastAsia="Times New Roman" w:hAnsi="Times New Roman"/>
          <w:sz w:val="18"/>
          <w:szCs w:val="18"/>
          <w:b w:val="1"/>
          <w:bCs w:val="1"/>
          <w:color w:val="auto"/>
        </w:rPr>
      </w:pPr>
    </w:p>
    <w:p>
      <w:pPr>
        <w:ind w:left="433" w:right="60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avoid potential conflicts of interest, a member of senior management of the Corporation may not serve on the board or as a trustee of a company or institution that employs a director of the Corporation.</w:t>
      </w:r>
    </w:p>
    <w:p>
      <w:pPr>
        <w:spacing w:after="0" w:line="95" w:lineRule="exact"/>
        <w:rPr>
          <w:rFonts w:ascii="Times New Roman" w:cs="Times New Roman" w:eastAsia="Times New Roman" w:hAnsi="Times New Roman"/>
          <w:sz w:val="18"/>
          <w:szCs w:val="18"/>
          <w:b w:val="1"/>
          <w:bCs w:val="1"/>
          <w:color w:val="auto"/>
        </w:rPr>
      </w:pPr>
    </w:p>
    <w:p>
      <w:pPr>
        <w:ind w:left="5373" w:hanging="109"/>
        <w:spacing w:after="0"/>
        <w:tabs>
          <w:tab w:leader="none" w:pos="537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873"/>
          </w:cols>
          <w:pgMar w:left="487" w:top="268" w:right="539" w:bottom="1440" w:gutter="0" w:footer="0" w:header="0"/>
        </w:sectPr>
      </w:pPr>
    </w:p>
    <w:bookmarkStart w:id="137" w:name="page138"/>
    <w:bookmarkEnd w:id="137"/>
    <w:p>
      <w:pPr>
        <w:ind w:left="433" w:hanging="433"/>
        <w:spacing w:after="0"/>
        <w:tabs>
          <w:tab w:leader="none" w:pos="433"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CONTACT THE BOARD AND ITS COMMITTEES</w:t>
      </w:r>
    </w:p>
    <w:p>
      <w:pPr>
        <w:spacing w:after="0" w:line="117" w:lineRule="exact"/>
        <w:rPr>
          <w:rFonts w:ascii="Times New Roman" w:cs="Times New Roman" w:eastAsia="Times New Roman" w:hAnsi="Times New Roman"/>
          <w:sz w:val="18"/>
          <w:szCs w:val="18"/>
          <w:b w:val="1"/>
          <w:bCs w:val="1"/>
          <w:color w:val="auto"/>
        </w:rPr>
      </w:pPr>
    </w:p>
    <w:p>
      <w:pPr>
        <w:ind w:left="433"/>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welcomes input and comments from shareholders of the Corporation. You may contact one or more members of the Board or its committees by writing to the Company Secretary at:</w:t>
      </w:r>
    </w:p>
    <w:p>
      <w:pPr>
        <w:spacing w:after="0" w:line="162" w:lineRule="exact"/>
        <w:rPr>
          <w:sz w:val="20"/>
          <w:szCs w:val="20"/>
          <w:color w:val="auto"/>
        </w:rPr>
      </w:pPr>
    </w:p>
    <w:p>
      <w:pPr>
        <w:jc w:val="center"/>
        <w:ind w:right="-532"/>
        <w:spacing w:after="0"/>
        <w:rPr>
          <w:sz w:val="20"/>
          <w:szCs w:val="20"/>
          <w:color w:val="auto"/>
        </w:rPr>
      </w:pPr>
      <w:r>
        <w:rPr>
          <w:rFonts w:ascii="Times New Roman" w:cs="Times New Roman" w:eastAsia="Times New Roman" w:hAnsi="Times New Roman"/>
          <w:sz w:val="18"/>
          <w:szCs w:val="18"/>
          <w:color w:val="auto"/>
        </w:rPr>
        <w:t>Board of Directors of Thomson Reuters Corporation</w:t>
      </w:r>
    </w:p>
    <w:p>
      <w:pPr>
        <w:spacing w:after="0" w:line="26" w:lineRule="exact"/>
        <w:rPr>
          <w:sz w:val="20"/>
          <w:szCs w:val="20"/>
          <w:color w:val="auto"/>
        </w:rPr>
      </w:pPr>
    </w:p>
    <w:p>
      <w:pPr>
        <w:jc w:val="center"/>
        <w:ind w:right="-532"/>
        <w:spacing w:after="0"/>
        <w:rPr>
          <w:sz w:val="20"/>
          <w:szCs w:val="20"/>
          <w:color w:val="auto"/>
        </w:rPr>
      </w:pPr>
      <w:r>
        <w:rPr>
          <w:rFonts w:ascii="Times New Roman" w:cs="Times New Roman" w:eastAsia="Times New Roman" w:hAnsi="Times New Roman"/>
          <w:sz w:val="18"/>
          <w:szCs w:val="18"/>
          <w:color w:val="auto"/>
        </w:rPr>
        <w:t>c/o Norie Campbell, Chief Legal Officer and Company Secretary</w:t>
      </w:r>
    </w:p>
    <w:p>
      <w:pPr>
        <w:spacing w:after="0" w:line="7" w:lineRule="exact"/>
        <w:rPr>
          <w:sz w:val="20"/>
          <w:szCs w:val="20"/>
          <w:color w:val="auto"/>
        </w:rPr>
      </w:pPr>
    </w:p>
    <w:p>
      <w:pPr>
        <w:jc w:val="center"/>
        <w:ind w:right="-532"/>
        <w:spacing w:after="0"/>
        <w:rPr>
          <w:sz w:val="20"/>
          <w:szCs w:val="20"/>
          <w:color w:val="auto"/>
        </w:rPr>
      </w:pPr>
      <w:r>
        <w:rPr>
          <w:rFonts w:ascii="Times New Roman" w:cs="Times New Roman" w:eastAsia="Times New Roman" w:hAnsi="Times New Roman"/>
          <w:sz w:val="18"/>
          <w:szCs w:val="18"/>
          <w:color w:val="auto"/>
        </w:rPr>
        <w:t>Thomson Reuters Corporation</w:t>
      </w:r>
    </w:p>
    <w:p>
      <w:pPr>
        <w:spacing w:after="0" w:line="7" w:lineRule="exact"/>
        <w:rPr>
          <w:sz w:val="20"/>
          <w:szCs w:val="20"/>
          <w:color w:val="auto"/>
        </w:rPr>
      </w:pPr>
    </w:p>
    <w:p>
      <w:pPr>
        <w:jc w:val="center"/>
        <w:ind w:right="-532"/>
        <w:spacing w:after="0"/>
        <w:rPr>
          <w:sz w:val="20"/>
          <w:szCs w:val="20"/>
          <w:color w:val="auto"/>
        </w:rPr>
      </w:pPr>
      <w:r>
        <w:rPr>
          <w:rFonts w:ascii="Times New Roman" w:cs="Times New Roman" w:eastAsia="Times New Roman" w:hAnsi="Times New Roman"/>
          <w:sz w:val="18"/>
          <w:szCs w:val="18"/>
          <w:color w:val="auto"/>
        </w:rPr>
        <w:t>19 Duncan Street</w:t>
      </w:r>
    </w:p>
    <w:p>
      <w:pPr>
        <w:spacing w:after="0" w:line="7" w:lineRule="exact"/>
        <w:rPr>
          <w:sz w:val="20"/>
          <w:szCs w:val="20"/>
          <w:color w:val="auto"/>
        </w:rPr>
      </w:pPr>
    </w:p>
    <w:p>
      <w:pPr>
        <w:jc w:val="center"/>
        <w:ind w:right="-532"/>
        <w:spacing w:after="0"/>
        <w:rPr>
          <w:sz w:val="20"/>
          <w:szCs w:val="20"/>
          <w:color w:val="auto"/>
        </w:rPr>
      </w:pPr>
      <w:r>
        <w:rPr>
          <w:rFonts w:ascii="Times New Roman" w:cs="Times New Roman" w:eastAsia="Times New Roman" w:hAnsi="Times New Roman"/>
          <w:sz w:val="18"/>
          <w:szCs w:val="18"/>
          <w:color w:val="auto"/>
        </w:rPr>
        <w:t>Toronto, Ontario M5H 3H1</w:t>
      </w:r>
    </w:p>
    <w:p>
      <w:pPr>
        <w:spacing w:after="0" w:line="7" w:lineRule="exact"/>
        <w:rPr>
          <w:sz w:val="20"/>
          <w:szCs w:val="20"/>
          <w:color w:val="auto"/>
        </w:rPr>
      </w:pPr>
    </w:p>
    <w:p>
      <w:pPr>
        <w:jc w:val="center"/>
        <w:ind w:right="-532"/>
        <w:spacing w:after="0"/>
        <w:rPr>
          <w:sz w:val="20"/>
          <w:szCs w:val="20"/>
          <w:color w:val="auto"/>
        </w:rPr>
      </w:pPr>
      <w:r>
        <w:rPr>
          <w:rFonts w:ascii="Times New Roman" w:cs="Times New Roman" w:eastAsia="Times New Roman" w:hAnsi="Times New Roman"/>
          <w:sz w:val="18"/>
          <w:szCs w:val="18"/>
          <w:color w:val="auto"/>
        </w:rPr>
        <w:t>Canada</w:t>
      </w:r>
    </w:p>
    <w:p>
      <w:pPr>
        <w:spacing w:after="0" w:line="135" w:lineRule="exact"/>
        <w:rPr>
          <w:sz w:val="20"/>
          <w:szCs w:val="20"/>
          <w:color w:val="auto"/>
        </w:rPr>
      </w:pPr>
    </w:p>
    <w:p>
      <w:pPr>
        <w:ind w:left="5273"/>
        <w:spacing w:after="0"/>
        <w:rPr>
          <w:sz w:val="20"/>
          <w:szCs w:val="20"/>
          <w:color w:val="auto"/>
        </w:rPr>
      </w:pPr>
      <w:r>
        <w:rPr>
          <w:rFonts w:ascii="Times New Roman" w:cs="Times New Roman" w:eastAsia="Times New Roman" w:hAnsi="Times New Roman"/>
          <w:sz w:val="18"/>
          <w:szCs w:val="18"/>
          <w:color w:val="auto"/>
        </w:rPr>
        <w:t>- 14 -</w:t>
      </w:r>
    </w:p>
    <w:sectPr>
      <w:pgSz w:w="11900" w:h="16838" w:orient="portrait"/>
      <w:cols w:equalWidth="0" w:num="1">
        <w:col w:w="10373"/>
      </w:cols>
      <w:pgMar w:left="487" w:top="264"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
      <w:numFmt w:val="bullet"/>
      <w:start w:val="1"/>
    </w:lvl>
  </w:abstractNum>
  <w:abstractNum w:abstractNumId="15">
    <w:nsid w:val="661E3F1E"/>
    <w:multiLevelType w:val="hybridMultilevel"/>
    <w:lvl w:ilvl="0">
      <w:lvlJc w:val="left"/>
      <w:lvlText w:val="•"/>
      <w:numFmt w:val="bullet"/>
      <w:start w:val="1"/>
    </w:lvl>
    <w:lvl w:ilvl="1">
      <w:lvlJc w:val="left"/>
      <w:lvlText w:val="\endash "/>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1"/>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
      <w:numFmt w:val="bullet"/>
      <w:start w:val="1"/>
    </w:lvl>
  </w:abstractNum>
  <w:abstractNum w:abstractNumId="24">
    <w:nsid w:val="A0382C5"/>
    <w:multiLevelType w:val="hybridMultilevel"/>
    <w:lvl w:ilvl="0">
      <w:lvlJc w:val="left"/>
      <w:lvlText w:val="1"/>
      <w:numFmt w:val="bullet"/>
      <w:start w:val="1"/>
    </w:lvl>
  </w:abstractNum>
  <w:abstractNum w:abstractNumId="25">
    <w:nsid w:val="8F2B15E"/>
    <w:multiLevelType w:val="hybridMultilevel"/>
    <w:lvl w:ilvl="0">
      <w:lvlJc w:val="left"/>
      <w:lvlText w:val="1"/>
      <w:numFmt w:val="bullet"/>
      <w:start w:val="1"/>
    </w:lvl>
  </w:abstractNum>
  <w:abstractNum w:abstractNumId="26">
    <w:nsid w:val="1A32234B"/>
    <w:multiLevelType w:val="hybridMultilevel"/>
    <w:lvl w:ilvl="0">
      <w:lvlJc w:val="left"/>
      <w:lvlText w:val="2"/>
      <w:numFmt w:val="bullet"/>
      <w:start w:val="1"/>
    </w:lvl>
  </w:abstractNum>
  <w:abstractNum w:abstractNumId="27">
    <w:nsid w:val="3B0FD379"/>
    <w:multiLevelType w:val="hybridMultilevel"/>
    <w:lvl w:ilvl="0">
      <w:lvlJc w:val="left"/>
      <w:lvlText w:val="3"/>
      <w:numFmt w:val="bullet"/>
      <w:start w:val="1"/>
    </w:lvl>
  </w:abstractNum>
  <w:abstractNum w:abstractNumId="28">
    <w:nsid w:val="68EB2F63"/>
    <w:multiLevelType w:val="hybridMultilevel"/>
    <w:lvl w:ilvl="0">
      <w:lvlJc w:val="left"/>
      <w:lvlText w:val="1"/>
      <w:numFmt w:val="bullet"/>
      <w:start w:val="1"/>
    </w:lvl>
  </w:abstractNum>
  <w:abstractNum w:abstractNumId="29">
    <w:nsid w:val="4962813B"/>
    <w:multiLevelType w:val="hybridMultilevel"/>
    <w:lvl w:ilvl="0">
      <w:lvlJc w:val="left"/>
      <w:lvlText w:val="2"/>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1"/>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lvl w:ilvl="1">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
      <w:numFmt w:val="bullet"/>
      <w:start w:val="1"/>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
      <w:numFmt w:val="bullet"/>
      <w:start w:val="1"/>
    </w:lvl>
    <w:lvl w:ilvl="1">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X"/>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1"/>
      <w:numFmt w:val="bullet"/>
      <w:start w:val="1"/>
    </w:lvl>
  </w:abstractNum>
  <w:abstractNum w:abstractNumId="90">
    <w:nsid w:val="53584BCB"/>
    <w:multiLevelType w:val="hybridMultilevel"/>
    <w:lvl w:ilvl="0">
      <w:lvlJc w:val="left"/>
      <w:lvlText w:val="2"/>
      <w:numFmt w:val="bullet"/>
      <w:start w:val="1"/>
    </w:lvl>
  </w:abstractNum>
  <w:abstractNum w:abstractNumId="91">
    <w:nsid w:val="415E286C"/>
    <w:multiLevelType w:val="hybridMultilevel"/>
    <w:lvl w:ilvl="0">
      <w:lvlJc w:val="left"/>
      <w:lvlText w:val="3"/>
      <w:numFmt w:val="bullet"/>
      <w:start w:val="1"/>
    </w:lvl>
  </w:abstractNum>
  <w:abstractNum w:abstractNumId="92">
    <w:nsid w:val="7C58FD05"/>
    <w:multiLevelType w:val="hybridMultilevel"/>
    <w:lvl w:ilvl="0">
      <w:lvlJc w:val="left"/>
      <w:lvlText w:val="4"/>
      <w:numFmt w:val="bullet"/>
      <w:start w:val="1"/>
    </w:lvl>
  </w:abstractNum>
  <w:abstractNum w:abstractNumId="93">
    <w:nsid w:val="23D86AAC"/>
    <w:multiLevelType w:val="hybridMultilevel"/>
    <w:lvl w:ilvl="0">
      <w:lvlJc w:val="left"/>
      <w:lvlText w:val="5"/>
      <w:numFmt w:val="bullet"/>
      <w:start w:val="1"/>
    </w:lvl>
  </w:abstractNum>
  <w:abstractNum w:abstractNumId="94">
    <w:nsid w:val="45E6D486"/>
    <w:multiLevelType w:val="hybridMultilevel"/>
    <w:lvl w:ilvl="0">
      <w:lvlJc w:val="left"/>
      <w:lvlText w:val="6"/>
      <w:numFmt w:val="bullet"/>
      <w:start w:val="1"/>
    </w:lvl>
    <w:lvl w:ilvl="1">
      <w:lvlJc w:val="left"/>
      <w:lvlText w:val="•"/>
      <w:numFmt w:val="bullet"/>
      <w:start w:val="1"/>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1"/>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1"/>
      <w:numFmt w:val="bullet"/>
      <w:start w:val="1"/>
    </w:lvl>
  </w:abstractNum>
  <w:abstractNum w:abstractNumId="99">
    <w:nsid w:val="78DF6A55"/>
    <w:multiLevelType w:val="hybridMultilevel"/>
    <w:lvl w:ilvl="0">
      <w:lvlJc w:val="left"/>
      <w:lvlText w:val="2"/>
      <w:numFmt w:val="bullet"/>
      <w:start w:val="1"/>
    </w:lvl>
  </w:abstractNum>
  <w:abstractNum w:abstractNumId="100">
    <w:nsid w:val="39B7AAA2"/>
    <w:multiLevelType w:val="hybridMultilevel"/>
    <w:lvl w:ilvl="0">
      <w:lvlJc w:val="left"/>
      <w:lvlText w:val="3"/>
      <w:numFmt w:val="bullet"/>
      <w:start w:val="1"/>
    </w:lvl>
  </w:abstractNum>
  <w:abstractNum w:abstractNumId="101">
    <w:nsid w:val="2B0D8DBE"/>
    <w:multiLevelType w:val="hybridMultilevel"/>
    <w:lvl w:ilvl="0">
      <w:lvlJc w:val="left"/>
      <w:lvlText w:val="4"/>
      <w:numFmt w:val="bullet"/>
      <w:start w:val="1"/>
    </w:lvl>
  </w:abstractNum>
  <w:abstractNum w:abstractNumId="102">
    <w:nsid w:val="6C80EC70"/>
    <w:multiLevelType w:val="hybridMultilevel"/>
    <w:lvl w:ilvl="0">
      <w:lvlJc w:val="left"/>
      <w:lvlText w:val="5"/>
      <w:numFmt w:val="bullet"/>
      <w:start w:val="1"/>
    </w:lvl>
  </w:abstractNum>
  <w:abstractNum w:abstractNumId="103">
    <w:nsid w:val="379E21B5"/>
    <w:multiLevelType w:val="hybridMultilevel"/>
    <w:lvl w:ilvl="0">
      <w:lvlJc w:val="left"/>
      <w:lvlText w:val="6"/>
      <w:numFmt w:val="bullet"/>
      <w:start w:val="1"/>
    </w:lvl>
  </w:abstractNum>
  <w:abstractNum w:abstractNumId="104">
    <w:nsid w:val="69E373"/>
    <w:multiLevelType w:val="hybridMultilevel"/>
    <w:lvl w:ilvl="0">
      <w:lvlJc w:val="left"/>
      <w:lvlText w:val="1"/>
      <w:numFmt w:val="bullet"/>
      <w:start w:val="1"/>
    </w:lvl>
  </w:abstractNum>
  <w:abstractNum w:abstractNumId="105">
    <w:nsid w:val="2C27173B"/>
    <w:multiLevelType w:val="hybridMultilevel"/>
    <w:lvl w:ilvl="0">
      <w:lvlJc w:val="left"/>
      <w:lvlText w:val="1"/>
      <w:numFmt w:val="bullet"/>
      <w:start w:val="1"/>
    </w:lvl>
  </w:abstractNum>
  <w:abstractNum w:abstractNumId="106">
    <w:nsid w:val="4C9B0904"/>
    <w:multiLevelType w:val="hybridMultilevel"/>
    <w:lvl w:ilvl="0">
      <w:lvlJc w:val="left"/>
      <w:lvlText w:val="(%1)"/>
      <w:numFmt w:val="decimal"/>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1"/>
      <w:numFmt w:val="bullet"/>
      <w:start w:val="1"/>
    </w:lvl>
  </w:abstractNum>
  <w:abstractNum w:abstractNumId="110">
    <w:nsid w:val="3DD15094"/>
    <w:multiLevelType w:val="hybridMultilevel"/>
    <w:lvl w:ilvl="0">
      <w:lvlJc w:val="left"/>
      <w:lvlText w:val="2"/>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lvl w:ilvl="1">
      <w:lvlJc w:val="left"/>
      <w:lvlText w:val="¡"/>
      <w:numFmt w:val="bullet"/>
      <w:start w:val="1"/>
    </w:lvl>
  </w:abstractNum>
  <w:abstractNum w:abstractNumId="114">
    <w:nsid w:val="175DFCF0"/>
    <w:multiLevelType w:val="hybridMultilevel"/>
    <w:lvl w:ilvl="0">
      <w:lvlJc w:val="left"/>
      <w:lvlText w:val="%1."/>
      <w:numFmt w:val="decimal"/>
      <w:start w:val="1"/>
    </w:lvl>
    <w:lvl w:ilvl="1">
      <w:lvlJc w:val="left"/>
      <w:lvlText w:val="(%2)"/>
      <w:numFmt w:val="lowerLetter"/>
      <w:start w:val="1"/>
    </w:lvl>
  </w:abstractNum>
  <w:abstractNum w:abstractNumId="115">
    <w:nsid w:val="4F97E3E4"/>
    <w:multiLevelType w:val="hybridMultilevel"/>
    <w:lvl w:ilvl="0">
      <w:lvlJc w:val="left"/>
      <w:lvlText w:val="(%1)"/>
      <w:numFmt w:val="lowerLetter"/>
      <w:start w:val="2"/>
    </w:lvl>
    <w:lvl w:ilvl="1">
      <w:lvlJc w:val="left"/>
      <w:lvlText w:val="-"/>
      <w:numFmt w:val="bullet"/>
      <w:start w:val="1"/>
    </w:lvl>
  </w:abstractNum>
  <w:abstractNum w:abstractNumId="116">
    <w:nsid w:val="53B0A9E"/>
    <w:multiLevelType w:val="hybridMultilevel"/>
    <w:lvl w:ilvl="0">
      <w:lvlJc w:val="left"/>
      <w:lvlText w:val="(%1)"/>
      <w:numFmt w:val="lowerLetter"/>
      <w:start w:val="4"/>
    </w:lvl>
    <w:lvl w:ilvl="1">
      <w:lvlJc w:val="left"/>
      <w:lvlText w:val="-"/>
      <w:numFmt w:val="bullet"/>
      <w:start w:val="1"/>
    </w:lvl>
  </w:abstractNum>
  <w:abstractNum w:abstractNumId="117">
    <w:nsid w:val="34FD6B4F"/>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18">
    <w:nsid w:val="5915FF32"/>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19">
    <w:nsid w:val="56438D15"/>
    <w:multiLevelType w:val="hybridMultilevel"/>
    <w:lvl w:ilvl="0">
      <w:lvlJc w:val="left"/>
      <w:lvlText w:val="(%1)"/>
      <w:numFmt w:val="lowerLetter"/>
      <w:start w:val="5"/>
    </w:lvl>
    <w:lvl w:ilvl="1">
      <w:lvlJc w:val="left"/>
      <w:lvlText w:val="•"/>
      <w:numFmt w:val="bullet"/>
      <w:start w:val="1"/>
    </w:lvl>
    <w:lvl w:ilvl="2">
      <w:lvlJc w:val="left"/>
      <w:lvlText w:val="-"/>
      <w:numFmt w:val="bullet"/>
      <w:start w:val="1"/>
    </w:lvl>
  </w:abstractNum>
  <w:abstractNum w:abstractNumId="120">
    <w:nsid w:val="519E3149"/>
    <w:multiLevelType w:val="hybridMultilevel"/>
    <w:lvl w:ilvl="0">
      <w:lvlJc w:val="left"/>
      <w:lvlText w:val="%1."/>
      <w:numFmt w:val="decimal"/>
      <w:start w:val="4"/>
    </w:lvl>
    <w:lvl w:ilvl="1">
      <w:lvlJc w:val="left"/>
      <w:lvlText w:val="•"/>
      <w:numFmt w:val="bullet"/>
      <w:start w:val="1"/>
    </w:lvl>
  </w:abstractNum>
  <w:abstractNum w:abstractNumId="121">
    <w:nsid w:val="2C6E4AFD"/>
    <w:multiLevelType w:val="hybridMultilevel"/>
    <w:lvl w:ilvl="0">
      <w:lvlJc w:val="left"/>
      <w:lvlText w:val="%1."/>
      <w:numFmt w:val="decimal"/>
      <w:start w:val="5"/>
    </w:lvl>
    <w:lvl w:ilvl="1">
      <w:lvlJc w:val="left"/>
      <w:lvlText w:val="-"/>
      <w:numFmt w:val="bullet"/>
      <w:start w:val="1"/>
    </w:lvl>
  </w:abstractNum>
  <w:abstractNum w:abstractNumId="122">
    <w:nsid w:val="17A1B582"/>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23">
    <w:nsid w:val="4DF72E4E"/>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24">
    <w:nsid w:val="5046B5A9"/>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25">
    <w:nsid w:val="5D888A0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26">
    <w:nsid w:val="2A082C70"/>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27">
    <w:nsid w:val="5EC6AFD4"/>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128">
    <w:nsid w:val="19E21BB2"/>
    <w:multiLevelType w:val="hybridMultilevel"/>
    <w:lvl w:ilvl="0">
      <w:lvlJc w:val="left"/>
      <w:lvlText w:val="%1."/>
      <w:numFmt w:val="decimal"/>
      <w:start w:val="14"/>
    </w:lvl>
    <w:lvl w:ilvl="1">
      <w:lvlJc w:val="left"/>
      <w:lvlText w:val="-"/>
      <w:numFmt w:val="bullet"/>
      <w:start w:val="1"/>
    </w:lvl>
  </w:abstractNum>
  <w:abstractNum w:abstractNumId="129">
    <w:nsid w:val="75E0858A"/>
    <w:multiLevelType w:val="hybridMultilevel"/>
    <w:lvl w:ilvl="0">
      <w:lvlJc w:val="left"/>
      <w:lvlText w:val="%1."/>
      <w:numFmt w:val="decimal"/>
      <w:start w:val="17"/>
    </w:lvl>
    <w:lvl w:ilvl="1">
      <w:lvlJc w:val="left"/>
      <w:lvlText w:val="-"/>
      <w:numFmt w:val="bullet"/>
      <w:start w:val="1"/>
    </w:lvl>
  </w:abstractNum>
  <w:abstractNum w:abstractNumId="130">
    <w:nsid w:val="57A61A29"/>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2026-04-16T05:14:43Z</dcterms:created>
  <dcterms:modified xsi:type="dcterms:W3CDTF">2026-04-16T05:14:43Z</dcterms:modified>
</cp:coreProperties>
</file>