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475932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59325" cy="128905"/>
                    </a:xfrm>
                    <a:prstGeom prst="rect">
                      <a:avLst/>
                    </a:prstGeom>
                    <a:noFill/>
                  </pic:spPr>
                </pic:pic>
              </a:graphicData>
            </a:graphic>
          </wp:anchor>
        </w:drawing>
      </w:r>
    </w:p>
    <w:p>
      <w:pPr>
        <w:jc w:val="center"/>
        <w:ind w:right="2699"/>
        <w:spacing w:after="0"/>
        <w:rPr>
          <w:sz w:val="20"/>
          <w:szCs w:val="20"/>
          <w:color w:val="auto"/>
        </w:rPr>
      </w:pPr>
      <w:r>
        <w:rPr>
          <w:rFonts w:ascii="Arial" w:cs="Arial" w:eastAsia="Arial" w:hAnsi="Arial"/>
          <w:sz w:val="18"/>
          <w:szCs w:val="18"/>
          <w:color w:val="auto"/>
        </w:rPr>
        <w:t>UNITED STATES</w:t>
      </w:r>
    </w:p>
    <w:p>
      <w:pPr>
        <w:jc w:val="center"/>
        <w:ind w:right="2699"/>
        <w:spacing w:after="0" w:line="234" w:lineRule="auto"/>
        <w:rPr>
          <w:sz w:val="20"/>
          <w:szCs w:val="20"/>
          <w:color w:val="auto"/>
        </w:rPr>
      </w:pPr>
      <w:r>
        <w:rPr>
          <w:rFonts w:ascii="Arial" w:cs="Arial" w:eastAsia="Arial" w:hAnsi="Arial"/>
          <w:sz w:val="18"/>
          <w:szCs w:val="18"/>
          <w:color w:val="auto"/>
        </w:rPr>
        <w:t>SECURITIES AND EXCHANGE COMMISSION</w:t>
      </w:r>
    </w:p>
    <w:p>
      <w:pPr>
        <w:jc w:val="center"/>
        <w:ind w:right="2699"/>
        <w:spacing w:after="0" w:line="235"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ind w:right="2699"/>
        <w:spacing w:after="0"/>
        <w:rPr>
          <w:sz w:val="20"/>
          <w:szCs w:val="20"/>
          <w:color w:val="auto"/>
        </w:rPr>
      </w:pPr>
      <w:r>
        <w:rPr>
          <w:rFonts w:ascii="Arial" w:cs="Arial" w:eastAsia="Arial" w:hAnsi="Arial"/>
          <w:sz w:val="18"/>
          <w:szCs w:val="18"/>
          <w:color w:val="auto"/>
        </w:rPr>
        <w:t>FORM 20-F</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198" w:lineRule="exact"/>
        <w:rPr>
          <w:sz w:val="24"/>
          <w:szCs w:val="24"/>
          <w:color w:val="auto"/>
        </w:rPr>
      </w:pPr>
    </w:p>
    <w:p>
      <w:pPr>
        <w:ind w:left="520" w:right="3559" w:hanging="512"/>
        <w:spacing w:after="0" w:line="239" w:lineRule="auto"/>
        <w:tabs>
          <w:tab w:leader="none" w:pos="5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8"/>
          <w:szCs w:val="18"/>
          <w:color w:val="auto"/>
        </w:rPr>
        <w:t>REGISTRATION STATEMENT PURSUANT TO SECTION 12(b) or (g) OF THE SECURITIES EXCHANGE ACT OF 1934</w:t>
      </w:r>
    </w:p>
    <w:p>
      <w:pPr>
        <w:spacing w:after="0" w:line="19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520" w:right="3259" w:hanging="512"/>
        <w:spacing w:after="0" w:line="239"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15(b) OF THE SECURITIES EXCHANGE ACT OF 1934</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fiscal year ending </w:t>
      </w:r>
      <w:r>
        <w:rPr>
          <w:rFonts w:ascii="Arial" w:cs="Arial" w:eastAsia="Arial" w:hAnsi="Arial"/>
          <w:sz w:val="18"/>
          <w:szCs w:val="18"/>
          <w:b w:val="1"/>
          <w:bCs w:val="1"/>
          <w:color w:val="auto"/>
        </w:rPr>
        <w:t>December 31, 2002</w:t>
      </w:r>
    </w:p>
    <w:p>
      <w:pPr>
        <w:spacing w:after="0" w:line="220"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520" w:right="2859" w:hanging="512"/>
        <w:spacing w:after="0" w:line="239" w:lineRule="auto"/>
        <w:tabs>
          <w:tab w:leader="none" w:pos="5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8"/>
          <w:szCs w:val="18"/>
          <w:color w:val="auto"/>
        </w:rPr>
        <w:t>TRANSITION REPORT PURUSANT TO SECTION 13 OR 15 (d) OF THE 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from _______________ to ______________</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6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333-08354</w:t>
            </w:r>
          </w:p>
        </w:tc>
      </w:tr>
    </w:tbl>
    <w:p>
      <w:pPr>
        <w:spacing w:after="0" w:line="186" w:lineRule="exact"/>
        <w:rPr>
          <w:sz w:val="24"/>
          <w:szCs w:val="24"/>
          <w:color w:val="auto"/>
        </w:rPr>
      </w:pPr>
    </w:p>
    <w:p>
      <w:pPr>
        <w:jc w:val="center"/>
        <w:ind w:right="2699"/>
        <w:spacing w:after="0"/>
        <w:rPr>
          <w:sz w:val="20"/>
          <w:szCs w:val="20"/>
          <w:color w:val="auto"/>
        </w:rPr>
      </w:pPr>
      <w:r>
        <w:rPr>
          <w:rFonts w:ascii="Arial" w:cs="Arial" w:eastAsia="Arial" w:hAnsi="Arial"/>
          <w:sz w:val="18"/>
          <w:szCs w:val="18"/>
          <w:b w:val="1"/>
          <w:bCs w:val="1"/>
          <w:color w:val="auto"/>
        </w:rPr>
        <w:t>Reuters Group PLC</w:t>
      </w:r>
    </w:p>
    <w:p>
      <w:pPr>
        <w:spacing w:after="0" w:line="18" w:lineRule="exact"/>
        <w:rPr>
          <w:sz w:val="24"/>
          <w:szCs w:val="24"/>
          <w:color w:val="auto"/>
        </w:rPr>
      </w:pPr>
    </w:p>
    <w:p>
      <w:pPr>
        <w:jc w:val="center"/>
        <w:ind w:right="269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p>
      <w:pPr>
        <w:jc w:val="center"/>
        <w:ind w:right="2699"/>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(Translation of Registrant’s Name Into English)</w:t>
      </w:r>
    </w:p>
    <w:p>
      <w:pPr>
        <w:spacing w:after="0" w:line="379" w:lineRule="exact"/>
        <w:rPr>
          <w:sz w:val="24"/>
          <w:szCs w:val="24"/>
          <w:color w:val="auto"/>
        </w:rPr>
      </w:pPr>
    </w:p>
    <w:p>
      <w:pPr>
        <w:jc w:val="center"/>
        <w:ind w:right="2759"/>
        <w:spacing w:after="0"/>
        <w:rPr>
          <w:sz w:val="20"/>
          <w:szCs w:val="20"/>
          <w:color w:val="auto"/>
        </w:rPr>
      </w:pPr>
      <w:r>
        <w:rPr>
          <w:rFonts w:ascii="Arial" w:cs="Arial" w:eastAsia="Arial" w:hAnsi="Arial"/>
          <w:sz w:val="18"/>
          <w:szCs w:val="18"/>
          <w:b w:val="1"/>
          <w:bCs w:val="1"/>
          <w:color w:val="auto"/>
        </w:rPr>
        <w:t>England</w:t>
      </w:r>
    </w:p>
    <w:p>
      <w:pPr>
        <w:spacing w:after="0" w:line="18" w:lineRule="exact"/>
        <w:rPr>
          <w:sz w:val="24"/>
          <w:szCs w:val="24"/>
          <w:color w:val="auto"/>
        </w:rPr>
      </w:pPr>
    </w:p>
    <w:p>
      <w:pPr>
        <w:jc w:val="center"/>
        <w:ind w:right="2699"/>
        <w:spacing w:after="0"/>
        <w:rPr>
          <w:sz w:val="20"/>
          <w:szCs w:val="20"/>
          <w:color w:val="auto"/>
        </w:rPr>
      </w:pPr>
      <w:r>
        <w:rPr>
          <w:rFonts w:ascii="Arial" w:cs="Arial" w:eastAsia="Arial" w:hAnsi="Arial"/>
          <w:sz w:val="18"/>
          <w:szCs w:val="18"/>
          <w:color w:val="auto"/>
        </w:rPr>
        <w:t>(Jurisdiction of Incorporation or Organization)</w:t>
      </w:r>
    </w:p>
    <w:p>
      <w:pPr>
        <w:spacing w:after="0" w:line="379"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85 Fleet Street, London EC4P 4AJ, England</w:t>
      </w:r>
    </w:p>
    <w:p>
      <w:pPr>
        <w:spacing w:after="0" w:line="18"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(Address of Principal Executive Offices)</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or to be registered pursuant to Section 12(b) of the Act: </w:t>
      </w:r>
      <w:r>
        <w:rPr>
          <w:rFonts w:ascii="Arial" w:cs="Arial" w:eastAsia="Arial" w:hAnsi="Arial"/>
          <w:sz w:val="18"/>
          <w:szCs w:val="18"/>
          <w:b w:val="1"/>
          <w:bCs w:val="1"/>
          <w:color w:val="auto"/>
        </w:rPr>
        <w:t>None</w:t>
      </w:r>
    </w:p>
    <w:p>
      <w:pPr>
        <w:spacing w:after="0" w:line="198" w:lineRule="exact"/>
        <w:rPr>
          <w:sz w:val="24"/>
          <w:szCs w:val="24"/>
          <w:color w:val="auto"/>
        </w:rPr>
      </w:pPr>
    </w:p>
    <w:p>
      <w:pPr>
        <w:ind w:right="2859"/>
        <w:spacing w:after="0" w:line="264" w:lineRule="auto"/>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Ordinary Shares</w:t>
      </w:r>
      <w:r>
        <w:rPr>
          <w:rFonts w:ascii="Arial" w:cs="Arial" w:eastAsia="Arial" w:hAnsi="Arial"/>
          <w:sz w:val="18"/>
          <w:szCs w:val="18"/>
          <w:color w:val="auto"/>
        </w:rPr>
        <w:t xml:space="preserve"> </w:t>
      </w:r>
      <w:r>
        <w:rPr>
          <w:rFonts w:ascii="Arial" w:cs="Arial" w:eastAsia="Arial" w:hAnsi="Arial"/>
          <w:sz w:val="18"/>
          <w:szCs w:val="18"/>
          <w:b w:val="1"/>
          <w:bCs w:val="1"/>
          <w:color w:val="auto"/>
        </w:rPr>
        <w:t>of 25p each</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0" w:lineRule="exact"/>
        <w:rPr>
          <w:sz w:val="24"/>
          <w:szCs w:val="24"/>
          <w:color w:val="auto"/>
        </w:rPr>
      </w:pPr>
    </w:p>
    <w:p>
      <w:pPr>
        <w:ind w:right="2859"/>
        <w:spacing w:after="0" w:line="239"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3"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Ordinary Shares of 25p each ……….1,432,523,249</w:t>
      </w:r>
    </w:p>
    <w:p>
      <w:pPr>
        <w:spacing w:after="0" w:line="18"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Founders Share of £1 ………………………………1</w:t>
      </w:r>
    </w:p>
    <w:p>
      <w:pPr>
        <w:spacing w:after="0" w:line="198" w:lineRule="exact"/>
        <w:rPr>
          <w:sz w:val="24"/>
          <w:szCs w:val="24"/>
          <w:color w:val="auto"/>
        </w:rPr>
      </w:pPr>
    </w:p>
    <w:p>
      <w:pPr>
        <w:ind w:right="2859"/>
        <w:spacing w:after="0" w:line="23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3"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Yes ___</w:t>
      </w:r>
      <w:r>
        <w:rPr>
          <w:rFonts w:ascii="Arial" w:cs="Arial" w:eastAsia="Arial" w:hAnsi="Arial"/>
          <w:sz w:val="18"/>
          <w:szCs w:val="18"/>
          <w:b w:val="1"/>
          <w:bCs w:val="1"/>
          <w:color w:val="auto"/>
        </w:rPr>
        <w:t>X</w:t>
      </w:r>
      <w:r>
        <w:rPr>
          <w:rFonts w:ascii="Arial" w:cs="Arial" w:eastAsia="Arial" w:hAnsi="Arial"/>
          <w:sz w:val="18"/>
          <w:szCs w:val="18"/>
          <w:color w:val="auto"/>
        </w:rPr>
        <w:t xml:space="preserve"> ___ No _______</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which financial statement item the registrant has elected to follow</w:t>
      </w:r>
    </w:p>
    <w:p>
      <w:pPr>
        <w:spacing w:after="0" w:line="176"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Item 17 ___</w:t>
      </w:r>
      <w:r>
        <w:rPr>
          <w:rFonts w:ascii="Arial" w:cs="Arial" w:eastAsia="Arial" w:hAnsi="Arial"/>
          <w:sz w:val="18"/>
          <w:szCs w:val="18"/>
          <w:b w:val="1"/>
          <w:bCs w:val="1"/>
          <w:color w:val="auto"/>
        </w:rPr>
        <w:t>X</w:t>
      </w:r>
      <w:r>
        <w:rPr>
          <w:rFonts w:ascii="Arial" w:cs="Arial" w:eastAsia="Arial" w:hAnsi="Arial"/>
          <w:sz w:val="18"/>
          <w:szCs w:val="18"/>
          <w:color w:val="auto"/>
        </w:rPr>
        <w:t>___ Item 18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475932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5932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4759325"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9325"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Contents Navigation - click below to link to areas of this 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475932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9325" cy="137160"/>
                    </a:xfrm>
                    <a:prstGeom prst="rect">
                      <a:avLst/>
                    </a:prstGeom>
                    <a:noFill/>
                  </pic:spPr>
                </pic:pic>
              </a:graphicData>
            </a:graphic>
          </wp:anchor>
        </w:drawing>
      </w:r>
    </w:p>
    <w:p>
      <w:pPr>
        <w:spacing w:after="0" w:line="14" w:lineRule="exact"/>
        <w:rPr>
          <w:sz w:val="24"/>
          <w:szCs w:val="24"/>
          <w:color w:val="auto"/>
        </w:rPr>
      </w:pPr>
    </w:p>
    <w:tbl>
      <w:tblPr>
        <w:tblLayout w:type="fixed"/>
        <w:tblInd w:w="140" w:type="dxa"/>
        <w:tblCellMar>
          <w:top w:w="0" w:type="dxa"/>
          <w:left w:w="0" w:type="dxa"/>
          <w:bottom w:w="0" w:type="dxa"/>
          <w:right w:w="0" w:type="dxa"/>
        </w:tblCellMar>
      </w:tblPr>
      <w:tr>
        <w:trPr>
          <w:trHeight w:val="358"/>
        </w:trPr>
        <w:tc>
          <w:tcPr>
            <w:tcW w:w="3620" w:type="dxa"/>
            <w:vAlign w:val="bottom"/>
            <w:tcBorders>
              <w:right w:val="single" w:sz="8" w:color="DDDDDD"/>
            </w:tcBorders>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highlights/Five year</w:t>
              </w:r>
            </w:hyperlink>
          </w:p>
        </w:tc>
        <w:tc>
          <w:tcPr>
            <w:tcW w:w="140" w:type="dxa"/>
            <w:vAlign w:val="bottom"/>
          </w:tcPr>
          <w:p>
            <w:pPr>
              <w:spacing w:after="0"/>
              <w:rPr>
                <w:sz w:val="24"/>
                <w:szCs w:val="24"/>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0000EE"/>
              </w:rPr>
              <w:t>Balance sheet of Reuters Group PLC</w:t>
            </w:r>
          </w:p>
        </w:tc>
      </w:tr>
      <w:tr>
        <w:trPr>
          <w:trHeight w:val="20"/>
        </w:trPr>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DDDDDD"/>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306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2">
              <w:r>
                <w:rPr>
                  <w:rFonts w:ascii="Arial" w:cs="Arial" w:eastAsia="Arial" w:hAnsi="Arial"/>
                  <w:sz w:val="18"/>
                  <w:szCs w:val="18"/>
                  <w:color w:val="0000EE"/>
                  <w:w w:val="97"/>
                </w:rPr>
                <w:t>summary/Three year Reuters customer</w:t>
              </w:r>
            </w:hyperlink>
          </w:p>
        </w:tc>
        <w:tc>
          <w:tcPr>
            <w:tcW w:w="560" w:type="dxa"/>
            <w:vAlign w:val="bottom"/>
            <w:tcBorders>
              <w:right w:val="single" w:sz="8" w:color="DDDDDD"/>
            </w:tcBorders>
            <w:gridSpan w:val="2"/>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7"/>
              </w:rPr>
              <w:t>Notes on the balance sheet of Reuters Group</w:t>
            </w:r>
          </w:p>
        </w:tc>
      </w:tr>
      <w:tr>
        <w:trPr>
          <w:trHeight w:val="183"/>
        </w:trPr>
        <w:tc>
          <w:tcPr>
            <w:tcW w:w="318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2">
              <w:r>
                <w:rPr>
                  <w:rFonts w:ascii="Arial" w:cs="Arial" w:eastAsia="Arial" w:hAnsi="Arial"/>
                  <w:sz w:val="18"/>
                  <w:szCs w:val="18"/>
                  <w:color w:val="0000EE"/>
                  <w:w w:val="97"/>
                </w:rPr>
                <w:t>segments and Instinet revenue summary</w:t>
              </w:r>
            </w:hyperlink>
          </w:p>
        </w:tc>
        <w:tc>
          <w:tcPr>
            <w:tcW w:w="440" w:type="dxa"/>
            <w:vAlign w:val="bottom"/>
            <w:tcBorders>
              <w:right w:val="single" w:sz="8" w:color="DDDDDD"/>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1"/>
              </w:rPr>
              <w:t>PLC</w:t>
            </w:r>
          </w:p>
        </w:tc>
        <w:tc>
          <w:tcPr>
            <w:tcW w:w="3200" w:type="dxa"/>
            <w:vAlign w:val="bottom"/>
            <w:gridSpan w:val="4"/>
          </w:tcPr>
          <w:p>
            <w:pPr>
              <w:spacing w:after="0"/>
              <w:rPr>
                <w:sz w:val="15"/>
                <w:szCs w:val="15"/>
                <w:color w:val="auto"/>
              </w:rPr>
            </w:pPr>
          </w:p>
        </w:tc>
      </w:tr>
      <w:tr>
        <w:trPr>
          <w:trHeight w:val="183"/>
        </w:trPr>
        <w:tc>
          <w:tcPr>
            <w:tcW w:w="3620" w:type="dxa"/>
            <w:vAlign w:val="bottom"/>
            <w:tcBorders>
              <w:right w:val="single" w:sz="8" w:color="DDDDDD"/>
            </w:tcBorders>
            <w:gridSpan w:val="6"/>
          </w:tcPr>
          <w:p>
            <w:pPr>
              <w:spacing w:after="0" w:line="182" w:lineRule="exact"/>
              <w:rPr>
                <w:sz w:val="20"/>
                <w:szCs w:val="20"/>
                <w:color w:val="auto"/>
              </w:rPr>
            </w:pPr>
            <w:r>
              <w:rPr>
                <w:rFonts w:ascii="Arial" w:cs="Arial" w:eastAsia="Arial" w:hAnsi="Arial"/>
                <w:sz w:val="18"/>
                <w:szCs w:val="18"/>
                <w:color w:val="0000EE"/>
              </w:rPr>
              <w:t>Selected financial data</w:t>
            </w:r>
          </w:p>
        </w:tc>
        <w:tc>
          <w:tcPr>
            <w:tcW w:w="140" w:type="dxa"/>
            <w:vAlign w:val="bottom"/>
          </w:tcPr>
          <w:p>
            <w:pPr>
              <w:spacing w:after="0"/>
              <w:rPr>
                <w:sz w:val="15"/>
                <w:szCs w:val="15"/>
                <w:color w:val="auto"/>
              </w:rPr>
            </w:pPr>
          </w:p>
        </w:tc>
        <w:tc>
          <w:tcPr>
            <w:tcW w:w="3540" w:type="dxa"/>
            <w:vAlign w:val="bottom"/>
            <w:gridSpan w:val="5"/>
          </w:tcPr>
          <w:p>
            <w:pPr>
              <w:spacing w:after="0" w:line="182" w:lineRule="exact"/>
              <w:rPr>
                <w:sz w:val="20"/>
                <w:szCs w:val="20"/>
                <w:color w:val="auto"/>
              </w:rPr>
            </w:pPr>
            <w:r>
              <w:rPr>
                <w:rFonts w:ascii="Arial" w:cs="Arial" w:eastAsia="Arial" w:hAnsi="Arial"/>
                <w:sz w:val="18"/>
                <w:szCs w:val="18"/>
                <w:color w:val="0000EE"/>
              </w:rPr>
              <w:t>Accounting policies</w:t>
            </w:r>
          </w:p>
        </w:tc>
      </w:tr>
      <w:tr>
        <w:trPr>
          <w:trHeight w:val="20"/>
        </w:trPr>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tcBorders>
              <w:right w:val="single" w:sz="8" w:color="DDDDDD"/>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760" w:type="dxa"/>
            <w:vAlign w:val="bottom"/>
            <w:gridSpan w:val="2"/>
          </w:tcPr>
          <w:p>
            <w:pPr>
              <w:spacing w:after="0" w:line="182" w:lineRule="exact"/>
              <w:rPr>
                <w:sz w:val="20"/>
                <w:szCs w:val="20"/>
                <w:color w:val="auto"/>
              </w:rPr>
            </w:pPr>
            <w:r>
              <w:rPr>
                <w:rFonts w:ascii="Arial" w:cs="Arial" w:eastAsia="Arial" w:hAnsi="Arial"/>
                <w:sz w:val="18"/>
                <w:szCs w:val="18"/>
                <w:color w:val="0000EE"/>
              </w:rPr>
              <w:t>Company information</w:t>
            </w:r>
          </w:p>
        </w:tc>
        <w:tc>
          <w:tcPr>
            <w:tcW w:w="1860" w:type="dxa"/>
            <w:vAlign w:val="bottom"/>
            <w:tcBorders>
              <w:right w:val="single" w:sz="8" w:color="DDDDDD"/>
            </w:tcBorders>
            <w:gridSpan w:val="4"/>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gridSpan w:val="5"/>
          </w:tcPr>
          <w:p>
            <w:pPr>
              <w:spacing w:after="0" w:line="182" w:lineRule="exact"/>
              <w:rPr>
                <w:sz w:val="20"/>
                <w:szCs w:val="20"/>
                <w:color w:val="auto"/>
              </w:rPr>
            </w:pPr>
            <w:r>
              <w:rPr>
                <w:rFonts w:ascii="Arial" w:cs="Arial" w:eastAsia="Arial" w:hAnsi="Arial"/>
                <w:sz w:val="18"/>
                <w:szCs w:val="18"/>
                <w:color w:val="0000EE"/>
                <w:w w:val="98"/>
              </w:rPr>
              <w:t>Summary of differences between UK and US</w:t>
            </w:r>
          </w:p>
        </w:tc>
      </w:tr>
      <w:tr>
        <w:trPr>
          <w:trHeight w:val="158"/>
        </w:trPr>
        <w:tc>
          <w:tcPr>
            <w:tcW w:w="16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right w:val="single" w:sz="8" w:color="DDDDDD"/>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r>
    </w:tbl>
    <w:p>
      <w:pPr>
        <w:sectPr>
          <w:pgSz w:w="11900" w:h="16900" w:orient="portrait"/>
          <w:cols w:equalWidth="0" w:num="1">
            <w:col w:w="10219"/>
          </w:cols>
          <w:pgMar w:left="240" w:top="854" w:right="1440" w:bottom="0" w:gutter="0" w:footer="0" w:header="0"/>
        </w:sectPr>
      </w:pPr>
    </w:p>
    <w:bookmarkStart w:id="1" w:name="page2"/>
    <w:bookmarkEnd w:id="1"/>
    <w:p>
      <w:pPr>
        <w:ind w:left="140"/>
        <w:spacing w:after="0"/>
        <w:rPr>
          <w:sz w:val="20"/>
          <w:szCs w:val="20"/>
          <w:color w:val="auto"/>
        </w:rPr>
      </w:pPr>
      <w:r>
        <w:rPr>
          <w:rFonts w:ascii="Arial" w:cs="Arial" w:eastAsia="Arial" w:hAnsi="Arial"/>
          <w:sz w:val="18"/>
          <w:szCs w:val="18"/>
          <w:u w:val="single" w:color="auto"/>
          <w:color w:val="0000EE"/>
        </w:rPr>
        <w:t>Directors' report</w:t>
      </w:r>
    </w:p>
    <w:p>
      <w:pPr>
        <w:ind w:left="140"/>
        <w:spacing w:after="0" w:line="234" w:lineRule="auto"/>
        <w:rPr>
          <w:sz w:val="20"/>
          <w:szCs w:val="20"/>
          <w:color w:val="auto"/>
        </w:rPr>
      </w:pPr>
      <w:r>
        <w:rPr>
          <w:rFonts w:ascii="Arial" w:cs="Arial" w:eastAsia="Arial" w:hAnsi="Arial"/>
          <w:sz w:val="18"/>
          <w:szCs w:val="18"/>
          <w:u w:val="single" w:color="auto"/>
          <w:color w:val="0000EE"/>
        </w:rPr>
        <w:t>Directors and senior executives</w:t>
      </w:r>
    </w:p>
    <w:p>
      <w:pPr>
        <w:ind w:left="140"/>
        <w:spacing w:after="0" w:line="235" w:lineRule="auto"/>
        <w:rPr>
          <w:sz w:val="20"/>
          <w:szCs w:val="20"/>
          <w:color w:val="auto"/>
        </w:rPr>
      </w:pPr>
      <w:r>
        <w:rPr>
          <w:rFonts w:ascii="Arial" w:cs="Arial" w:eastAsia="Arial" w:hAnsi="Arial"/>
          <w:sz w:val="18"/>
          <w:szCs w:val="18"/>
          <w:u w:val="single" w:color="auto"/>
          <w:color w:val="0000EE"/>
        </w:rPr>
        <w:t>Corporate governance</w:t>
      </w:r>
    </w:p>
    <w:p>
      <w:pPr>
        <w:ind w:left="140"/>
        <w:spacing w:after="0" w:line="235" w:lineRule="auto"/>
        <w:rPr>
          <w:sz w:val="20"/>
          <w:szCs w:val="20"/>
          <w:color w:val="auto"/>
        </w:rPr>
      </w:pPr>
      <w:r>
        <w:rPr>
          <w:rFonts w:ascii="Arial" w:cs="Arial" w:eastAsia="Arial" w:hAnsi="Arial"/>
          <w:sz w:val="18"/>
          <w:szCs w:val="18"/>
          <w:u w:val="single" w:color="auto"/>
          <w:color w:val="0000EE"/>
        </w:rPr>
        <w:t>Remuneration report</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u w:val="single" w:color="auto"/>
          <w:color w:val="0000EE"/>
        </w:rPr>
        <w:t>Statement of directors' responsibilities Operating and financial review Consolidated profit and loss account Consolidated statement of total recognised gains and losses</w:t>
      </w:r>
    </w:p>
    <w:p>
      <w:pPr>
        <w:spacing w:after="0" w:line="4" w:lineRule="exact"/>
        <w:rPr>
          <w:sz w:val="20"/>
          <w:szCs w:val="20"/>
          <w:color w:val="auto"/>
        </w:rPr>
      </w:pPr>
    </w:p>
    <w:p>
      <w:pPr>
        <w:ind w:left="140" w:right="160"/>
        <w:spacing w:after="0" w:line="234" w:lineRule="auto"/>
        <w:rPr>
          <w:sz w:val="20"/>
          <w:szCs w:val="20"/>
          <w:color w:val="auto"/>
        </w:rPr>
      </w:pPr>
      <w:r>
        <w:rPr>
          <w:rFonts w:ascii="Arial" w:cs="Arial" w:eastAsia="Arial" w:hAnsi="Arial"/>
          <w:sz w:val="18"/>
          <w:szCs w:val="18"/>
          <w:u w:val="single" w:color="auto"/>
          <w:color w:val="0000EE"/>
        </w:rPr>
        <w:t>Notes on the consolidated profit and loss account</w:t>
      </w:r>
    </w:p>
    <w:p>
      <w:pPr>
        <w:spacing w:after="0" w:line="2" w:lineRule="exact"/>
        <w:rPr>
          <w:sz w:val="20"/>
          <w:szCs w:val="20"/>
          <w:color w:val="auto"/>
        </w:rPr>
      </w:pPr>
    </w:p>
    <w:p>
      <w:pPr>
        <w:ind w:left="140" w:right="520"/>
        <w:spacing w:after="0" w:line="234" w:lineRule="auto"/>
        <w:rPr>
          <w:sz w:val="20"/>
          <w:szCs w:val="20"/>
          <w:color w:val="auto"/>
        </w:rPr>
      </w:pPr>
      <w:r>
        <w:rPr>
          <w:rFonts w:ascii="Arial" w:cs="Arial" w:eastAsia="Arial" w:hAnsi="Arial"/>
          <w:sz w:val="18"/>
          <w:szCs w:val="18"/>
          <w:u w:val="single" w:color="auto"/>
          <w:color w:val="0000EE"/>
        </w:rPr>
        <w:t>Consolidated cash flow statement Notes on the consolidated cash flow statement</w:t>
      </w:r>
    </w:p>
    <w:p>
      <w:pPr>
        <w:spacing w:after="0" w:line="2" w:lineRule="exact"/>
        <w:rPr>
          <w:sz w:val="20"/>
          <w:szCs w:val="20"/>
          <w:color w:val="auto"/>
        </w:rPr>
      </w:pPr>
    </w:p>
    <w:p>
      <w:pPr>
        <w:ind w:left="140" w:right="900"/>
        <w:spacing w:after="0" w:line="234" w:lineRule="auto"/>
        <w:rPr>
          <w:sz w:val="20"/>
          <w:szCs w:val="20"/>
          <w:color w:val="auto"/>
        </w:rPr>
      </w:pPr>
      <w:r>
        <w:rPr>
          <w:rFonts w:ascii="Arial" w:cs="Arial" w:eastAsia="Arial" w:hAnsi="Arial"/>
          <w:sz w:val="18"/>
          <w:szCs w:val="18"/>
          <w:u w:val="single" w:color="auto"/>
          <w:color w:val="0000EE"/>
        </w:rPr>
        <w:t>Consolidated balance sheet Reconciliation of movements in shareholders' funds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0000EE"/>
        </w:rPr>
        <w:t>Notes on the consolidated balance sheet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0000EE"/>
        </w:rPr>
        <w:t>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-130175</wp:posOffset>
            </wp:positionV>
            <wp:extent cx="8890" cy="244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244411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u w:val="single" w:color="auto"/>
          <w:color w:val="0000EE"/>
        </w:rPr>
        <w:t>(GAAP)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Notes on summary of differences between UK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and US Generally Accepted Accounting</w:t>
      </w:r>
    </w:p>
    <w:p>
      <w:pPr>
        <w:spacing w:after="0" w:line="234" w:lineRule="auto"/>
        <w:rPr>
          <w:sz w:val="20"/>
          <w:szCs w:val="20"/>
          <w:color w:val="auto"/>
        </w:rPr>
      </w:pPr>
      <w:r>
        <w:rPr>
          <w:rFonts w:ascii="Arial" w:cs="Arial" w:eastAsia="Arial" w:hAnsi="Arial"/>
          <w:sz w:val="18"/>
          <w:szCs w:val="18"/>
          <w:u w:val="single" w:color="auto"/>
          <w:color w:val="0000EE"/>
        </w:rPr>
        <w:t>Principles (GAAP)</w:t>
      </w:r>
    </w:p>
    <w:p>
      <w:pPr>
        <w:spacing w:after="0" w:line="235" w:lineRule="auto"/>
        <w:rPr>
          <w:sz w:val="20"/>
          <w:szCs w:val="20"/>
          <w:color w:val="auto"/>
        </w:rPr>
      </w:pPr>
      <w:r>
        <w:rPr>
          <w:rFonts w:ascii="Arial" w:cs="Arial" w:eastAsia="Arial" w:hAnsi="Arial"/>
          <w:sz w:val="18"/>
          <w:szCs w:val="18"/>
          <w:u w:val="single" w:color="auto"/>
          <w:color w:val="0000EE"/>
        </w:rPr>
        <w:t>Information for shareholders</w:t>
      </w:r>
    </w:p>
    <w:p>
      <w:pPr>
        <w:spacing w:after="0" w:line="235" w:lineRule="auto"/>
        <w:rPr>
          <w:sz w:val="20"/>
          <w:szCs w:val="20"/>
          <w:color w:val="auto"/>
        </w:rPr>
      </w:pPr>
      <w:r>
        <w:rPr>
          <w:rFonts w:ascii="Arial" w:cs="Arial" w:eastAsia="Arial" w:hAnsi="Arial"/>
          <w:sz w:val="18"/>
          <w:szCs w:val="18"/>
          <w:u w:val="single" w:color="auto"/>
          <w:color w:val="0000EE"/>
        </w:rPr>
        <w:t>Summary of 2002 and 2001 revenue by</w:t>
      </w:r>
    </w:p>
    <w:p>
      <w:pPr>
        <w:spacing w:after="0" w:line="235" w:lineRule="auto"/>
        <w:rPr>
          <w:sz w:val="20"/>
          <w:szCs w:val="20"/>
          <w:color w:val="auto"/>
        </w:rPr>
      </w:pPr>
      <w:r>
        <w:rPr>
          <w:rFonts w:ascii="Arial" w:cs="Arial" w:eastAsia="Arial" w:hAnsi="Arial"/>
          <w:sz w:val="18"/>
          <w:szCs w:val="18"/>
          <w:u w:val="single" w:color="auto"/>
          <w:color w:val="0000EE"/>
        </w:rPr>
        <w:t>quarter</w:t>
      </w:r>
    </w:p>
    <w:p>
      <w:pPr>
        <w:ind w:right="2899"/>
        <w:spacing w:after="0" w:line="234" w:lineRule="auto"/>
        <w:rPr>
          <w:sz w:val="20"/>
          <w:szCs w:val="20"/>
          <w:color w:val="auto"/>
        </w:rPr>
      </w:pPr>
      <w:r>
        <w:rPr>
          <w:rFonts w:ascii="Arial" w:cs="Arial" w:eastAsia="Arial" w:hAnsi="Arial"/>
          <w:sz w:val="18"/>
          <w:szCs w:val="18"/>
          <w:u w:val="single" w:color="auto"/>
          <w:color w:val="0000EE"/>
        </w:rPr>
        <w:t>Eleven year consolidated financial summary Cross reference guide to Form 20-F Glossary</w:t>
      </w:r>
    </w:p>
    <w:p>
      <w:pPr>
        <w:spacing w:after="0" w:line="237" w:lineRule="auto"/>
        <w:rPr>
          <w:sz w:val="20"/>
          <w:szCs w:val="20"/>
          <w:color w:val="auto"/>
        </w:rPr>
      </w:pPr>
      <w:r>
        <w:rPr>
          <w:rFonts w:ascii="Arial" w:cs="Arial" w:eastAsia="Arial" w:hAnsi="Arial"/>
          <w:sz w:val="18"/>
          <w:szCs w:val="18"/>
          <w:u w:val="single" w:color="auto"/>
          <w:color w:val="0000EE"/>
        </w:rPr>
        <w:t>Financial diary for 2003</w:t>
      </w:r>
    </w:p>
    <w:p>
      <w:pPr>
        <w:spacing w:after="0"/>
        <w:rPr>
          <w:sz w:val="20"/>
          <w:szCs w:val="20"/>
          <w:color w:val="auto"/>
        </w:rPr>
      </w:pPr>
      <w:r>
        <w:rPr>
          <w:rFonts w:ascii="Arial" w:cs="Arial" w:eastAsia="Arial" w:hAnsi="Arial"/>
          <w:sz w:val="18"/>
          <w:szCs w:val="18"/>
          <w:u w:val="single" w:color="auto"/>
          <w:color w:val="0000EE"/>
        </w:rPr>
        <w:t>Where to find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767080</wp:posOffset>
            </wp:positionV>
            <wp:extent cx="475932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9325" cy="1289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1204595</wp:posOffset>
            </wp:positionV>
            <wp:extent cx="4759325"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9325" cy="214630"/>
                    </a:xfrm>
                    <a:prstGeom prst="rect">
                      <a:avLst/>
                    </a:prstGeom>
                    <a:noFill/>
                  </pic:spPr>
                </pic:pic>
              </a:graphicData>
            </a:graphic>
          </wp:anchor>
        </w:drawing>
      </w:r>
    </w:p>
    <w:p>
      <w:pPr>
        <w:spacing w:after="0" w:line="1212" w:lineRule="exact"/>
        <w:rPr>
          <w:sz w:val="20"/>
          <w:szCs w:val="20"/>
          <w:color w:val="auto"/>
        </w:rPr>
      </w:pPr>
    </w:p>
    <w:p>
      <w:pPr>
        <w:sectPr>
          <w:pgSz w:w="11900" w:h="16838" w:orient="portrait"/>
          <w:cols w:equalWidth="0" w:num="2">
            <w:col w:w="3480" w:space="420"/>
            <w:col w:w="6319"/>
          </w:cols>
          <w:pgMar w:left="240" w:top="13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Page 1 –</w:t>
      </w:r>
    </w:p>
    <w:p>
      <w:pPr>
        <w:spacing w:after="0" w:line="176" w:lineRule="exact"/>
        <w:rPr>
          <w:sz w:val="20"/>
          <w:szCs w:val="20"/>
          <w:color w:val="auto"/>
        </w:rPr>
      </w:pPr>
    </w:p>
    <w:p>
      <w:pPr>
        <w:ind w:right="3099"/>
        <w:spacing w:after="0" w:line="243" w:lineRule="auto"/>
        <w:rPr>
          <w:sz w:val="20"/>
          <w:szCs w:val="20"/>
          <w:color w:val="auto"/>
        </w:rPr>
      </w:pPr>
      <w:r>
        <w:rPr>
          <w:rFonts w:ascii="Arial" w:cs="Arial" w:eastAsia="Arial" w:hAnsi="Arial"/>
          <w:sz w:val="18"/>
          <w:szCs w:val="18"/>
          <w:b w:val="1"/>
          <w:bCs w:val="1"/>
          <w:color w:val="FF6600"/>
        </w:rPr>
        <w:t>FINANCIAL HIGHLIGHTS/FIVE YEAR SUMMARY/THREE YEAR REUTERS CUSTOMER SEGMENTS AND INSTINET REVENUE SUMMARY Reuters Group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80" w:type="dxa"/>
            <w:vAlign w:val="bottom"/>
          </w:tcPr>
          <w:p>
            <w:pPr>
              <w:jc w:val="right"/>
              <w:ind w:right="35"/>
              <w:spacing w:after="0"/>
              <w:rPr>
                <w:sz w:val="20"/>
                <w:szCs w:val="20"/>
                <w:color w:val="auto"/>
              </w:rPr>
            </w:pPr>
            <w:r>
              <w:rPr>
                <w:rFonts w:ascii="Arial" w:cs="Arial" w:eastAsia="Arial" w:hAnsi="Arial"/>
                <w:sz w:val="14"/>
                <w:szCs w:val="14"/>
                <w:b w:val="1"/>
                <w:bCs w:val="1"/>
                <w:color w:val="auto"/>
              </w:rPr>
              <w:t>2002</w:t>
            </w:r>
          </w:p>
        </w:tc>
        <w:tc>
          <w:tcPr>
            <w:tcW w:w="1040" w:type="dxa"/>
            <w:vAlign w:val="bottom"/>
          </w:tcPr>
          <w:p>
            <w:pPr>
              <w:jc w:val="right"/>
              <w:ind w:right="155"/>
              <w:spacing w:after="0"/>
              <w:rPr>
                <w:sz w:val="20"/>
                <w:szCs w:val="20"/>
                <w:color w:val="auto"/>
              </w:rPr>
            </w:pPr>
            <w:r>
              <w:rPr>
                <w:rFonts w:ascii="Arial" w:cs="Arial" w:eastAsia="Arial" w:hAnsi="Arial"/>
                <w:sz w:val="14"/>
                <w:szCs w:val="14"/>
                <w:color w:val="auto"/>
              </w:rPr>
              <w:t>2001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180" w:type="dxa"/>
            <w:vAlign w:val="bottom"/>
          </w:tcPr>
          <w:p>
            <w:pPr>
              <w:spacing w:after="0"/>
              <w:rPr>
                <w:sz w:val="15"/>
                <w:szCs w:val="15"/>
                <w:color w:val="auto"/>
              </w:rPr>
            </w:pPr>
          </w:p>
        </w:tc>
        <w:tc>
          <w:tcPr>
            <w:tcW w:w="1980" w:type="dxa"/>
            <w:vAlign w:val="bottom"/>
          </w:tcPr>
          <w:p>
            <w:pPr>
              <w:jc w:val="right"/>
              <w:ind w:right="35"/>
              <w:spacing w:after="0"/>
              <w:rPr>
                <w:sz w:val="20"/>
                <w:szCs w:val="20"/>
                <w:color w:val="auto"/>
              </w:rPr>
            </w:pPr>
            <w:r>
              <w:rPr>
                <w:rFonts w:ascii="Arial" w:cs="Arial" w:eastAsia="Arial" w:hAnsi="Arial"/>
                <w:sz w:val="14"/>
                <w:szCs w:val="14"/>
                <w:b w:val="1"/>
                <w:bCs w:val="1"/>
                <w:color w:val="auto"/>
              </w:rPr>
              <w:t>£m</w:t>
            </w:r>
          </w:p>
        </w:tc>
        <w:tc>
          <w:tcPr>
            <w:tcW w:w="1040" w:type="dxa"/>
            <w:vAlign w:val="bottom"/>
          </w:tcPr>
          <w:p>
            <w:pPr>
              <w:jc w:val="right"/>
              <w:ind w:right="155"/>
              <w:spacing w:after="0"/>
              <w:rPr>
                <w:sz w:val="20"/>
                <w:szCs w:val="20"/>
                <w:color w:val="auto"/>
              </w:rPr>
            </w:pPr>
            <w:r>
              <w:rPr>
                <w:rFonts w:ascii="Arial" w:cs="Arial" w:eastAsia="Arial" w:hAnsi="Arial"/>
                <w:sz w:val="14"/>
                <w:szCs w:val="14"/>
                <w:color w:val="auto"/>
              </w:rPr>
              <w:t>£m</w:t>
            </w:r>
          </w:p>
        </w:tc>
        <w:tc>
          <w:tcPr>
            <w:tcW w:w="72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95"/>
        </w:trPr>
        <w:tc>
          <w:tcPr>
            <w:tcW w:w="418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r>
      <w:tr>
        <w:trPr>
          <w:trHeight w:val="285"/>
        </w:trPr>
        <w:tc>
          <w:tcPr>
            <w:tcW w:w="4180" w:type="dxa"/>
            <w:vAlign w:val="bottom"/>
          </w:tcPr>
          <w:p>
            <w:pPr>
              <w:spacing w:after="0"/>
              <w:rPr>
                <w:sz w:val="20"/>
                <w:szCs w:val="20"/>
                <w:color w:val="auto"/>
              </w:rPr>
            </w:pPr>
            <w:r>
              <w:rPr>
                <w:rFonts w:ascii="Arial" w:cs="Arial" w:eastAsia="Arial" w:hAnsi="Arial"/>
                <w:sz w:val="18"/>
                <w:szCs w:val="18"/>
                <w:color w:val="auto"/>
              </w:rPr>
              <w:t>Revenue</w:t>
            </w:r>
          </w:p>
        </w:tc>
        <w:tc>
          <w:tcPr>
            <w:tcW w:w="1980" w:type="dxa"/>
            <w:vAlign w:val="bottom"/>
          </w:tcPr>
          <w:p>
            <w:pPr>
              <w:jc w:val="right"/>
              <w:ind w:right="35"/>
              <w:spacing w:after="0"/>
              <w:rPr>
                <w:sz w:val="20"/>
                <w:szCs w:val="20"/>
                <w:color w:val="auto"/>
              </w:rPr>
            </w:pPr>
            <w:r>
              <w:rPr>
                <w:rFonts w:ascii="Arial" w:cs="Arial" w:eastAsia="Arial" w:hAnsi="Arial"/>
                <w:sz w:val="18"/>
                <w:szCs w:val="18"/>
                <w:b w:val="1"/>
                <w:bCs w:val="1"/>
                <w:color w:val="auto"/>
              </w:rPr>
              <w:t>3,575</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3,885</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Normalised operating profit</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171</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383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Operating (loss)/profit</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(144)</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302</w:t>
            </w:r>
          </w:p>
        </w:tc>
        <w:tc>
          <w:tcPr>
            <w:tcW w:w="7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Normalised profit before tax</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89</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304</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(Loss)/profit before tax</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(493)</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158</w:t>
            </w:r>
          </w:p>
        </w:tc>
        <w:tc>
          <w:tcPr>
            <w:tcW w:w="7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(Loss)/profit after tax</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(516)</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51</w:t>
            </w:r>
          </w:p>
        </w:tc>
        <w:tc>
          <w:tcPr>
            <w:tcW w:w="7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Return on equity</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(58.4%)</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4.6%</w:t>
            </w:r>
          </w:p>
        </w:tc>
        <w:tc>
          <w:tcPr>
            <w:tcW w:w="7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Free cash flow</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40</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443</w:t>
            </w:r>
          </w:p>
        </w:tc>
        <w:tc>
          <w:tcPr>
            <w:tcW w:w="720" w:type="dxa"/>
            <w:vAlign w:val="bottom"/>
          </w:tcPr>
          <w:p>
            <w:pPr>
              <w:spacing w:after="0"/>
              <w:rPr>
                <w:sz w:val="17"/>
                <w:szCs w:val="17"/>
                <w:color w:val="auto"/>
              </w:rPr>
            </w:pPr>
          </w:p>
        </w:tc>
      </w:tr>
      <w:tr>
        <w:trPr>
          <w:trHeight w:val="233"/>
        </w:trPr>
        <w:tc>
          <w:tcPr>
            <w:tcW w:w="4180" w:type="dxa"/>
            <w:vAlign w:val="bottom"/>
          </w:tcPr>
          <w:p>
            <w:pPr>
              <w:spacing w:after="0"/>
              <w:rPr>
                <w:sz w:val="20"/>
                <w:szCs w:val="20"/>
                <w:color w:val="auto"/>
              </w:rPr>
            </w:pPr>
            <w:r>
              <w:rPr>
                <w:rFonts w:ascii="Arial" w:cs="Arial" w:eastAsia="Arial" w:hAnsi="Arial"/>
                <w:sz w:val="18"/>
                <w:szCs w:val="18"/>
                <w:color w:val="auto"/>
              </w:rPr>
              <w:t>Net (debt)/funds</w:t>
            </w:r>
          </w:p>
        </w:tc>
        <w:tc>
          <w:tcPr>
            <w:tcW w:w="1980" w:type="dxa"/>
            <w:vAlign w:val="bottom"/>
          </w:tcPr>
          <w:p>
            <w:pPr>
              <w:jc w:val="right"/>
              <w:ind w:right="35"/>
              <w:spacing w:after="0"/>
              <w:rPr>
                <w:sz w:val="20"/>
                <w:szCs w:val="20"/>
                <w:color w:val="auto"/>
              </w:rPr>
            </w:pPr>
            <w:r>
              <w:rPr>
                <w:rFonts w:ascii="Arial" w:cs="Arial" w:eastAsia="Arial" w:hAnsi="Arial"/>
                <w:sz w:val="18"/>
                <w:szCs w:val="18"/>
                <w:b w:val="1"/>
                <w:bCs w:val="1"/>
                <w:color w:val="auto"/>
              </w:rPr>
              <w:t>(66)</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138</w:t>
            </w:r>
          </w:p>
        </w:tc>
        <w:tc>
          <w:tcPr>
            <w:tcW w:w="720" w:type="dxa"/>
            <w:vAlign w:val="bottom"/>
          </w:tcPr>
          <w:p>
            <w:pPr>
              <w:spacing w:after="0"/>
              <w:rPr>
                <w:sz w:val="20"/>
                <w:szCs w:val="20"/>
                <w:color w:val="auto"/>
              </w:rPr>
            </w:pPr>
          </w:p>
        </w:tc>
      </w:tr>
      <w:tr>
        <w:trPr>
          <w:trHeight w:val="97"/>
        </w:trPr>
        <w:tc>
          <w:tcPr>
            <w:tcW w:w="418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r>
      <w:tr>
        <w:trPr>
          <w:trHeight w:val="412"/>
        </w:trPr>
        <w:tc>
          <w:tcPr>
            <w:tcW w:w="41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r>
        <w:trPr>
          <w:trHeight w:val="285"/>
        </w:trPr>
        <w:tc>
          <w:tcPr>
            <w:tcW w:w="4180" w:type="dxa"/>
            <w:vAlign w:val="bottom"/>
          </w:tcPr>
          <w:p>
            <w:pPr>
              <w:spacing w:after="0"/>
              <w:rPr>
                <w:sz w:val="20"/>
                <w:szCs w:val="20"/>
                <w:color w:val="auto"/>
              </w:rPr>
            </w:pPr>
            <w:r>
              <w:rPr>
                <w:rFonts w:ascii="Arial" w:cs="Arial" w:eastAsia="Arial" w:hAnsi="Arial"/>
                <w:sz w:val="18"/>
                <w:szCs w:val="18"/>
                <w:color w:val="auto"/>
              </w:rPr>
              <w:t>Basic (loss)/earnings per ordinary share</w:t>
            </w:r>
          </w:p>
        </w:tc>
        <w:tc>
          <w:tcPr>
            <w:tcW w:w="1980" w:type="dxa"/>
            <w:vAlign w:val="bottom"/>
          </w:tcPr>
          <w:p>
            <w:pPr>
              <w:jc w:val="right"/>
              <w:ind w:right="35"/>
              <w:spacing w:after="0"/>
              <w:rPr>
                <w:sz w:val="20"/>
                <w:szCs w:val="20"/>
                <w:color w:val="auto"/>
              </w:rPr>
            </w:pPr>
            <w:r>
              <w:rPr>
                <w:rFonts w:ascii="Arial" w:cs="Arial" w:eastAsia="Arial" w:hAnsi="Arial"/>
                <w:sz w:val="18"/>
                <w:szCs w:val="18"/>
                <w:b w:val="1"/>
                <w:bCs w:val="1"/>
                <w:color w:val="auto"/>
              </w:rPr>
              <w:t>(29.0p)</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3.3p</w:t>
            </w:r>
          </w:p>
        </w:tc>
        <w:tc>
          <w:tcPr>
            <w:tcW w:w="720" w:type="dxa"/>
            <w:vAlign w:val="bottom"/>
          </w:tcPr>
          <w:p>
            <w:pPr>
              <w:spacing w:after="0"/>
              <w:rPr>
                <w:sz w:val="24"/>
                <w:szCs w:val="24"/>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Diluted (loss)/earnings per share</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(29.0p)</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3.2p</w:t>
            </w:r>
          </w:p>
        </w:tc>
        <w:tc>
          <w:tcPr>
            <w:tcW w:w="7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(Loss)/earnings per ADS*‡</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(US$2.80)</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US$0.32</w:t>
            </w:r>
          </w:p>
        </w:tc>
        <w:tc>
          <w:tcPr>
            <w:tcW w:w="7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Dividends per ordinary share</w:t>
            </w:r>
          </w:p>
        </w:tc>
        <w:tc>
          <w:tcPr>
            <w:tcW w:w="19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10.0p</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10.0p</w:t>
            </w:r>
          </w:p>
        </w:tc>
        <w:tc>
          <w:tcPr>
            <w:tcW w:w="720" w:type="dxa"/>
            <w:vAlign w:val="bottom"/>
          </w:tcPr>
          <w:p>
            <w:pPr>
              <w:spacing w:after="0"/>
              <w:rPr>
                <w:sz w:val="17"/>
                <w:szCs w:val="17"/>
                <w:color w:val="auto"/>
              </w:rPr>
            </w:pPr>
          </w:p>
        </w:tc>
      </w:tr>
      <w:tr>
        <w:trPr>
          <w:trHeight w:val="233"/>
        </w:trPr>
        <w:tc>
          <w:tcPr>
            <w:tcW w:w="4180" w:type="dxa"/>
            <w:vAlign w:val="bottom"/>
          </w:tcPr>
          <w:p>
            <w:pPr>
              <w:spacing w:after="0"/>
              <w:rPr>
                <w:sz w:val="20"/>
                <w:szCs w:val="20"/>
                <w:color w:val="auto"/>
              </w:rPr>
            </w:pPr>
            <w:r>
              <w:rPr>
                <w:rFonts w:ascii="Arial" w:cs="Arial" w:eastAsia="Arial" w:hAnsi="Arial"/>
                <w:sz w:val="18"/>
                <w:szCs w:val="18"/>
                <w:color w:val="auto"/>
              </w:rPr>
              <w:t>Dividends per ADS*</w:t>
            </w:r>
          </w:p>
        </w:tc>
        <w:tc>
          <w:tcPr>
            <w:tcW w:w="1980" w:type="dxa"/>
            <w:vAlign w:val="bottom"/>
          </w:tcPr>
          <w:p>
            <w:pPr>
              <w:jc w:val="right"/>
              <w:ind w:right="35"/>
              <w:spacing w:after="0"/>
              <w:rPr>
                <w:sz w:val="20"/>
                <w:szCs w:val="20"/>
                <w:color w:val="auto"/>
              </w:rPr>
            </w:pPr>
            <w:r>
              <w:rPr>
                <w:rFonts w:ascii="Arial" w:cs="Arial" w:eastAsia="Arial" w:hAnsi="Arial"/>
                <w:sz w:val="18"/>
                <w:szCs w:val="18"/>
                <w:b w:val="1"/>
                <w:bCs w:val="1"/>
                <w:color w:val="auto"/>
              </w:rPr>
              <w:t>60.0p</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60.0p</w:t>
            </w: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-2317750</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-1014095</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-739775</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50380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38090" cy="342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 Each American Depositary Share (ADS) represents six ordinary shares.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A nominal exchange rate of US$1.61 = £1 has been used for convenience.</w:t>
      </w:r>
    </w:p>
    <w:p>
      <w:pPr>
        <w:spacing w:after="0" w:line="213" w:lineRule="exact"/>
        <w:rPr>
          <w:sz w:val="20"/>
          <w:szCs w:val="20"/>
          <w:color w:val="auto"/>
        </w:rPr>
      </w:pPr>
    </w:p>
    <w:p>
      <w:pPr>
        <w:ind w:right="2439"/>
        <w:spacing w:after="0" w:line="264" w:lineRule="auto"/>
        <w:rPr>
          <w:sz w:val="20"/>
          <w:szCs w:val="20"/>
          <w:color w:val="auto"/>
        </w:rPr>
      </w:pPr>
      <w:r>
        <w:rPr>
          <w:rFonts w:ascii="Arial" w:cs="Arial" w:eastAsia="Arial" w:hAnsi="Arial"/>
          <w:sz w:val="18"/>
          <w:szCs w:val="18"/>
          <w:b w:val="1"/>
          <w:bCs w:val="1"/>
          <w:color w:val="FF6600"/>
        </w:rPr>
        <w:t>Reuters Group reconciliation of operating profit and profit before tax to normalised operating profit and normalised profit before tax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860" w:type="dxa"/>
            <w:vAlign w:val="bottom"/>
          </w:tcPr>
          <w:p>
            <w:pPr>
              <w:jc w:val="right"/>
              <w:ind w:right="155"/>
              <w:spacing w:after="0"/>
              <w:rPr>
                <w:sz w:val="20"/>
                <w:szCs w:val="20"/>
                <w:color w:val="auto"/>
              </w:rPr>
            </w:pPr>
            <w:r>
              <w:rPr>
                <w:rFonts w:ascii="Arial" w:cs="Arial" w:eastAsia="Arial" w:hAnsi="Arial"/>
                <w:sz w:val="14"/>
                <w:szCs w:val="14"/>
                <w:color w:val="auto"/>
              </w:rPr>
              <w:t>2001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£m</w:t>
            </w:r>
          </w:p>
        </w:tc>
        <w:tc>
          <w:tcPr>
            <w:tcW w:w="860" w:type="dxa"/>
            <w:vAlign w:val="bottom"/>
          </w:tcPr>
          <w:p>
            <w:pPr>
              <w:jc w:val="right"/>
              <w:ind w:right="155"/>
              <w:spacing w:after="0"/>
              <w:rPr>
                <w:sz w:val="20"/>
                <w:szCs w:val="20"/>
                <w:color w:val="auto"/>
              </w:rPr>
            </w:pPr>
            <w:r>
              <w:rPr>
                <w:rFonts w:ascii="Arial" w:cs="Arial" w:eastAsia="Arial" w:hAnsi="Arial"/>
                <w:sz w:val="14"/>
                <w:szCs w:val="14"/>
                <w:color w:val="auto"/>
              </w:rPr>
              <w:t>£m</w:t>
            </w:r>
          </w:p>
        </w:tc>
        <w:tc>
          <w:tcPr>
            <w:tcW w:w="720" w:type="dxa"/>
            <w:vAlign w:val="bottom"/>
          </w:tcPr>
          <w:p>
            <w:pPr>
              <w:jc w:val="right"/>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95"/>
        </w:trPr>
        <w:tc>
          <w:tcPr>
            <w:tcW w:w="5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(loss)/profit</w:t>
            </w:r>
          </w:p>
        </w:tc>
        <w:tc>
          <w:tcPr>
            <w:tcW w:w="1240" w:type="dxa"/>
            <w:vAlign w:val="bottom"/>
          </w:tcPr>
          <w:p>
            <w:pPr>
              <w:jc w:val="right"/>
              <w:ind w:right="215"/>
              <w:spacing w:after="0"/>
              <w:rPr>
                <w:sz w:val="20"/>
                <w:szCs w:val="20"/>
                <w:color w:val="auto"/>
              </w:rPr>
            </w:pPr>
            <w:r>
              <w:rPr>
                <w:rFonts w:ascii="Arial" w:cs="Arial" w:eastAsia="Arial" w:hAnsi="Arial"/>
                <w:sz w:val="18"/>
                <w:szCs w:val="18"/>
                <w:b w:val="1"/>
                <w:bCs w:val="1"/>
                <w:color w:val="auto"/>
              </w:rPr>
              <w:t>(144)</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302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5100" w:type="dxa"/>
            <w:vAlign w:val="bottom"/>
          </w:tcPr>
          <w:p>
            <w:pPr>
              <w:spacing w:after="0"/>
              <w:rPr>
                <w:sz w:val="20"/>
                <w:szCs w:val="20"/>
                <w:color w:val="auto"/>
              </w:rPr>
            </w:pPr>
            <w:r>
              <w:rPr>
                <w:rFonts w:ascii="Arial" w:cs="Arial" w:eastAsia="Arial" w:hAnsi="Arial"/>
                <w:sz w:val="18"/>
                <w:szCs w:val="18"/>
                <w:color w:val="auto"/>
              </w:rPr>
              <w:t>Add:Amortisation of goodwill and other intangible assets of</w:t>
            </w:r>
          </w:p>
        </w:tc>
        <w:tc>
          <w:tcPr>
            <w:tcW w:w="124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auto"/>
              </w:rPr>
              <w:t>107</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100" w:type="dxa"/>
            <w:vAlign w:val="bottom"/>
          </w:tcPr>
          <w:p>
            <w:pPr>
              <w:ind w:left="380"/>
              <w:spacing w:after="0" w:line="181" w:lineRule="exact"/>
              <w:rPr>
                <w:sz w:val="20"/>
                <w:szCs w:val="20"/>
                <w:color w:val="auto"/>
              </w:rPr>
            </w:pPr>
            <w:r>
              <w:rPr>
                <w:rFonts w:ascii="Arial" w:cs="Arial" w:eastAsia="Arial" w:hAnsi="Arial"/>
                <w:sz w:val="18"/>
                <w:szCs w:val="18"/>
                <w:color w:val="auto"/>
              </w:rPr>
              <w:t>subsidiaries</w:t>
            </w:r>
          </w:p>
        </w:tc>
        <w:tc>
          <w:tcPr>
            <w:tcW w:w="1240" w:type="dxa"/>
            <w:vAlign w:val="bottom"/>
            <w:vMerge w:val="continue"/>
          </w:tcPr>
          <w:p>
            <w:pPr>
              <w:spacing w:after="0"/>
              <w:rPr>
                <w:sz w:val="15"/>
                <w:szCs w:val="15"/>
                <w:color w:val="auto"/>
              </w:rPr>
            </w:pPr>
          </w:p>
        </w:tc>
        <w:tc>
          <w:tcPr>
            <w:tcW w:w="860" w:type="dxa"/>
            <w:vAlign w:val="bottom"/>
          </w:tcPr>
          <w:p>
            <w:pPr>
              <w:jc w:val="right"/>
              <w:ind w:right="155"/>
              <w:spacing w:after="0" w:line="181" w:lineRule="exact"/>
              <w:rPr>
                <w:sz w:val="20"/>
                <w:szCs w:val="20"/>
                <w:color w:val="auto"/>
              </w:rPr>
            </w:pPr>
            <w:r>
              <w:rPr>
                <w:rFonts w:ascii="Arial" w:cs="Arial" w:eastAsia="Arial" w:hAnsi="Arial"/>
                <w:sz w:val="18"/>
                <w:szCs w:val="18"/>
                <w:color w:val="auto"/>
              </w:rPr>
              <w:t>81</w:t>
            </w: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3"/>
        </w:trPr>
        <w:tc>
          <w:tcPr>
            <w:tcW w:w="5100" w:type="dxa"/>
            <w:vAlign w:val="bottom"/>
          </w:tcPr>
          <w:p>
            <w:pPr>
              <w:ind w:left="380"/>
              <w:spacing w:after="0"/>
              <w:rPr>
                <w:sz w:val="20"/>
                <w:szCs w:val="20"/>
                <w:color w:val="auto"/>
              </w:rPr>
            </w:pPr>
            <w:r>
              <w:rPr>
                <w:rFonts w:ascii="Arial" w:cs="Arial" w:eastAsia="Arial" w:hAnsi="Arial"/>
                <w:sz w:val="18"/>
                <w:szCs w:val="18"/>
                <w:color w:val="auto"/>
              </w:rPr>
              <w:t>Impairment of goodwill of subsidiaries</w:t>
            </w:r>
          </w:p>
        </w:tc>
        <w:tc>
          <w:tcPr>
            <w:tcW w:w="1240" w:type="dxa"/>
            <w:vAlign w:val="bottom"/>
          </w:tcPr>
          <w:p>
            <w:pPr>
              <w:jc w:val="right"/>
              <w:ind w:right="215"/>
              <w:spacing w:after="0"/>
              <w:rPr>
                <w:sz w:val="20"/>
                <w:szCs w:val="20"/>
                <w:color w:val="auto"/>
              </w:rPr>
            </w:pPr>
            <w:r>
              <w:rPr>
                <w:rFonts w:ascii="Arial" w:cs="Arial" w:eastAsia="Arial" w:hAnsi="Arial"/>
                <w:sz w:val="18"/>
                <w:szCs w:val="18"/>
                <w:b w:val="1"/>
                <w:bCs w:val="1"/>
                <w:color w:val="auto"/>
              </w:rPr>
              <w:t>208</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5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5100" w:type="dxa"/>
            <w:vAlign w:val="bottom"/>
          </w:tcPr>
          <w:p>
            <w:pPr>
              <w:spacing w:after="0"/>
              <w:rPr>
                <w:sz w:val="20"/>
                <w:szCs w:val="20"/>
                <w:color w:val="auto"/>
              </w:rPr>
            </w:pPr>
            <w:r>
              <w:rPr>
                <w:rFonts w:ascii="Arial" w:cs="Arial" w:eastAsia="Arial" w:hAnsi="Arial"/>
                <w:sz w:val="18"/>
                <w:szCs w:val="18"/>
                <w:b w:val="1"/>
                <w:bCs w:val="1"/>
                <w:color w:val="auto"/>
              </w:rPr>
              <w:t>Normalised operating profit</w:t>
            </w:r>
          </w:p>
        </w:tc>
        <w:tc>
          <w:tcPr>
            <w:tcW w:w="1240" w:type="dxa"/>
            <w:vAlign w:val="bottom"/>
          </w:tcPr>
          <w:p>
            <w:pPr>
              <w:jc w:val="right"/>
              <w:ind w:right="215"/>
              <w:spacing w:after="0"/>
              <w:rPr>
                <w:sz w:val="20"/>
                <w:szCs w:val="20"/>
                <w:color w:val="auto"/>
              </w:rPr>
            </w:pPr>
            <w:r>
              <w:rPr>
                <w:rFonts w:ascii="Arial" w:cs="Arial" w:eastAsia="Arial" w:hAnsi="Arial"/>
                <w:sz w:val="18"/>
                <w:szCs w:val="18"/>
                <w:b w:val="1"/>
                <w:bCs w:val="1"/>
                <w:color w:val="auto"/>
              </w:rPr>
              <w:t>171</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383</w:t>
            </w: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Share of joint ventures and associates (losses)/investment</w:t>
            </w:r>
          </w:p>
        </w:tc>
        <w:tc>
          <w:tcPr>
            <w:tcW w:w="124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auto"/>
              </w:rPr>
              <w:t>(62)</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line="181" w:lineRule="exact"/>
              <w:rPr>
                <w:sz w:val="20"/>
                <w:szCs w:val="20"/>
                <w:color w:val="auto"/>
              </w:rPr>
            </w:pPr>
            <w:r>
              <w:rPr>
                <w:rFonts w:ascii="Arial" w:cs="Arial" w:eastAsia="Arial" w:hAnsi="Arial"/>
                <w:sz w:val="18"/>
                <w:szCs w:val="18"/>
                <w:color w:val="auto"/>
              </w:rPr>
              <w:t>income</w:t>
            </w:r>
          </w:p>
        </w:tc>
        <w:tc>
          <w:tcPr>
            <w:tcW w:w="1240" w:type="dxa"/>
            <w:vAlign w:val="bottom"/>
            <w:vMerge w:val="continue"/>
          </w:tcPr>
          <w:p>
            <w:pPr>
              <w:spacing w:after="0"/>
              <w:rPr>
                <w:sz w:val="15"/>
                <w:szCs w:val="15"/>
                <w:color w:val="auto"/>
              </w:rPr>
            </w:pPr>
          </w:p>
        </w:tc>
        <w:tc>
          <w:tcPr>
            <w:tcW w:w="860" w:type="dxa"/>
            <w:vAlign w:val="bottom"/>
          </w:tcPr>
          <w:p>
            <w:pPr>
              <w:jc w:val="right"/>
              <w:ind w:right="155"/>
              <w:spacing w:after="0" w:line="181" w:lineRule="exact"/>
              <w:rPr>
                <w:sz w:val="20"/>
                <w:szCs w:val="20"/>
                <w:color w:val="auto"/>
              </w:rPr>
            </w:pPr>
            <w:r>
              <w:rPr>
                <w:rFonts w:ascii="Arial" w:cs="Arial" w:eastAsia="Arial" w:hAnsi="Arial"/>
                <w:sz w:val="18"/>
                <w:szCs w:val="18"/>
                <w:color w:val="auto"/>
              </w:rPr>
              <w:t>(70)</w:t>
            </w: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3"/>
        </w:trPr>
        <w:tc>
          <w:tcPr>
            <w:tcW w:w="5100" w:type="dxa"/>
            <w:vAlign w:val="bottom"/>
          </w:tcPr>
          <w:p>
            <w:pPr>
              <w:spacing w:after="0"/>
              <w:rPr>
                <w:sz w:val="20"/>
                <w:szCs w:val="20"/>
                <w:color w:val="auto"/>
              </w:rPr>
            </w:pPr>
            <w:r>
              <w:rPr>
                <w:rFonts w:ascii="Arial" w:cs="Arial" w:eastAsia="Arial" w:hAnsi="Arial"/>
                <w:sz w:val="18"/>
                <w:szCs w:val="18"/>
                <w:color w:val="auto"/>
              </w:rPr>
              <w:t>Net interest payable</w:t>
            </w:r>
          </w:p>
        </w:tc>
        <w:tc>
          <w:tcPr>
            <w:tcW w:w="1240" w:type="dxa"/>
            <w:vAlign w:val="bottom"/>
          </w:tcPr>
          <w:p>
            <w:pPr>
              <w:jc w:val="right"/>
              <w:ind w:right="215"/>
              <w:spacing w:after="0"/>
              <w:rPr>
                <w:sz w:val="20"/>
                <w:szCs w:val="20"/>
                <w:color w:val="auto"/>
              </w:rPr>
            </w:pPr>
            <w:r>
              <w:rPr>
                <w:rFonts w:ascii="Arial" w:cs="Arial" w:eastAsia="Arial" w:hAnsi="Arial"/>
                <w:sz w:val="18"/>
                <w:szCs w:val="18"/>
                <w:b w:val="1"/>
                <w:bCs w:val="1"/>
                <w:color w:val="auto"/>
              </w:rPr>
              <w:t>(20)</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5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5100" w:type="dxa"/>
            <w:vAlign w:val="bottom"/>
          </w:tcPr>
          <w:p>
            <w:pPr>
              <w:spacing w:after="0"/>
              <w:rPr>
                <w:sz w:val="20"/>
                <w:szCs w:val="20"/>
                <w:color w:val="auto"/>
              </w:rPr>
            </w:pPr>
            <w:r>
              <w:rPr>
                <w:rFonts w:ascii="Arial" w:cs="Arial" w:eastAsia="Arial" w:hAnsi="Arial"/>
                <w:sz w:val="18"/>
                <w:szCs w:val="18"/>
                <w:b w:val="1"/>
                <w:bCs w:val="1"/>
                <w:color w:val="auto"/>
              </w:rPr>
              <w:t>Normalised profit before tax</w:t>
            </w:r>
          </w:p>
        </w:tc>
        <w:tc>
          <w:tcPr>
            <w:tcW w:w="1240" w:type="dxa"/>
            <w:vAlign w:val="bottom"/>
          </w:tcPr>
          <w:p>
            <w:pPr>
              <w:jc w:val="right"/>
              <w:ind w:right="215"/>
              <w:spacing w:after="0"/>
              <w:rPr>
                <w:sz w:val="20"/>
                <w:szCs w:val="20"/>
                <w:color w:val="auto"/>
              </w:rPr>
            </w:pPr>
            <w:r>
              <w:rPr>
                <w:rFonts w:ascii="Arial" w:cs="Arial" w:eastAsia="Arial" w:hAnsi="Arial"/>
                <w:sz w:val="18"/>
                <w:szCs w:val="18"/>
                <w:b w:val="1"/>
                <w:bCs w:val="1"/>
                <w:color w:val="auto"/>
              </w:rPr>
              <w:t>89</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304</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Amortisation of goodwill and other intangible assets of</w:t>
            </w:r>
          </w:p>
        </w:tc>
        <w:tc>
          <w:tcPr>
            <w:tcW w:w="124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auto"/>
              </w:rPr>
              <w:t>(118)</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line="181" w:lineRule="exact"/>
              <w:rPr>
                <w:sz w:val="20"/>
                <w:szCs w:val="20"/>
                <w:color w:val="auto"/>
              </w:rPr>
            </w:pPr>
            <w:r>
              <w:rPr>
                <w:rFonts w:ascii="Arial" w:cs="Arial" w:eastAsia="Arial" w:hAnsi="Arial"/>
                <w:sz w:val="18"/>
                <w:szCs w:val="18"/>
                <w:color w:val="auto"/>
              </w:rPr>
              <w:t>subsidiaries, joint ventures and associates</w:t>
            </w:r>
          </w:p>
        </w:tc>
        <w:tc>
          <w:tcPr>
            <w:tcW w:w="1240" w:type="dxa"/>
            <w:vAlign w:val="bottom"/>
            <w:vMerge w:val="continue"/>
          </w:tcPr>
          <w:p>
            <w:pPr>
              <w:spacing w:after="0"/>
              <w:rPr>
                <w:sz w:val="15"/>
                <w:szCs w:val="15"/>
                <w:color w:val="auto"/>
              </w:rPr>
            </w:pPr>
          </w:p>
        </w:tc>
        <w:tc>
          <w:tcPr>
            <w:tcW w:w="860" w:type="dxa"/>
            <w:vAlign w:val="bottom"/>
          </w:tcPr>
          <w:p>
            <w:pPr>
              <w:jc w:val="right"/>
              <w:ind w:right="155"/>
              <w:spacing w:after="0" w:line="181" w:lineRule="exact"/>
              <w:rPr>
                <w:sz w:val="20"/>
                <w:szCs w:val="20"/>
                <w:color w:val="auto"/>
              </w:rPr>
            </w:pPr>
            <w:r>
              <w:rPr>
                <w:rFonts w:ascii="Arial" w:cs="Arial" w:eastAsia="Arial" w:hAnsi="Arial"/>
                <w:sz w:val="18"/>
                <w:szCs w:val="18"/>
                <w:color w:val="auto"/>
              </w:rPr>
              <w:t>(93)</w:t>
            </w: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Impairment of goodwill of subsidiaries</w:t>
            </w:r>
          </w:p>
        </w:tc>
        <w:tc>
          <w:tcPr>
            <w:tcW w:w="1240" w:type="dxa"/>
            <w:vAlign w:val="bottom"/>
          </w:tcPr>
          <w:p>
            <w:pPr>
              <w:jc w:val="right"/>
              <w:ind w:right="215"/>
              <w:spacing w:after="0" w:line="202" w:lineRule="exact"/>
              <w:rPr>
                <w:sz w:val="20"/>
                <w:szCs w:val="20"/>
                <w:color w:val="auto"/>
              </w:rPr>
            </w:pPr>
            <w:r>
              <w:rPr>
                <w:rFonts w:ascii="Arial" w:cs="Arial" w:eastAsia="Arial" w:hAnsi="Arial"/>
                <w:sz w:val="18"/>
                <w:szCs w:val="18"/>
                <w:b w:val="1"/>
                <w:bCs w:val="1"/>
                <w:color w:val="auto"/>
              </w:rPr>
              <w:t>(208)</w:t>
            </w:r>
          </w:p>
        </w:tc>
        <w:tc>
          <w:tcPr>
            <w:tcW w:w="86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100" w:type="dxa"/>
            <w:vAlign w:val="bottom"/>
          </w:tcPr>
          <w:p>
            <w:pPr>
              <w:spacing w:after="0"/>
              <w:rPr>
                <w:sz w:val="20"/>
                <w:szCs w:val="20"/>
                <w:color w:val="auto"/>
              </w:rPr>
            </w:pPr>
            <w:r>
              <w:rPr>
                <w:rFonts w:ascii="Arial" w:cs="Arial" w:eastAsia="Arial" w:hAnsi="Arial"/>
                <w:sz w:val="18"/>
                <w:szCs w:val="18"/>
                <w:color w:val="auto"/>
              </w:rPr>
              <w:t>Net losses on investments</w:t>
            </w:r>
          </w:p>
        </w:tc>
        <w:tc>
          <w:tcPr>
            <w:tcW w:w="1240" w:type="dxa"/>
            <w:vAlign w:val="bottom"/>
          </w:tcPr>
          <w:p>
            <w:pPr>
              <w:jc w:val="right"/>
              <w:ind w:right="215"/>
              <w:spacing w:after="0"/>
              <w:rPr>
                <w:sz w:val="20"/>
                <w:szCs w:val="20"/>
                <w:color w:val="auto"/>
              </w:rPr>
            </w:pPr>
            <w:r>
              <w:rPr>
                <w:rFonts w:ascii="Arial" w:cs="Arial" w:eastAsia="Arial" w:hAnsi="Arial"/>
                <w:sz w:val="18"/>
                <w:szCs w:val="18"/>
                <w:b w:val="1"/>
                <w:bCs w:val="1"/>
                <w:color w:val="auto"/>
              </w:rPr>
              <w:t>(256)</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(53)</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5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100" w:type="dxa"/>
            <w:vAlign w:val="bottom"/>
          </w:tcPr>
          <w:p>
            <w:pPr>
              <w:spacing w:after="0"/>
              <w:rPr>
                <w:sz w:val="20"/>
                <w:szCs w:val="20"/>
                <w:color w:val="auto"/>
              </w:rPr>
            </w:pPr>
            <w:r>
              <w:rPr>
                <w:rFonts w:ascii="Arial" w:cs="Arial" w:eastAsia="Arial" w:hAnsi="Arial"/>
                <w:sz w:val="18"/>
                <w:szCs w:val="18"/>
                <w:b w:val="1"/>
                <w:bCs w:val="1"/>
                <w:color w:val="auto"/>
              </w:rPr>
              <w:t>(Loss)/profit before tax</w:t>
            </w:r>
          </w:p>
        </w:tc>
        <w:tc>
          <w:tcPr>
            <w:tcW w:w="1240" w:type="dxa"/>
            <w:vAlign w:val="bottom"/>
          </w:tcPr>
          <w:p>
            <w:pPr>
              <w:jc w:val="right"/>
              <w:ind w:right="215"/>
              <w:spacing w:after="0"/>
              <w:rPr>
                <w:sz w:val="20"/>
                <w:szCs w:val="20"/>
                <w:color w:val="auto"/>
              </w:rPr>
            </w:pPr>
            <w:r>
              <w:rPr>
                <w:rFonts w:ascii="Arial" w:cs="Arial" w:eastAsia="Arial" w:hAnsi="Arial"/>
                <w:sz w:val="18"/>
                <w:szCs w:val="18"/>
                <w:b w:val="1"/>
                <w:bCs w:val="1"/>
                <w:color w:val="auto"/>
              </w:rPr>
              <w:t>(493)</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158</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5100" w:type="dxa"/>
            <w:vAlign w:val="bottom"/>
          </w:tcPr>
          <w:p>
            <w:pPr>
              <w:spacing w:after="0"/>
              <w:rPr>
                <w:sz w:val="20"/>
                <w:szCs w:val="20"/>
                <w:color w:val="auto"/>
              </w:rPr>
            </w:pPr>
            <w:r>
              <w:rPr>
                <w:rFonts w:ascii="Arial" w:cs="Arial" w:eastAsia="Arial" w:hAnsi="Arial"/>
                <w:sz w:val="18"/>
                <w:szCs w:val="18"/>
                <w:b w:val="1"/>
                <w:bCs w:val="1"/>
                <w:color w:val="FF6600"/>
              </w:rPr>
              <w:t>Reuters</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-2763520</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-2489200</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-1957705</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-1297305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-508000</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-233680</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0219"/>
          </w:cols>
          <w:pgMar w:left="240" w:top="13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jc w:val="right"/>
              <w:ind w:right="157"/>
              <w:spacing w:after="0"/>
              <w:rPr>
                <w:sz w:val="20"/>
                <w:szCs w:val="20"/>
                <w:color w:val="auto"/>
              </w:rPr>
            </w:pPr>
            <w:r>
              <w:rPr>
                <w:rFonts w:ascii="Arial" w:cs="Arial" w:eastAsia="Arial" w:hAnsi="Arial"/>
                <w:sz w:val="14"/>
                <w:szCs w:val="14"/>
                <w:b w:val="1"/>
                <w:bCs w:val="1"/>
                <w:color w:val="auto"/>
              </w:rPr>
              <w:t>2002</w:t>
            </w:r>
          </w:p>
        </w:tc>
        <w:tc>
          <w:tcPr>
            <w:tcW w:w="920" w:type="dxa"/>
            <w:vAlign w:val="bottom"/>
          </w:tcPr>
          <w:p>
            <w:pPr>
              <w:jc w:val="right"/>
              <w:ind w:right="157"/>
              <w:spacing w:after="0"/>
              <w:rPr>
                <w:sz w:val="20"/>
                <w:szCs w:val="20"/>
                <w:color w:val="auto"/>
              </w:rPr>
            </w:pPr>
            <w:r>
              <w:rPr>
                <w:rFonts w:ascii="Arial" w:cs="Arial" w:eastAsia="Arial" w:hAnsi="Arial"/>
                <w:sz w:val="14"/>
                <w:szCs w:val="14"/>
                <w:color w:val="auto"/>
              </w:rPr>
              <w:t>2001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3880" w:type="dxa"/>
            <w:vAlign w:val="bottom"/>
          </w:tcPr>
          <w:p>
            <w:pPr>
              <w:spacing w:after="0"/>
              <w:rPr>
                <w:sz w:val="15"/>
                <w:szCs w:val="15"/>
                <w:color w:val="auto"/>
              </w:rPr>
            </w:pPr>
          </w:p>
        </w:tc>
        <w:tc>
          <w:tcPr>
            <w:tcW w:w="2400" w:type="dxa"/>
            <w:vAlign w:val="bottom"/>
          </w:tcPr>
          <w:p>
            <w:pPr>
              <w:jc w:val="right"/>
              <w:ind w:right="157"/>
              <w:spacing w:after="0"/>
              <w:rPr>
                <w:sz w:val="20"/>
                <w:szCs w:val="20"/>
                <w:color w:val="auto"/>
              </w:rPr>
            </w:pPr>
            <w:r>
              <w:rPr>
                <w:rFonts w:ascii="Arial" w:cs="Arial" w:eastAsia="Arial" w:hAnsi="Arial"/>
                <w:sz w:val="14"/>
                <w:szCs w:val="14"/>
                <w:b w:val="1"/>
                <w:bCs w:val="1"/>
                <w:color w:val="auto"/>
              </w:rPr>
              <w:t>£m</w:t>
            </w:r>
          </w:p>
        </w:tc>
        <w:tc>
          <w:tcPr>
            <w:tcW w:w="920" w:type="dxa"/>
            <w:vAlign w:val="bottom"/>
          </w:tcPr>
          <w:p>
            <w:pPr>
              <w:jc w:val="right"/>
              <w:ind w:right="157"/>
              <w:spacing w:after="0"/>
              <w:rPr>
                <w:sz w:val="20"/>
                <w:szCs w:val="20"/>
                <w:color w:val="auto"/>
              </w:rPr>
            </w:pPr>
            <w:r>
              <w:rPr>
                <w:rFonts w:ascii="Arial" w:cs="Arial" w:eastAsia="Arial" w:hAnsi="Arial"/>
                <w:sz w:val="14"/>
                <w:szCs w:val="14"/>
                <w:color w:val="auto"/>
              </w:rPr>
              <w:t>£m</w:t>
            </w:r>
          </w:p>
        </w:tc>
        <w:tc>
          <w:tcPr>
            <w:tcW w:w="72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95"/>
        </w:trPr>
        <w:tc>
          <w:tcPr>
            <w:tcW w:w="388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r>
      <w:tr>
        <w:trPr>
          <w:trHeight w:val="285"/>
        </w:trPr>
        <w:tc>
          <w:tcPr>
            <w:tcW w:w="3880" w:type="dxa"/>
            <w:vAlign w:val="bottom"/>
          </w:tcPr>
          <w:p>
            <w:pPr>
              <w:spacing w:after="0"/>
              <w:rPr>
                <w:sz w:val="20"/>
                <w:szCs w:val="20"/>
                <w:color w:val="auto"/>
              </w:rPr>
            </w:pPr>
            <w:r>
              <w:rPr>
                <w:rFonts w:ascii="Arial" w:cs="Arial" w:eastAsia="Arial" w:hAnsi="Arial"/>
                <w:sz w:val="18"/>
                <w:szCs w:val="18"/>
                <w:color w:val="auto"/>
              </w:rPr>
              <w:t>Revenue</w:t>
            </w:r>
          </w:p>
        </w:tc>
        <w:tc>
          <w:tcPr>
            <w:tcW w:w="2400" w:type="dxa"/>
            <w:vAlign w:val="bottom"/>
          </w:tcPr>
          <w:p>
            <w:pPr>
              <w:jc w:val="right"/>
              <w:ind w:right="157"/>
              <w:spacing w:after="0"/>
              <w:rPr>
                <w:sz w:val="20"/>
                <w:szCs w:val="20"/>
                <w:color w:val="auto"/>
              </w:rPr>
            </w:pPr>
            <w:r>
              <w:rPr>
                <w:rFonts w:ascii="Arial" w:cs="Arial" w:eastAsia="Arial" w:hAnsi="Arial"/>
                <w:sz w:val="18"/>
                <w:szCs w:val="18"/>
                <w:b w:val="1"/>
                <w:bCs w:val="1"/>
                <w:color w:val="auto"/>
              </w:rPr>
              <w:t>2,992</w:t>
            </w:r>
          </w:p>
        </w:tc>
        <w:tc>
          <w:tcPr>
            <w:tcW w:w="920" w:type="dxa"/>
            <w:vAlign w:val="bottom"/>
          </w:tcPr>
          <w:p>
            <w:pPr>
              <w:jc w:val="right"/>
              <w:ind w:right="157"/>
              <w:spacing w:after="0"/>
              <w:rPr>
                <w:sz w:val="20"/>
                <w:szCs w:val="20"/>
                <w:color w:val="auto"/>
              </w:rPr>
            </w:pPr>
            <w:r>
              <w:rPr>
                <w:rFonts w:ascii="Arial" w:cs="Arial" w:eastAsia="Arial" w:hAnsi="Arial"/>
                <w:sz w:val="18"/>
                <w:szCs w:val="18"/>
                <w:color w:val="auto"/>
              </w:rPr>
              <w:t>3,042</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Normalised operating profit</w:t>
            </w:r>
          </w:p>
        </w:tc>
        <w:tc>
          <w:tcPr>
            <w:tcW w:w="2400" w:type="dxa"/>
            <w:vAlign w:val="bottom"/>
          </w:tcPr>
          <w:p>
            <w:pPr>
              <w:jc w:val="right"/>
              <w:ind w:right="157"/>
              <w:spacing w:after="0" w:line="202" w:lineRule="exact"/>
              <w:rPr>
                <w:sz w:val="20"/>
                <w:szCs w:val="20"/>
                <w:color w:val="auto"/>
              </w:rPr>
            </w:pPr>
            <w:r>
              <w:rPr>
                <w:rFonts w:ascii="Arial" w:cs="Arial" w:eastAsia="Arial" w:hAnsi="Arial"/>
                <w:sz w:val="18"/>
                <w:szCs w:val="18"/>
                <w:b w:val="1"/>
                <w:bCs w:val="1"/>
                <w:color w:val="auto"/>
              </w:rPr>
              <w:t>281</w:t>
            </w:r>
          </w:p>
        </w:tc>
        <w:tc>
          <w:tcPr>
            <w:tcW w:w="9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222</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Operating profit</w:t>
            </w:r>
          </w:p>
        </w:tc>
        <w:tc>
          <w:tcPr>
            <w:tcW w:w="2400" w:type="dxa"/>
            <w:vAlign w:val="bottom"/>
          </w:tcPr>
          <w:p>
            <w:pPr>
              <w:jc w:val="right"/>
              <w:ind w:right="157"/>
              <w:spacing w:after="0" w:line="202" w:lineRule="exact"/>
              <w:rPr>
                <w:sz w:val="20"/>
                <w:szCs w:val="20"/>
                <w:color w:val="auto"/>
              </w:rPr>
            </w:pPr>
            <w:r>
              <w:rPr>
                <w:rFonts w:ascii="Arial" w:cs="Arial" w:eastAsia="Arial" w:hAnsi="Arial"/>
                <w:sz w:val="18"/>
                <w:szCs w:val="18"/>
                <w:b w:val="1"/>
                <w:bCs w:val="1"/>
                <w:color w:val="auto"/>
              </w:rPr>
              <w:t>195</w:t>
            </w:r>
          </w:p>
        </w:tc>
        <w:tc>
          <w:tcPr>
            <w:tcW w:w="9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155</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Normalised profit before tax</w:t>
            </w:r>
          </w:p>
        </w:tc>
        <w:tc>
          <w:tcPr>
            <w:tcW w:w="2400" w:type="dxa"/>
            <w:vAlign w:val="bottom"/>
          </w:tcPr>
          <w:p>
            <w:pPr>
              <w:jc w:val="right"/>
              <w:ind w:right="157"/>
              <w:spacing w:after="0" w:line="202" w:lineRule="exact"/>
              <w:rPr>
                <w:sz w:val="20"/>
                <w:szCs w:val="20"/>
                <w:color w:val="auto"/>
              </w:rPr>
            </w:pPr>
            <w:r>
              <w:rPr>
                <w:rFonts w:ascii="Arial" w:cs="Arial" w:eastAsia="Arial" w:hAnsi="Arial"/>
                <w:sz w:val="18"/>
                <w:szCs w:val="18"/>
                <w:b w:val="1"/>
                <w:bCs w:val="1"/>
                <w:color w:val="auto"/>
              </w:rPr>
              <w:t>194</w:t>
            </w:r>
          </w:p>
        </w:tc>
        <w:tc>
          <w:tcPr>
            <w:tcW w:w="9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128</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(Loss)/profit before tax</w:t>
            </w:r>
          </w:p>
        </w:tc>
        <w:tc>
          <w:tcPr>
            <w:tcW w:w="2400" w:type="dxa"/>
            <w:vAlign w:val="bottom"/>
          </w:tcPr>
          <w:p>
            <w:pPr>
              <w:jc w:val="right"/>
              <w:ind w:right="157"/>
              <w:spacing w:after="0" w:line="202" w:lineRule="exact"/>
              <w:rPr>
                <w:sz w:val="20"/>
                <w:szCs w:val="20"/>
                <w:color w:val="auto"/>
              </w:rPr>
            </w:pPr>
            <w:r>
              <w:rPr>
                <w:rFonts w:ascii="Arial" w:cs="Arial" w:eastAsia="Arial" w:hAnsi="Arial"/>
                <w:sz w:val="18"/>
                <w:szCs w:val="18"/>
                <w:b w:val="1"/>
                <w:bCs w:val="1"/>
                <w:color w:val="auto"/>
              </w:rPr>
              <w:t>(123)</w:t>
            </w:r>
          </w:p>
        </w:tc>
        <w:tc>
          <w:tcPr>
            <w:tcW w:w="9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9</w:t>
            </w:r>
          </w:p>
        </w:tc>
        <w:tc>
          <w:tcPr>
            <w:tcW w:w="720" w:type="dxa"/>
            <w:vAlign w:val="bottom"/>
          </w:tcPr>
          <w:p>
            <w:pPr>
              <w:spacing w:after="0"/>
              <w:rPr>
                <w:sz w:val="17"/>
                <w:szCs w:val="17"/>
                <w:color w:val="auto"/>
              </w:rPr>
            </w:pPr>
          </w:p>
        </w:tc>
      </w:tr>
      <w:tr>
        <w:trPr>
          <w:trHeight w:val="233"/>
        </w:trPr>
        <w:tc>
          <w:tcPr>
            <w:tcW w:w="3880" w:type="dxa"/>
            <w:vAlign w:val="bottom"/>
          </w:tcPr>
          <w:p>
            <w:pPr>
              <w:spacing w:after="0"/>
              <w:rPr>
                <w:sz w:val="20"/>
                <w:szCs w:val="20"/>
                <w:color w:val="auto"/>
              </w:rPr>
            </w:pPr>
            <w:r>
              <w:rPr>
                <w:rFonts w:ascii="Arial" w:cs="Arial" w:eastAsia="Arial" w:hAnsi="Arial"/>
                <w:sz w:val="18"/>
                <w:szCs w:val="18"/>
                <w:color w:val="auto"/>
              </w:rPr>
              <w:t>Free cash flow</w:t>
            </w:r>
          </w:p>
        </w:tc>
        <w:tc>
          <w:tcPr>
            <w:tcW w:w="2400" w:type="dxa"/>
            <w:vAlign w:val="bottom"/>
          </w:tcPr>
          <w:p>
            <w:pPr>
              <w:jc w:val="right"/>
              <w:ind w:right="157"/>
              <w:spacing w:after="0"/>
              <w:rPr>
                <w:sz w:val="20"/>
                <w:szCs w:val="20"/>
                <w:color w:val="auto"/>
              </w:rPr>
            </w:pPr>
            <w:r>
              <w:rPr>
                <w:rFonts w:ascii="Arial" w:cs="Arial" w:eastAsia="Arial" w:hAnsi="Arial"/>
                <w:sz w:val="18"/>
                <w:szCs w:val="18"/>
                <w:b w:val="1"/>
                <w:bCs w:val="1"/>
                <w:color w:val="auto"/>
              </w:rPr>
              <w:t>214</w:t>
            </w:r>
          </w:p>
        </w:tc>
        <w:tc>
          <w:tcPr>
            <w:tcW w:w="920" w:type="dxa"/>
            <w:vAlign w:val="bottom"/>
          </w:tcPr>
          <w:p>
            <w:pPr>
              <w:jc w:val="right"/>
              <w:ind w:right="157"/>
              <w:spacing w:after="0"/>
              <w:rPr>
                <w:sz w:val="20"/>
                <w:szCs w:val="20"/>
                <w:color w:val="auto"/>
              </w:rPr>
            </w:pPr>
            <w:r>
              <w:rPr>
                <w:rFonts w:ascii="Arial" w:cs="Arial" w:eastAsia="Arial" w:hAnsi="Arial"/>
                <w:sz w:val="18"/>
                <w:szCs w:val="18"/>
                <w:color w:val="auto"/>
              </w:rPr>
              <w:t>169</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-868680</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50380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38090" cy="34290"/>
                    </a:xfrm>
                    <a:prstGeom prst="rect">
                      <a:avLst/>
                    </a:prstGeom>
                    <a:noFill/>
                  </pic:spPr>
                </pic:pic>
              </a:graphicData>
            </a:graphic>
          </wp:anchor>
        </w:drawing>
      </w:r>
    </w:p>
    <w:p>
      <w:pPr>
        <w:spacing w:after="0" w:line="201" w:lineRule="exact"/>
        <w:rPr>
          <w:sz w:val="20"/>
          <w:szCs w:val="20"/>
          <w:color w:val="auto"/>
        </w:rPr>
      </w:pPr>
    </w:p>
    <w:p>
      <w:pPr>
        <w:ind w:right="2319"/>
        <w:spacing w:after="0" w:line="236" w:lineRule="auto"/>
        <w:rPr>
          <w:sz w:val="20"/>
          <w:szCs w:val="20"/>
          <w:color w:val="auto"/>
        </w:rPr>
      </w:pPr>
      <w:r>
        <w:rPr>
          <w:rFonts w:ascii="Arial" w:cs="Arial" w:eastAsia="Arial" w:hAnsi="Arial"/>
          <w:sz w:val="18"/>
          <w:szCs w:val="18"/>
          <w:color w:val="auto"/>
        </w:rPr>
        <w:t>This report comprises the annual report of Reuters Group PLC in accordance with the United Kingdom requirements and its annual report on Form 20-F in accordance with the requirements of the United States Securities and Exchange Commission (SEC) for 2002. In addition, the Form 20-F will contain certificates pursuant to section 302 of the Sarbanes-Oxley Act of 2002 signed by the Chief Executive Officer and Finance Director, with respect to Reuters Group PLC.</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2019-12-12T01:53:40Z</dcterms:created>
  <dcterms:modified xsi:type="dcterms:W3CDTF">2019-12-12T01:53:40Z</dcterms:modified>
</cp:coreProperties>
</file>