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8" w:lineRule="exact"/>
        <w:rPr>
          <w:sz w:val="24"/>
          <w:szCs w:val="24"/>
          <w:color w:val="auto"/>
        </w:rPr>
      </w:pPr>
    </w:p>
    <w:p>
      <w:pPr>
        <w:spacing w:after="0"/>
        <w:tabs>
          <w:tab w:leader="none" w:pos="8320" w:val="left"/>
        </w:tabs>
        <w:rPr>
          <w:sz w:val="20"/>
          <w:szCs w:val="20"/>
          <w:color w:val="auto"/>
        </w:rPr>
      </w:pPr>
      <w:r>
        <w:rPr>
          <w:rFonts w:ascii="Arial" w:cs="Arial" w:eastAsia="Arial" w:hAnsi="Arial"/>
          <w:sz w:val="18"/>
          <w:szCs w:val="18"/>
          <w:b w:val="1"/>
          <w:bCs w:val="1"/>
          <w:color w:val="auto"/>
        </w:rPr>
        <w:t>For the month of February 2020</w:t>
      </w:r>
      <w:r>
        <w:rPr>
          <w:sz w:val="20"/>
          <w:szCs w:val="20"/>
          <w:color w:val="auto"/>
        </w:rPr>
        <w:tab/>
      </w:r>
      <w:r>
        <w:rPr>
          <w:rFonts w:ascii="Arial" w:cs="Arial" w:eastAsia="Arial" w:hAnsi="Arial"/>
          <w:sz w:val="16"/>
          <w:szCs w:val="16"/>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Bay Street,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M5H 2R2, Canada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8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E. Gold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Deputy 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0280"/>
          </w:cols>
          <w:pgMar w:left="440" w:top="270"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80" w:type="dxa"/>
            <w:vAlign w:val="bottom"/>
          </w:tcPr>
          <w:p>
            <w:pPr>
              <w:ind w:left="5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w w:val="94"/>
              </w:rPr>
              <w:t>Exhibit Number</w:t>
            </w:r>
          </w:p>
        </w:tc>
        <w:tc>
          <w:tcPr>
            <w:tcW w:w="3300" w:type="dxa"/>
            <w:vAlign w:val="bottom"/>
            <w:gridSpan w:val="3"/>
          </w:tcPr>
          <w:p>
            <w:pPr>
              <w:ind w:left="520"/>
              <w:spacing w:after="0"/>
              <w:rPr>
                <w:sz w:val="20"/>
                <w:szCs w:val="20"/>
                <w:color w:val="auto"/>
              </w:rPr>
            </w:pPr>
            <w:r>
              <w:rPr>
                <w:rFonts w:ascii="Arial" w:cs="Arial" w:eastAsia="Arial" w:hAnsi="Arial"/>
                <w:sz w:val="14"/>
                <w:szCs w:val="14"/>
                <w:color w:val="auto"/>
              </w:rPr>
              <w:t>Description</w:t>
            </w:r>
          </w:p>
        </w:tc>
        <w:tc>
          <w:tcPr>
            <w:tcW w:w="51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1020" w:type="dxa"/>
            <w:vAlign w:val="bottom"/>
            <w:gridSpan w:val="2"/>
          </w:tcPr>
          <w:p>
            <w:pPr>
              <w:jc w:val="right"/>
              <w:ind w:right="628"/>
              <w:spacing w:after="0"/>
              <w:rPr>
                <w:sz w:val="20"/>
                <w:szCs w:val="20"/>
                <w:color w:val="auto"/>
              </w:rPr>
            </w:pPr>
            <w:r>
              <w:rPr>
                <w:rFonts w:ascii="Arial" w:cs="Arial" w:eastAsia="Arial" w:hAnsi="Arial"/>
                <w:sz w:val="18"/>
                <w:szCs w:val="18"/>
                <w:color w:val="auto"/>
                <w:w w:val="85"/>
              </w:rPr>
              <w:t>99.1</w:t>
            </w:r>
          </w:p>
        </w:tc>
        <w:tc>
          <w:tcPr>
            <w:tcW w:w="3300" w:type="dxa"/>
            <w:vAlign w:val="bottom"/>
            <w:gridSpan w:val="3"/>
          </w:tcPr>
          <w:p>
            <w:pPr>
              <w:ind w:left="520"/>
              <w:spacing w:after="0"/>
              <w:rPr>
                <w:sz w:val="20"/>
                <w:szCs w:val="20"/>
                <w:color w:val="auto"/>
              </w:rPr>
            </w:pPr>
            <w:r>
              <w:rPr>
                <w:rFonts w:ascii="Arial" w:cs="Arial" w:eastAsia="Arial" w:hAnsi="Arial"/>
                <w:sz w:val="18"/>
                <w:szCs w:val="18"/>
                <w:color w:val="auto"/>
                <w:w w:val="88"/>
              </w:rPr>
              <w:t>News release dated February 25, 2020</w:t>
            </w:r>
          </w:p>
        </w:tc>
        <w:tc>
          <w:tcPr>
            <w:tcW w:w="5180" w:type="dxa"/>
            <w:vAlign w:val="bottom"/>
          </w:tcPr>
          <w:p>
            <w:pPr>
              <w:ind w:left="20"/>
              <w:spacing w:after="0"/>
              <w:rPr>
                <w:sz w:val="20"/>
                <w:szCs w:val="20"/>
                <w:color w:val="auto"/>
              </w:rPr>
            </w:pPr>
            <w:r>
              <w:rPr>
                <w:rFonts w:ascii="Arial" w:cs="Arial" w:eastAsia="Arial" w:hAnsi="Arial"/>
                <w:sz w:val="18"/>
                <w:szCs w:val="18"/>
                <w:color w:val="auto"/>
                <w:w w:val="89"/>
              </w:rPr>
              <w:t>– Thomson Reuters Reports Fourth-Quarter and Full-Year 2019 Results</w:t>
            </w:r>
          </w:p>
        </w:tc>
      </w:tr>
      <w:tr>
        <w:trPr>
          <w:trHeight w:val="284"/>
        </w:trPr>
        <w:tc>
          <w:tcPr>
            <w:tcW w:w="1020" w:type="dxa"/>
            <w:vAlign w:val="bottom"/>
            <w:gridSpan w:val="2"/>
          </w:tcPr>
          <w:p>
            <w:pPr>
              <w:jc w:val="right"/>
              <w:ind w:right="628"/>
              <w:spacing w:after="0"/>
              <w:rPr>
                <w:sz w:val="20"/>
                <w:szCs w:val="20"/>
                <w:color w:val="auto"/>
              </w:rPr>
            </w:pPr>
            <w:r>
              <w:rPr>
                <w:rFonts w:ascii="Arial" w:cs="Arial" w:eastAsia="Arial" w:hAnsi="Arial"/>
                <w:sz w:val="18"/>
                <w:szCs w:val="18"/>
                <w:color w:val="auto"/>
                <w:w w:val="85"/>
              </w:rPr>
              <w:t>99.2</w:t>
            </w:r>
          </w:p>
        </w:tc>
        <w:tc>
          <w:tcPr>
            <w:tcW w:w="3300" w:type="dxa"/>
            <w:vAlign w:val="bottom"/>
            <w:gridSpan w:val="3"/>
          </w:tcPr>
          <w:p>
            <w:pPr>
              <w:ind w:left="520"/>
              <w:spacing w:after="0"/>
              <w:rPr>
                <w:sz w:val="20"/>
                <w:szCs w:val="20"/>
                <w:color w:val="auto"/>
              </w:rPr>
            </w:pPr>
            <w:r>
              <w:rPr>
                <w:rFonts w:ascii="Arial" w:cs="Arial" w:eastAsia="Arial" w:hAnsi="Arial"/>
                <w:sz w:val="18"/>
                <w:szCs w:val="18"/>
                <w:color w:val="auto"/>
                <w:w w:val="88"/>
              </w:rPr>
              <w:t>News release dated February 25, 2020</w:t>
            </w:r>
          </w:p>
        </w:tc>
        <w:tc>
          <w:tcPr>
            <w:tcW w:w="5180" w:type="dxa"/>
            <w:vAlign w:val="bottom"/>
          </w:tcPr>
          <w:p>
            <w:pPr>
              <w:ind w:left="20"/>
              <w:spacing w:after="0"/>
              <w:rPr>
                <w:sz w:val="20"/>
                <w:szCs w:val="20"/>
                <w:color w:val="auto"/>
              </w:rPr>
            </w:pPr>
            <w:r>
              <w:rPr>
                <w:rFonts w:ascii="Arial" w:cs="Arial" w:eastAsia="Arial" w:hAnsi="Arial"/>
                <w:sz w:val="18"/>
                <w:szCs w:val="18"/>
                <w:color w:val="auto"/>
                <w:w w:val="95"/>
              </w:rPr>
              <w:t>– Steve Hasker Appointed President and CEO of Thomson Reuters</w:t>
            </w:r>
          </w:p>
        </w:tc>
      </w:tr>
    </w:tbl>
    <w:p>
      <w:pPr>
        <w:ind w:left="2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ind w:left="100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204089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4375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680085</wp:posOffset>
            </wp:positionV>
            <wp:extent cx="117475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Reports Fourth-Quarter and Full-Year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TORONTO, February 25, 2020 – </w:t>
      </w:r>
      <w:r>
        <w:rPr>
          <w:rFonts w:ascii="Arial" w:cs="Arial" w:eastAsia="Arial" w:hAnsi="Arial"/>
          <w:sz w:val="18"/>
          <w:szCs w:val="18"/>
          <w:color w:val="auto"/>
        </w:rPr>
        <w:t>Thomson Reuters (TSX/NYSE: TRI) today reported results for the fourth quarter and full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w:t>
      </w:r>
    </w:p>
    <w:p>
      <w:pPr>
        <w:spacing w:after="0" w:line="198" w:lineRule="exact"/>
        <w:rPr>
          <w:sz w:val="20"/>
          <w:szCs w:val="20"/>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achieved its full-year 2019 Outlook and updated its 2020 Outlook</w:t>
      </w:r>
    </w:p>
    <w:p>
      <w:pPr>
        <w:ind w:left="980" w:right="540" w:hanging="436"/>
        <w:spacing w:after="0" w:line="23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Thomson Reuters Board of Directors approved an $0.08 per share annualized increase in the dividend to $1.52 per common share. This represents the 27</w:t>
      </w:r>
      <w:r>
        <w:rPr>
          <w:rFonts w:ascii="Arial" w:cs="Arial" w:eastAsia="Arial" w:hAnsi="Arial"/>
          <w:sz w:val="15"/>
          <w:szCs w:val="15"/>
          <w:color w:val="auto"/>
        </w:rPr>
        <w:t>th</w:t>
      </w:r>
      <w:r>
        <w:rPr>
          <w:rFonts w:ascii="Arial" w:cs="Arial" w:eastAsia="Arial" w:hAnsi="Arial"/>
          <w:sz w:val="18"/>
          <w:szCs w:val="18"/>
          <w:color w:val="auto"/>
        </w:rPr>
        <w:t xml:space="preserve"> consecutive year of dividend increases</w:t>
      </w:r>
    </w:p>
    <w:p>
      <w:pPr>
        <w:spacing w:after="0" w:line="1"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Appointment of new CEO and CFO separately announced today</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“It is gratifying to see the continued progress in our business,” said Thomson Reuters CEO Jim Smith. “We achieved our guidance targets for the eighth consecutive year, and I believe the organization is on its firmest footing in many years. With our reorganization behind us and a clear focus on the future of our core business, this is the perfect time to put in place the next generation of leadership, as detailed in our accompanying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006590" cy="2821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6590" cy="2821305"/>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Pr>
          <w:p>
            <w:pPr>
              <w:jc w:val="center"/>
              <w:ind w:left="1088"/>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80" w:type="dxa"/>
            <w:vAlign w:val="bottom"/>
            <w:gridSpan w:val="5"/>
          </w:tcPr>
          <w:p>
            <w:pPr>
              <w:jc w:val="center"/>
              <w:ind w:left="28"/>
              <w:spacing w:after="0"/>
              <w:rPr>
                <w:sz w:val="20"/>
                <w:szCs w:val="20"/>
                <w:color w:val="auto"/>
              </w:rPr>
            </w:pPr>
            <w:r>
              <w:rPr>
                <w:rFonts w:ascii="Arial" w:cs="Arial" w:eastAsia="Arial" w:hAnsi="Arial"/>
                <w:sz w:val="14"/>
                <w:szCs w:val="14"/>
                <w:color w:val="auto"/>
              </w:rPr>
              <w:t>(Millions of U.S. dollars, except for adjusted EBITDA margin and EPS)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tcPr>
          <w:p>
            <w:pPr>
              <w:jc w:val="center"/>
              <w:ind w:left="1088"/>
              <w:spacing w:after="0"/>
              <w:rPr>
                <w:sz w:val="20"/>
                <w:szCs w:val="20"/>
                <w:color w:val="auto"/>
              </w:rPr>
            </w:pPr>
            <w:r>
              <w:rPr>
                <w:rFonts w:ascii="Arial" w:cs="Arial" w:eastAsia="Arial" w:hAnsi="Arial"/>
                <w:sz w:val="14"/>
                <w:szCs w:val="14"/>
                <w:color w:val="auto"/>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4"/>
                <w:szCs w:val="24"/>
                <w:b w:val="1"/>
                <w:bCs w:val="1"/>
                <w:color w:val="auto"/>
                <w:vertAlign w:val="superscript"/>
              </w:rPr>
              <w:t>(2)</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74"/>
        </w:trPr>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12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IFRS Financial Measures</w:t>
            </w:r>
          </w:p>
        </w:tc>
        <w:tc>
          <w:tcPr>
            <w:tcW w:w="180" w:type="dxa"/>
            <w:vAlign w:val="bottom"/>
            <w:tcBorders>
              <w:top w:val="single" w:sz="8" w:color="CCEEFF"/>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b w:val="1"/>
                <w:bCs w:val="1"/>
                <w:color w:val="auto"/>
              </w:rPr>
              <w:t>(1)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Revenues</w:t>
            </w:r>
          </w:p>
        </w:tc>
        <w:tc>
          <w:tcPr>
            <w:tcW w:w="4600" w:type="dxa"/>
            <w:vAlign w:val="bottom"/>
            <w:tcBorders>
              <w:top w:val="single" w:sz="8" w:color="CCEEFF"/>
            </w:tcBorders>
            <w:gridSpan w:val="4"/>
          </w:tcPr>
          <w:p>
            <w:pPr>
              <w:spacing w:after="0"/>
              <w:rPr>
                <w:sz w:val="17"/>
                <w:szCs w:val="17"/>
                <w:color w:val="auto"/>
              </w:rPr>
            </w:pPr>
          </w:p>
        </w:tc>
        <w:tc>
          <w:tcPr>
            <w:tcW w:w="340" w:type="dxa"/>
            <w:vAlign w:val="bottom"/>
            <w:tcBorders>
              <w:top w:val="single" w:sz="8" w:color="CCEEFF"/>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97"/>
              </w:rPr>
              <w:t>1,583</w:t>
            </w: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97"/>
              </w:rPr>
              <w:t>1,527</w:t>
            </w:r>
          </w:p>
        </w:tc>
        <w:tc>
          <w:tcPr>
            <w:tcW w:w="4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gridSpan w:val="2"/>
          </w:tcPr>
          <w:p>
            <w:pPr>
              <w:jc w:val="right"/>
              <w:ind w:right="140"/>
              <w:spacing w:after="0" w:line="196"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Operating profit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Diluted earnings per share (EPS) (includes discontinued operations)</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4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Cash flow from operations (includes discontinued operations)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8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Non-IFRS Financial Measures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(1)</w:t>
            </w:r>
          </w:p>
        </w:tc>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6"/>
            <w:shd w:val="clear" w:color="auto" w:fill="CCEEFF"/>
          </w:tcPr>
          <w:p>
            <w:pPr>
              <w:ind w:left="140"/>
              <w:spacing w:after="0" w:line="196" w:lineRule="exact"/>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1,583</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1,527</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w:t>
            </w:r>
          </w:p>
        </w:tc>
        <w:tc>
          <w:tcPr>
            <w:tcW w:w="11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86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Adjusted EBITDA</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4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86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Adjusted EBITDA margin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710bp</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680bp</w:t>
            </w:r>
          </w:p>
        </w:tc>
        <w:tc>
          <w:tcPr>
            <w:tcW w:w="0" w:type="dxa"/>
            <w:vAlign w:val="bottom"/>
          </w:tcPr>
          <w:p>
            <w:pPr>
              <w:spacing w:after="0"/>
              <w:rPr>
                <w:sz w:val="1"/>
                <w:szCs w:val="1"/>
                <w:color w:val="auto"/>
              </w:rPr>
            </w:pPr>
          </w:p>
        </w:tc>
      </w:tr>
      <w:tr>
        <w:trPr>
          <w:trHeight w:val="203"/>
        </w:trPr>
        <w:tc>
          <w:tcPr>
            <w:tcW w:w="686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Adjusted EPS</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4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686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Free cash flow (includes discontinued operations)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(167)</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n/m:not meaningful</w:t>
      </w:r>
    </w:p>
    <w:p>
      <w:pPr>
        <w:spacing w:after="0" w:line="15" w:lineRule="exact"/>
        <w:rPr>
          <w:sz w:val="20"/>
          <w:szCs w:val="20"/>
          <w:color w:val="auto"/>
        </w:rPr>
      </w:pPr>
    </w:p>
    <w:p>
      <w:pPr>
        <w:ind w:left="440" w:right="360" w:hanging="287"/>
        <w:spacing w:after="0" w:line="241" w:lineRule="auto"/>
        <w:rPr>
          <w:sz w:val="20"/>
          <w:szCs w:val="20"/>
          <w:color w:val="auto"/>
        </w:rPr>
      </w:pPr>
      <w:r>
        <w:rPr>
          <w:rFonts w:ascii="Arial" w:cs="Arial" w:eastAsia="Arial" w:hAnsi="Arial"/>
          <w:sz w:val="14"/>
          <w:szCs w:val="14"/>
          <w:i w:val="1"/>
          <w:iCs w:val="1"/>
          <w:color w:val="auto"/>
        </w:rPr>
        <w:t>(1) In addition to results reported in accordance with International Financial Reporting Standards (IFRS), the company uses certain non-IFRS financial measures as supplemental indicators of its operating performance and financial position. These and other non-IFRS financial measures are defined and reconciled to the most directly comparable IFRS measures in the tables appended to this news release.</w:t>
      </w:r>
    </w:p>
    <w:p>
      <w:pPr>
        <w:spacing w:after="0" w:line="1" w:lineRule="exact"/>
        <w:rPr>
          <w:sz w:val="20"/>
          <w:szCs w:val="20"/>
          <w:color w:val="auto"/>
        </w:rPr>
      </w:pPr>
    </w:p>
    <w:p>
      <w:pPr>
        <w:ind w:left="440" w:right="520" w:hanging="287"/>
        <w:spacing w:after="0" w:line="258" w:lineRule="auto"/>
        <w:rPr>
          <w:sz w:val="20"/>
          <w:szCs w:val="20"/>
          <w:color w:val="auto"/>
        </w:rPr>
      </w:pPr>
      <w:r>
        <w:rPr>
          <w:rFonts w:ascii="Arial" w:cs="Arial" w:eastAsia="Arial" w:hAnsi="Arial"/>
          <w:sz w:val="14"/>
          <w:szCs w:val="14"/>
          <w:i w:val="1"/>
          <w:iCs w:val="1"/>
          <w:color w:val="auto"/>
        </w:rPr>
        <w:t>(2) 2018 results have been revised to correct certain immaterial misstatements. For additional information, see the “Revision of Prior-Period Financial Statements” section of the news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4%, primarily due to higher recurring revenues. Foreign currency had no impact on revenue growth in the quarter.</w:t>
      </w:r>
    </w:p>
    <w:p>
      <w:pPr>
        <w:spacing w:after="0" w:line="139"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Organic revenue growth was 4%, driven by 6% growth in recurring revenues, which comprised 78% of total revenues.</w:t>
      </w:r>
    </w:p>
    <w:p>
      <w:pPr>
        <w:spacing w:after="0" w:line="19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due to higher revenues and lower costs and investments to reposition Thomson Reuters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of Financial &amp; Risk (F&amp;R) from the company.</w:t>
      </w:r>
    </w:p>
    <w:p>
      <w:pPr>
        <w:spacing w:after="0" w:line="59" w:lineRule="exact"/>
        <w:rPr>
          <w:sz w:val="20"/>
          <w:szCs w:val="20"/>
          <w:color w:val="auto"/>
        </w:rPr>
      </w:pPr>
    </w:p>
    <w:p>
      <w:pPr>
        <w:ind w:left="980" w:right="100" w:hanging="544"/>
        <w:spacing w:after="0" w:line="27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44% due to the same factors. The related margin increased to 25.0% compared to 17.9%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prior-year period.</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was $2.64, reflecting a non-cash deferred tax benefit associated with the reorganization of certain foreign operations.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EPS of $6.13 in the prior-year period included a gain on the sale of a 55% interest in the F&amp;R business.</w:t>
      </w:r>
    </w:p>
    <w:p>
      <w:pPr>
        <w:sectPr>
          <w:pgSz w:w="11900" w:h="16838" w:orient="portrait"/>
          <w:cols w:equalWidth="0" w:num="1">
            <w:col w:w="11040"/>
          </w:cols>
          <w:pgMar w:left="440" w:top="118" w:right="419" w:bottom="1440" w:gutter="0" w:footer="0" w:header="0"/>
        </w:sectPr>
      </w:pPr>
    </w:p>
    <w:bookmarkStart w:id="4" w:name="page5"/>
    <w:bookmarkEnd w:id="4"/>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2 of 20</w:t>
      </w:r>
    </w:p>
    <w:p>
      <w:pPr>
        <w:spacing w:after="0" w:line="181" w:lineRule="exact"/>
        <w:rPr>
          <w:sz w:val="20"/>
          <w:szCs w:val="20"/>
          <w:color w:val="auto"/>
        </w:rPr>
      </w:pPr>
    </w:p>
    <w:p>
      <w:pPr>
        <w:ind w:left="980" w:right="320" w:hanging="544"/>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items above and reflects other adjustments, increased to $0.37 from $0.19 in the prior-year period, primarily due to higher adjusted EBITDA.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increased primarily due to higher operating profit and lower tax payments.</w:t>
      </w:r>
    </w:p>
    <w:p>
      <w:pPr>
        <w:spacing w:after="0" w:line="117" w:lineRule="exact"/>
        <w:rPr>
          <w:sz w:val="20"/>
          <w:szCs w:val="20"/>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increased primarily for the same reasons.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Highlights by Customer Segment – 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006590" cy="446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4467860"/>
                    </a:xfrm>
                    <a:prstGeom prst="rect">
                      <a:avLst/>
                    </a:prstGeom>
                    <a:noFill/>
                  </pic:spPr>
                </pic:pic>
              </a:graphicData>
            </a:graphic>
          </wp:anchor>
        </w:drawing>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(Millions of U.S. dollars, except for adjusted EBITDA margins)</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(unaudited)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4"/>
                <w:szCs w:val="24"/>
                <w:b w:val="1"/>
                <w:bCs w:val="1"/>
                <w:color w:val="auto"/>
                <w:vertAlign w:val="superscript"/>
              </w:rPr>
              <w:t>(1)</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right"/>
              <w:ind w:right="212"/>
              <w:spacing w:after="0" w:line="143" w:lineRule="exact"/>
              <w:rPr>
                <w:sz w:val="20"/>
                <w:szCs w:val="20"/>
                <w:color w:val="auto"/>
              </w:rPr>
            </w:pPr>
            <w:r>
              <w:rPr>
                <w:rFonts w:ascii="Arial" w:cs="Arial" w:eastAsia="Arial" w:hAnsi="Arial"/>
                <w:sz w:val="14"/>
                <w:szCs w:val="14"/>
                <w:b w:val="1"/>
                <w:bCs w:val="1"/>
                <w:color w:val="auto"/>
              </w:rPr>
              <w:t>Constant</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212"/>
              <w:spacing w:after="0"/>
              <w:rPr>
                <w:sz w:val="20"/>
                <w:szCs w:val="20"/>
                <w:color w:val="auto"/>
              </w:rPr>
            </w:pPr>
            <w:r>
              <w:rPr>
                <w:rFonts w:ascii="Arial" w:cs="Arial" w:eastAsia="Arial" w:hAnsi="Arial"/>
                <w:sz w:val="14"/>
                <w:szCs w:val="14"/>
                <w:b w:val="1"/>
                <w:bCs w:val="1"/>
                <w:color w:val="auto"/>
              </w:rPr>
              <w:t>Currency</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Revenues</w:t>
            </w:r>
          </w:p>
        </w:tc>
        <w:tc>
          <w:tcPr>
            <w:tcW w:w="32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2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Eliminations/Rounding</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5"/>
          </w:tcPr>
          <w:p>
            <w:pPr>
              <w:ind w:left="140"/>
              <w:spacing w:after="0"/>
              <w:rPr>
                <w:sz w:val="20"/>
                <w:szCs w:val="20"/>
                <w:color w:val="auto"/>
              </w:rPr>
            </w:pPr>
            <w:r>
              <w:rPr>
                <w:rFonts w:ascii="Arial" w:cs="Arial" w:eastAsia="Arial" w:hAnsi="Arial"/>
                <w:sz w:val="18"/>
                <w:szCs w:val="18"/>
                <w:b w:val="1"/>
                <w:bCs w:val="1"/>
                <w:color w:val="auto"/>
              </w:rPr>
              <w:t>Revenues</w:t>
            </w:r>
          </w:p>
        </w:tc>
        <w:tc>
          <w:tcPr>
            <w:tcW w:w="1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1,527</w:t>
            </w:r>
          </w:p>
        </w:tc>
        <w:tc>
          <w:tcPr>
            <w:tcW w:w="4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4%</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Adjusted EBITDA</w:t>
            </w:r>
          </w:p>
        </w:tc>
        <w:tc>
          <w:tcPr>
            <w:tcW w:w="2640" w:type="dxa"/>
            <w:vAlign w:val="bottom"/>
            <w:tcBorders>
              <w:bottom w:val="single" w:sz="8" w:color="CCEEFF"/>
            </w:tcBorders>
            <w:gridSpan w:val="2"/>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23%</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-23%</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-86%</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 costs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(244)</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5"/>
          </w:tcPr>
          <w:p>
            <w:pPr>
              <w:ind w:left="140"/>
              <w:spacing w:after="0"/>
              <w:rPr>
                <w:sz w:val="20"/>
                <w:szCs w:val="20"/>
                <w:color w:val="auto"/>
              </w:rPr>
            </w:pPr>
            <w:r>
              <w:rPr>
                <w:rFonts w:ascii="Arial" w:cs="Arial" w:eastAsia="Arial" w:hAnsi="Arial"/>
                <w:sz w:val="18"/>
                <w:szCs w:val="18"/>
                <w:b w:val="1"/>
                <w:bCs w:val="1"/>
                <w:color w:val="auto"/>
              </w:rPr>
              <w:t>Adjusted EBITDA</w:t>
            </w:r>
          </w:p>
        </w:tc>
        <w:tc>
          <w:tcPr>
            <w:tcW w:w="1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4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44%</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44%</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Adjusted EBITDA Margin</w:t>
            </w:r>
          </w:p>
        </w:tc>
        <w:tc>
          <w:tcPr>
            <w:tcW w:w="20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36.8%</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-190bp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-200bp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26.5%</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460bp</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340bp</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47.4%</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170bp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-90bp</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-230bp</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42.6%</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-310bp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-380bp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 costs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280" w:type="dxa"/>
            <w:vAlign w:val="bottom"/>
            <w:gridSpan w:val="5"/>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17.9%</w:t>
            </w:r>
          </w:p>
        </w:tc>
        <w:tc>
          <w:tcPr>
            <w:tcW w:w="900" w:type="dxa"/>
            <w:vAlign w:val="bottom"/>
          </w:tcPr>
          <w:p>
            <w:pPr>
              <w:jc w:val="right"/>
              <w:ind w:right="211"/>
              <w:spacing w:after="0"/>
              <w:rPr>
                <w:sz w:val="20"/>
                <w:szCs w:val="20"/>
                <w:color w:val="auto"/>
              </w:rPr>
            </w:pPr>
            <w:r>
              <w:rPr>
                <w:rFonts w:ascii="Arial" w:cs="Arial" w:eastAsia="Arial" w:hAnsi="Arial"/>
                <w:sz w:val="18"/>
                <w:szCs w:val="18"/>
                <w:b w:val="1"/>
                <w:bCs w:val="1"/>
                <w:color w:val="auto"/>
              </w:rPr>
              <w:t>710bp</w:t>
            </w: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680bp</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n/a: not applicable</w:t>
      </w:r>
    </w:p>
    <w:p>
      <w:pPr>
        <w:spacing w:after="0" w:line="15" w:lineRule="exact"/>
        <w:rPr>
          <w:sz w:val="20"/>
          <w:szCs w:val="20"/>
          <w:color w:val="auto"/>
        </w:rPr>
      </w:pPr>
    </w:p>
    <w:p>
      <w:pPr>
        <w:ind w:left="440" w:right="520" w:hanging="279"/>
        <w:spacing w:after="0" w:line="241" w:lineRule="auto"/>
        <w:tabs>
          <w:tab w:leader="none" w:pos="429"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2018 results have been revised to correct certain immaterial misstatements. For additional information, see the “Revision of Prior-Period Financial Statements” section of the news release.</w:t>
      </w:r>
    </w:p>
    <w:p>
      <w:pPr>
        <w:ind w:left="440" w:hanging="279"/>
        <w:spacing w:after="0"/>
        <w:tabs>
          <w:tab w:leader="none" w:pos="4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Computed for revenue growth only.</w:t>
      </w:r>
    </w:p>
    <w:p>
      <w:pPr>
        <w:spacing w:after="0" w:line="32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Unless otherwise noted, all revenue growth comparisons by customer segment in this news release are at </w:t>
      </w:r>
      <w:r>
        <w:rPr>
          <w:rFonts w:ascii="Arial" w:cs="Arial" w:eastAsia="Arial" w:hAnsi="Arial"/>
          <w:sz w:val="18"/>
          <w:szCs w:val="18"/>
          <w:b w:val="1"/>
          <w:bCs w:val="1"/>
          <w:i w:val="1"/>
          <w:iCs w:val="1"/>
          <w:u w:val="single" w:color="auto"/>
          <w:color w:val="auto"/>
        </w:rPr>
        <w:t>constant currency</w:t>
      </w:r>
      <w:r>
        <w:rPr>
          <w:rFonts w:ascii="Arial" w:cs="Arial" w:eastAsia="Arial" w:hAnsi="Arial"/>
          <w:sz w:val="18"/>
          <w:szCs w:val="18"/>
          <w:i w:val="1"/>
          <w:iCs w:val="1"/>
          <w:color w:val="auto"/>
        </w:rPr>
        <w:t xml:space="preserve"> (or exclude the impact of foreign currency) as Thomson Reuters believes this provides the best basis to measure their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4% (all of which was organic) to $617 million.</w:t>
      </w:r>
    </w:p>
    <w:p>
      <w:pPr>
        <w:spacing w:after="0" w:line="139" w:lineRule="exact"/>
        <w:rPr>
          <w:sz w:val="20"/>
          <w:szCs w:val="20"/>
          <w:color w:val="auto"/>
        </w:rPr>
      </w:pPr>
    </w:p>
    <w:p>
      <w:pPr>
        <w:ind w:left="980" w:right="420" w:hanging="544"/>
        <w:spacing w:after="0" w:line="23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revenues grew 5% (92% of total), driven by organic revenue growth of 4% and revenues contributed by HighQ, which was acquired in July 2019.</w:t>
      </w:r>
    </w:p>
    <w:p>
      <w:pPr>
        <w:spacing w:after="0" w:line="1"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revenues declined 13% (8% of total) and were flat organically due to the sale of several small businesses.</w:t>
      </w:r>
    </w:p>
    <w:p>
      <w:pPr>
        <w:sectPr>
          <w:pgSz w:w="11900" w:h="16838" w:orient="portrait"/>
          <w:cols w:equalWidth="0" w:num="1">
            <w:col w:w="11040"/>
          </w:cols>
          <w:pgMar w:left="440" w:top="1170" w:right="419" w:bottom="1440" w:gutter="0" w:footer="0" w:header="0"/>
        </w:sectPr>
      </w:pPr>
    </w:p>
    <w:bookmarkStart w:id="5" w:name="page6"/>
    <w:bookmarkEnd w:id="5"/>
    <w:p>
      <w:pPr>
        <w:ind w:right="510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3 of 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declined 3% to $215 million.</w:t>
      </w:r>
    </w:p>
    <w:p>
      <w:pPr>
        <w:spacing w:after="0" w:line="139" w:lineRule="exact"/>
        <w:rPr>
          <w:sz w:val="20"/>
          <w:szCs w:val="20"/>
          <w:color w:val="auto"/>
        </w:rPr>
      </w:pPr>
    </w:p>
    <w:p>
      <w:pPr>
        <w:ind w:left="980" w:right="80" w:hanging="54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margin decreased to 34.9% from 36.8%, primarily due to the dilutive impact of the HighQ acquisition and the unfavorable timing of 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5% (all organic) to $331 million, primarily due to strong recurring revenue growth. Growth of 3% from the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Integration Point (November 2018), Confirmation (July 2019) and HighQ (July 2019) was offset by a loss of revenues following the sale of the Pangea3/Legal Managed Services business (May 2019).</w:t>
      </w:r>
    </w:p>
    <w:p>
      <w:pPr>
        <w:spacing w:after="0" w:line="97" w:lineRule="exact"/>
        <w:rPr>
          <w:sz w:val="20"/>
          <w:szCs w:val="20"/>
          <w:color w:val="auto"/>
        </w:rPr>
      </w:pPr>
    </w:p>
    <w:p>
      <w:pPr>
        <w:ind w:left="980" w:right="280" w:hanging="544"/>
        <w:spacing w:after="0" w:line="23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Recurring revenues grew 7% (85% of total), driven by organic revenue growth of 5% and revenues from the acquisitions of Integration Point and HighQ.</w:t>
      </w:r>
    </w:p>
    <w:p>
      <w:pPr>
        <w:spacing w:after="0" w:line="1" w:lineRule="exact"/>
        <w:rPr>
          <w:rFonts w:ascii="Arial" w:cs="Arial" w:eastAsia="Arial" w:hAnsi="Arial"/>
          <w:sz w:val="18"/>
          <w:szCs w:val="18"/>
          <w:color w:val="auto"/>
        </w:rPr>
      </w:pPr>
    </w:p>
    <w:p>
      <w:pPr>
        <w:ind w:left="980" w:right="1160" w:hanging="54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revenues declined 4% (15% of total), primarily due to the loss of revenues following the sale of the Pangea3/Legal Managed Services business. Transactions revenues grew 6% organically.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23% to $103 million.</w:t>
      </w:r>
    </w:p>
    <w:p>
      <w:pPr>
        <w:spacing w:after="0" w:line="139" w:lineRule="exact"/>
        <w:rPr>
          <w:sz w:val="20"/>
          <w:szCs w:val="20"/>
          <w:color w:val="auto"/>
        </w:rPr>
      </w:pPr>
    </w:p>
    <w:p>
      <w:pPr>
        <w:ind w:left="980" w:right="200" w:hanging="54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margin increased from 26.5% to 31.1% due to higher revenues, productivity savings and the impact of foreign currency, despite the dilutive impact of the Integration Point, Confirmation and HighQ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&amp; Accounting Professionals</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11% (12% organic) to $274 million, partly due to the shift of some UltraTax U.S. state tax software releases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to December to more closely align with the traditional December release of U.S. federal tax software.</w:t>
      </w:r>
    </w:p>
    <w:p>
      <w:pPr>
        <w:spacing w:after="0" w:line="77" w:lineRule="exact"/>
        <w:rPr>
          <w:sz w:val="20"/>
          <w:szCs w:val="20"/>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Recurring revenues grew 10% (89% of total), driven by organic revenue growth of 13%, partly due to the same timing reason.</w:t>
      </w:r>
    </w:p>
    <w:p>
      <w:pPr>
        <w:ind w:left="980" w:right="760" w:hanging="544"/>
        <w:spacing w:after="0" w:line="24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revenues grew 19% (11% of total), primarily due to revenues contributed by Confirmation. Transactions revenues grew 9% organically.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grew 13% to $135 million.</w:t>
      </w:r>
    </w:p>
    <w:p>
      <w:pPr>
        <w:spacing w:after="0" w:line="135" w:lineRule="exact"/>
        <w:rPr>
          <w:sz w:val="20"/>
          <w:szCs w:val="20"/>
          <w:color w:val="auto"/>
        </w:rPr>
      </w:pPr>
    </w:p>
    <w:p>
      <w:pPr>
        <w:ind w:left="980" w:hanging="54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margin increased from 47.4% to 49.1% due to higher revenues.</w:t>
      </w:r>
    </w:p>
    <w:p>
      <w:pPr>
        <w:jc w:val="both"/>
        <w:ind w:left="980" w:right="20" w:hanging="54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Tax &amp; Accounting Professionals segment is the company’s most seasonal business with nearly 60% of full-year revenues typically generated in the first and fourth quarters. Because of this, the margin performance in this segment is generally higher in the first and fourth quarters as costs are incurred in a more linear fashion throughout the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Reuters News</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5% to $164 million due to the acquisition in October 2019 of FC Business Intelligence, which is now rebranded as</w:t>
      </w:r>
      <w:r>
        <w:rPr>
          <w:rFonts w:ascii="Arial" w:cs="Arial" w:eastAsia="Arial" w:hAnsi="Arial"/>
          <w:sz w:val="18"/>
          <w:szCs w:val="18"/>
          <w:b w:val="1"/>
          <w:bCs w:val="1"/>
          <w:color w:val="auto"/>
        </w:rPr>
        <w:t xml:space="preserve"> </w:t>
      </w:r>
      <w:r>
        <w:rPr>
          <w:rFonts w:ascii="Arial" w:cs="Arial" w:eastAsia="Arial" w:hAnsi="Arial"/>
          <w:sz w:val="18"/>
          <w:szCs w:val="18"/>
          <w:color w:val="auto"/>
        </w:rPr>
        <w:t>Reuters Events.</w:t>
      </w:r>
    </w:p>
    <w:p>
      <w:pPr>
        <w:spacing w:after="0" w:line="81" w:lineRule="exact"/>
        <w:rPr>
          <w:sz w:val="20"/>
          <w:szCs w:val="20"/>
          <w:color w:val="auto"/>
        </w:rPr>
      </w:pPr>
    </w:p>
    <w:p>
      <w:pPr>
        <w:ind w:left="980" w:hanging="54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Organic revenues decreased 1% due to timing.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$4 million, down $2 million from the prior-year period due to higher costs and investments.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Print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4% to $196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decreased 12% to $77 million.</w:t>
      </w:r>
    </w:p>
    <w:p>
      <w:pPr>
        <w:spacing w:after="0" w:line="139" w:lineRule="exact"/>
        <w:rPr>
          <w:sz w:val="20"/>
          <w:szCs w:val="20"/>
          <w:color w:val="auto"/>
        </w:rPr>
      </w:pPr>
    </w:p>
    <w:p>
      <w:pPr>
        <w:ind w:left="980" w:hanging="54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margin decreased from 42.6% to 39.5% due to the decline in revenues.</w:t>
      </w:r>
    </w:p>
    <w:p>
      <w:pPr>
        <w:sectPr>
          <w:pgSz w:w="11900" w:h="16838" w:orient="portrait"/>
          <w:cols w:equalWidth="0" w:num="1">
            <w:col w:w="11020"/>
          </w:cols>
          <w:pgMar w:left="440" w:top="1170" w:right="439" w:bottom="1440" w:gutter="0" w:footer="0" w:header="0"/>
        </w:sectPr>
      </w:pPr>
    </w:p>
    <w:bookmarkStart w:id="6" w:name="page7"/>
    <w:bookmarkEnd w:id="6"/>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4 of 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Costs</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Corporate costs </w:t>
      </w:r>
      <w:r>
        <w:rPr>
          <w:rFonts w:ascii="Arial" w:cs="Arial" w:eastAsia="Arial" w:hAnsi="Arial"/>
          <w:sz w:val="18"/>
          <w:szCs w:val="18"/>
          <w:color w:val="auto"/>
        </w:rPr>
        <w:t>at the adjusted EBITDA level were $138 million compared to $244 million in the prior-year period. The decline reflects</w:t>
      </w:r>
      <w:r>
        <w:rPr>
          <w:rFonts w:ascii="Arial" w:cs="Arial" w:eastAsia="Arial" w:hAnsi="Arial"/>
          <w:sz w:val="18"/>
          <w:szCs w:val="18"/>
          <w:b w:val="1"/>
          <w:bCs w:val="1"/>
          <w:color w:val="auto"/>
        </w:rPr>
        <w:t xml:space="preserve"> </w:t>
      </w:r>
      <w:r>
        <w:rPr>
          <w:rFonts w:ascii="Arial" w:cs="Arial" w:eastAsia="Arial" w:hAnsi="Arial"/>
          <w:sz w:val="18"/>
          <w:szCs w:val="18"/>
          <w:color w:val="auto"/>
        </w:rPr>
        <w:t>lower costs and investments to reposition Thomson Reuters following the separation of F&amp;R. These cash costs and investments are now fully completed.</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Consolidated Financial Highlights –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006590" cy="2718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6590" cy="2718435"/>
                    </a:xfrm>
                    <a:prstGeom prst="rect">
                      <a:avLst/>
                    </a:prstGeom>
                    <a:noFill/>
                  </pic:spPr>
                </pic:pic>
              </a:graphicData>
            </a:graphic>
          </wp:anchor>
        </w:drawing>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jc w:val="center"/>
              <w:ind w:left="140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60" w:type="dxa"/>
            <w:vAlign w:val="bottom"/>
            <w:gridSpan w:val="5"/>
          </w:tcPr>
          <w:p>
            <w:pPr>
              <w:jc w:val="center"/>
              <w:ind w:left="168"/>
              <w:spacing w:after="0"/>
              <w:rPr>
                <w:sz w:val="20"/>
                <w:szCs w:val="20"/>
                <w:color w:val="auto"/>
              </w:rPr>
            </w:pPr>
            <w:r>
              <w:rPr>
                <w:rFonts w:ascii="Arial" w:cs="Arial" w:eastAsia="Arial" w:hAnsi="Arial"/>
                <w:sz w:val="14"/>
                <w:szCs w:val="14"/>
                <w:color w:val="auto"/>
              </w:rPr>
              <w:t>(Millions of U.S. dollars, except for adjusted EBITDA margin and EPS)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tcPr>
          <w:p>
            <w:pPr>
              <w:jc w:val="center"/>
              <w:ind w:left="1388"/>
              <w:spacing w:after="0"/>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4"/>
                <w:szCs w:val="24"/>
                <w:b w:val="1"/>
                <w:bCs w:val="1"/>
                <w:color w:val="auto"/>
                <w:vertAlign w:val="superscript"/>
              </w:rPr>
              <w:t>(2)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74"/>
        </w:trPr>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12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IFRS Financial Measures</w:t>
            </w:r>
          </w:p>
        </w:tc>
        <w:tc>
          <w:tcPr>
            <w:tcW w:w="180" w:type="dxa"/>
            <w:vAlign w:val="bottom"/>
            <w:tcBorders>
              <w:top w:val="single" w:sz="8" w:color="CCEEFF"/>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b w:val="1"/>
                <w:bCs w:val="1"/>
                <w:color w:val="auto"/>
              </w:rPr>
              <w:t>(1)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6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Revenues</w:t>
            </w:r>
          </w:p>
        </w:tc>
        <w:tc>
          <w:tcPr>
            <w:tcW w:w="4240" w:type="dxa"/>
            <w:vAlign w:val="bottom"/>
            <w:tcBorders>
              <w:top w:val="single" w:sz="8" w:color="CCEEFF"/>
            </w:tcBorders>
            <w:gridSpan w:val="4"/>
          </w:tcPr>
          <w:p>
            <w:pPr>
              <w:spacing w:after="0"/>
              <w:rPr>
                <w:sz w:val="17"/>
                <w:szCs w:val="17"/>
                <w:color w:val="auto"/>
              </w:rPr>
            </w:pPr>
          </w:p>
        </w:tc>
        <w:tc>
          <w:tcPr>
            <w:tcW w:w="340" w:type="dxa"/>
            <w:vAlign w:val="bottom"/>
            <w:tcBorders>
              <w:top w:val="single" w:sz="8" w:color="CCEEFF"/>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97"/>
              </w:rPr>
              <w:t>5,906</w:t>
            </w: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97"/>
              </w:rPr>
              <w:t>5,501</w:t>
            </w:r>
          </w:p>
        </w:tc>
        <w:tc>
          <w:tcPr>
            <w:tcW w:w="3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3"/>
          </w:tcPr>
          <w:p>
            <w:pPr>
              <w:jc w:val="right"/>
              <w:ind w:right="180"/>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Operating profit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1,199</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Diluted earnings per share (EPS) (includes discontinued operations)</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340" w:type="dxa"/>
            <w:vAlign w:val="bottom"/>
          </w:tcPr>
          <w:p>
            <w:pPr>
              <w:spacing w:after="0"/>
              <w:rPr>
                <w:sz w:val="17"/>
                <w:szCs w:val="17"/>
                <w:color w:val="auto"/>
              </w:rPr>
            </w:pP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Cash flow from operations (includes discontinued operations)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2,062</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8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Non-IFRS Financial Measures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(1)</w:t>
            </w:r>
          </w:p>
        </w:tc>
        <w:tc>
          <w:tcPr>
            <w:tcW w:w="3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gridSpan w:val="6"/>
            <w:shd w:val="clear" w:color="auto" w:fill="CCEEFF"/>
          </w:tcPr>
          <w:p>
            <w:pPr>
              <w:ind w:left="140"/>
              <w:spacing w:after="0" w:line="196" w:lineRule="exact"/>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5,906</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5,501</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w:t>
            </w:r>
          </w:p>
        </w:tc>
        <w:tc>
          <w:tcPr>
            <w:tcW w:w="122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5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Adjusted EBITDA</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1,493</w:t>
            </w:r>
          </w:p>
        </w:tc>
        <w:tc>
          <w:tcPr>
            <w:tcW w:w="4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1,365</w:t>
            </w:r>
          </w:p>
        </w:tc>
        <w:tc>
          <w:tcPr>
            <w:tcW w:w="340" w:type="dxa"/>
            <w:vAlign w:val="bottom"/>
          </w:tcPr>
          <w:p>
            <w:pPr>
              <w:spacing w:after="0"/>
              <w:rPr>
                <w:sz w:val="17"/>
                <w:szCs w:val="17"/>
                <w:color w:val="auto"/>
              </w:rPr>
            </w:pP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5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Adjusted EBITDA margin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50bp</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-10bp</w:t>
            </w:r>
          </w:p>
        </w:tc>
        <w:tc>
          <w:tcPr>
            <w:tcW w:w="0" w:type="dxa"/>
            <w:vAlign w:val="bottom"/>
          </w:tcPr>
          <w:p>
            <w:pPr>
              <w:spacing w:after="0"/>
              <w:rPr>
                <w:sz w:val="1"/>
                <w:szCs w:val="1"/>
                <w:color w:val="auto"/>
              </w:rPr>
            </w:pPr>
          </w:p>
        </w:tc>
      </w:tr>
      <w:tr>
        <w:trPr>
          <w:trHeight w:val="203"/>
        </w:trPr>
        <w:tc>
          <w:tcPr>
            <w:tcW w:w="65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Adjusted EPS</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4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0.75</w:t>
            </w:r>
          </w:p>
        </w:tc>
        <w:tc>
          <w:tcPr>
            <w:tcW w:w="340" w:type="dxa"/>
            <w:vAlign w:val="bottom"/>
          </w:tcPr>
          <w:p>
            <w:pPr>
              <w:spacing w:after="0"/>
              <w:rPr>
                <w:sz w:val="17"/>
                <w:szCs w:val="17"/>
                <w:color w:val="auto"/>
              </w:rPr>
            </w:pP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72%</w:t>
            </w: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5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Free cash flow (includes discontinued operations)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1,107</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40" w:right="400" w:hanging="287"/>
        <w:spacing w:after="0" w:line="248" w:lineRule="auto"/>
        <w:rPr>
          <w:sz w:val="20"/>
          <w:szCs w:val="20"/>
          <w:color w:val="auto"/>
        </w:rPr>
      </w:pPr>
      <w:r>
        <w:rPr>
          <w:rFonts w:ascii="Arial" w:cs="Arial" w:eastAsia="Arial" w:hAnsi="Arial"/>
          <w:sz w:val="14"/>
          <w:szCs w:val="14"/>
          <w:i w:val="1"/>
          <w:iCs w:val="1"/>
          <w:color w:val="auto"/>
        </w:rPr>
        <w:t>(1) In addition to results reported in accordance with IFRS, the company uses certain non-IFRS financial measures as supplemental indicators of its operating performance and financial position. These and other non-IFRS financial measures are defined and reconciled to the most directly comparable IFRS measures in the tables appended to this news release.</w:t>
      </w:r>
    </w:p>
    <w:p>
      <w:pPr>
        <w:spacing w:after="0" w:line="1" w:lineRule="exact"/>
        <w:rPr>
          <w:sz w:val="20"/>
          <w:szCs w:val="20"/>
          <w:color w:val="auto"/>
        </w:rPr>
      </w:pPr>
    </w:p>
    <w:p>
      <w:pPr>
        <w:ind w:left="440" w:right="520" w:hanging="287"/>
        <w:spacing w:after="0" w:line="258" w:lineRule="auto"/>
        <w:rPr>
          <w:sz w:val="20"/>
          <w:szCs w:val="20"/>
          <w:color w:val="auto"/>
        </w:rPr>
      </w:pPr>
      <w:r>
        <w:rPr>
          <w:rFonts w:ascii="Arial" w:cs="Arial" w:eastAsia="Arial" w:hAnsi="Arial"/>
          <w:sz w:val="14"/>
          <w:szCs w:val="14"/>
          <w:i w:val="1"/>
          <w:iCs w:val="1"/>
          <w:color w:val="auto"/>
        </w:rPr>
        <w:t>(2) 2018 results have been revised to correct certain immaterial misstatements. For additional information, see the “Revision of Prior-Period Financial Statements” section of the news release.</w:t>
      </w:r>
    </w:p>
    <w:p>
      <w:pPr>
        <w:spacing w:after="0" w:line="19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7%, primarily due to the inclusion of revenues paid by Refinitiv to Reuters News for providing news and editorial</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and to higher recurring revenues across all other customer segments.</w:t>
      </w:r>
    </w:p>
    <w:p>
      <w:pPr>
        <w:spacing w:after="0" w:line="77" w:lineRule="exact"/>
        <w:rPr>
          <w:sz w:val="20"/>
          <w:szCs w:val="20"/>
          <w:color w:val="auto"/>
        </w:rPr>
      </w:pPr>
    </w:p>
    <w:p>
      <w:pPr>
        <w:ind w:left="980" w:hanging="54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constant currency, revenues increased 8%. Foreign currency had a $62 million (approximately 1%) negative impact.</w:t>
      </w:r>
    </w:p>
    <w:p>
      <w:pPr>
        <w:ind w:left="980" w:hanging="54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revenue growth was 4%, driven by a 5% increase in recurring revenues, which comprised 78% of total revenues.</w:t>
      </w:r>
    </w:p>
    <w:p>
      <w:pPr>
        <w:spacing w:after="0" w:line="19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due to a benefit from the revaluation of warrants that the company holds in Refinitiv, relating to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Refinitiv to London Stock Exchange Group plc (LSEG). For additional information about the proposed LSEG transaction, see the “Agreement to Sell Refinitiv to LSEG” section of this news release.</w:t>
      </w:r>
    </w:p>
    <w:p>
      <w:pPr>
        <w:spacing w:after="0" w:line="75" w:lineRule="exact"/>
        <w:rPr>
          <w:sz w:val="20"/>
          <w:szCs w:val="20"/>
          <w:color w:val="auto"/>
        </w:rPr>
      </w:pPr>
    </w:p>
    <w:p>
      <w:pPr>
        <w:ind w:left="980" w:right="220" w:hanging="544"/>
        <w:spacing w:after="0" w:line="25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which excludes the benefit of the warrant revaluation among other items, increased 9% and the margin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to 25.3% as higher revenues more than offset higher expenses that included costs and investments relating to the repositioning of the company following the separation of the F&amp;R business to create Refinitiv.</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was $3.11 reflecting a non-cash deferred tax benefit associated with the reorganization of certain foreign operations.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EPS of $5.88 in the prior year included a gain on the sale of a 55% interest in the F&amp;R business.</w:t>
      </w:r>
    </w:p>
    <w:p>
      <w:pPr>
        <w:spacing w:after="0" w:line="59" w:lineRule="exact"/>
        <w:rPr>
          <w:sz w:val="20"/>
          <w:szCs w:val="20"/>
          <w:color w:val="auto"/>
        </w:rPr>
      </w:pPr>
    </w:p>
    <w:p>
      <w:pPr>
        <w:ind w:left="980" w:right="380" w:hanging="544"/>
        <w:spacing w:after="0" w:line="27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above items and reflects other adjustments, increased to $1.29 from $0.75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year primarily reflecting higher adjusted EBITDA and a benefit from fewer common shares outstanding.</w:t>
      </w:r>
    </w:p>
    <w:p>
      <w:pPr>
        <w:sectPr>
          <w:pgSz w:w="11900" w:h="16838" w:orient="portrait"/>
          <w:cols w:equalWidth="0" w:num="1">
            <w:col w:w="11040"/>
          </w:cols>
          <w:pgMar w:left="440" w:top="1170" w:right="419" w:bottom="1440" w:gutter="0" w:footer="0" w:header="0"/>
        </w:sectPr>
      </w:pPr>
    </w:p>
    <w:bookmarkStart w:id="7" w:name="page8"/>
    <w:bookmarkEnd w:id="7"/>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5 of 20</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decreased due to the loss of cash flows from the company’s former F&amp;R business, which were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through September 30, 2018, investments to reposition Thomson Reuters following the separation of F&amp;R from the company and a pension plan contribution.</w:t>
      </w:r>
    </w:p>
    <w:p>
      <w:pPr>
        <w:spacing w:after="0" w:line="75" w:lineRule="exact"/>
        <w:rPr>
          <w:sz w:val="20"/>
          <w:szCs w:val="20"/>
          <w:color w:val="auto"/>
        </w:rPr>
      </w:pPr>
    </w:p>
    <w:p>
      <w:pPr>
        <w:ind w:left="980" w:hanging="54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decreased for the same reasons.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Highlights by Customer Segment –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006590" cy="4107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6590" cy="4107815"/>
                    </a:xfrm>
                    <a:prstGeom prst="rect">
                      <a:avLst/>
                    </a:prstGeom>
                    <a:noFill/>
                  </pic:spPr>
                </pic:pic>
              </a:graphicData>
            </a:graphic>
          </wp:anchor>
        </w:drawing>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40" w:type="dxa"/>
            <w:vAlign w:val="bottom"/>
            <w:gridSpan w:val="8"/>
          </w:tcPr>
          <w:p>
            <w:pPr>
              <w:jc w:val="right"/>
              <w:ind w:right="520"/>
              <w:spacing w:after="0"/>
              <w:rPr>
                <w:sz w:val="20"/>
                <w:szCs w:val="20"/>
                <w:color w:val="auto"/>
              </w:rPr>
            </w:pPr>
            <w:r>
              <w:rPr>
                <w:rFonts w:ascii="Arial" w:cs="Arial" w:eastAsia="Arial" w:hAnsi="Arial"/>
                <w:sz w:val="14"/>
                <w:szCs w:val="14"/>
                <w:color w:val="auto"/>
              </w:rPr>
              <w:t>(Millions of U.S. dollars, except for adjusted EBITDA margins)</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60" w:type="dxa"/>
            <w:vAlign w:val="bottom"/>
            <w:gridSpan w:val="2"/>
          </w:tcPr>
          <w:p>
            <w:pPr>
              <w:jc w:val="right"/>
              <w:ind w:right="150"/>
              <w:spacing w:after="0"/>
              <w:rPr>
                <w:sz w:val="20"/>
                <w:szCs w:val="20"/>
                <w:color w:val="auto"/>
              </w:rPr>
            </w:pPr>
            <w:r>
              <w:rPr>
                <w:rFonts w:ascii="Arial" w:cs="Arial" w:eastAsia="Arial" w:hAnsi="Arial"/>
                <w:sz w:val="14"/>
                <w:szCs w:val="14"/>
                <w:color w:val="auto"/>
              </w:rPr>
              <w:t>(unaudited)</w:t>
            </w:r>
          </w:p>
        </w:tc>
        <w:tc>
          <w:tcPr>
            <w:tcW w:w="188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right"/>
              <w:ind w:right="212"/>
              <w:spacing w:after="0" w:line="143" w:lineRule="exact"/>
              <w:rPr>
                <w:sz w:val="20"/>
                <w:szCs w:val="20"/>
                <w:color w:val="auto"/>
              </w:rPr>
            </w:pPr>
            <w:r>
              <w:rPr>
                <w:rFonts w:ascii="Arial" w:cs="Arial" w:eastAsia="Arial" w:hAnsi="Arial"/>
                <w:sz w:val="14"/>
                <w:szCs w:val="14"/>
                <w:b w:val="1"/>
                <w:bCs w:val="1"/>
                <w:color w:val="auto"/>
              </w:rPr>
              <w:t>Constant</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212"/>
              <w:spacing w:after="0"/>
              <w:rPr>
                <w:sz w:val="20"/>
                <w:szCs w:val="20"/>
                <w:color w:val="auto"/>
              </w:rPr>
            </w:pPr>
            <w:r>
              <w:rPr>
                <w:rFonts w:ascii="Arial" w:cs="Arial" w:eastAsia="Arial" w:hAnsi="Arial"/>
                <w:sz w:val="14"/>
                <w:szCs w:val="14"/>
                <w:b w:val="1"/>
                <w:bCs w:val="1"/>
                <w:color w:val="auto"/>
              </w:rPr>
              <w:t>Currency</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Revenues</w:t>
            </w:r>
          </w:p>
        </w:tc>
        <w:tc>
          <w:tcPr>
            <w:tcW w:w="20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8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2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2,419</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2,373</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1,238</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Eliminations/ Rounding</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gridSpan w:val="5"/>
          </w:tcPr>
          <w:p>
            <w:pPr>
              <w:ind w:left="140"/>
              <w:spacing w:after="0" w:line="196" w:lineRule="exact"/>
              <w:rPr>
                <w:sz w:val="20"/>
                <w:szCs w:val="20"/>
                <w:color w:val="auto"/>
              </w:rPr>
            </w:pPr>
            <w:r>
              <w:rPr>
                <w:rFonts w:ascii="Arial" w:cs="Arial" w:eastAsia="Arial" w:hAnsi="Arial"/>
                <w:sz w:val="18"/>
                <w:szCs w:val="18"/>
                <w:b w:val="1"/>
                <w:bCs w:val="1"/>
                <w:color w:val="auto"/>
              </w:rPr>
              <w:t>Revenues</w:t>
            </w:r>
          </w:p>
        </w:tc>
        <w:tc>
          <w:tcPr>
            <w:tcW w:w="28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5,906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5,501</w:t>
            </w:r>
          </w:p>
        </w:tc>
        <w:tc>
          <w:tcPr>
            <w:tcW w:w="420" w:type="dxa"/>
            <w:vAlign w:val="bottom"/>
          </w:tcPr>
          <w:p>
            <w:pPr>
              <w:spacing w:after="0"/>
              <w:rPr>
                <w:sz w:val="17"/>
                <w:szCs w:val="17"/>
                <w:color w:val="auto"/>
              </w:rPr>
            </w:pPr>
          </w:p>
        </w:tc>
        <w:tc>
          <w:tcPr>
            <w:tcW w:w="90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7%</w:t>
            </w:r>
          </w:p>
        </w:tc>
        <w:tc>
          <w:tcPr>
            <w:tcW w:w="10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8%</w:t>
            </w:r>
          </w:p>
        </w:tc>
        <w:tc>
          <w:tcPr>
            <w:tcW w:w="116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Adjusted EBITDA</w:t>
            </w:r>
          </w:p>
        </w:tc>
        <w:tc>
          <w:tcPr>
            <w:tcW w:w="1420" w:type="dxa"/>
            <w:vAlign w:val="bottom"/>
            <w:tcBorders>
              <w:bottom w:val="single" w:sz="8" w:color="CCEEFF"/>
            </w:tcBorders>
            <w:gridSpan w:val="2"/>
            <w:shd w:val="clear" w:color="auto" w:fill="CCEEFF"/>
          </w:tcPr>
          <w:p>
            <w:pPr>
              <w:spacing w:after="0"/>
              <w:rPr>
                <w:sz w:val="15"/>
                <w:szCs w:val="15"/>
                <w:color w:val="auto"/>
              </w:rPr>
            </w:pPr>
          </w:p>
        </w:tc>
        <w:tc>
          <w:tcPr>
            <w:tcW w:w="2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2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816</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18%</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32%</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42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 costs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(466)</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gridSpan w:val="5"/>
          </w:tcPr>
          <w:p>
            <w:pPr>
              <w:ind w:left="140"/>
              <w:spacing w:after="0" w:line="196" w:lineRule="exact"/>
              <w:rPr>
                <w:sz w:val="20"/>
                <w:szCs w:val="20"/>
                <w:color w:val="auto"/>
              </w:rPr>
            </w:pPr>
            <w:r>
              <w:rPr>
                <w:rFonts w:ascii="Arial" w:cs="Arial" w:eastAsia="Arial" w:hAnsi="Arial"/>
                <w:sz w:val="18"/>
                <w:szCs w:val="18"/>
                <w:b w:val="1"/>
                <w:bCs w:val="1"/>
                <w:color w:val="auto"/>
              </w:rPr>
              <w:t>Adjusted EBITDA</w:t>
            </w:r>
          </w:p>
        </w:tc>
        <w:tc>
          <w:tcPr>
            <w:tcW w:w="28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1,493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1,365</w:t>
            </w:r>
          </w:p>
        </w:tc>
        <w:tc>
          <w:tcPr>
            <w:tcW w:w="420" w:type="dxa"/>
            <w:vAlign w:val="bottom"/>
          </w:tcPr>
          <w:p>
            <w:pPr>
              <w:spacing w:after="0"/>
              <w:rPr>
                <w:sz w:val="17"/>
                <w:szCs w:val="17"/>
                <w:color w:val="auto"/>
              </w:rPr>
            </w:pPr>
          </w:p>
        </w:tc>
        <w:tc>
          <w:tcPr>
            <w:tcW w:w="90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9%</w:t>
            </w:r>
          </w:p>
        </w:tc>
        <w:tc>
          <w:tcPr>
            <w:tcW w:w="10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8%</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Adjusted EBITDA Margin</w:t>
            </w:r>
          </w:p>
        </w:tc>
        <w:tc>
          <w:tcPr>
            <w:tcW w:w="780" w:type="dxa"/>
            <w:vAlign w:val="bottom"/>
            <w:tcBorders>
              <w:bottom w:val="single" w:sz="8" w:color="CCEEFF"/>
            </w:tcBorders>
            <w:shd w:val="clear" w:color="auto" w:fill="CCEEFF"/>
          </w:tcPr>
          <w:p>
            <w:pPr>
              <w:spacing w:after="0"/>
              <w:rPr>
                <w:sz w:val="15"/>
                <w:szCs w:val="15"/>
                <w:color w:val="auto"/>
              </w:rPr>
            </w:pPr>
          </w:p>
        </w:tc>
        <w:tc>
          <w:tcPr>
            <w:tcW w:w="2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Legal Professionals</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34.4%</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280bp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90bp</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30bp</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Tax &amp; Accounting Professionals</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34.3%</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390bp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340bp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Reuters News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-160bp</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-300bp</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Global Print</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44.0%</w:t>
            </w:r>
          </w:p>
        </w:tc>
        <w:tc>
          <w:tcPr>
            <w:tcW w:w="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-140bp</w:t>
            </w:r>
          </w:p>
        </w:tc>
        <w:tc>
          <w:tcPr>
            <w:tcW w:w="10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-180bp</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8"/>
                <w:szCs w:val="18"/>
                <w:color w:val="auto"/>
              </w:rPr>
              <w:t>Corporate costs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60" w:type="dxa"/>
            <w:vAlign w:val="bottom"/>
            <w:gridSpan w:val="5"/>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24.8%</w:t>
            </w:r>
          </w:p>
        </w:tc>
        <w:tc>
          <w:tcPr>
            <w:tcW w:w="900" w:type="dxa"/>
            <w:vAlign w:val="bottom"/>
          </w:tcPr>
          <w:p>
            <w:pPr>
              <w:jc w:val="right"/>
              <w:ind w:right="211"/>
              <w:spacing w:after="0"/>
              <w:rPr>
                <w:sz w:val="20"/>
                <w:szCs w:val="20"/>
                <w:color w:val="auto"/>
              </w:rPr>
            </w:pPr>
            <w:r>
              <w:rPr>
                <w:rFonts w:ascii="Arial" w:cs="Arial" w:eastAsia="Arial" w:hAnsi="Arial"/>
                <w:sz w:val="18"/>
                <w:szCs w:val="18"/>
                <w:b w:val="1"/>
                <w:bCs w:val="1"/>
                <w:color w:val="auto"/>
              </w:rPr>
              <w:t>50bp</w:t>
            </w: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-10bp</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n/a: not applicable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(1)  Computed for revenue growth only.</w:t>
      </w:r>
    </w:p>
    <w:p>
      <w:pPr>
        <w:sectPr>
          <w:pgSz w:w="11900" w:h="16838" w:orient="portrait"/>
          <w:cols w:equalWidth="0" w:num="1">
            <w:col w:w="11040"/>
          </w:cols>
          <w:pgMar w:left="440" w:top="1170" w:right="419" w:bottom="1440" w:gutter="0" w:footer="0" w:header="0"/>
        </w:sectPr>
      </w:pPr>
    </w:p>
    <w:bookmarkStart w:id="8" w:name="page9"/>
    <w:bookmarkEnd w:id="8"/>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6 of 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 for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today updated its Outlook for 2020.</w:t>
      </w:r>
    </w:p>
    <w:p>
      <w:pPr>
        <w:spacing w:after="0" w:line="21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company’s Outlook for 2020 assumes constant currency rates compared to 2019 and excludes the impact of any future acquisitions or dispositions that may occur in 2020. Thomson Reuters believes that this type of guidance provides useful insight into the performance of its businesses.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2020 Outlook</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(Communicated on</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2020 Outlook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October 31, 2019)</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(Updated)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Before currency and excluding the impact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Actual</w:t>
            </w:r>
          </w:p>
        </w:tc>
        <w:tc>
          <w:tcPr>
            <w:tcW w:w="3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future acquisitions/dispositions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Revenue Growth</w:t>
            </w:r>
          </w:p>
        </w:tc>
        <w:tc>
          <w:tcPr>
            <w:tcW w:w="12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7.4%</w:t>
            </w: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Not provided</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Organic Revenue Growth</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3.7%</w:t>
            </w:r>
          </w:p>
        </w:tc>
        <w:tc>
          <w:tcPr>
            <w:tcW w:w="10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9"/>
              </w:rPr>
              <w:t>4.0% – 4.5%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Approx. 31%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Corporate Costs</w:t>
            </w:r>
          </w:p>
        </w:tc>
        <w:tc>
          <w:tcPr>
            <w:tcW w:w="13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$564 million</w:t>
            </w:r>
            <w:r>
              <w:rPr>
                <w:rFonts w:ascii="Arial" w:cs="Arial" w:eastAsia="Arial" w:hAnsi="Arial"/>
                <w:sz w:val="15"/>
                <w:szCs w:val="15"/>
                <w:color w:val="auto"/>
              </w:rPr>
              <w:t>(1)</w:t>
            </w: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9"/>
              </w:rPr>
              <w:t>$140 – $150 million</w:t>
            </w: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$140 – $150 million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13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$159 million</w:t>
            </w: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$1.0 – $ 1.2 billion</w:t>
            </w:r>
          </w:p>
        </w:tc>
        <w:tc>
          <w:tcPr>
            <w:tcW w:w="18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 billion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Capital Expenditures – % of Revenue</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8.6%</w:t>
            </w:r>
          </w:p>
        </w:tc>
        <w:tc>
          <w:tcPr>
            <w:tcW w:w="10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9"/>
              </w:rPr>
              <w:t>7.5% – 8.0%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 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&amp; Amortization of Computer Software</w:t>
            </w:r>
          </w:p>
        </w:tc>
        <w:tc>
          <w:tcPr>
            <w:tcW w:w="13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$603 million</w:t>
            </w: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Not provided</w:t>
            </w:r>
          </w:p>
        </w:tc>
        <w:tc>
          <w:tcPr>
            <w:tcW w:w="18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$625 – $650 million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Interest Expense (P&amp;L)</w:t>
            </w:r>
          </w:p>
        </w:tc>
        <w:tc>
          <w:tcPr>
            <w:tcW w:w="13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$163 million</w:t>
            </w: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9"/>
              </w:rPr>
              <w:t>Not provided</w:t>
            </w: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$175 – $200 million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 on Adjusted Earnings</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Approx. 20%</w:t>
            </w:r>
          </w:p>
        </w:tc>
        <w:tc>
          <w:tcPr>
            <w:tcW w:w="18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Approx. 17% – 19%</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hanging="320"/>
        <w:spacing w:after="0"/>
        <w:tabs>
          <w:tab w:leader="none" w:pos="5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$70 million of capital expenditures related to the repositioning of the company following the separation from F&amp;R.</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The information in this section is forward-looking. Actual results, which include the impact of currency and acquisitions and dispositions completed during 2020, may differ materially from the company’s Outlook. Some of the forward-looking financial measures in the Outlook above are provided on a non-IFRS basis. See the section below entitled “Non-IFRS Financial Measures” for more information. The information in this section should also be read in conjunction with the section below entitled “Special Note Regarding Forward-Looking Statements, Material Risks and Material Assumptions.”</w:t>
      </w:r>
    </w:p>
    <w:p>
      <w:pPr>
        <w:sectPr>
          <w:pgSz w:w="11900" w:h="16838" w:orient="portrait"/>
          <w:cols w:equalWidth="0" w:num="1">
            <w:col w:w="11040"/>
          </w:cols>
          <w:pgMar w:left="440" w:top="1170" w:right="419" w:bottom="1440" w:gutter="0" w:footer="0" w:header="0"/>
        </w:sectPr>
      </w:pPr>
    </w:p>
    <w:bookmarkStart w:id="9" w:name="page10"/>
    <w:bookmarkEnd w:id="9"/>
    <w:p>
      <w:pPr>
        <w:ind w:right="506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7 of 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to Sell Refinitiv to LSEG</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August 1, 2019, Thomson Reuters and private equity funds affiliated with Blackstone agreed to sell Refinitiv to LSEG in an all share transaction for a total enterprise value of approximately $27 billion (as of the announcement date). The company expects that the transaction will result in Blackstone and Thomson Reuters ultimately holding a combined 37% economic interest in LSEG (approximately 15% of which would be attributed to Thomson Reuters) and a combined voting interest in LSEG of less than 30%. The proposed transaction is subject to regulatory clearances and other customary closing conditions and is expected to close in the second half of 2020. Upon the closing of this transaction, Thomson Reuters is projected to indirectly own approximately 82.5 million LSEG shares, which would have a market value of approximately $8.9 billion based on LSEG’s closing share price on February 24, 2020.</w:t>
      </w:r>
    </w:p>
    <w:p>
      <w:pPr>
        <w:spacing w:after="0" w:line="20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Refinitiv achieved run-rate savings of $520 million as of the end of 2019. Refinitiv believes it is on track to achieve its full annual cost savings run-rate target of $650 million by the end of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and Share Repurchases</w:t>
      </w:r>
    </w:p>
    <w:p>
      <w:pPr>
        <w:spacing w:after="0" w:line="12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company also announced today that its Board of Directors approved a $0.08 per share annualized increase in the dividend to $1.52 per common share (representing the 27</w:t>
      </w:r>
      <w:r>
        <w:rPr>
          <w:rFonts w:ascii="Arial" w:cs="Arial" w:eastAsia="Arial" w:hAnsi="Arial"/>
          <w:sz w:val="15"/>
          <w:szCs w:val="15"/>
          <w:color w:val="auto"/>
        </w:rPr>
        <w:t>th</w:t>
      </w:r>
      <w:r>
        <w:rPr>
          <w:rFonts w:ascii="Arial" w:cs="Arial" w:eastAsia="Arial" w:hAnsi="Arial"/>
          <w:sz w:val="18"/>
          <w:szCs w:val="18"/>
          <w:color w:val="auto"/>
        </w:rPr>
        <w:t xml:space="preserve"> consecutive year of dividend increases). A quarterly dividend of $0.38 per share is payable on March 18, 2020 to common shareholders of record as of March 6, 2020.</w:t>
      </w:r>
    </w:p>
    <w:p>
      <w:pPr>
        <w:spacing w:after="0" w:line="20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repurchased $200 million of its common shares in the fourth quarter of 2019 under its normal course issuer bid. In October 2019, the company announced that it planned to repurchase up to an additional $200 million of its common shares under its normal course issuer bid in 2020. These repurchases were completed in February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Refinitiv ownership interest</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October 1, 2018, Thomson Reuters sold a 55% interest in the company’s F&amp;R business, which is now known as Refinitiv. Except as otherwise noted, all amounts noted in this news release are from continuing operations and exclude the results of the company’s former F&amp;R business. The company’s IFRS earnings per share since October 1, 2018 have included its share of results from its 45% investment in Refinitiv, which is removed from the company’s non-IFRS calculation of adjusted EPS. The company’s results since October 1, 2018 also have included new revenues in the Reuters News business from providing news and editorial content to Refinitiv since that day. Additional information regarding Refinitiv’s financial results is provided in the appendix to this news release and additional information about the proposed LSEG/Refinitiv transaction is provided earlier in this news release.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tr.com and for the latest world news, reuters.com.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108"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news release includes certain non-IFRS financial measures, such as adjusted EBITDA and the related margin (other than at the customer segment level), free cash flow, adjusted EPS, selected measures excluding the impact of foreign currency, and changes in revenues computed on an organic basis. Thomson Reuters uses these non-IFRS financial measures as supplemental indicators of its operating performance and financial position.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w:t>
      </w:r>
    </w:p>
    <w:p>
      <w:pPr>
        <w:sectPr>
          <w:pgSz w:w="11900" w:h="16838" w:orient="portrait"/>
          <w:cols w:equalWidth="0" w:num="1">
            <w:col w:w="10980"/>
          </w:cols>
          <w:pgMar w:left="440" w:top="1170" w:right="479" w:bottom="1440" w:gutter="0" w:footer="0" w:header="0"/>
        </w:sectPr>
      </w:pPr>
    </w:p>
    <w:bookmarkStart w:id="10" w:name="page11"/>
    <w:bookmarkEnd w:id="10"/>
    <w:p>
      <w:pPr>
        <w:ind w:right="508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8 of 20</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Outlook purposes only, the company is unable to reconcile these non-IFRS measures to the most comparable IFRS measures because it cannot predict, with reasonable certainty, the 2020 impact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which include fair value adjustments relating to the warrants the company holds in Refinitiv as well as gains or losses that generally arise from business transactions that the company does not currently anticipate.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0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i w:val="1"/>
          <w:iCs w:val="1"/>
          <w:color w:val="auto"/>
        </w:rPr>
        <w:t>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PRIOR-PERIOD FINANCIAL STATEMENTS</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Since October 1, 2018, the company has included its share of post-tax losses from its 45% interest in Refinitiv, an equity method investment, in its net earnings. As initially disclosed by the company on October 31, 2019, a misstatement was identified in the third quarter of 2019 that understated the company’s share of Refinitiv’s post-tax losses since the fourth quarter of 2018. The misstatement related to an accounting principle difference for preferred stock issued by Refinitiv to the Blackstone consortium between U.S. GAAP, the basis on which Refinitiv prepares its financial statements, and IFRS, the basis on which Thomson Reuters prepares its financial statements. The misstatement, which does not impact revenue, operating profit, segment measures, adjusted EBITDA, adjusted EPS, cash flow from operations or free cash flow, was immaterial to the company’s previously issued financial statements. As the correction of the cumulative misstatement in the third quarter of 2019 would have been material to net earnings in the quarter, the company revised its previously issued financial statements. In conjunction with correcting this misstatement, the company corrected other unrelated misstatements in the applicable prior periods which were also not material to the company’s previously issued financial statements. Specifically, the company reclassified certain revenue and expenses which pertained to the accounting for foreign currency in hyperinflationary economies between the third and fourth quarters of 2018, but these revisions had no impact on the company’s 2018 audited financial statements.</w:t>
      </w:r>
    </w:p>
    <w:p>
      <w:pPr>
        <w:spacing w:after="0" w:line="192"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The company previously posted revised prior-period financial information related to the reclassification of certain third-quarter and fourth-quarter 2018 revenues and expenses in the “Investor Relations” section of its website, ir.thomsonreuters.com. The company revised its previously issued financial statements for the nine months ended September 30, 2018, the year ended December 31, 2018, the three months ended March 31, 2019 and the six months ended June 30, 2019. The impacts of the revised prior-period financial information posted on the Thomson Reuters website was also filed with the Canadian securities regulatory authorities and furnished to the U.S. Securities and Exchange Commission. Information contained on Thomson Reuters website is not a part of this news release and is intended to be an inactive, textual reference only.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MATERIAL RISKS AND MATERIAL ASSUMPTIONS</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Certain statements in this news release, including, but not limited to, statements in the “Business Outlook for 2020” section, Mr. Smith’s comments, the number of LSEG shares that Thomson Reuters is projected to indirectly own upon closing of the transaction, the company’s current expectations regarding the timing for closing of the proposed LSEG/Refinitiv transaction, and Refinitiv’s belief regarding achieving its full annual cost savings run-rate target by the end of 2020, are forward-looking. The words “expect”, “believe”, “target” and “will” and similar expressions identify forward-looking statements. While the company believes that it has a reasonable basis for making forward-looking statements in this news release, they are not a guarantee of future performance or outcomes and there is no assurance that the proposed LSEG/Refinitiv transaction will be completed or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w:t>
      </w:r>
    </w:p>
    <w:p>
      <w:pPr>
        <w:sectPr>
          <w:pgSz w:w="11900" w:h="16838" w:orient="portrait"/>
          <w:cols w:equalWidth="0" w:num="1">
            <w:col w:w="11000"/>
          </w:cols>
          <w:pgMar w:left="440" w:top="1170" w:right="459" w:bottom="1440" w:gutter="0" w:footer="0" w:header="0"/>
        </w:sectPr>
      </w:pPr>
    </w:p>
    <w:bookmarkStart w:id="11" w:name="page12"/>
    <w:bookmarkEnd w:id="11"/>
    <w:p>
      <w:pPr>
        <w:ind w:right="510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9 of 20</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auto"/>
        </w:rPr>
        <w:t xml:space="preserve">Some of the material risk factors that could cause actual results or events to differ materially from those expressed in or implied by forward-looking statements in this news release include, but are not limited to, changes in the general economy; actions of competitors; fraudulent or unpermitted data access or other cyber-security or privacy breaches; failures or disruptions of telecommunications, data centers, network systems or the Internet; failure to develop new products, services, applications and functionalities to meet customers’ needs, attract new customers and retain existing ones, or expand into new geographic markets and identify areas of higher growth; increased accessibility to free or relatively inexpensive information sources; failure to derive fully the anticipated benefits from the Refinitiv strategic partnership with Blackstone; failure to efficiently complete the separation of Refinitiv from Thomson Reuters; failure to adapt to organizational changes and effectively implement strategic initiatives; failure to meet the challenges involved in operating globally; failure to maintain a high renewal rate for recurring, subscription-based services; dependency on third parties for data, information and other services; changes to law and regulations; tax matters, including changes to tax laws, regulations and treaties; fluctuations in foreign currency exchange and interest rates; failure to attract, motivate and retain high quality management and key employees; failure to protect the brands and reputation of Thomson Reuters; inadequate protection of intellectual property rights; threat of legal actions and claims; downgrading of credit ratings and adverse conditions in the credit markets; failure to derive fully the anticipated benefits from existing or future acquisitions, joint ventures, investments or dispositions; the effect of factors outside of the control of Thomson Reuters on funding obligations in respect of pension and post-retirement benefit arrangements; risk of antitrust/competition-related claims or investigations; actions or potential actions that could be taken by the company’s principal shareholder, The Woodbridge Company Limited; impairment of goodwill and other identifiable intangible assets; and the ability of Thomson Reuters Founders Share Company to affect the company’s governance and management. These and other factors are discussed in materials that Thomson Reuters from time to time files with, or furnishes to, the Canadian securities regulatory authorities and the U.S. Securities and Exchange Commission. Thomson Reuters annual and quarterly reports are also available in the “Investor Relations” section of </w:t>
      </w:r>
      <w:r>
        <w:rPr>
          <w:rFonts w:ascii="Arial" w:cs="Arial" w:eastAsia="Arial" w:hAnsi="Arial"/>
          <w:sz w:val="18"/>
          <w:szCs w:val="18"/>
          <w:i w:val="1"/>
          <w:iCs w:val="1"/>
          <w:u w:val="single" w:color="auto"/>
          <w:color w:val="auto"/>
        </w:rPr>
        <w:t>www.thomsonreuters.com</w:t>
      </w:r>
      <w:r>
        <w:rPr>
          <w:rFonts w:ascii="Arial" w:cs="Arial" w:eastAsia="Arial" w:hAnsi="Arial"/>
          <w:sz w:val="18"/>
          <w:szCs w:val="18"/>
          <w:i w:val="1"/>
          <w:iCs w:val="1"/>
          <w:color w:val="auto"/>
        </w:rPr>
        <w:t>.</w:t>
      </w:r>
    </w:p>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The company’s 2020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Economic and market assumptions include, but are not limited to, GDP growth in the United States (79% of the company’s 2019 revenues) and secondarily, in other countries where Thomson Reuters operates; a continued increase in the demand and need for high quality information and tools that help automate or manage workflow solutions and drive productivity and efficiency; a continued need for trusted products and services that help customers navigate evolving and complex legal, tax, accounting, regulatory, geopolitical and commercial changes, developments and environments; and a continued increase in customers seeking software-as-a-service or other cloud-based offerings. Internal financial and operational assumptions include, but are not limited to, continued growth in the company’s recurring revenue base which offsets anticipated declines in its global print business; acquiring new customers by enhancing the company’s digital platforms and propositions and through other sales initiatives; improving customer retention through commercial simplification efforts and customer service improvements; the company’s ability to continue to combine information, technology and human expertise in offerings that meet evolving customer demands and needs; the company’s ability to completely separate its business from Refinitiv, and the successful execution of a number of efficiency initiatives that are expected to generate cost savings, such as reducing the number of products offered by the company and the leveraging of fewer, shared technology platforms.</w:t>
      </w:r>
    </w:p>
    <w:p>
      <w:pPr>
        <w:spacing w:after="0" w:line="189" w:lineRule="exact"/>
        <w:rPr>
          <w:sz w:val="20"/>
          <w:szCs w:val="20"/>
          <w:color w:val="auto"/>
        </w:rPr>
      </w:pPr>
    </w:p>
    <w:p>
      <w:pPr>
        <w:jc w:val="both"/>
        <w:ind w:right="360"/>
        <w:spacing w:after="0" w:line="251" w:lineRule="auto"/>
        <w:rPr>
          <w:sz w:val="20"/>
          <w:szCs w:val="20"/>
          <w:color w:val="auto"/>
        </w:rPr>
      </w:pPr>
      <w:r>
        <w:rPr>
          <w:rFonts w:ascii="Arial" w:cs="Arial" w:eastAsia="Arial" w:hAnsi="Arial"/>
          <w:sz w:val="18"/>
          <w:szCs w:val="18"/>
          <w:i w:val="1"/>
          <w:iCs w:val="1"/>
          <w:color w:val="auto"/>
        </w:rPr>
        <w:t>The company has provided an Outlook for the purpose of presenting information about current expectations for 2020. This information may not be appropriate for other purposes. You are cautioned not to place undue reliance on forward-looking statements which reflect expectations only as of the date of this news release.</w:t>
      </w:r>
    </w:p>
    <w:p>
      <w:pPr>
        <w:spacing w:after="0" w:line="174"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Except as may be required by applicable law, Thomson Reuters disclaims any obligation to update or revise any forward-looking statements.</w:t>
      </w:r>
    </w:p>
    <w:p>
      <w:pPr>
        <w:sectPr>
          <w:pgSz w:w="11900" w:h="16838" w:orient="portrait"/>
          <w:cols w:equalWidth="0" w:num="1">
            <w:col w:w="11020"/>
          </w:cols>
          <w:pgMar w:left="440" w:top="1170" w:right="4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4" w:lineRule="auto"/>
        <w:rPr>
          <w:sz w:val="20"/>
          <w:szCs w:val="20"/>
          <w:color w:val="auto"/>
        </w:rPr>
      </w:pPr>
      <w:r>
        <w:rPr>
          <w:rFonts w:ascii="Arial" w:cs="Arial" w:eastAsia="Arial" w:hAnsi="Arial"/>
          <w:sz w:val="18"/>
          <w:szCs w:val="18"/>
          <w:color w:val="auto"/>
        </w:rPr>
        <w:t>David Crundwell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 of Corporate Affairs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+44 7909 898 605</w:t>
      </w:r>
    </w:p>
    <w:p>
      <w:pPr>
        <w:spacing w:after="0"/>
        <w:rPr>
          <w:sz w:val="20"/>
          <w:szCs w:val="20"/>
          <w:color w:val="auto"/>
        </w:rPr>
      </w:pPr>
      <w:r>
        <w:rPr>
          <w:rFonts w:ascii="Arial" w:cs="Arial" w:eastAsia="Arial" w:hAnsi="Arial"/>
          <w:sz w:val="18"/>
          <w:szCs w:val="18"/>
          <w:u w:val="single" w:color="auto"/>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Frank J. Golden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rPr>
          <w:sz w:val="20"/>
          <w:szCs w:val="20"/>
          <w:color w:val="auto"/>
        </w:rPr>
      </w:pPr>
      <w:r>
        <w:rPr>
          <w:rFonts w:ascii="Arial" w:cs="Arial" w:eastAsia="Arial" w:hAnsi="Arial"/>
          <w:sz w:val="18"/>
          <w:szCs w:val="18"/>
          <w:u w:val="single" w:color="auto"/>
          <w:color w:val="auto"/>
        </w:rPr>
        <w:t>frank.golden@tr.com</w:t>
      </w:r>
    </w:p>
    <w:p>
      <w:pPr>
        <w:spacing w:after="0" w:line="200" w:lineRule="exact"/>
        <w:rPr>
          <w:sz w:val="20"/>
          <w:szCs w:val="20"/>
          <w:color w:val="auto"/>
        </w:rPr>
      </w:pPr>
    </w:p>
    <w:p>
      <w:pPr>
        <w:sectPr>
          <w:pgSz w:w="11900" w:h="16838" w:orient="portrait"/>
          <w:cols w:equalWidth="0" w:num="2">
            <w:col w:w="5020" w:space="720"/>
            <w:col w:w="5280"/>
          </w:cols>
          <w:pgMar w:left="440" w:top="1170" w:right="439" w:bottom="1440" w:gutter="0" w:footer="0" w:header="0"/>
          <w:type w:val="continuous"/>
        </w:sectPr>
      </w:pPr>
    </w:p>
    <w:p>
      <w:pPr>
        <w:spacing w:after="0" w:line="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Thomson Reuters will webcast a discussion of its fourth-quarter and full-year 2019 results and business outlook for 2020 today beginning at 8:30 a.m. Eastern Standard Time (EST). You can access the webcast by visiting </w:t>
      </w:r>
      <w:r>
        <w:rPr>
          <w:rFonts w:ascii="Arial" w:cs="Arial" w:eastAsia="Arial" w:hAnsi="Arial"/>
          <w:sz w:val="18"/>
          <w:szCs w:val="18"/>
          <w:b w:val="1"/>
          <w:bCs w:val="1"/>
          <w:u w:val="single" w:color="auto"/>
          <w:color w:val="auto"/>
        </w:rPr>
        <w:t>ir.thomsonreuters.com</w:t>
      </w:r>
      <w:r>
        <w:rPr>
          <w:rFonts w:ascii="Arial" w:cs="Arial" w:eastAsia="Arial" w:hAnsi="Arial"/>
          <w:sz w:val="18"/>
          <w:szCs w:val="18"/>
          <w:b w:val="1"/>
          <w:bCs w:val="1"/>
          <w:color w:val="auto"/>
        </w:rPr>
        <w:t>. An archive of the webcast will be available following the presentation.</w:t>
      </w:r>
    </w:p>
    <w:p>
      <w:pPr>
        <w:sectPr>
          <w:pgSz w:w="11900" w:h="16838" w:orient="portrait"/>
          <w:cols w:equalWidth="0" w:num="1">
            <w:col w:w="11020"/>
          </w:cols>
          <w:pgMar w:left="440" w:top="1170" w:right="439" w:bottom="1440" w:gutter="0" w:footer="0" w:header="0"/>
          <w:type w:val="continuous"/>
        </w:sectPr>
      </w:pPr>
    </w:p>
    <w:bookmarkStart w:id="12" w:name="page13"/>
    <w:bookmarkEnd w:id="12"/>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10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Income Statement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 except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CONTINUING OPERATIONS</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340" w:type="dxa"/>
            <w:vAlign w:val="bottom"/>
          </w:tcPr>
          <w:p>
            <w:pPr>
              <w:spacing w:after="0"/>
              <w:rPr>
                <w:sz w:val="17"/>
                <w:szCs w:val="17"/>
                <w:color w:val="auto"/>
              </w:rPr>
            </w:pP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1,527</w:t>
            </w:r>
          </w:p>
        </w:tc>
        <w:tc>
          <w:tcPr>
            <w:tcW w:w="32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5,906</w:t>
            </w:r>
          </w:p>
        </w:tc>
        <w:tc>
          <w:tcPr>
            <w:tcW w:w="32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(4,413)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computer software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gains, net</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34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finance (costs)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Income before tax and equity method investments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of post-tax losses in equity method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(599)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Tax benefit (expense)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1,198</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(loss) from continuing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Earnings (loss) from discontinued operations, net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60"/>
              <w:spacing w:after="0" w:line="203" w:lineRule="exact"/>
              <w:rPr>
                <w:sz w:val="20"/>
                <w:szCs w:val="20"/>
                <w:color w:val="auto"/>
              </w:rPr>
            </w:pPr>
            <w:r>
              <w:rPr>
                <w:rFonts w:ascii="Arial" w:cs="Arial" w:eastAsia="Arial" w:hAnsi="Arial"/>
                <w:sz w:val="18"/>
                <w:szCs w:val="18"/>
                <w:color w:val="auto"/>
              </w:rPr>
              <w:t>of tax</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3,478</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3,859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3,375</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Earnings attributable to:</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Common shareholders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340"/>
              <w:spacing w:after="0" w:line="202" w:lineRule="exact"/>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(loss) per 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Basic earnings (loss) per share: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From continuing operations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340"/>
              <w:spacing w:after="0" w:line="202" w:lineRule="exact"/>
              <w:rPr>
                <w:sz w:val="20"/>
                <w:szCs w:val="20"/>
                <w:color w:val="auto"/>
              </w:rPr>
            </w:pPr>
            <w:r>
              <w:rPr>
                <w:rFonts w:ascii="Arial" w:cs="Arial" w:eastAsia="Arial" w:hAnsi="Arial"/>
                <w:sz w:val="18"/>
                <w:szCs w:val="18"/>
                <w:color w:val="auto"/>
              </w:rPr>
              <w:t>From discontinued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From continuing operations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340"/>
              <w:spacing w:after="0" w:line="202" w:lineRule="exact"/>
              <w:rPr>
                <w:sz w:val="20"/>
                <w:szCs w:val="20"/>
                <w:color w:val="auto"/>
              </w:rPr>
            </w:pPr>
            <w:r>
              <w:rPr>
                <w:rFonts w:ascii="Arial" w:cs="Arial" w:eastAsia="Arial" w:hAnsi="Arial"/>
                <w:sz w:val="18"/>
                <w:szCs w:val="18"/>
                <w:color w:val="auto"/>
              </w:rPr>
              <w:t>From discontinued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weighted-average common shares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499,180,148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550,091,316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500,829,753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667,586,385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weighted-average common shares</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501,134,127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550,091,316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502,521,200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668,210,717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13" w:name="page14"/>
    <w:bookmarkEnd w:id="13"/>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11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760" w:type="dxa"/>
            <w:vAlign w:val="bottom"/>
            <w:gridSpan w:val="4"/>
          </w:tcPr>
          <w:p>
            <w:pPr>
              <w:ind w:left="252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ind w:left="25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280" w:type="dxa"/>
            <w:vAlign w:val="bottom"/>
          </w:tcPr>
          <w:p>
            <w:pPr>
              <w:spacing w:after="0"/>
              <w:rPr>
                <w:sz w:val="17"/>
                <w:szCs w:val="17"/>
                <w:color w:val="auto"/>
              </w:rPr>
            </w:pPr>
          </w:p>
        </w:tc>
        <w:tc>
          <w:tcPr>
            <w:tcW w:w="4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receivables</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7"/>
                <w:szCs w:val="17"/>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Computer software, net</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 net</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5,076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2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17,295</w:t>
            </w:r>
          </w:p>
        </w:tc>
        <w:tc>
          <w:tcPr>
            <w:tcW w:w="28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17,018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indebtedness</w:t>
            </w:r>
          </w:p>
        </w:tc>
        <w:tc>
          <w:tcPr>
            <w:tcW w:w="2740" w:type="dxa"/>
            <w:vAlign w:val="bottom"/>
            <w:gridSpan w:val="2"/>
            <w:shd w:val="clear" w:color="auto" w:fill="CCEEFF"/>
          </w:tcPr>
          <w:p>
            <w:pPr>
              <w:ind w:left="25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Payables, accruals and provisions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1,778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 and other non-current liabilities</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Deferred tax</w:t>
            </w:r>
          </w:p>
        </w:tc>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2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7,808</w:t>
            </w:r>
          </w:p>
        </w:tc>
        <w:tc>
          <w:tcPr>
            <w:tcW w:w="140" w:type="dxa"/>
            <w:vAlign w:val="bottom"/>
            <w:shd w:val="clear" w:color="auto" w:fill="CCEEFF"/>
          </w:tcPr>
          <w:p>
            <w:pPr>
              <w:spacing w:after="0"/>
              <w:rPr>
                <w:sz w:val="17"/>
                <w:szCs w:val="17"/>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4,965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4,739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(877)</w:t>
            </w:r>
          </w:p>
        </w:tc>
      </w:tr>
      <w:tr>
        <w:trPr>
          <w:trHeight w:val="21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5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2740" w:type="dxa"/>
            <w:vAlign w:val="bottom"/>
            <w:gridSpan w:val="2"/>
            <w:shd w:val="clear" w:color="auto" w:fill="CCEEFF"/>
          </w:tcPr>
          <w:p>
            <w:pPr>
              <w:ind w:left="25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17,295</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17,018</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14" w:name="page15"/>
    <w:bookmarkEnd w:id="14"/>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12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provided by (used in):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(103)</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Adjustments for: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computer software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340"/>
              <w:spacing w:after="0" w:line="202" w:lineRule="exact"/>
              <w:rPr>
                <w:sz w:val="20"/>
                <w:szCs w:val="20"/>
                <w:color w:val="auto"/>
              </w:rPr>
            </w:pPr>
            <w:r>
              <w:rPr>
                <w:rFonts w:ascii="Arial" w:cs="Arial" w:eastAsia="Arial" w:hAnsi="Arial"/>
                <w:sz w:val="18"/>
                <w:szCs w:val="18"/>
                <w:color w:val="auto"/>
              </w:rPr>
              <w:t>Net losses on disposals of businesses and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(1,250)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4"/>
              </w:rPr>
              <w:t>(1,395)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Changes in working capital and other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continuing operations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Operating cash flows from discontinued operations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Proceeds from disposals of businesses and investments, net of taxes paid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Proceeds from disposals of property and equipment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Investing cash flows from continuing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cash flows from discontinued operations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16,088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Proceeds from debt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Net repayments under short-term loan facilities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Payments for substantial issuer bid/tender offer on common share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return of capital on common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Repurchases of common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Dividends paid on common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Financing cash flows from continuing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cash flows from discontinued operations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cash and bank overdrafts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4"/>
              </w:rPr>
              <w:t>(1,883)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bank overdrafts at beginning of period</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Cash and bank overdrafts at end of period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bank overdrafts at end of period comprised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2,706</w:t>
            </w:r>
          </w:p>
        </w:tc>
        <w:tc>
          <w:tcPr>
            <w:tcW w:w="18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overdrafts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15" w:name="page16"/>
    <w:bookmarkEnd w:id="15"/>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13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Earnings (Loss) from Continuing Operations to Adjusted EBITDA</w:t>
      </w:r>
      <w:r>
        <w:rPr>
          <w:rFonts w:ascii="Arial" w:cs="Arial" w:eastAsia="Arial" w:hAnsi="Arial"/>
          <w:sz w:val="15"/>
          <w:szCs w:val="15"/>
          <w:b w:val="1"/>
          <w:bCs w:val="1"/>
          <w:color w:val="auto"/>
        </w:rPr>
        <w:t>(1)</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 except for margins)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(loss) from continuing operations</w:t>
            </w:r>
          </w:p>
        </w:tc>
        <w:tc>
          <w:tcPr>
            <w:tcW w:w="1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(103)</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$ 1,570</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(benefit) expense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40"/>
              <w:spacing w:after="0" w:line="202" w:lineRule="exact"/>
              <w:rPr>
                <w:sz w:val="20"/>
                <w:szCs w:val="20"/>
                <w:color w:val="auto"/>
              </w:rPr>
            </w:pPr>
            <w:r>
              <w:rPr>
                <w:rFonts w:ascii="Arial" w:cs="Arial" w:eastAsia="Arial" w:hAnsi="Arial"/>
                <w:sz w:val="18"/>
                <w:szCs w:val="18"/>
                <w:color w:val="auto"/>
              </w:rPr>
              <w:t>Other finance costs (income)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interest expense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computer software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$ 1,317</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1,166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40"/>
              <w:spacing w:after="0" w:line="202" w:lineRule="exact"/>
              <w:rPr>
                <w:sz w:val="20"/>
                <w:szCs w:val="20"/>
                <w:color w:val="auto"/>
              </w:rPr>
            </w:pPr>
            <w:r>
              <w:rPr>
                <w:rFonts w:ascii="Arial" w:cs="Arial" w:eastAsia="Arial" w:hAnsi="Arial"/>
                <w:sz w:val="18"/>
                <w:szCs w:val="18"/>
                <w:color w:val="auto"/>
              </w:rPr>
              <w:t>Other operating gains, net</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$ 1,493</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5"/>
                <w:szCs w:val="15"/>
                <w:b w:val="1"/>
                <w:bCs w:val="1"/>
                <w:color w:val="auto"/>
              </w:rPr>
              <w:t>(1)</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w:t>
            </w: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Earnings to Adjusted Earnings</w:t>
      </w:r>
      <w:r>
        <w:rPr>
          <w:rFonts w:ascii="Arial" w:cs="Arial" w:eastAsia="Arial" w:hAnsi="Arial"/>
          <w:sz w:val="15"/>
          <w:szCs w:val="15"/>
          <w:b w:val="1"/>
          <w:bCs w:val="1"/>
          <w:color w:val="auto"/>
        </w:rPr>
        <w:t>(2)</w:t>
      </w:r>
    </w:p>
    <w:p>
      <w:pPr>
        <w:jc w:val="center"/>
        <w:ind w:right="20"/>
        <w:spacing w:after="0"/>
        <w:rPr>
          <w:sz w:val="20"/>
          <w:szCs w:val="20"/>
          <w:color w:val="auto"/>
        </w:rPr>
      </w:pPr>
      <w:r>
        <w:rPr>
          <w:rFonts w:ascii="Arial" w:cs="Arial" w:eastAsia="Arial" w:hAnsi="Arial"/>
          <w:sz w:val="18"/>
          <w:szCs w:val="18"/>
          <w:b w:val="1"/>
          <w:bCs w:val="1"/>
          <w:color w:val="auto"/>
        </w:rPr>
        <w:t>Reconciliation of Total Change in Adjusted EPS to Change in Constant Currency</w:t>
      </w:r>
      <w:r>
        <w:rPr>
          <w:rFonts w:ascii="Arial" w:cs="Arial" w:eastAsia="Arial" w:hAnsi="Arial"/>
          <w:sz w:val="15"/>
          <w:szCs w:val="15"/>
          <w:b w:val="1"/>
          <w:bCs w:val="1"/>
          <w:color w:val="auto"/>
        </w:rPr>
        <w:t>(4)</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 except for share and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6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operating gains, net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340"/>
              <w:spacing w:after="0" w:line="202" w:lineRule="exact"/>
              <w:rPr>
                <w:sz w:val="20"/>
                <w:szCs w:val="20"/>
                <w:color w:val="auto"/>
              </w:rPr>
            </w:pPr>
            <w:r>
              <w:rPr>
                <w:rFonts w:ascii="Arial" w:cs="Arial" w:eastAsia="Arial" w:hAnsi="Arial"/>
                <w:sz w:val="18"/>
                <w:szCs w:val="18"/>
                <w:color w:val="auto"/>
              </w:rPr>
              <w:t>Other finance costs (income)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340"/>
              <w:spacing w:after="0" w:line="202" w:lineRule="exact"/>
              <w:rPr>
                <w:sz w:val="20"/>
                <w:szCs w:val="20"/>
                <w:color w:val="auto"/>
              </w:rPr>
            </w:pPr>
            <w:r>
              <w:rPr>
                <w:rFonts w:ascii="Arial" w:cs="Arial" w:eastAsia="Arial" w:hAnsi="Arial"/>
                <w:sz w:val="18"/>
                <w:szCs w:val="18"/>
                <w:color w:val="auto"/>
              </w:rPr>
              <w:t>Tax on above items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items impacting comparability</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(1,211)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(1,204)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34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4"/>
              </w:rPr>
              <w:t>(3,478)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(3,859)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Interim period effective tax rate normalization</w:t>
            </w:r>
            <w:r>
              <w:rPr>
                <w:rFonts w:ascii="Arial" w:cs="Arial" w:eastAsia="Arial" w:hAnsi="Arial"/>
                <w:sz w:val="15"/>
                <w:szCs w:val="15"/>
                <w:color w:val="auto"/>
              </w:rPr>
              <w:t>(3)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Dividends declared on preference shares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earnings</w:t>
            </w:r>
            <w:r>
              <w:rPr>
                <w:rFonts w:ascii="Arial" w:cs="Arial" w:eastAsia="Arial" w:hAnsi="Arial"/>
                <w:sz w:val="15"/>
                <w:szCs w:val="15"/>
                <w:b w:val="1"/>
                <w:bCs w:val="1"/>
                <w:color w:val="auto"/>
              </w:rPr>
              <w:t>(2)</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EPS</w:t>
            </w:r>
            <w:r>
              <w:rPr>
                <w:rFonts w:ascii="Arial" w:cs="Arial" w:eastAsia="Arial" w:hAnsi="Arial"/>
                <w:sz w:val="15"/>
                <w:szCs w:val="15"/>
                <w:b w:val="1"/>
                <w:bCs w:val="1"/>
                <w:color w:val="auto"/>
              </w:rPr>
              <w:t>(2)</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0.37</w:t>
            </w:r>
          </w:p>
        </w:tc>
        <w:tc>
          <w:tcPr>
            <w:tcW w:w="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200" w:type="dxa"/>
            <w:vAlign w:val="bottom"/>
          </w:tcPr>
          <w:p>
            <w:pPr>
              <w:spacing w:after="0"/>
              <w:rPr>
                <w:sz w:val="17"/>
                <w:szCs w:val="17"/>
                <w:color w:val="auto"/>
              </w:rPr>
            </w:pPr>
          </w:p>
        </w:tc>
        <w:tc>
          <w:tcPr>
            <w:tcW w:w="9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95%</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0.75</w:t>
            </w:r>
          </w:p>
        </w:tc>
        <w:tc>
          <w:tcPr>
            <w:tcW w:w="220" w:type="dxa"/>
            <w:vAlign w:val="bottom"/>
          </w:tcPr>
          <w:p>
            <w:pPr>
              <w:spacing w:after="0"/>
              <w:rPr>
                <w:sz w:val="17"/>
                <w:szCs w:val="17"/>
                <w:color w:val="auto"/>
              </w:rPr>
            </w:pPr>
          </w:p>
        </w:tc>
        <w:tc>
          <w:tcPr>
            <w:tcW w:w="8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 currency</w:t>
            </w:r>
            <w:r>
              <w:rPr>
                <w:rFonts w:ascii="Arial" w:cs="Arial" w:eastAsia="Arial" w:hAnsi="Arial"/>
                <w:sz w:val="15"/>
                <w:szCs w:val="15"/>
                <w:color w:val="auto"/>
              </w:rPr>
              <w:t>(4)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Constant currency</w:t>
            </w:r>
            <w:r>
              <w:rPr>
                <w:rFonts w:ascii="Arial" w:cs="Arial" w:eastAsia="Arial" w:hAnsi="Arial"/>
                <w:sz w:val="15"/>
                <w:szCs w:val="15"/>
                <w:color w:val="auto"/>
              </w:rPr>
              <w:t>(4)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weighted-average common shares (millions)</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Refer to page 17 for footnotes.</w:t>
      </w:r>
    </w:p>
    <w:p>
      <w:pPr>
        <w:sectPr>
          <w:pgSz w:w="11900" w:h="16838" w:orient="portrait"/>
          <w:cols w:equalWidth="0" w:num="1">
            <w:col w:w="11040"/>
          </w:cols>
          <w:pgMar w:left="440" w:top="1170" w:right="419" w:bottom="1440" w:gutter="0" w:footer="0" w:header="0"/>
        </w:sectPr>
      </w:pPr>
    </w:p>
    <w:bookmarkStart w:id="16" w:name="page17"/>
    <w:bookmarkEnd w:id="16"/>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14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Cash Provided by (Used in) Operating Activities to Free Cash Flow</w:t>
      </w:r>
      <w:r>
        <w:rPr>
          <w:rFonts w:ascii="Arial" w:cs="Arial" w:eastAsia="Arial" w:hAnsi="Arial"/>
          <w:sz w:val="15"/>
          <w:szCs w:val="15"/>
          <w:b w:val="1"/>
          <w:bCs w:val="1"/>
          <w:color w:val="auto"/>
        </w:rPr>
        <w:t>(5)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$ 702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$2,062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(156)</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(505)</w:t>
            </w: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disposals of property and equipment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Capital expenditures from discontinued operations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Other investing activities from discontinued operations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to non-controlling interests from discontinued operations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$ 159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Changes in Segment and Consolidated Revenues (for Total Revenues, Recurring Revenues and Transactions</w:t>
      </w:r>
    </w:p>
    <w:p>
      <w:pPr>
        <w:jc w:val="center"/>
        <w:ind w:right="20"/>
        <w:spacing w:after="0"/>
        <w:rPr>
          <w:sz w:val="20"/>
          <w:szCs w:val="20"/>
          <w:color w:val="auto"/>
        </w:rPr>
      </w:pPr>
      <w:r>
        <w:rPr>
          <w:rFonts w:ascii="Arial" w:cs="Arial" w:eastAsia="Arial" w:hAnsi="Arial"/>
          <w:sz w:val="18"/>
          <w:szCs w:val="18"/>
          <w:b w:val="1"/>
          <w:bCs w:val="1"/>
          <w:color w:val="auto"/>
        </w:rPr>
        <w:t>Revenues) to Changes in Revenues on a Constant Currency</w:t>
      </w:r>
      <w:r>
        <w:rPr>
          <w:rFonts w:ascii="Arial" w:cs="Arial" w:eastAsia="Arial" w:hAnsi="Arial"/>
          <w:sz w:val="15"/>
          <w:szCs w:val="15"/>
          <w:b w:val="1"/>
          <w:bCs w:val="1"/>
          <w:color w:val="auto"/>
        </w:rPr>
        <w:t>(4)</w:t>
      </w:r>
      <w:r>
        <w:rPr>
          <w:rFonts w:ascii="Arial" w:cs="Arial" w:eastAsia="Arial" w:hAnsi="Arial"/>
          <w:sz w:val="18"/>
          <w:szCs w:val="18"/>
          <w:b w:val="1"/>
          <w:bCs w:val="1"/>
          <w:color w:val="auto"/>
        </w:rPr>
        <w:t xml:space="preserve"> and Organic Basis</w:t>
      </w:r>
      <w:r>
        <w:rPr>
          <w:rFonts w:ascii="Arial" w:cs="Arial" w:eastAsia="Arial" w:hAnsi="Arial"/>
          <w:sz w:val="15"/>
          <w:szCs w:val="15"/>
          <w:b w:val="1"/>
          <w:bCs w:val="1"/>
          <w:color w:val="auto"/>
        </w:rPr>
        <w:t>(6)</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Foreign</w:t>
            </w:r>
          </w:p>
        </w:tc>
        <w:tc>
          <w:tcPr>
            <w:tcW w:w="120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9"/>
              </w:rPr>
              <w:t>SUBTOTAL</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top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(Divestitures)</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Revenues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8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617</w:t>
            </w:r>
          </w:p>
        </w:tc>
        <w:tc>
          <w:tcPr>
            <w:tcW w:w="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600</w:t>
            </w:r>
          </w:p>
        </w:tc>
        <w:tc>
          <w:tcPr>
            <w:tcW w:w="180" w:type="dxa"/>
            <w:vAlign w:val="bottom"/>
          </w:tcPr>
          <w:p>
            <w:pPr>
              <w:spacing w:after="0"/>
              <w:rPr>
                <w:sz w:val="16"/>
                <w:szCs w:val="16"/>
                <w:color w:val="auto"/>
              </w:rPr>
            </w:pPr>
          </w:p>
        </w:tc>
        <w:tc>
          <w:tcPr>
            <w:tcW w:w="76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3%</w:t>
            </w:r>
          </w:p>
        </w:tc>
        <w:tc>
          <w:tcPr>
            <w:tcW w:w="10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13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7"/>
                <w:szCs w:val="17"/>
                <w:color w:val="auto"/>
              </w:rPr>
            </w:pPr>
          </w:p>
        </w:tc>
        <w:tc>
          <w:tcPr>
            <w:tcW w:w="7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tcPr>
          <w:p>
            <w:pPr>
              <w:spacing w:after="0" w:line="202" w:lineRule="exact"/>
              <w:rPr>
                <w:sz w:val="20"/>
                <w:szCs w:val="20"/>
                <w:color w:val="auto"/>
              </w:rPr>
            </w:pPr>
            <w:r>
              <w:rPr>
                <w:rFonts w:ascii="Arial" w:cs="Arial" w:eastAsia="Arial" w:hAnsi="Arial"/>
                <w:sz w:val="18"/>
                <w:szCs w:val="18"/>
                <w:color w:val="auto"/>
              </w:rPr>
              <w:t>Global Print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tcPr>
          <w:p>
            <w:pPr>
              <w:spacing w:after="0"/>
              <w:rPr>
                <w:sz w:val="17"/>
                <w:szCs w:val="17"/>
                <w:color w:val="auto"/>
              </w:rPr>
            </w:pPr>
          </w:p>
        </w:tc>
        <w:tc>
          <w:tcPr>
            <w:tcW w:w="7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1,583</w:t>
            </w:r>
          </w:p>
        </w:tc>
        <w:tc>
          <w:tcPr>
            <w:tcW w:w="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1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40" w:type="dxa"/>
            <w:vAlign w:val="bottom"/>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8"/>
              </w:rPr>
              <w:t>Recurring Revenues</w:t>
            </w:r>
          </w:p>
        </w:tc>
        <w:tc>
          <w:tcPr>
            <w:tcW w:w="22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570</w:t>
            </w:r>
          </w:p>
        </w:tc>
        <w:tc>
          <w:tcPr>
            <w:tcW w:w="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546</w:t>
            </w:r>
          </w:p>
        </w:tc>
        <w:tc>
          <w:tcPr>
            <w:tcW w:w="180" w:type="dxa"/>
            <w:vAlign w:val="bottom"/>
          </w:tcPr>
          <w:p>
            <w:pPr>
              <w:spacing w:after="0"/>
              <w:rPr>
                <w:sz w:val="16"/>
                <w:szCs w:val="16"/>
                <w:color w:val="auto"/>
              </w:rPr>
            </w:pPr>
          </w:p>
        </w:tc>
        <w:tc>
          <w:tcPr>
            <w:tcW w:w="76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10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5%</w:t>
            </w:r>
          </w:p>
        </w:tc>
        <w:tc>
          <w:tcPr>
            <w:tcW w:w="13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180" w:type="dxa"/>
            <w:vAlign w:val="bottom"/>
          </w:tcPr>
          <w:p>
            <w:pPr>
              <w:spacing w:after="0"/>
              <w:rPr>
                <w:sz w:val="17"/>
                <w:szCs w:val="17"/>
                <w:color w:val="auto"/>
              </w:rPr>
            </w:pPr>
          </w:p>
        </w:tc>
        <w:tc>
          <w:tcPr>
            <w:tcW w:w="7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Recurring 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1,236</w:t>
            </w:r>
          </w:p>
        </w:tc>
        <w:tc>
          <w:tcPr>
            <w:tcW w:w="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140" w:type="dxa"/>
            <w:vAlign w:val="bottom"/>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1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7"/>
              </w:rPr>
              <w:t>Transactions Revenues</w:t>
            </w:r>
          </w:p>
        </w:tc>
        <w:tc>
          <w:tcPr>
            <w:tcW w:w="19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6"/>
                <w:szCs w:val="16"/>
                <w:color w:val="auto"/>
              </w:rPr>
            </w:pPr>
          </w:p>
        </w:tc>
        <w:tc>
          <w:tcPr>
            <w:tcW w:w="76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-12%</w:t>
            </w:r>
          </w:p>
        </w:tc>
        <w:tc>
          <w:tcPr>
            <w:tcW w:w="10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-13%</w:t>
            </w:r>
          </w:p>
        </w:tc>
        <w:tc>
          <w:tcPr>
            <w:tcW w:w="13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7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13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2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w:t>
            </w: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60"/>
        <w:spacing w:after="0" w:line="279"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Refer to page 17 for footnotes.</w:t>
      </w:r>
    </w:p>
    <w:p>
      <w:pPr>
        <w:sectPr>
          <w:pgSz w:w="11900" w:h="16838" w:orient="portrait"/>
          <w:cols w:equalWidth="0" w:num="1">
            <w:col w:w="11040"/>
          </w:cols>
          <w:pgMar w:left="440" w:top="1170" w:right="419" w:bottom="1440" w:gutter="0" w:footer="0" w:header="0"/>
        </w:sectPr>
      </w:pPr>
    </w:p>
    <w:bookmarkStart w:id="17" w:name="page18"/>
    <w:bookmarkEnd w:id="17"/>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15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Changes in Segment and Consolidated Revenues (for Total Revenues, Recurring Revenues and Transactions</w:t>
      </w:r>
    </w:p>
    <w:p>
      <w:pPr>
        <w:jc w:val="center"/>
        <w:ind w:right="20"/>
        <w:spacing w:after="0"/>
        <w:rPr>
          <w:sz w:val="20"/>
          <w:szCs w:val="20"/>
          <w:color w:val="auto"/>
        </w:rPr>
      </w:pPr>
      <w:r>
        <w:rPr>
          <w:rFonts w:ascii="Arial" w:cs="Arial" w:eastAsia="Arial" w:hAnsi="Arial"/>
          <w:sz w:val="18"/>
          <w:szCs w:val="18"/>
          <w:b w:val="1"/>
          <w:bCs w:val="1"/>
          <w:color w:val="auto"/>
        </w:rPr>
        <w:t xml:space="preserve">Revenues) to Changes in Revenues on a Constant Currency </w:t>
      </w:r>
      <w:r>
        <w:rPr>
          <w:rFonts w:ascii="Arial" w:cs="Arial" w:eastAsia="Arial" w:hAnsi="Arial"/>
          <w:sz w:val="15"/>
          <w:szCs w:val="15"/>
          <w:b w:val="1"/>
          <w:bCs w:val="1"/>
          <w:color w:val="auto"/>
        </w:rPr>
        <w:t>(4)</w:t>
      </w:r>
      <w:r>
        <w:rPr>
          <w:rFonts w:ascii="Arial" w:cs="Arial" w:eastAsia="Arial" w:hAnsi="Arial"/>
          <w:sz w:val="18"/>
          <w:szCs w:val="18"/>
          <w:b w:val="1"/>
          <w:bCs w:val="1"/>
          <w:color w:val="auto"/>
        </w:rPr>
        <w:t xml:space="preserve"> and Organic Basis</w:t>
      </w:r>
      <w:r>
        <w:rPr>
          <w:rFonts w:ascii="Arial" w:cs="Arial" w:eastAsia="Arial" w:hAnsi="Arial"/>
          <w:sz w:val="15"/>
          <w:szCs w:val="15"/>
          <w:b w:val="1"/>
          <w:bCs w:val="1"/>
          <w:color w:val="auto"/>
        </w:rPr>
        <w:t>(6)</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Foreign</w:t>
            </w:r>
          </w:p>
        </w:tc>
        <w:tc>
          <w:tcPr>
            <w:tcW w:w="122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SUBTOTAL</w:t>
            </w: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14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(Divestitures)</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Revenues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2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w w:val="93"/>
              </w:rPr>
              <w:t>2,419</w:t>
            </w: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w w:val="97"/>
              </w:rPr>
              <w:t>2,373</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104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3%</w:t>
            </w:r>
          </w:p>
        </w:tc>
        <w:tc>
          <w:tcPr>
            <w:tcW w:w="140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1,321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1,238</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w:t>
            </w:r>
          </w:p>
        </w:tc>
        <w:tc>
          <w:tcPr>
            <w:tcW w:w="14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tcPr>
          <w:p>
            <w:pPr>
              <w:spacing w:after="0" w:line="202" w:lineRule="exact"/>
              <w:rPr>
                <w:sz w:val="20"/>
                <w:szCs w:val="20"/>
                <w:color w:val="auto"/>
              </w:rPr>
            </w:pPr>
            <w:r>
              <w:rPr>
                <w:rFonts w:ascii="Arial" w:cs="Arial" w:eastAsia="Arial" w:hAnsi="Arial"/>
                <w:sz w:val="18"/>
                <w:szCs w:val="18"/>
                <w:color w:val="auto"/>
              </w:rPr>
              <w:t>Global Print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5,906</w:t>
            </w: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5,501</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120" w:type="dxa"/>
            <w:vAlign w:val="bottom"/>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120" w:type="dxa"/>
            <w:vAlign w:val="bottom"/>
            <w:vMerge w:val="continue"/>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8"/>
              </w:rPr>
              <w:t>Recurring Revenues</w:t>
            </w:r>
          </w:p>
        </w:tc>
        <w:tc>
          <w:tcPr>
            <w:tcW w:w="228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w w:val="93"/>
              </w:rPr>
              <w:t>2,235</w:t>
            </w: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w w:val="97"/>
              </w:rPr>
              <w:t>2,159</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4%</w:t>
            </w:r>
          </w:p>
        </w:tc>
        <w:tc>
          <w:tcPr>
            <w:tcW w:w="104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140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1,093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14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Recurring 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4,604</w:t>
            </w: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4,138</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20" w:type="dxa"/>
            <w:vAlign w:val="bottom"/>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20" w:type="dxa"/>
            <w:vAlign w:val="bottom"/>
            <w:vMerge w:val="continue"/>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7"/>
              </w:rPr>
              <w:t>Transactions Revenues</w:t>
            </w:r>
          </w:p>
        </w:tc>
        <w:tc>
          <w:tcPr>
            <w:tcW w:w="2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gridSpan w:val="4"/>
          </w:tcPr>
          <w:p>
            <w:pPr>
              <w:spacing w:after="0" w:line="189"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rPr>
              <w:t>184</w:t>
            </w: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-14%</w:t>
            </w:r>
          </w:p>
        </w:tc>
        <w:tc>
          <w:tcPr>
            <w:tcW w:w="104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-13%</w:t>
            </w:r>
          </w:p>
        </w:tc>
        <w:tc>
          <w:tcPr>
            <w:tcW w:w="140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-11%</w:t>
            </w: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120" w:type="dxa"/>
            <w:vAlign w:val="bottom"/>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4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120" w:type="dxa"/>
            <w:vAlign w:val="bottom"/>
            <w:vMerge w:val="continue"/>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14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40" w:right="80" w:hanging="320"/>
        <w:spacing w:after="0" w:line="279" w:lineRule="auto"/>
        <w:tabs>
          <w:tab w:leader="none" w:pos="5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initial contract value of revenues in Reuters News for providing news and editorial content to Refinitiv under the 30-year agreement that began in the fourth quarter of 2018.</w:t>
      </w:r>
    </w:p>
    <w:p>
      <w:pPr>
        <w:spacing w:after="0" w:line="15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Growth percentages are computed using whole dollars. As a result, percentages calculated from reported amounts may differ from those presented, and growth components may not total due to rounding.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Refer to page 17 for footnotes.</w:t>
      </w:r>
    </w:p>
    <w:p>
      <w:pPr>
        <w:sectPr>
          <w:pgSz w:w="11900" w:h="16838" w:orient="portrait"/>
          <w:cols w:equalWidth="0" w:num="1">
            <w:col w:w="11040"/>
          </w:cols>
          <w:pgMar w:left="440" w:top="1170" w:right="419" w:bottom="1440" w:gutter="0" w:footer="0" w:header="0"/>
        </w:sectPr>
      </w:pPr>
    </w:p>
    <w:bookmarkStart w:id="18" w:name="page19"/>
    <w:bookmarkEnd w:id="18"/>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16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Thomson Reuters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Changes in Segment and Consolidated Adjusted EBITDA to Changes on a Constant Currency Basis</w:t>
      </w:r>
      <w:r>
        <w:rPr>
          <w:rFonts w:ascii="Arial" w:cs="Arial" w:eastAsia="Arial" w:hAnsi="Arial"/>
          <w:sz w:val="15"/>
          <w:szCs w:val="15"/>
          <w:b w:val="1"/>
          <w:bCs w:val="1"/>
          <w:color w:val="auto"/>
        </w:rPr>
        <w:t>(4)</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80" w:type="dxa"/>
            <w:vAlign w:val="bottom"/>
            <w:gridSpan w:val="11"/>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ind w:right="440"/>
              <w:spacing w:after="0" w:line="143" w:lineRule="exact"/>
              <w:rPr>
                <w:sz w:val="20"/>
                <w:szCs w:val="20"/>
                <w:color w:val="auto"/>
              </w:rPr>
            </w:pPr>
            <w:r>
              <w:rPr>
                <w:rFonts w:ascii="Arial" w:cs="Arial" w:eastAsia="Arial" w:hAnsi="Arial"/>
                <w:sz w:val="14"/>
                <w:szCs w:val="14"/>
                <w:b w:val="1"/>
                <w:bCs w:val="1"/>
                <w:color w:val="auto"/>
              </w:rPr>
              <w:t>Foreign</w:t>
            </w:r>
          </w:p>
        </w:tc>
        <w:tc>
          <w:tcPr>
            <w:tcW w:w="68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Currency</w:t>
            </w:r>
          </w:p>
        </w:tc>
        <w:tc>
          <w:tcPr>
            <w:tcW w:w="1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Adjusted EBITDA</w:t>
            </w:r>
          </w:p>
        </w:tc>
        <w:tc>
          <w:tcPr>
            <w:tcW w:w="2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gridSpan w:val="3"/>
          </w:tcPr>
          <w:p>
            <w:pPr>
              <w:spacing w:after="0" w:line="189" w:lineRule="exact"/>
              <w:rPr>
                <w:sz w:val="20"/>
                <w:szCs w:val="20"/>
                <w:color w:val="auto"/>
              </w:rPr>
            </w:pPr>
            <w:r>
              <w:rPr>
                <w:rFonts w:ascii="Arial" w:cs="Arial" w:eastAsia="Arial" w:hAnsi="Arial"/>
                <w:sz w:val="18"/>
                <w:szCs w:val="18"/>
                <w:color w:val="auto"/>
              </w:rPr>
              <w:t>Legal Professionals</w:t>
            </w:r>
          </w:p>
        </w:tc>
        <w:tc>
          <w:tcPr>
            <w:tcW w:w="18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215</w:t>
            </w: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221</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50"/>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80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6"/>
                <w:szCs w:val="16"/>
                <w:color w:val="auto"/>
              </w:rPr>
            </w:pPr>
          </w:p>
        </w:tc>
        <w:tc>
          <w:tcPr>
            <w:tcW w:w="1000" w:type="dxa"/>
            <w:vAlign w:val="bottom"/>
            <w:gridSpan w:val="5"/>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0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Global Print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87</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0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n/a</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5"/>
              </w:rPr>
              <w:t>n/a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7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4"/>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396</w:t>
            </w:r>
          </w:p>
        </w:tc>
        <w:tc>
          <w:tcPr>
            <w:tcW w:w="4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274</w:t>
            </w:r>
          </w:p>
        </w:tc>
        <w:tc>
          <w:tcPr>
            <w:tcW w:w="38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8"/>
              </w:rPr>
              <w:t>Adjusted EBITDA Margin</w:t>
            </w:r>
          </w:p>
        </w:tc>
        <w:tc>
          <w:tcPr>
            <w:tcW w:w="21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gridSpan w:val="3"/>
          </w:tcPr>
          <w:p>
            <w:pPr>
              <w:spacing w:after="0" w:line="189" w:lineRule="exact"/>
              <w:rPr>
                <w:sz w:val="20"/>
                <w:szCs w:val="20"/>
                <w:color w:val="auto"/>
              </w:rPr>
            </w:pPr>
            <w:r>
              <w:rPr>
                <w:rFonts w:ascii="Arial" w:cs="Arial" w:eastAsia="Arial" w:hAnsi="Arial"/>
                <w:sz w:val="18"/>
                <w:szCs w:val="18"/>
                <w:color w:val="auto"/>
              </w:rPr>
              <w:t>Legal Professionals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152"/>
              <w:spacing w:after="0" w:line="189" w:lineRule="exact"/>
              <w:rPr>
                <w:sz w:val="20"/>
                <w:szCs w:val="20"/>
                <w:color w:val="auto"/>
              </w:rPr>
            </w:pPr>
            <w:r>
              <w:rPr>
                <w:rFonts w:ascii="Arial" w:cs="Arial" w:eastAsia="Arial" w:hAnsi="Arial"/>
                <w:sz w:val="18"/>
                <w:szCs w:val="18"/>
                <w:color w:val="auto"/>
              </w:rPr>
              <w:t>34.9%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right"/>
              <w:ind w:right="150"/>
              <w:spacing w:after="0" w:line="189" w:lineRule="exact"/>
              <w:rPr>
                <w:sz w:val="20"/>
                <w:szCs w:val="20"/>
                <w:color w:val="auto"/>
              </w:rPr>
            </w:pPr>
            <w:r>
              <w:rPr>
                <w:rFonts w:ascii="Arial" w:cs="Arial" w:eastAsia="Arial" w:hAnsi="Arial"/>
                <w:sz w:val="18"/>
                <w:szCs w:val="18"/>
                <w:color w:val="auto"/>
              </w:rPr>
              <w:t>36.8%</w:t>
            </w:r>
          </w:p>
        </w:tc>
        <w:tc>
          <w:tcPr>
            <w:tcW w:w="40" w:type="dxa"/>
            <w:vAlign w:val="bottom"/>
          </w:tcPr>
          <w:p>
            <w:pPr>
              <w:spacing w:after="0"/>
              <w:rPr>
                <w:sz w:val="16"/>
                <w:szCs w:val="16"/>
                <w:color w:val="auto"/>
              </w:rPr>
            </w:pPr>
          </w:p>
        </w:tc>
        <w:tc>
          <w:tcPr>
            <w:tcW w:w="900" w:type="dxa"/>
            <w:vAlign w:val="bottom"/>
            <w:gridSpan w:val="4"/>
          </w:tcPr>
          <w:p>
            <w:pPr>
              <w:jc w:val="right"/>
              <w:ind w:right="210"/>
              <w:spacing w:after="0" w:line="189" w:lineRule="exact"/>
              <w:rPr>
                <w:sz w:val="20"/>
                <w:szCs w:val="20"/>
                <w:color w:val="auto"/>
              </w:rPr>
            </w:pPr>
            <w:r>
              <w:rPr>
                <w:rFonts w:ascii="Arial" w:cs="Arial" w:eastAsia="Arial" w:hAnsi="Arial"/>
                <w:sz w:val="18"/>
                <w:szCs w:val="18"/>
                <w:color w:val="auto"/>
              </w:rPr>
              <w:t>-190bp</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380"/>
              <w:spacing w:after="0" w:line="189" w:lineRule="exact"/>
              <w:rPr>
                <w:sz w:val="20"/>
                <w:szCs w:val="20"/>
                <w:color w:val="auto"/>
              </w:rPr>
            </w:pPr>
            <w:r>
              <w:rPr>
                <w:rFonts w:ascii="Arial" w:cs="Arial" w:eastAsia="Arial" w:hAnsi="Arial"/>
                <w:sz w:val="18"/>
                <w:szCs w:val="18"/>
                <w:color w:val="auto"/>
              </w:rPr>
              <w:t>10bp</w:t>
            </w:r>
          </w:p>
        </w:tc>
        <w:tc>
          <w:tcPr>
            <w:tcW w:w="40" w:type="dxa"/>
            <w:vAlign w:val="bottom"/>
          </w:tcPr>
          <w:p>
            <w:pPr>
              <w:spacing w:after="0"/>
              <w:rPr>
                <w:sz w:val="16"/>
                <w:szCs w:val="16"/>
                <w:color w:val="auto"/>
              </w:rPr>
            </w:pPr>
          </w:p>
        </w:tc>
        <w:tc>
          <w:tcPr>
            <w:tcW w:w="960" w:type="dxa"/>
            <w:vAlign w:val="bottom"/>
            <w:gridSpan w:val="4"/>
          </w:tcPr>
          <w:p>
            <w:pPr>
              <w:jc w:val="right"/>
              <w:ind w:right="320"/>
              <w:spacing w:after="0" w:line="189" w:lineRule="exact"/>
              <w:rPr>
                <w:sz w:val="20"/>
                <w:szCs w:val="20"/>
                <w:color w:val="auto"/>
              </w:rPr>
            </w:pPr>
            <w:r>
              <w:rPr>
                <w:rFonts w:ascii="Arial" w:cs="Arial" w:eastAsia="Arial" w:hAnsi="Arial"/>
                <w:sz w:val="18"/>
                <w:szCs w:val="18"/>
                <w:color w:val="auto"/>
              </w:rPr>
              <w:t>-200bp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95"/>
              </w:rPr>
              <w:t>460bp</w:t>
            </w: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120bp</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52"/>
              <w:spacing w:after="0" w:line="202" w:lineRule="exact"/>
              <w:rPr>
                <w:sz w:val="20"/>
                <w:szCs w:val="20"/>
                <w:color w:val="auto"/>
              </w:rPr>
            </w:pPr>
            <w:r>
              <w:rPr>
                <w:rFonts w:ascii="Arial" w:cs="Arial" w:eastAsia="Arial" w:hAnsi="Arial"/>
                <w:sz w:val="18"/>
                <w:szCs w:val="18"/>
                <w:color w:val="auto"/>
              </w:rPr>
              <w:t>49.1%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150"/>
              <w:spacing w:after="0" w:line="202" w:lineRule="exact"/>
              <w:rPr>
                <w:sz w:val="20"/>
                <w:szCs w:val="20"/>
                <w:color w:val="auto"/>
              </w:rPr>
            </w:pPr>
            <w:r>
              <w:rPr>
                <w:rFonts w:ascii="Arial" w:cs="Arial" w:eastAsia="Arial" w:hAnsi="Arial"/>
                <w:sz w:val="18"/>
                <w:szCs w:val="18"/>
                <w:color w:val="auto"/>
              </w:rPr>
              <w:t>47.4%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w w:val="95"/>
              </w:rPr>
              <w:t>170bp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50bp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120bp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-90bp</w:t>
            </w: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140bp</w:t>
            </w:r>
          </w:p>
        </w:tc>
        <w:tc>
          <w:tcPr>
            <w:tcW w:w="4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Global Print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52"/>
              <w:spacing w:after="0" w:line="202" w:lineRule="exact"/>
              <w:rPr>
                <w:sz w:val="20"/>
                <w:szCs w:val="20"/>
                <w:color w:val="auto"/>
              </w:rPr>
            </w:pPr>
            <w:r>
              <w:rPr>
                <w:rFonts w:ascii="Arial" w:cs="Arial" w:eastAsia="Arial" w:hAnsi="Arial"/>
                <w:sz w:val="18"/>
                <w:szCs w:val="18"/>
                <w:color w:val="auto"/>
              </w:rPr>
              <w:t>39.5%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150"/>
              <w:spacing w:after="0" w:line="202" w:lineRule="exact"/>
              <w:rPr>
                <w:sz w:val="20"/>
                <w:szCs w:val="20"/>
                <w:color w:val="auto"/>
              </w:rPr>
            </w:pPr>
            <w:r>
              <w:rPr>
                <w:rFonts w:ascii="Arial" w:cs="Arial" w:eastAsia="Arial" w:hAnsi="Arial"/>
                <w:sz w:val="18"/>
                <w:szCs w:val="18"/>
                <w:color w:val="auto"/>
              </w:rPr>
              <w:t>42.6%</w:t>
            </w:r>
          </w:p>
        </w:tc>
        <w:tc>
          <w:tcPr>
            <w:tcW w:w="40" w:type="dxa"/>
            <w:vAlign w:val="bottom"/>
          </w:tcPr>
          <w:p>
            <w:pPr>
              <w:spacing w:after="0"/>
              <w:rPr>
                <w:sz w:val="17"/>
                <w:szCs w:val="17"/>
                <w:color w:val="auto"/>
              </w:rPr>
            </w:pPr>
          </w:p>
        </w:tc>
        <w:tc>
          <w:tcPr>
            <w:tcW w:w="90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-310bp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70bp</w:t>
            </w:r>
          </w:p>
        </w:tc>
        <w:tc>
          <w:tcPr>
            <w:tcW w:w="40" w:type="dxa"/>
            <w:vAlign w:val="bottom"/>
          </w:tcPr>
          <w:p>
            <w:pPr>
              <w:spacing w:after="0"/>
              <w:rPr>
                <w:sz w:val="17"/>
                <w:szCs w:val="17"/>
                <w:color w:val="auto"/>
              </w:rPr>
            </w:pPr>
          </w:p>
        </w:tc>
        <w:tc>
          <w:tcPr>
            <w:tcW w:w="96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-380bp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left="91"/>
              <w:spacing w:after="0" w:line="202" w:lineRule="exact"/>
              <w:rPr>
                <w:sz w:val="20"/>
                <w:szCs w:val="20"/>
                <w:color w:val="auto"/>
              </w:rPr>
            </w:pPr>
            <w:r>
              <w:rPr>
                <w:rFonts w:ascii="Arial" w:cs="Arial" w:eastAsia="Arial" w:hAnsi="Arial"/>
                <w:sz w:val="18"/>
                <w:szCs w:val="18"/>
                <w:color w:val="auto"/>
                <w:w w:val="95"/>
              </w:rPr>
              <w:t>n/a</w:t>
            </w:r>
          </w:p>
        </w:tc>
        <w:tc>
          <w:tcPr>
            <w:tcW w:w="420" w:type="dxa"/>
            <w:vAlign w:val="bottom"/>
            <w:gridSpan w:val="2"/>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5"/>
              </w:rPr>
              <w:t>n/a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Adjusted EBITDA margin</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4"/>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17.9%</w:t>
            </w: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710bp</w:t>
            </w:r>
          </w:p>
        </w:tc>
        <w:tc>
          <w:tcPr>
            <w:tcW w:w="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9"/>
              </w:rPr>
              <w:t>30bp</w:t>
            </w:r>
          </w:p>
        </w:tc>
        <w:tc>
          <w:tcPr>
            <w:tcW w:w="2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9"/>
              </w:rPr>
              <w:t>680bp</w:t>
            </w:r>
          </w:p>
        </w:tc>
        <w:tc>
          <w:tcPr>
            <w:tcW w:w="1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Foreign</w:t>
            </w: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0"/>
              <w:spacing w:after="0" w:line="143"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Currency</w:t>
            </w:r>
          </w:p>
        </w:tc>
        <w:tc>
          <w:tcPr>
            <w:tcW w:w="40" w:type="dxa"/>
            <w:vAlign w:val="bottom"/>
          </w:tcPr>
          <w:p>
            <w:pPr>
              <w:spacing w:after="0"/>
              <w:rPr>
                <w:sz w:val="15"/>
                <w:szCs w:val="15"/>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Adjusted EBITDA</w:t>
            </w:r>
          </w:p>
        </w:tc>
        <w:tc>
          <w:tcPr>
            <w:tcW w:w="2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gridSpan w:val="3"/>
          </w:tcPr>
          <w:p>
            <w:pPr>
              <w:spacing w:after="0" w:line="189" w:lineRule="exact"/>
              <w:rPr>
                <w:sz w:val="20"/>
                <w:szCs w:val="20"/>
                <w:color w:val="auto"/>
              </w:rPr>
            </w:pPr>
            <w:r>
              <w:rPr>
                <w:rFonts w:ascii="Arial" w:cs="Arial" w:eastAsia="Arial" w:hAnsi="Arial"/>
                <w:sz w:val="18"/>
                <w:szCs w:val="18"/>
                <w:color w:val="auto"/>
              </w:rPr>
              <w:t>Legal Professionals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center"/>
              <w:ind w:left="171"/>
              <w:spacing w:after="0" w:line="189"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10%</w:t>
            </w:r>
          </w:p>
        </w:tc>
        <w:tc>
          <w:tcPr>
            <w:tcW w:w="980" w:type="dxa"/>
            <w:vAlign w:val="bottom"/>
            <w:gridSpan w:val="4"/>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1000" w:type="dxa"/>
            <w:vAlign w:val="bottom"/>
            <w:gridSpan w:val="5"/>
          </w:tcPr>
          <w:p>
            <w:pPr>
              <w:jc w:val="right"/>
              <w:ind w:right="8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0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18%</w:t>
            </w:r>
          </w:p>
        </w:tc>
        <w:tc>
          <w:tcPr>
            <w:tcW w:w="9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100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9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10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Global Print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w:t>
            </w:r>
          </w:p>
        </w:tc>
        <w:tc>
          <w:tcPr>
            <w:tcW w:w="9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100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w w:val="99"/>
              </w:rPr>
              <w:t>(494)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4"/>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1,493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1,365</w:t>
            </w:r>
          </w:p>
        </w:tc>
        <w:tc>
          <w:tcPr>
            <w:tcW w:w="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vMerge w:val="continue"/>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140" w:type="dxa"/>
            <w:vAlign w:val="bottom"/>
            <w:gridSpan w:val="2"/>
            <w:vMerge w:val="continue"/>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8"/>
              </w:rPr>
              <w:t>Adjusted EBITDA Margin</w:t>
            </w:r>
          </w:p>
        </w:tc>
        <w:tc>
          <w:tcPr>
            <w:tcW w:w="21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gridSpan w:val="3"/>
          </w:tcPr>
          <w:p>
            <w:pPr>
              <w:spacing w:after="0" w:line="189" w:lineRule="exact"/>
              <w:rPr>
                <w:sz w:val="20"/>
                <w:szCs w:val="20"/>
                <w:color w:val="auto"/>
              </w:rPr>
            </w:pPr>
            <w:r>
              <w:rPr>
                <w:rFonts w:ascii="Arial" w:cs="Arial" w:eastAsia="Arial" w:hAnsi="Arial"/>
                <w:sz w:val="18"/>
                <w:szCs w:val="18"/>
                <w:color w:val="auto"/>
              </w:rPr>
              <w:t>Legal Professionals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37.2%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280bp</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40bp</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40"/>
              <w:spacing w:after="0" w:line="189"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90bp</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60bp</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Tax &amp; Accounting Professionals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34.3%</w:t>
            </w:r>
          </w:p>
        </w:tc>
        <w:tc>
          <w:tcPr>
            <w:tcW w:w="1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390bp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50bp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340bp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-160bp</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140bp</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Global Print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44.0%</w:t>
            </w:r>
          </w:p>
        </w:tc>
        <w:tc>
          <w:tcPr>
            <w:tcW w:w="1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-140bp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40bp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-180bp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gridSpan w:val="4"/>
          </w:tcPr>
          <w:p>
            <w:pPr>
              <w:spacing w:after="0"/>
              <w:rPr>
                <w:sz w:val="20"/>
                <w:szCs w:val="20"/>
                <w:color w:val="auto"/>
              </w:rPr>
            </w:pPr>
            <w:r>
              <w:rPr>
                <w:rFonts w:ascii="Arial" w:cs="Arial" w:eastAsia="Arial" w:hAnsi="Arial"/>
                <w:sz w:val="18"/>
                <w:szCs w:val="18"/>
                <w:b w:val="1"/>
                <w:bCs w:val="1"/>
                <w:color w:val="auto"/>
              </w:rPr>
              <w:t>Adjusted EBITDA margin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24.8%</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50bp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60bp</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-10bp</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 not applicable</w:t>
      </w:r>
    </w:p>
    <w:p>
      <w:pPr>
        <w:spacing w:after="0" w:line="217" w:lineRule="exact"/>
        <w:rPr>
          <w:sz w:val="20"/>
          <w:szCs w:val="20"/>
          <w:color w:val="auto"/>
        </w:rPr>
      </w:pPr>
    </w:p>
    <w:p>
      <w:pPr>
        <w:ind w:right="680"/>
        <w:spacing w:after="0" w:line="279" w:lineRule="auto"/>
        <w:rPr>
          <w:sz w:val="20"/>
          <w:szCs w:val="20"/>
          <w:color w:val="auto"/>
        </w:rPr>
      </w:pPr>
      <w:r>
        <w:rPr>
          <w:rFonts w:ascii="Arial" w:cs="Arial" w:eastAsia="Arial" w:hAnsi="Arial"/>
          <w:sz w:val="14"/>
          <w:szCs w:val="14"/>
          <w:i w:val="1"/>
          <w:iCs w:val="1"/>
          <w:color w:val="auto"/>
        </w:rPr>
        <w:t>Growth percentages and margins are computed using whole dollars. As a result, percentages and margins calculated from reported amounts may differ from those presented, and growth components may not total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Refer to page 17 for footnotes.</w:t>
      </w:r>
    </w:p>
    <w:p>
      <w:pPr>
        <w:sectPr>
          <w:pgSz w:w="11900" w:h="16838" w:orient="portrait"/>
          <w:cols w:equalWidth="0" w:num="1">
            <w:col w:w="11040"/>
          </w:cols>
          <w:pgMar w:left="440" w:top="1170" w:right="419" w:bottom="1440" w:gutter="0" w:footer="0" w:header="0"/>
        </w:sectPr>
      </w:pPr>
    </w:p>
    <w:bookmarkStart w:id="19" w:name="page20"/>
    <w:bookmarkEnd w:id="19"/>
    <w:p>
      <w:pPr>
        <w:ind w:right="508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17 of 20</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Footnotes</w:t>
      </w:r>
    </w:p>
    <w:p>
      <w:pPr>
        <w:spacing w:after="0" w:line="1" w:lineRule="exact"/>
        <w:rPr>
          <w:sz w:val="20"/>
          <w:szCs w:val="20"/>
          <w:color w:val="auto"/>
        </w:rPr>
      </w:pPr>
    </w:p>
    <w:p>
      <w:pPr>
        <w:ind w:left="440" w:hanging="436"/>
        <w:spacing w:after="0" w:line="241"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Thomson Reuters defines adjusted EBITDA for its business segments as earnings or losses from continuing operations before tax expense or benefit, net interest expense, other finance costs or income, depreciation, amortization of software and other identifiable intangible assets, Thomson Reuters share of post-tax earnings or losses in equity method investments, other operating gains and losses, certain asset impairment charges, fair value adjustments and corporate related items. Consolidated adjusted EBITDA is comprised of adjusted EBITDA for its business segments and corporate costs. Adjusted EBITDA margin is adjusted EBITDA expressed as a percentage of revenues. Thomson Reuters uses adjusted EBITDA because it provides a consistent basis to evaluate operating profitability and performance trends by excluding items that the company does not consider to be controllable activities for this purpose. Adjusted EBITDA also represents a measure commonly reported and widely used by investors as a valuation metric. Additionally, this measure is used by Thomson Reuters and investors to assess a company’s ability to incur and service debt.</w:t>
      </w:r>
    </w:p>
    <w:p>
      <w:pPr>
        <w:spacing w:after="0" w:line="3" w:lineRule="exact"/>
        <w:rPr>
          <w:rFonts w:ascii="Arial" w:cs="Arial" w:eastAsia="Arial" w:hAnsi="Arial"/>
          <w:sz w:val="14"/>
          <w:szCs w:val="14"/>
          <w:color w:val="auto"/>
        </w:rPr>
      </w:pPr>
    </w:p>
    <w:p>
      <w:pPr>
        <w:ind w:left="440" w:hanging="436"/>
        <w:spacing w:after="0" w:line="244"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Thomson Reuters defines adjusted earnings as net earnings or loss including dividends declared on preference shares but excluding the post-tax impacts of fair value adjustments, amortization of other identifiable intangible assets, other operating gains and losses, certain asset impairment charges, other finance costs or income, Thomson Reuters share of post-tax earnings or losses in equity method investments, discontinued operations and other items affecting comparability. Thomson Reuters calculates the post-tax amount of each item excluded from adjusted earnings based on the specific tax rules and tax rates associated with the nature and jurisdiction of each item. Adjusted EPS is calculated from adjusted earnings using diluted weighted-average shares and does not represent actual earnings or loss per share attributable to shareholders. Thomson Reuters uses adjusted earnings and adjusted EPS as they provide a more comparable basis to analyze earnings and they are also measures commonly used by shareholders to measure the company’s performance.</w:t>
      </w:r>
    </w:p>
    <w:p>
      <w:pPr>
        <w:spacing w:after="0" w:line="110" w:lineRule="exact"/>
        <w:rPr>
          <w:rFonts w:ascii="Arial" w:cs="Arial" w:eastAsia="Arial" w:hAnsi="Arial"/>
          <w:sz w:val="14"/>
          <w:szCs w:val="14"/>
          <w:color w:val="auto"/>
        </w:rPr>
      </w:pPr>
    </w:p>
    <w:p>
      <w:pPr>
        <w:ind w:left="440" w:right="140"/>
        <w:spacing w:after="0" w:line="247" w:lineRule="auto"/>
        <w:rPr>
          <w:rFonts w:ascii="Arial" w:cs="Arial" w:eastAsia="Arial" w:hAnsi="Arial"/>
          <w:sz w:val="14"/>
          <w:szCs w:val="14"/>
          <w:color w:val="auto"/>
        </w:rPr>
      </w:pPr>
      <w:r>
        <w:rPr>
          <w:rFonts w:ascii="Arial" w:cs="Arial" w:eastAsia="Arial" w:hAnsi="Arial"/>
          <w:sz w:val="14"/>
          <w:szCs w:val="14"/>
          <w:color w:val="auto"/>
        </w:rPr>
        <w:t>Because Thomson Reuters reported a net loss for continuing operations under IFRS for the three months ended December 31, 2018, the weighted-average number of common shares used for basic and diluted loss per share is the same for all per-share calculations in the period, as the effect of stock options and other equity incentive awards would reduce the loss per share, and therefore be anti-dilutive. Since the company’s non-IFRS measure “adjusted earnings” is a profit, potential common shares are included, as they lower adjusted EPS and are therefore dilutive.</w:t>
      </w:r>
    </w:p>
    <w:p>
      <w:pPr>
        <w:spacing w:after="0" w:line="10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The following table reconciles IFRS and non-IFRS common share information:</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20" w:type="dxa"/>
            <w:vAlign w:val="bottom"/>
          </w:tcPr>
          <w:p>
            <w:pPr>
              <w:spacing w:after="0"/>
              <w:rPr>
                <w:sz w:val="20"/>
                <w:szCs w:val="20"/>
                <w:color w:val="auto"/>
              </w:rPr>
            </w:pPr>
            <w:r>
              <w:rPr>
                <w:rFonts w:ascii="Arial" w:cs="Arial" w:eastAsia="Arial" w:hAnsi="Arial"/>
                <w:sz w:val="14"/>
                <w:szCs w:val="14"/>
                <w:b w:val="1"/>
                <w:bCs w:val="1"/>
                <w:color w:val="auto"/>
              </w:rPr>
              <w:t>(weighted-average common shares)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2018</w:t>
            </w:r>
          </w:p>
        </w:tc>
      </w:tr>
      <w:tr>
        <w:trPr>
          <w:trHeight w:val="160"/>
        </w:trPr>
        <w:tc>
          <w:tcPr>
            <w:tcW w:w="5420" w:type="dxa"/>
            <w:vAlign w:val="bottom"/>
          </w:tcPr>
          <w:p>
            <w:pPr>
              <w:spacing w:after="0" w:line="157" w:lineRule="exact"/>
              <w:rPr>
                <w:sz w:val="20"/>
                <w:szCs w:val="20"/>
                <w:color w:val="auto"/>
              </w:rPr>
            </w:pPr>
            <w:r>
              <w:rPr>
                <w:rFonts w:ascii="Arial" w:cs="Arial" w:eastAsia="Arial" w:hAnsi="Arial"/>
                <w:sz w:val="14"/>
                <w:szCs w:val="14"/>
                <w:color w:val="auto"/>
              </w:rPr>
              <w:t>IFRS: Basic and Diluted</w:t>
            </w:r>
          </w:p>
        </w:tc>
        <w:tc>
          <w:tcPr>
            <w:tcW w:w="1420" w:type="dxa"/>
            <w:vAlign w:val="bottom"/>
          </w:tcPr>
          <w:p>
            <w:pPr>
              <w:jc w:val="right"/>
              <w:spacing w:after="0"/>
              <w:rPr>
                <w:sz w:val="20"/>
                <w:szCs w:val="20"/>
                <w:color w:val="auto"/>
              </w:rPr>
            </w:pPr>
            <w:r>
              <w:rPr>
                <w:rFonts w:ascii="Arial" w:cs="Arial" w:eastAsia="Arial" w:hAnsi="Arial"/>
                <w:sz w:val="14"/>
                <w:szCs w:val="14"/>
                <w:color w:val="auto"/>
              </w:rPr>
              <w:t>550,091,316</w:t>
            </w:r>
          </w:p>
        </w:tc>
      </w:tr>
      <w:tr>
        <w:trPr>
          <w:trHeight w:val="157"/>
        </w:trPr>
        <w:tc>
          <w:tcPr>
            <w:tcW w:w="5420" w:type="dxa"/>
            <w:vAlign w:val="bottom"/>
          </w:tcPr>
          <w:p>
            <w:pPr>
              <w:spacing w:after="0" w:line="157" w:lineRule="exact"/>
              <w:rPr>
                <w:sz w:val="20"/>
                <w:szCs w:val="20"/>
                <w:color w:val="auto"/>
              </w:rPr>
            </w:pPr>
            <w:r>
              <w:rPr>
                <w:rFonts w:ascii="Arial" w:cs="Arial" w:eastAsia="Arial" w:hAnsi="Arial"/>
                <w:sz w:val="14"/>
                <w:szCs w:val="14"/>
                <w:color w:val="auto"/>
              </w:rPr>
              <w:t>Effect of stock options and other equity incentive awards</w:t>
            </w: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1,217,214</w:t>
            </w:r>
          </w:p>
        </w:tc>
      </w:tr>
      <w:tr>
        <w:trPr>
          <w:trHeight w:val="169"/>
        </w:trPr>
        <w:tc>
          <w:tcPr>
            <w:tcW w:w="5420" w:type="dxa"/>
            <w:vAlign w:val="bottom"/>
          </w:tcPr>
          <w:p>
            <w:pPr>
              <w:spacing w:after="0"/>
              <w:rPr>
                <w:sz w:val="20"/>
                <w:szCs w:val="20"/>
                <w:color w:val="auto"/>
              </w:rPr>
            </w:pPr>
            <w:r>
              <w:rPr>
                <w:rFonts w:ascii="Arial" w:cs="Arial" w:eastAsia="Arial" w:hAnsi="Arial"/>
                <w:sz w:val="14"/>
                <w:szCs w:val="14"/>
                <w:color w:val="auto"/>
              </w:rPr>
              <w:t>Non-IFRS Diluted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551,308,530</w:t>
            </w:r>
          </w:p>
        </w:tc>
      </w:tr>
      <w:tr>
        <w:trPr>
          <w:trHeight w:val="20"/>
        </w:trPr>
        <w:tc>
          <w:tcPr>
            <w:tcW w:w="5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40" w:hanging="436"/>
        <w:spacing w:after="0" w:line="241"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Adjustment to reflect income taxes based on estimated full-year effective tax rate. Earnings or losses for interim periods under IFRS reflect income taxes based on the estimated effective tax rates of each of the jurisdictions in which Thomson Reuters operates. The non-IFRS adjustment reallocates estimated full-year income taxes between interim periods, but has no effect on full-year income taxes.</w:t>
      </w:r>
    </w:p>
    <w:p>
      <w:pPr>
        <w:spacing w:after="0" w:line="1" w:lineRule="exact"/>
        <w:rPr>
          <w:rFonts w:ascii="Arial" w:cs="Arial" w:eastAsia="Arial" w:hAnsi="Arial"/>
          <w:sz w:val="14"/>
          <w:szCs w:val="14"/>
          <w:color w:val="auto"/>
        </w:rPr>
      </w:pPr>
    </w:p>
    <w:p>
      <w:pPr>
        <w:ind w:left="440" w:right="120" w:hanging="436"/>
        <w:spacing w:after="0" w:line="241"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changes in revenues, adjusted EBITDA and the related margins, and adjusted earnings per share before currency (at constant currency or excluding the effects of currency) are determined by converting the current and prior-year period’s local currency equivalent using the same exchange rates.</w:t>
      </w:r>
    </w:p>
    <w:p>
      <w:pPr>
        <w:ind w:left="440" w:right="60" w:hanging="436"/>
        <w:spacing w:after="0" w:line="241"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Free cash flow (includes free cash flow from continuing and discontinued operations) is net cash provided by operating activities, proceeds from disposals of property and equipment, and other investing activities less capital expenditures, payments of lease principal, dividends paid on the company’s preference shares, and dividends paid to non-controlling interests from discontinued operations. Thomson Reuters uses free cash flow as it helps assess the company’s ability, over the long term, to create value for its shareholders as it represents cash available to repay debt, pay common dividends and fund share repurchases and new acquisitions.</w:t>
      </w:r>
    </w:p>
    <w:p>
      <w:pPr>
        <w:spacing w:after="0" w:line="1" w:lineRule="exact"/>
        <w:rPr>
          <w:rFonts w:ascii="Arial" w:cs="Arial" w:eastAsia="Arial" w:hAnsi="Arial"/>
          <w:sz w:val="14"/>
          <w:szCs w:val="14"/>
          <w:color w:val="auto"/>
        </w:rPr>
      </w:pPr>
    </w:p>
    <w:p>
      <w:pPr>
        <w:ind w:left="440" w:hanging="436"/>
        <w:spacing w:after="0" w:line="247"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changes in revenues of our existing businesses at constant currency. The metric excludes the distortive impacts of acquisitions and dispositions from not owning the business in both comparable periods. Additionally, it excludes the initial contract value of the 30-year Reuters News agreement signed on October 1, 2018, which is treated as an acquisition until October 1, 2019. Thomson Reuters uses organic growth because it provides further insight into the performance of its existing businesses by excluding distortive impacts and serves as a better measure of the company’s ability to grow its business over the long term.</w:t>
      </w:r>
    </w:p>
    <w:p>
      <w:pPr>
        <w:sectPr>
          <w:pgSz w:w="11900" w:h="16838" w:orient="portrait"/>
          <w:cols w:equalWidth="0" w:num="1">
            <w:col w:w="11000"/>
          </w:cols>
          <w:pgMar w:left="440" w:top="1170" w:right="459" w:bottom="1440" w:gutter="0" w:footer="0" w:header="0"/>
        </w:sectPr>
      </w:pPr>
    </w:p>
    <w:bookmarkStart w:id="20" w:name="page21"/>
    <w:bookmarkEnd w:id="20"/>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18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APPENDIX – INFORMATION ABOUT REFINITIV</w:t>
      </w:r>
    </w:p>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As of October 1, 2018, Thomson Reuters owns a 45% interest in Refinitiv, which was formerly its wholly owned F&amp;R business. 55% of Refinitiv is owned by private equity funds affiliated with Blackstone. Beginning with the fourth quarter of 2018, Thomson Reuters IFRS results include the company’s 45% share of Refinitiv’s results reported in a single line item on the company’s consolidated income statement titled “Share of post-tax losses in equity method investments.” Thomson Reuters non-IFRS measures, including adjusted earnings, exclude its share of post-tax results in Refinitiv and other equity method investments.</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table below sets forth selected financial information for 100% of Refinitiv for the three months and year ended December 31, 2019, and the three months ended December 31, 2018 on both an IFRS and non-IFRS basis. Refinitiv reports on a US GAAP basis and provides a reconciliation to IFRS in accordance with Thomson Reuters accounting policies. A reconciliation from these IFRS measures to the related non-IFRS measures is also included in this appendix. Because Refinitiv has only been in existence since October 1, 2018, there are no financial statements for the business for the full year ended December 31, 2018. The information for the nine months ended September 30, 2018 that was previously reported for the F&amp;R business by Thomson Reuters is not fully comparable to Refinitiv’s current basis of presentation, as Refinitiv must apply accounting rules related to the purchase of the business and because Refinitiv defines its non-GAAP measures differently than Thomson Reuters defines its non-IFRS measures. To provide a reasonable basis to assess revenue trends for the business, Thomson Reuters has combined the nine months ended September 30, 2018 F&amp;R revenues, as previously reported by Thomson Reuters on a discontinued operations basis prior to the change in ownership, with the three months ended December 31, 2018, reported by Refinitiv, and also provided a supplemental change before currency and excluding businesses disposed.</w:t>
      </w:r>
    </w:p>
    <w:p>
      <w:pPr>
        <w:spacing w:after="0" w:line="204" w:lineRule="exact"/>
        <w:rPr>
          <w:sz w:val="20"/>
          <w:szCs w:val="20"/>
          <w:color w:val="auto"/>
        </w:rPr>
      </w:pPr>
    </w:p>
    <w:tbl>
      <w:tblPr>
        <w:tblLayout w:type="fixed"/>
        <w:tblInd w:w="30" w:type="dxa"/>
        <w:tblCellMar>
          <w:top w:w="0" w:type="dxa"/>
          <w:left w:w="0" w:type="dxa"/>
          <w:bottom w:w="0" w:type="dxa"/>
          <w:right w:w="0" w:type="dxa"/>
        </w:tblCellMar>
      </w:tblPr>
      <w:tr>
        <w:trPr>
          <w:trHeight w:val="180"/>
        </w:trPr>
        <w:tc>
          <w:tcPr>
            <w:tcW w:w="140" w:type="dxa"/>
            <w:vAlign w:val="bottom"/>
            <w:tcBorders>
              <w:top w:val="single" w:sz="8" w:color="auto"/>
              <w:left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1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(millions of U.S. dollars, except margin)</w:t>
            </w:r>
          </w:p>
        </w:tc>
        <w:tc>
          <w:tcPr>
            <w:tcW w:w="4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940"/>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right w:val="single" w:sz="8" w:color="auto"/>
            </w:tcBorders>
            <w:gridSpan w:val="3"/>
            <w:vMerge w:val="restart"/>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1"/>
        </w:trPr>
        <w:tc>
          <w:tcPr>
            <w:tcW w:w="1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Before</w:t>
            </w: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Currency &amp;</w:t>
            </w: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December 31,</w:t>
            </w:r>
          </w:p>
        </w:tc>
        <w:tc>
          <w:tcPr>
            <w:tcW w:w="208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Businesses</w:t>
            </w:r>
          </w:p>
        </w:tc>
        <w:tc>
          <w:tcPr>
            <w:tcW w:w="0" w:type="dxa"/>
            <w:vAlign w:val="bottom"/>
          </w:tcPr>
          <w:p>
            <w:pPr>
              <w:spacing w:after="0"/>
              <w:rPr>
                <w:sz w:val="1"/>
                <w:szCs w:val="1"/>
                <w:color w:val="auto"/>
              </w:rPr>
            </w:pPr>
          </w:p>
        </w:tc>
      </w:tr>
      <w:tr>
        <w:trPr>
          <w:trHeight w:val="182"/>
        </w:trPr>
        <w:tc>
          <w:tcPr>
            <w:tcW w:w="140" w:type="dxa"/>
            <w:vAlign w:val="bottom"/>
            <w:tcBorders>
              <w:left w:val="single" w:sz="8" w:color="auto"/>
            </w:tcBorders>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Disposed</w:t>
            </w:r>
          </w:p>
        </w:tc>
        <w:tc>
          <w:tcPr>
            <w:tcW w:w="0" w:type="dxa"/>
            <w:vAlign w:val="bottom"/>
          </w:tcPr>
          <w:p>
            <w:pPr>
              <w:spacing w:after="0"/>
              <w:rPr>
                <w:sz w:val="1"/>
                <w:szCs w:val="1"/>
                <w:color w:val="auto"/>
              </w:rPr>
            </w:pPr>
          </w:p>
        </w:tc>
      </w:tr>
      <w:tr>
        <w:trPr>
          <w:trHeight w:val="156"/>
        </w:trPr>
        <w:tc>
          <w:tcPr>
            <w:tcW w:w="140" w:type="dxa"/>
            <w:vAlign w:val="bottom"/>
            <w:tcBorders>
              <w:top w:val="single" w:sz="8" w:color="CCEEFF"/>
              <w:left w:val="single" w:sz="8" w:color="auto"/>
              <w:bottom w:val="single" w:sz="8" w:color="CCEEFF"/>
            </w:tcBorders>
            <w:shd w:val="clear" w:color="auto" w:fill="CCEEFF"/>
          </w:tcPr>
          <w:p>
            <w:pPr>
              <w:spacing w:after="0"/>
              <w:rPr>
                <w:sz w:val="13"/>
                <w:szCs w:val="13"/>
                <w:color w:val="auto"/>
              </w:rPr>
            </w:pPr>
          </w:p>
        </w:tc>
        <w:tc>
          <w:tcPr>
            <w:tcW w:w="1300" w:type="dxa"/>
            <w:vAlign w:val="bottom"/>
            <w:tcBorders>
              <w:top w:val="single" w:sz="8" w:color="CCEEFF"/>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rPr>
              <w:t>IFRS Measures</w:t>
            </w:r>
          </w:p>
        </w:tc>
        <w:tc>
          <w:tcPr>
            <w:tcW w:w="31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4480" w:type="dxa"/>
            <w:vAlign w:val="bottom"/>
            <w:gridSpan w:val="4"/>
          </w:tcPr>
          <w:p>
            <w:pPr>
              <w:spacing w:after="0" w:line="202" w:lineRule="exact"/>
              <w:rPr>
                <w:sz w:val="20"/>
                <w:szCs w:val="20"/>
                <w:color w:val="auto"/>
              </w:rPr>
            </w:pPr>
            <w:r>
              <w:rPr>
                <w:rFonts w:ascii="Arial" w:cs="Arial" w:eastAsia="Arial" w:hAnsi="Arial"/>
                <w:sz w:val="18"/>
                <w:szCs w:val="18"/>
                <w:color w:val="auto"/>
              </w:rPr>
              <w:t>Revenues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1,576</w:t>
            </w:r>
          </w:p>
        </w:tc>
        <w:tc>
          <w:tcPr>
            <w:tcW w:w="3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1,550</w:t>
            </w:r>
          </w:p>
        </w:tc>
        <w:tc>
          <w:tcPr>
            <w:tcW w:w="36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1540" w:type="dxa"/>
            <w:vAlign w:val="bottom"/>
            <w:tcBorders>
              <w:right w:val="single" w:sz="8" w:color="auto"/>
            </w:tcBorders>
            <w:gridSpan w:val="3"/>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shd w:val="clear" w:color="auto" w:fill="CCEEFF"/>
          </w:tcPr>
          <w:p>
            <w:pPr>
              <w:spacing w:after="0"/>
              <w:rPr>
                <w:sz w:val="17"/>
                <w:szCs w:val="17"/>
                <w:color w:val="auto"/>
              </w:rPr>
            </w:pPr>
          </w:p>
        </w:tc>
        <w:tc>
          <w:tcPr>
            <w:tcW w:w="44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4480" w:type="dxa"/>
            <w:vAlign w:val="bottom"/>
            <w:gridSpan w:val="4"/>
          </w:tcPr>
          <w:p>
            <w:pPr>
              <w:spacing w:after="0" w:line="202" w:lineRule="exact"/>
              <w:rPr>
                <w:sz w:val="20"/>
                <w:szCs w:val="20"/>
                <w:color w:val="auto"/>
              </w:rPr>
            </w:pPr>
            <w:r>
              <w:rPr>
                <w:rFonts w:ascii="Arial" w:cs="Arial" w:eastAsia="Arial" w:hAnsi="Arial"/>
                <w:sz w:val="18"/>
                <w:szCs w:val="18"/>
                <w:color w:val="auto"/>
              </w:rPr>
              <w:t>Cash flow from operations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3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shd w:val="clear" w:color="auto" w:fill="CCEEFF"/>
          </w:tcPr>
          <w:p>
            <w:pPr>
              <w:spacing w:after="0"/>
              <w:rPr>
                <w:sz w:val="17"/>
                <w:szCs w:val="17"/>
                <w:color w:val="auto"/>
              </w:rPr>
            </w:pPr>
          </w:p>
        </w:tc>
        <w:tc>
          <w:tcPr>
            <w:tcW w:w="44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less proceeds from disposals</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0" w:type="dxa"/>
            <w:vAlign w:val="bottom"/>
            <w:tcBorders>
              <w:left w:val="single" w:sz="8" w:color="auto"/>
            </w:tcBorders>
          </w:tcPr>
          <w:p>
            <w:pPr>
              <w:spacing w:after="0"/>
              <w:rPr>
                <w:sz w:val="24"/>
                <w:szCs w:val="24"/>
                <w:color w:val="auto"/>
              </w:rPr>
            </w:pPr>
          </w:p>
        </w:tc>
        <w:tc>
          <w:tcPr>
            <w:tcW w:w="4480" w:type="dxa"/>
            <w:vAlign w:val="bottom"/>
            <w:gridSpan w:val="4"/>
          </w:tcPr>
          <w:p>
            <w:pPr>
              <w:spacing w:after="0"/>
              <w:rPr>
                <w:sz w:val="20"/>
                <w:szCs w:val="20"/>
                <w:color w:val="auto"/>
              </w:rPr>
            </w:pPr>
            <w:r>
              <w:rPr>
                <w:rFonts w:ascii="Arial" w:cs="Arial" w:eastAsia="Arial" w:hAnsi="Arial"/>
                <w:sz w:val="18"/>
                <w:szCs w:val="18"/>
                <w:b w:val="1"/>
                <w:bCs w:val="1"/>
                <w:color w:val="auto"/>
              </w:rPr>
              <w:t>Non-IFRS Measures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shd w:val="clear" w:color="auto" w:fill="CCEEFF"/>
          </w:tcPr>
          <w:p>
            <w:pPr>
              <w:spacing w:after="0"/>
              <w:rPr>
                <w:sz w:val="17"/>
                <w:szCs w:val="17"/>
                <w:color w:val="auto"/>
              </w:rPr>
            </w:pPr>
          </w:p>
        </w:tc>
        <w:tc>
          <w:tcPr>
            <w:tcW w:w="17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780" w:type="dxa"/>
            <w:vAlign w:val="bottom"/>
            <w:gridSpan w:val="2"/>
            <w:shd w:val="clear" w:color="auto" w:fill="CCEEFF"/>
          </w:tcPr>
          <w:p>
            <w:pPr>
              <w:spacing w:after="0"/>
              <w:rPr>
                <w:sz w:val="17"/>
                <w:szCs w:val="17"/>
                <w:color w:val="auto"/>
              </w:rPr>
            </w:pP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w:t>
            </w: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4480" w:type="dxa"/>
            <w:vAlign w:val="bottom"/>
            <w:gridSpan w:val="4"/>
          </w:tcPr>
          <w:p>
            <w:pPr>
              <w:spacing w:after="0" w:line="202" w:lineRule="exact"/>
              <w:rPr>
                <w:sz w:val="20"/>
                <w:szCs w:val="20"/>
                <w:color w:val="auto"/>
              </w:rPr>
            </w:pPr>
            <w:r>
              <w:rPr>
                <w:rFonts w:ascii="Arial" w:cs="Arial" w:eastAsia="Arial" w:hAnsi="Arial"/>
                <w:sz w:val="18"/>
                <w:szCs w:val="18"/>
                <w:color w:val="auto"/>
              </w:rPr>
              <w:t>Adjusted EBITDA margin</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21" w:name="page22"/>
    <w:bookmarkEnd w:id="21"/>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19 of 20</w:t>
      </w:r>
    </w:p>
    <w:p>
      <w:pPr>
        <w:spacing w:after="0" w:line="184" w:lineRule="exact"/>
        <w:rPr>
          <w:sz w:val="20"/>
          <w:szCs w:val="20"/>
          <w:color w:val="auto"/>
        </w:rPr>
      </w:pPr>
    </w:p>
    <w:tbl>
      <w:tblPr>
        <w:tblLayout w:type="fixed"/>
        <w:tblInd w:w="30" w:type="dxa"/>
        <w:tblCellMar>
          <w:top w:w="0" w:type="dxa"/>
          <w:left w:w="0" w:type="dxa"/>
          <w:bottom w:w="0" w:type="dxa"/>
          <w:right w:w="0" w:type="dxa"/>
        </w:tblCellMar>
      </w:tblPr>
      <w:tr>
        <w:trPr>
          <w:trHeight w:val="176"/>
        </w:trPr>
        <w:tc>
          <w:tcPr>
            <w:tcW w:w="140" w:type="dxa"/>
            <w:vAlign w:val="bottom"/>
            <w:tcBorders>
              <w:top w:val="single" w:sz="8" w:color="auto"/>
              <w:left w:val="single" w:sz="8" w:color="auto"/>
            </w:tcBorders>
          </w:tcPr>
          <w:p>
            <w:pPr>
              <w:spacing w:after="0"/>
              <w:rPr>
                <w:sz w:val="15"/>
                <w:szCs w:val="15"/>
                <w:color w:val="auto"/>
              </w:rPr>
            </w:pPr>
          </w:p>
        </w:tc>
        <w:tc>
          <w:tcPr>
            <w:tcW w:w="536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(millions of U.S. dollars, except margin)</w:t>
            </w: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tcBorders>
          </w:tcPr>
          <w:p>
            <w:pPr>
              <w:spacing w:after="0"/>
              <w:rPr>
                <w:sz w:val="12"/>
                <w:szCs w:val="12"/>
                <w:color w:val="auto"/>
              </w:rPr>
            </w:pPr>
          </w:p>
        </w:tc>
        <w:tc>
          <w:tcPr>
            <w:tcW w:w="5360" w:type="dxa"/>
            <w:vAlign w:val="bottom"/>
            <w:gridSpan w:val="5"/>
          </w:tcPr>
          <w:p>
            <w:pPr>
              <w:spacing w:after="0" w:line="143" w:lineRule="exact"/>
              <w:rPr>
                <w:sz w:val="20"/>
                <w:szCs w:val="20"/>
                <w:color w:val="auto"/>
              </w:rPr>
            </w:pPr>
            <w:r>
              <w:rPr>
                <w:rFonts w:ascii="Arial" w:cs="Arial" w:eastAsia="Arial" w:hAnsi="Arial"/>
                <w:sz w:val="14"/>
                <w:szCs w:val="14"/>
                <w:color w:val="auto"/>
              </w:rPr>
              <w:t>(unaudited)</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Before</w:t>
            </w: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Refinitiv</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&amp; Excluding</w:t>
            </w:r>
          </w:p>
        </w:tc>
        <w:tc>
          <w:tcPr>
            <w:tcW w:w="0" w:type="dxa"/>
            <w:vAlign w:val="bottom"/>
          </w:tcPr>
          <w:p>
            <w:pPr>
              <w:spacing w:after="0"/>
              <w:rPr>
                <w:sz w:val="1"/>
                <w:szCs w:val="1"/>
                <w:color w:val="auto"/>
              </w:rPr>
            </w:pPr>
          </w:p>
        </w:tc>
      </w:tr>
      <w:tr>
        <w:trPr>
          <w:trHeight w:val="159"/>
        </w:trPr>
        <w:tc>
          <w:tcPr>
            <w:tcW w:w="1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gridSpan w:val="3"/>
          </w:tcPr>
          <w:p>
            <w:pPr>
              <w:jc w:val="center"/>
              <w:ind w:right="240"/>
              <w:spacing w:after="0" w:line="159" w:lineRule="exact"/>
              <w:rPr>
                <w:sz w:val="20"/>
                <w:szCs w:val="20"/>
                <w:color w:val="auto"/>
              </w:rPr>
            </w:pPr>
            <w:r>
              <w:rPr>
                <w:rFonts w:ascii="Arial" w:cs="Arial" w:eastAsia="Arial" w:hAnsi="Arial"/>
                <w:sz w:val="14"/>
                <w:szCs w:val="14"/>
                <w:b w:val="1"/>
                <w:bCs w:val="1"/>
                <w:color w:val="auto"/>
              </w:rPr>
              <w:t>Actuals</w:t>
            </w:r>
          </w:p>
        </w:tc>
        <w:tc>
          <w:tcPr>
            <w:tcW w:w="980" w:type="dxa"/>
            <w:vAlign w:val="bottom"/>
            <w:gridSpan w:val="2"/>
          </w:tcPr>
          <w:p>
            <w:pPr>
              <w:ind w:left="360"/>
              <w:spacing w:after="0" w:line="159" w:lineRule="exact"/>
              <w:rPr>
                <w:sz w:val="20"/>
                <w:szCs w:val="20"/>
                <w:color w:val="auto"/>
              </w:rPr>
            </w:pPr>
            <w:r>
              <w:rPr>
                <w:rFonts w:ascii="Arial" w:cs="Arial" w:eastAsia="Arial" w:hAnsi="Arial"/>
                <w:sz w:val="14"/>
                <w:szCs w:val="14"/>
                <w:b w:val="1"/>
                <w:bCs w:val="1"/>
                <w:color w:val="auto"/>
              </w:rPr>
              <w:t>Refinitiv</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Businesses</w:t>
            </w:r>
          </w:p>
        </w:tc>
        <w:tc>
          <w:tcPr>
            <w:tcW w:w="0" w:type="dxa"/>
            <w:vAlign w:val="bottom"/>
          </w:tcPr>
          <w:p>
            <w:pPr>
              <w:spacing w:after="0"/>
              <w:rPr>
                <w:sz w:val="1"/>
                <w:szCs w:val="1"/>
                <w:color w:val="auto"/>
              </w:rPr>
            </w:pPr>
          </w:p>
        </w:tc>
      </w:tr>
      <w:tr>
        <w:trPr>
          <w:trHeight w:val="179"/>
        </w:trPr>
        <w:tc>
          <w:tcPr>
            <w:tcW w:w="140" w:type="dxa"/>
            <w:vAlign w:val="bottom"/>
            <w:tcBorders>
              <w:left w:val="single" w:sz="8" w:color="auto"/>
            </w:tcBorders>
          </w:tcPr>
          <w:p>
            <w:pPr>
              <w:spacing w:after="0"/>
              <w:rPr>
                <w:sz w:val="15"/>
                <w:szCs w:val="15"/>
                <w:color w:val="auto"/>
              </w:rPr>
            </w:pPr>
          </w:p>
        </w:tc>
        <w:tc>
          <w:tcPr>
            <w:tcW w:w="53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980" w:type="dxa"/>
            <w:vAlign w:val="bottom"/>
            <w:gridSpan w:val="2"/>
          </w:tcPr>
          <w:p>
            <w:pPr>
              <w:jc w:val="center"/>
              <w:ind w:right="80"/>
              <w:spacing w:after="0" w:line="179"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20"/>
                <w:szCs w:val="20"/>
                <w:b w:val="1"/>
                <w:bCs w:val="1"/>
                <w:color w:val="auto"/>
                <w:vertAlign w:val="superscript"/>
              </w:rPr>
              <w:t>(1)</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Disposed</w:t>
            </w:r>
          </w:p>
        </w:tc>
        <w:tc>
          <w:tcPr>
            <w:tcW w:w="0" w:type="dxa"/>
            <w:vAlign w:val="bottom"/>
          </w:tcPr>
          <w:p>
            <w:pPr>
              <w:spacing w:after="0"/>
              <w:rPr>
                <w:sz w:val="1"/>
                <w:szCs w:val="1"/>
                <w:color w:val="auto"/>
              </w:rPr>
            </w:pPr>
          </w:p>
        </w:tc>
      </w:tr>
      <w:tr>
        <w:trPr>
          <w:trHeight w:val="156"/>
        </w:trPr>
        <w:tc>
          <w:tcPr>
            <w:tcW w:w="140" w:type="dxa"/>
            <w:vAlign w:val="bottom"/>
            <w:tcBorders>
              <w:left w:val="single" w:sz="8" w:color="auto"/>
            </w:tcBorders>
          </w:tcPr>
          <w:p>
            <w:pPr>
              <w:spacing w:after="0"/>
              <w:rPr>
                <w:sz w:val="13"/>
                <w:szCs w:val="13"/>
                <w:color w:val="auto"/>
              </w:rPr>
            </w:pPr>
          </w:p>
        </w:tc>
        <w:tc>
          <w:tcPr>
            <w:tcW w:w="5360" w:type="dxa"/>
            <w:vAlign w:val="bottom"/>
            <w:gridSpan w:val="5"/>
            <w:vMerge w:val="continue"/>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97"/>
              </w:rPr>
              <w:t>IFRS Measures</w:t>
            </w:r>
          </w:p>
        </w:tc>
        <w:tc>
          <w:tcPr>
            <w:tcW w:w="880" w:type="dxa"/>
            <w:vAlign w:val="bottom"/>
            <w:tcBorders>
              <w:top w:val="single" w:sz="8" w:color="auto"/>
            </w:tcBorders>
            <w:gridSpan w:val="2"/>
          </w:tcPr>
          <w:p>
            <w:pPr>
              <w:spacing w:after="0"/>
              <w:rPr>
                <w:sz w:val="15"/>
                <w:szCs w:val="15"/>
                <w:color w:val="auto"/>
              </w:rPr>
            </w:pPr>
          </w:p>
        </w:tc>
        <w:tc>
          <w:tcPr>
            <w:tcW w:w="3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auto"/>
            </w:tcBorders>
          </w:tcPr>
          <w:p>
            <w:pPr>
              <w:spacing w:after="0"/>
              <w:rPr>
                <w:sz w:val="19"/>
                <w:szCs w:val="19"/>
                <w:color w:val="auto"/>
              </w:rPr>
            </w:pPr>
          </w:p>
        </w:tc>
        <w:tc>
          <w:tcPr>
            <w:tcW w:w="536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$ 6,227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4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vMerge w:val="restart"/>
          </w:tcPr>
          <w:p>
            <w:pPr>
              <w:spacing w:after="0"/>
              <w:rPr>
                <w:sz w:val="16"/>
                <w:szCs w:val="16"/>
                <w:color w:val="auto"/>
              </w:rPr>
            </w:pPr>
          </w:p>
        </w:tc>
        <w:tc>
          <w:tcPr>
            <w:tcW w:w="5360" w:type="dxa"/>
            <w:vAlign w:val="bottom"/>
            <w:gridSpan w:val="5"/>
            <w:vMerge w:val="restart"/>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(1,278)</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tcBorders>
              <w:left w:val="single" w:sz="8" w:color="auto"/>
            </w:tcBorders>
            <w:vMerge w:val="continue"/>
          </w:tcPr>
          <w:p>
            <w:pPr>
              <w:spacing w:after="0"/>
              <w:rPr>
                <w:sz w:val="17"/>
                <w:szCs w:val="17"/>
                <w:color w:val="auto"/>
              </w:rPr>
            </w:pPr>
          </w:p>
        </w:tc>
        <w:tc>
          <w:tcPr>
            <w:tcW w:w="5360" w:type="dxa"/>
            <w:vAlign w:val="bottom"/>
            <w:gridSpan w:val="5"/>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5360" w:type="dxa"/>
            <w:vAlign w:val="bottom"/>
            <w:gridSpan w:val="5"/>
          </w:tcPr>
          <w:p>
            <w:pPr>
              <w:spacing w:after="0" w:line="202" w:lineRule="exact"/>
              <w:rPr>
                <w:sz w:val="20"/>
                <w:szCs w:val="20"/>
                <w:color w:val="auto"/>
              </w:rPr>
            </w:pPr>
            <w:r>
              <w:rPr>
                <w:rFonts w:ascii="Arial" w:cs="Arial" w:eastAsia="Arial" w:hAnsi="Arial"/>
                <w:sz w:val="18"/>
                <w:szCs w:val="18"/>
                <w:color w:val="auto"/>
              </w:rPr>
              <w:t>Cash flow from operations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733</w:t>
            </w:r>
          </w:p>
        </w:tc>
        <w:tc>
          <w:tcPr>
            <w:tcW w:w="22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5360" w:type="dxa"/>
            <w:vAlign w:val="bottom"/>
            <w:gridSpan w:val="5"/>
          </w:tcPr>
          <w:p>
            <w:pPr>
              <w:spacing w:after="0" w:line="202" w:lineRule="exact"/>
              <w:rPr>
                <w:sz w:val="20"/>
                <w:szCs w:val="20"/>
                <w:color w:val="auto"/>
              </w:rPr>
            </w:pPr>
            <w:r>
              <w:rPr>
                <w:rFonts w:ascii="Arial" w:cs="Arial" w:eastAsia="Arial" w:hAnsi="Arial"/>
                <w:sz w:val="18"/>
                <w:szCs w:val="18"/>
                <w:color w:val="auto"/>
              </w:rPr>
              <w:t>Capital expenditures, less proceeds from disposals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513</w:t>
            </w:r>
          </w:p>
        </w:tc>
        <w:tc>
          <w:tcPr>
            <w:tcW w:w="22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5360" w:type="dxa"/>
            <w:vAlign w:val="bottom"/>
            <w:gridSpan w:val="5"/>
          </w:tcPr>
          <w:p>
            <w:pPr>
              <w:spacing w:after="0" w:line="203" w:lineRule="exact"/>
              <w:rPr>
                <w:sz w:val="20"/>
                <w:szCs w:val="20"/>
                <w:color w:val="auto"/>
              </w:rPr>
            </w:pPr>
            <w:r>
              <w:rPr>
                <w:rFonts w:ascii="Arial" w:cs="Arial" w:eastAsia="Arial" w:hAnsi="Arial"/>
                <w:sz w:val="18"/>
                <w:szCs w:val="18"/>
                <w:color w:val="auto"/>
              </w:rPr>
              <w:t>Debt at December 31, 2019</w:t>
            </w:r>
          </w:p>
        </w:tc>
        <w:tc>
          <w:tcPr>
            <w:tcW w:w="1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13,877</w:t>
            </w:r>
          </w:p>
        </w:tc>
        <w:tc>
          <w:tcPr>
            <w:tcW w:w="22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40" w:type="dxa"/>
            <w:vAlign w:val="bottom"/>
            <w:tcBorders>
              <w:left w:val="single" w:sz="8" w:color="auto"/>
            </w:tcBorders>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8"/>
                <w:szCs w:val="18"/>
                <w:b w:val="1"/>
                <w:bCs w:val="1"/>
                <w:color w:val="auto"/>
              </w:rPr>
              <w:t>Non-IFRS Measures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Adjusted EBITDA</w:t>
            </w:r>
          </w:p>
        </w:tc>
        <w:tc>
          <w:tcPr>
            <w:tcW w:w="3660" w:type="dxa"/>
            <w:vAlign w:val="bottom"/>
            <w:gridSpan w:val="2"/>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2,208</w:t>
            </w:r>
          </w:p>
        </w:tc>
        <w:tc>
          <w:tcPr>
            <w:tcW w:w="220" w:type="dxa"/>
            <w:vAlign w:val="bottom"/>
          </w:tcPr>
          <w:p>
            <w:pPr>
              <w:spacing w:after="0"/>
              <w:rPr>
                <w:sz w:val="18"/>
                <w:szCs w:val="18"/>
                <w:color w:val="auto"/>
              </w:rPr>
            </w:pPr>
          </w:p>
        </w:tc>
        <w:tc>
          <w:tcPr>
            <w:tcW w:w="360" w:type="dxa"/>
            <w:vAlign w:val="bottom"/>
            <w:shd w:val="clear" w:color="auto" w:fill="000000"/>
          </w:tcPr>
          <w:p>
            <w:pPr>
              <w:spacing w:after="0"/>
              <w:rPr>
                <w:sz w:val="18"/>
                <w:szCs w:val="18"/>
                <w:color w:val="auto"/>
              </w:rPr>
            </w:pPr>
          </w:p>
        </w:tc>
        <w:tc>
          <w:tcPr>
            <w:tcW w:w="620" w:type="dxa"/>
            <w:vAlign w:val="bottom"/>
            <w:tcBorders>
              <w:right w:val="single" w:sz="8" w:color="auto"/>
            </w:tcBorders>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5360" w:type="dxa"/>
            <w:vAlign w:val="bottom"/>
            <w:gridSpan w:val="5"/>
          </w:tcPr>
          <w:p>
            <w:pPr>
              <w:spacing w:after="0" w:line="202" w:lineRule="exact"/>
              <w:rPr>
                <w:sz w:val="20"/>
                <w:szCs w:val="20"/>
                <w:color w:val="auto"/>
              </w:rPr>
            </w:pPr>
            <w:r>
              <w:rPr>
                <w:rFonts w:ascii="Arial" w:cs="Arial" w:eastAsia="Arial" w:hAnsi="Arial"/>
                <w:sz w:val="18"/>
                <w:szCs w:val="18"/>
                <w:color w:val="auto"/>
              </w:rPr>
              <w:t>Adjusted EBITDA margin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35.3%</w:t>
            </w: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5360" w:type="dxa"/>
            <w:vAlign w:val="bottom"/>
            <w:gridSpan w:val="5"/>
          </w:tcPr>
          <w:p>
            <w:pPr>
              <w:spacing w:after="0" w:line="203" w:lineRule="exact"/>
              <w:rPr>
                <w:sz w:val="20"/>
                <w:szCs w:val="20"/>
                <w:color w:val="auto"/>
              </w:rPr>
            </w:pPr>
            <w:r>
              <w:rPr>
                <w:rFonts w:ascii="Arial" w:cs="Arial" w:eastAsia="Arial" w:hAnsi="Arial"/>
                <w:sz w:val="18"/>
                <w:szCs w:val="18"/>
                <w:color w:val="auto"/>
              </w:rPr>
              <w:t>Free cash flow</w:t>
            </w:r>
          </w:p>
        </w:tc>
        <w:tc>
          <w:tcPr>
            <w:tcW w:w="1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620" w:type="dxa"/>
            <w:vAlign w:val="bottom"/>
            <w:tcBorders>
              <w:right w:val="single" w:sz="8" w:color="auto"/>
            </w:tcBorders>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40" w:right="420" w:hanging="436"/>
        <w:spacing w:after="0" w:line="279" w:lineRule="auto"/>
        <w:tabs>
          <w:tab w:leader="none" w:pos="4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revenues of $4,677 million as previously reported by Thomson Reuters on a discontinued operations basis prior to the change in ownership for the nine months ended September 30, 2018 and Refinitiv actuals of $1,550 million for the three months ended December 31, 2018.</w:t>
      </w:r>
    </w:p>
    <w:p>
      <w:pPr>
        <w:spacing w:after="0" w:line="6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reconciliations of IFRS measures to non-IFRS measures is based on Refinitiv’s definition of non-GAAP measures, which is not the same as the definitions used by Thomson Reuters.</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Refinitiv</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 except for margins)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benefit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Finance costs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remove: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Share of post-tax earnings in equity method investments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operating losses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Fair value adjustments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Transformation-related costs</w:t>
            </w:r>
          </w:p>
        </w:tc>
        <w:tc>
          <w:tcPr>
            <w:tcW w:w="1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w:t>
            </w:r>
          </w:p>
        </w:tc>
        <w:tc>
          <w:tcPr>
            <w:tcW w:w="4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margin</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22" w:name="page23"/>
    <w:bookmarkEnd w:id="22"/>
    <w:p>
      <w:pPr>
        <w:ind w:right="51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2040890" cy="43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t xml:space="preserve">Thomson Reuters Reports Fourth-Quarter and Full-Year 2019 Results </w:t>
      </w:r>
      <w:r>
        <w:rPr>
          <w:rFonts w:ascii="Arial" w:cs="Arial" w:eastAsia="Arial" w:hAnsi="Arial"/>
          <w:sz w:val="18"/>
          <w:szCs w:val="18"/>
          <w:color w:val="auto"/>
        </w:rPr>
        <w:t>Page 20 of 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Refinitiv</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Capital expenditures, less proceeds from disposals</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Dividends paid to non-controlling interests</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Free cash flow</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170" w:right="4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2040890" cy="43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0890" cy="4375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680085</wp:posOffset>
            </wp:positionV>
            <wp:extent cx="117475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747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 Hasker Appointed President and CEO of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Mike Eastwood appointed CFO</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TORONTO</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25, 2020 </w:t>
      </w:r>
      <w:r>
        <w:rPr>
          <w:rFonts w:ascii="Arial" w:cs="Arial" w:eastAsia="Arial" w:hAnsi="Arial"/>
          <w:sz w:val="18"/>
          <w:szCs w:val="18"/>
          <w:color w:val="auto"/>
        </w:rPr>
        <w:t>– Thomson Reuters (TSX/NYSE: TRI) today announced that Steve Hasker has been appointed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executive officer, succeeding Jim Smith, the current president and chief executive officer.</w:t>
      </w:r>
    </w:p>
    <w:p>
      <w:pPr>
        <w:spacing w:after="0" w:line="176"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As part of his new role, Hasker has also been appointed to the Thomson Reuters Board of Directors, with Smith stepping down as a director.</w:t>
      </w:r>
    </w:p>
    <w:p>
      <w:pPr>
        <w:spacing w:after="0" w:line="19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company also announced that Mike Eastwood, senior vice president and head of corporate finance, will succeed Stephane Bello as current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These appointments and organizational changes will be effective March 15.</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announcement was made as the company reported it had met or exceeded its annual earnings guidance for the eighth consecutive year, achieving 4% organic revenue growth. The company also today announced its 27</w:t>
      </w:r>
      <w:r>
        <w:rPr>
          <w:rFonts w:ascii="Arial" w:cs="Arial" w:eastAsia="Arial" w:hAnsi="Arial"/>
          <w:sz w:val="15"/>
          <w:szCs w:val="15"/>
          <w:color w:val="auto"/>
        </w:rPr>
        <w:t>th</w:t>
      </w:r>
      <w:r>
        <w:rPr>
          <w:rFonts w:ascii="Arial" w:cs="Arial" w:eastAsia="Arial" w:hAnsi="Arial"/>
          <w:sz w:val="18"/>
          <w:szCs w:val="18"/>
          <w:color w:val="auto"/>
        </w:rPr>
        <w:t xml:space="preserve"> consecutive year of dividend increases as part of its fourth-quarter and full-year 2019 results.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is the right time to pass the baton to the next generation of leadership, given the continued success of our business and the spin-off of our market data and trading operations,” said Smith. “The organization is on its firmest footing in years. The foundation has been laid for continued success and Steve is the right leader to take us forward. His deep expertise in data, business information, technology and professional services is just what we need to capitalize on the many opportunities the future holds. I am confident handing over the reins and happy to welcome him.”</w:t>
      </w:r>
    </w:p>
    <w:p>
      <w:pPr>
        <w:spacing w:after="0" w:line="20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Smith will become chairman of the Thomson Reuters Foundation, which focuses on media freedom, inclusive economies and access to justice around the world. He will also provide transitional support to the new CEO into 2021.</w:t>
      </w:r>
    </w:p>
    <w:p>
      <w:pPr>
        <w:spacing w:after="0" w:line="197"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Hasker started his career with PwC, where he qualified as a chartered accountant. He then received an MBA and master’s degree in international affairs from Columbia University before spending more than a decade with McKinsey as a partner in the global media, information and technology practice.</w:t>
      </w:r>
    </w:p>
    <w:p>
      <w:pPr>
        <w:spacing w:after="0" w:line="20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Hasker went on to serve as global president and chief operating officer of Nielsen before joining TPG – a global alternative asset firm – first as CEO of its portfolio company, CAA Global, and then as senior adviser to TPG Capital. He grew up in Australia and during his career he has lived and worked across North America, Europe and Asia. He has spent the last 25 years based in the United States.</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“Thomson Reuters is an impressive company that I have respected for a long time, so I could not be more excited to join the team. Building on this excellent foundation – a world-class business and a culture of deep expertise and integrity – we have a great opportunity to lead with customers as technology transforms working life. Job one for me is to get on the ground and spend plenty of time with our customers and employees,” said Hasker.</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Current CFO Stephane Bello will become vice chairman of Thomson Reuters with responsibility for overseeing its investment in Refinitiv, which is expected to be sold to London Stock Exchange Group plc in the second 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5975350</wp:posOffset>
            </wp:positionH>
            <wp:positionV relativeFrom="paragraph">
              <wp:posOffset>82550</wp:posOffset>
            </wp:positionV>
            <wp:extent cx="102933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9335" cy="146050"/>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24" w:name="page25"/>
    <w:bookmarkEnd w:id="24"/>
    <w:p>
      <w:pPr>
        <w:ind w:right="2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In his new role, Bello will oversee strategy, commercial excellence and business development and support the CFO transition into 2021.</w:t>
      </w:r>
    </w:p>
    <w:p>
      <w:pPr>
        <w:spacing w:after="0" w:line="19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Eastwood has worked at Thomson Reuters for more than two decades, operating as senior vice president and head of corporate finance since 2016. He has played an integral role in creating the “new” Thomson Reuters following the company’s sale of a majority interest in Refinitiv in 2018. Eastwood was formerly chief operating officer of Thomson Reuters Latin America, CFO of the Intellectual Property &amp; Science business (which was sold in 2016) and has also held several senior roles within the finance organization.</w:t>
      </w:r>
    </w:p>
    <w:p>
      <w:pPr>
        <w:spacing w:after="0" w:line="202"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David Thomson, chairman of the Thomson Reuters board of directors said, “We are deeply grateful for Jim’s service and long career with Thomson Reuters. Jim and Stephane have led the recent transformation which has positioned the company to realize its potential into the future. I am pleased they will continue to assist with the transition. The succession process has been both deliberate and collaborative.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Steve Hasker is known for being innovative, with immense integrity, intellect and people skills. Mike is an operator with solid judgment and experience. Our future remains in fine hands under Steve, his seasoned executives and a group of dedicated professionals on the broader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tr.com and for the latest world news, reuters.com.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i w:val="1"/>
          <w:iCs w:val="1"/>
          <w:color w:val="auto"/>
        </w:rPr>
        <w:t>Certain statements in this news release are forward -looking, including Mr. Smith’s, Mr. Hasker’s and Mr. Thomson’s comments. While the company believes that it has a reasonable basis for making forward-looking statements in this news release, they are not a guarantee of future performance or outcomes and there is no assurance that events described in any forward-looking statement will materialize.</w:t>
      </w:r>
    </w:p>
    <w:p>
      <w:pPr>
        <w:ind w:right="20"/>
        <w:spacing w:after="0" w:line="237" w:lineRule="auto"/>
        <w:rPr>
          <w:sz w:val="20"/>
          <w:szCs w:val="20"/>
          <w:color w:val="auto"/>
        </w:rPr>
      </w:pPr>
      <w:r>
        <w:rPr>
          <w:rFonts w:ascii="Arial" w:cs="Arial" w:eastAsia="Arial" w:hAnsi="Arial"/>
          <w:sz w:val="18"/>
          <w:szCs w:val="18"/>
          <w:i w:val="1"/>
          <w:iCs w:val="1"/>
          <w:color w:val="auto"/>
        </w:rPr>
        <w:t>Forward-looking statements are subject to a number of risks, uncertainties and assumptions that could cause actual results or events to differ materially from current expectations, including other factors discussed in materials that Thomson Reuters from time to time files with, or furnishes to, the Canadian securities regulatory authorities and the U.S. Securities and Exchange Commission. Many of these risks, uncertainties and assumptions are beyond our company’s control and the effects of them can be difficult to predict. You are cautioned not to place undue reliance on forward-looking statements which reflect expectations only as of the date of this news release. Except as may be required by applicable law, Thomson Reuters disclaims any obligation to update or revise any forward-looking statements.</w:t>
      </w:r>
    </w:p>
    <w:p>
      <w:pPr>
        <w:sectPr>
          <w:pgSz w:w="11900" w:h="16838" w:orient="portrait"/>
          <w:cols w:equalWidth="0" w:num="1">
            <w:col w:w="11020"/>
          </w:cols>
          <w:pgMar w:left="440" w:top="287" w:right="4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David Crundwell</w:t>
      </w:r>
    </w:p>
    <w:p>
      <w:pPr>
        <w:spacing w:after="0"/>
        <w:rPr>
          <w:sz w:val="20"/>
          <w:szCs w:val="20"/>
          <w:color w:val="auto"/>
        </w:rPr>
      </w:pPr>
      <w:r>
        <w:rPr>
          <w:rFonts w:ascii="Arial" w:cs="Arial" w:eastAsia="Arial" w:hAnsi="Arial"/>
          <w:sz w:val="17"/>
          <w:szCs w:val="17"/>
          <w:color w:val="auto"/>
        </w:rPr>
        <w:t>Head of Corporate Affairs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+44 79 0989 8605</w:t>
      </w:r>
    </w:p>
    <w:p>
      <w:pPr>
        <w:spacing w:after="0"/>
        <w:rPr>
          <w:sz w:val="20"/>
          <w:szCs w:val="20"/>
          <w:color w:val="auto"/>
        </w:rPr>
      </w:pPr>
      <w:r>
        <w:rPr>
          <w:rFonts w:ascii="Arial" w:cs="Arial" w:eastAsia="Arial" w:hAnsi="Arial"/>
          <w:sz w:val="18"/>
          <w:szCs w:val="18"/>
          <w:u w:val="single" w:color="auto"/>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Frank J. Golden</w:t>
      </w:r>
    </w:p>
    <w:p>
      <w:pPr>
        <w:spacing w:after="0"/>
        <w:rPr>
          <w:sz w:val="20"/>
          <w:szCs w:val="20"/>
          <w:color w:val="auto"/>
        </w:rPr>
      </w:pPr>
      <w:r>
        <w:rPr>
          <w:rFonts w:ascii="Arial" w:cs="Arial" w:eastAsia="Arial" w:hAnsi="Arial"/>
          <w:sz w:val="17"/>
          <w:szCs w:val="17"/>
          <w:color w:val="auto"/>
        </w:rPr>
        <w:t>Head of 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rPr>
          <w:sz w:val="20"/>
          <w:szCs w:val="20"/>
          <w:color w:val="auto"/>
        </w:rPr>
      </w:pPr>
      <w:r>
        <w:rPr>
          <w:rFonts w:ascii="Arial" w:cs="Arial" w:eastAsia="Arial" w:hAnsi="Arial"/>
          <w:sz w:val="18"/>
          <w:szCs w:val="18"/>
          <w:u w:val="single" w:color="auto"/>
          <w:color w:val="auto"/>
        </w:rPr>
        <w:t>frank.golden@tr.com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100965</wp:posOffset>
            </wp:positionV>
            <wp:extent cx="102933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9335" cy="146050"/>
                    </a:xfrm>
                    <a:prstGeom prst="rect">
                      <a:avLst/>
                    </a:prstGeom>
                    <a:noFill/>
                  </pic:spPr>
                </pic:pic>
              </a:graphicData>
            </a:graphic>
          </wp:anchor>
        </w:drawing>
      </w:r>
    </w:p>
    <w:sectPr>
      <w:pgSz w:w="11900" w:h="16838" w:orient="portrait"/>
      <w:cols w:equalWidth="0" w:num="2">
        <w:col w:w="5020" w:space="720"/>
        <w:col w:w="5280"/>
      </w:cols>
      <w:pgMar w:left="440" w:top="28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o"/>
      <w:numFmt w:val="bullet"/>
      <w:start w:val="1"/>
    </w:lvl>
  </w:abstractNum>
  <w:abstractNum w:abstractNumId="3">
    <w:nsid w:val="109CF92E"/>
    <w:multiLevelType w:val="hybridMultilevel"/>
    <w:lvl w:ilvl="0">
      <w:lvlJc w:val="left"/>
      <w:lvlText w:val="o"/>
      <w:numFmt w:val="bullet"/>
      <w:start w:val="1"/>
    </w:lvl>
  </w:abstractNum>
  <w:abstractNum w:abstractNumId="4">
    <w:nsid w:val="DED7263"/>
    <w:multiLevelType w:val="hybridMultilevel"/>
    <w:lvl w:ilvl="0">
      <w:lvlJc w:val="left"/>
      <w:lvlText w:val="o"/>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o"/>
      <w:numFmt w:val="bullet"/>
      <w:start w:val="1"/>
    </w:lvl>
  </w:abstractNum>
  <w:abstractNum w:abstractNumId="7">
    <w:nsid w:val="41A7C4C9"/>
    <w:multiLevelType w:val="hybridMultilevel"/>
    <w:lvl w:ilvl="0">
      <w:lvlJc w:val="left"/>
      <w:lvlText w:val="o"/>
      <w:numFmt w:val="bullet"/>
      <w:start w:val="1"/>
    </w:lvl>
  </w:abstractNum>
  <w:abstractNum w:abstractNumId="8">
    <w:nsid w:val="6B68079A"/>
    <w:multiLevelType w:val="hybridMultilevel"/>
    <w:lvl w:ilvl="0">
      <w:lvlJc w:val="left"/>
      <w:lvlText w:val="o"/>
      <w:numFmt w:val="bullet"/>
      <w:start w:val="1"/>
    </w:lvl>
  </w:abstractNum>
  <w:abstractNum w:abstractNumId="9">
    <w:nsid w:val="4E6AFB66"/>
    <w:multiLevelType w:val="hybridMultilevel"/>
    <w:lvl w:ilvl="0">
      <w:lvlJc w:val="left"/>
      <w:lvlText w:val="o"/>
      <w:numFmt w:val="bullet"/>
      <w:start w:val="1"/>
    </w:lvl>
  </w:abstractNum>
  <w:abstractNum w:abstractNumId="10">
    <w:nsid w:val="25E45D32"/>
    <w:multiLevelType w:val="hybridMultilevel"/>
    <w:lvl w:ilvl="0">
      <w:lvlJc w:val="left"/>
      <w:lvlText w:val="o"/>
      <w:numFmt w:val="bullet"/>
      <w:start w:val="1"/>
    </w:lvl>
  </w:abstractNum>
  <w:abstractNum w:abstractNumId="11">
    <w:nsid w:val="519B500D"/>
    <w:multiLevelType w:val="hybridMultilevel"/>
    <w:lvl w:ilvl="0">
      <w:lvlJc w:val="left"/>
      <w:lvlText w:val="o"/>
      <w:numFmt w:val="bullet"/>
      <w:start w:val="1"/>
    </w:lvl>
  </w:abstractNum>
  <w:abstractNum w:abstractNumId="12">
    <w:nsid w:val="431BD7B7"/>
    <w:multiLevelType w:val="hybridMultilevel"/>
    <w:lvl w:ilvl="0">
      <w:lvlJc w:val="left"/>
      <w:lvlText w:val="o"/>
      <w:numFmt w:val="bullet"/>
      <w:start w:val="1"/>
    </w:lvl>
  </w:abstractNum>
  <w:abstractNum w:abstractNumId="13">
    <w:nsid w:val="3F2DBA31"/>
    <w:multiLevelType w:val="hybridMultilevel"/>
    <w:lvl w:ilvl="0">
      <w:lvlJc w:val="left"/>
      <w:lvlText w:val="o"/>
      <w:numFmt w:val="bullet"/>
      <w:start w:val="1"/>
    </w:lvl>
  </w:abstractNum>
  <w:abstractNum w:abstractNumId="14">
    <w:nsid w:val="7C83E458"/>
    <w:multiLevelType w:val="hybridMultilevel"/>
    <w:lvl w:ilvl="0">
      <w:lvlJc w:val="left"/>
      <w:lvlText w:val="o"/>
      <w:numFmt w:val="bullet"/>
      <w:start w:val="1"/>
    </w:lvl>
  </w:abstractNum>
  <w:abstractNum w:abstractNumId="15">
    <w:nsid w:val="257130A3"/>
    <w:multiLevelType w:val="hybridMultilevel"/>
    <w:lvl w:ilvl="0">
      <w:lvlJc w:val="left"/>
      <w:lvlText w:val="o"/>
      <w:numFmt w:val="bullet"/>
      <w:start w:val="1"/>
    </w:lvl>
  </w:abstractNum>
  <w:abstractNum w:abstractNumId="16">
    <w:nsid w:val="62BBD95A"/>
    <w:multiLevelType w:val="hybridMultilevel"/>
    <w:lvl w:ilvl="0">
      <w:lvlJc w:val="left"/>
      <w:lvlText w:val="o"/>
      <w:numFmt w:val="bullet"/>
      <w:start w:val="1"/>
    </w:lvl>
  </w:abstractNum>
  <w:abstractNum w:abstractNumId="17">
    <w:nsid w:val="436C6125"/>
    <w:multiLevelType w:val="hybridMultilevel"/>
    <w:lvl w:ilvl="0">
      <w:lvlJc w:val="left"/>
      <w:lvlText w:val="o"/>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2020-02-25T06:17:43Z</dcterms:created>
  <dcterms:modified xsi:type="dcterms:W3CDTF">2020-02-25T06:17:43Z</dcterms:modified>
</cp:coreProperties>
</file>