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18">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46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46" w:lineRule="exact"/>
        <w:rPr>
          <w:sz w:val="24"/>
          <w:szCs w:val="24"/>
          <w:color w:val="auto"/>
        </w:rPr>
      </w:pPr>
    </w:p>
    <w:p>
      <w:pPr>
        <w:ind w:left="1040" w:right="1479" w:hanging="1032"/>
        <w:spacing w:after="0" w:line="254" w:lineRule="auto"/>
        <w:tabs>
          <w:tab w:leader="none" w:pos="10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ANNUAL REPORT PURSUANT TO SECTION 15(D) OF THE SECURITIES EXCHANGE ACT OF 1934 FOR THE FISCAL YEAR ENDED DECEMBER 31, 2004</w:t>
      </w:r>
    </w:p>
    <w:p>
      <w:pPr>
        <w:ind w:left="5640"/>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4620" w:right="1159" w:hanging="4612"/>
        <w:spacing w:after="0" w:line="261" w:lineRule="auto"/>
        <w:tabs>
          <w:tab w:leader="none" w:pos="1046"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15(D) OF THE SECURITIES EXCHANGE ACT OF 1934 Commission File No.: 1-31349</w:t>
      </w:r>
    </w:p>
    <w:p>
      <w:pPr>
        <w:spacing w:after="0" w:line="192" w:lineRule="exact"/>
        <w:rPr>
          <w:sz w:val="24"/>
          <w:szCs w:val="24"/>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14"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THE THOMSON 401(k) SAVINGS PLAN</w:t>
      </w:r>
    </w:p>
    <w:p>
      <w:pPr>
        <w:spacing w:after="0" w:line="201" w:lineRule="exact"/>
        <w:rPr>
          <w:sz w:val="24"/>
          <w:szCs w:val="24"/>
          <w:color w:val="auto"/>
        </w:rPr>
      </w:pPr>
    </w:p>
    <w:p>
      <w:pPr>
        <w:ind w:left="1040" w:hanging="1032"/>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of the securities held pursuant to the plan and the address of its principal executive office:</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THE THOMSON CORPORATION</w:t>
      </w:r>
    </w:p>
    <w:p>
      <w:pPr>
        <w:jc w:val="center"/>
        <w:ind w:right="-1200"/>
        <w:spacing w:after="0"/>
        <w:rPr>
          <w:sz w:val="20"/>
          <w:szCs w:val="20"/>
          <w:color w:val="auto"/>
        </w:rPr>
      </w:pPr>
      <w:r>
        <w:rPr>
          <w:rFonts w:ascii="Arial" w:cs="Arial" w:eastAsia="Arial" w:hAnsi="Arial"/>
          <w:sz w:val="18"/>
          <w:szCs w:val="18"/>
          <w:color w:val="auto"/>
        </w:rPr>
        <w:t>Metro Center, One Station Place</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Stamford, Connecticut 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219710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9"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THOMSON 401(k) SAVINGS PLAN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 AND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6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Page</w:t>
            </w:r>
          </w:p>
        </w:tc>
      </w:tr>
      <w:tr>
        <w:trPr>
          <w:trHeight w:val="105"/>
        </w:trPr>
        <w:tc>
          <w:tcPr>
            <w:tcW w:w="108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313"/>
        </w:trPr>
        <w:tc>
          <w:tcPr>
            <w:tcW w:w="108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spacing w:after="0"/>
              <w:rPr>
                <w:sz w:val="18"/>
                <w:szCs w:val="18"/>
                <w:color w:val="auto"/>
              </w:rPr>
            </w:pPr>
          </w:p>
        </w:tc>
      </w:tr>
      <w:tr>
        <w:trPr>
          <w:trHeight w:val="216"/>
        </w:trPr>
        <w:tc>
          <w:tcPr>
            <w:tcW w:w="10860" w:type="dxa"/>
            <w:vAlign w:val="bottom"/>
          </w:tcPr>
          <w:p>
            <w:pPr>
              <w:ind w:left="240"/>
              <w:spacing w:after="0"/>
              <w:rPr>
                <w:sz w:val="20"/>
                <w:szCs w:val="20"/>
                <w:color w:val="auto"/>
              </w:rPr>
            </w:pPr>
            <w:r>
              <w:rPr>
                <w:rFonts w:ascii="Arial" w:cs="Arial" w:eastAsia="Arial" w:hAnsi="Arial"/>
                <w:sz w:val="18"/>
                <w:szCs w:val="18"/>
                <w:color w:val="auto"/>
              </w:rPr>
              <w:t>Statements of Net Assets Available for Benefits</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860" w:type="dxa"/>
            <w:vAlign w:val="bottom"/>
          </w:tcPr>
          <w:p>
            <w:pPr>
              <w:ind w:left="240"/>
              <w:spacing w:after="0"/>
              <w:rPr>
                <w:sz w:val="20"/>
                <w:szCs w:val="20"/>
                <w:color w:val="auto"/>
              </w:rPr>
            </w:pPr>
            <w:r>
              <w:rPr>
                <w:rFonts w:ascii="Arial" w:cs="Arial" w:eastAsia="Arial" w:hAnsi="Arial"/>
                <w:sz w:val="18"/>
                <w:szCs w:val="18"/>
                <w:color w:val="auto"/>
              </w:rPr>
              <w:t>Statement of Changes in Net Assets Available for Benefits</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860" w:type="dxa"/>
            <w:vAlign w:val="bottom"/>
          </w:tcPr>
          <w:p>
            <w:pPr>
              <w:ind w:left="240"/>
              <w:spacing w:after="0"/>
              <w:rPr>
                <w:sz w:val="20"/>
                <w:szCs w:val="20"/>
                <w:color w:val="auto"/>
              </w:rPr>
            </w:pPr>
            <w:r>
              <w:rPr>
                <w:rFonts w:ascii="Arial" w:cs="Arial" w:eastAsia="Arial" w:hAnsi="Arial"/>
                <w:sz w:val="18"/>
                <w:szCs w:val="18"/>
                <w:color w:val="auto"/>
              </w:rPr>
              <w:t>Notes to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Supplemental Schedule: *</w:t>
            </w:r>
          </w:p>
        </w:tc>
        <w:tc>
          <w:tcPr>
            <w:tcW w:w="560" w:type="dxa"/>
            <w:vAlign w:val="bottom"/>
          </w:tcPr>
          <w:p>
            <w:pPr>
              <w:spacing w:after="0"/>
              <w:rPr>
                <w:sz w:val="18"/>
                <w:szCs w:val="18"/>
                <w:color w:val="auto"/>
              </w:rPr>
            </w:pPr>
          </w:p>
        </w:tc>
      </w:tr>
      <w:tr>
        <w:trPr>
          <w:trHeight w:val="216"/>
        </w:trPr>
        <w:tc>
          <w:tcPr>
            <w:tcW w:w="10860" w:type="dxa"/>
            <w:vAlign w:val="bottom"/>
          </w:tcPr>
          <w:p>
            <w:pPr>
              <w:ind w:left="240"/>
              <w:spacing w:after="0"/>
              <w:rPr>
                <w:sz w:val="20"/>
                <w:szCs w:val="20"/>
                <w:color w:val="auto"/>
              </w:rPr>
            </w:pPr>
            <w:r>
              <w:rPr>
                <w:rFonts w:ascii="Arial" w:cs="Arial" w:eastAsia="Arial" w:hAnsi="Arial"/>
                <w:sz w:val="18"/>
                <w:szCs w:val="18"/>
                <w:color w:val="auto"/>
              </w:rPr>
              <w:t>Schedule I — Part IV of Schedule H, Line 4i, Schedule of Assets (Held at End of Year)</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Signature</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18"/>
                <w:szCs w:val="18"/>
                <w:color w:val="auto"/>
              </w:rPr>
            </w:pPr>
          </w:p>
        </w:tc>
      </w:tr>
      <w:tr>
        <w:trPr>
          <w:trHeight w:val="222"/>
        </w:trPr>
        <w:tc>
          <w:tcPr>
            <w:tcW w:w="10860" w:type="dxa"/>
            <w:vAlign w:val="bottom"/>
          </w:tcPr>
          <w:p>
            <w:pPr>
              <w:ind w:left="240"/>
              <w:spacing w:after="0"/>
              <w:rPr>
                <w:sz w:val="20"/>
                <w:szCs w:val="20"/>
                <w:color w:val="auto"/>
              </w:rPr>
            </w:pPr>
            <w:r>
              <w:rPr>
                <w:rFonts w:ascii="Arial" w:cs="Arial" w:eastAsia="Arial" w:hAnsi="Arial"/>
                <w:sz w:val="18"/>
                <w:szCs w:val="18"/>
                <w:color w:val="auto"/>
              </w:rPr>
              <w:t>23 — Consent of Independent Registered Public Accounting Firm</w:t>
            </w:r>
          </w:p>
        </w:tc>
        <w:tc>
          <w:tcPr>
            <w:tcW w:w="5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-1451610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-1451610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560" w:firstLine="8"/>
        <w:spacing w:after="0" w:line="268" w:lineRule="auto"/>
        <w:tabs>
          <w:tab w:leader="none" w:pos="132"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schedules required by Section 2520.103-10 of the Department of Labor's Rules and Regulations for Reporting and Disclosure under the Employee Retirement Income Security Act of 1974 ("ERISA")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Administrator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Thomson 401(k) Savings Plan</w:t>
      </w:r>
    </w:p>
    <w:p>
      <w:pPr>
        <w:spacing w:after="0" w:line="219"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our opinion, the accompanying statements of net assets available for benefits and the related statement of changes in net assets available for benefits present fairly, in all material respects, the net assets available for benefits of The Thomson 401(k) Savings Plan (the "Plan") at December 31, 2004 and 2003, and the changes in net assets available for benefits for the year ended December 31, 2004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End of Year)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2005</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The Thomson 401(k) Savings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 and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71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63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Investments, at fair value or contract value (Note 4)</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1,590,941,288</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1,441,925,022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Participant loans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33,836,446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31,546,061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Contributions receivable</w:t>
            </w:r>
          </w:p>
        </w:tc>
        <w:tc>
          <w:tcPr>
            <w:tcW w:w="4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Employer</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3,433,046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4,186,332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Employee</w:t>
            </w:r>
          </w:p>
        </w:tc>
        <w:tc>
          <w:tcPr>
            <w:tcW w:w="4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1,628,240,011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1,477,717,814</w:t>
            </w:r>
          </w:p>
        </w:tc>
        <w:tc>
          <w:tcPr>
            <w:tcW w:w="0" w:type="dxa"/>
            <w:vAlign w:val="bottom"/>
          </w:tcPr>
          <w:p>
            <w:pPr>
              <w:spacing w:after="0"/>
              <w:rPr>
                <w:sz w:val="1"/>
                <w:szCs w:val="1"/>
                <w:color w:val="auto"/>
              </w:rPr>
            </w:pPr>
          </w:p>
        </w:tc>
      </w:tr>
      <w:tr>
        <w:trPr>
          <w:trHeight w:val="107"/>
        </w:trPr>
        <w:tc>
          <w:tcPr>
            <w:tcW w:w="768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6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24"/>
                <w:szCs w:val="24"/>
                <w:color w:val="auto"/>
              </w:rPr>
            </w:pPr>
          </w:p>
        </w:tc>
        <w:tc>
          <w:tcPr>
            <w:tcW w:w="1420" w:type="dxa"/>
            <w:vAlign w:val="bottom"/>
            <w:tcBorders>
              <w:right w:val="single" w:sz="8" w:color="CCEEFF"/>
            </w:tcBorders>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155,429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155,429</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Net assets available for benefits</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1,628,084,582</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1,477,604,119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6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-2621280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-2621280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-2621280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-1506220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-1506220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-1506220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-614680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-614680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-614680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-323215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The Thomson 401(k) Savings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to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Net appreciation in fair value of investments (Note 4)</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jc w:val="right"/>
        <w:ind w:right="7760"/>
        <w:spacing w:after="0"/>
        <w:rPr>
          <w:sz w:val="20"/>
          <w:szCs w:val="20"/>
          <w:color w:val="auto"/>
        </w:rPr>
      </w:pPr>
      <w:r>
        <w:rPr>
          <w:rFonts w:ascii="Arial" w:cs="Arial" w:eastAsia="Arial" w:hAnsi="Arial"/>
          <w:sz w:val="16"/>
          <w:szCs w:val="16"/>
          <w:color w:val="auto"/>
        </w:rPr>
        <w:t>Contributions</w:t>
      </w:r>
    </w:p>
    <w:p>
      <w:pPr>
        <w:spacing w:after="0" w:line="38" w:lineRule="exact"/>
        <w:rPr>
          <w:sz w:val="20"/>
          <w:szCs w:val="20"/>
          <w:color w:val="auto"/>
        </w:rPr>
      </w:pPr>
    </w:p>
    <w:p>
      <w:pPr>
        <w:jc w:val="right"/>
        <w:ind w:right="780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7820"/>
        <w:spacing w:after="0"/>
        <w:rPr>
          <w:sz w:val="20"/>
          <w:szCs w:val="20"/>
          <w:color w:val="auto"/>
        </w:rPr>
      </w:pPr>
      <w:r>
        <w:rPr>
          <w:rFonts w:ascii="Arial" w:cs="Arial" w:eastAsia="Arial" w:hAnsi="Arial"/>
          <w:sz w:val="18"/>
          <w:szCs w:val="18"/>
          <w:color w:val="auto"/>
        </w:rPr>
        <w:t>Employer</w:t>
      </w:r>
    </w:p>
    <w:p>
      <w:pPr>
        <w:spacing w:after="0" w:line="9" w:lineRule="exact"/>
        <w:rPr>
          <w:sz w:val="20"/>
          <w:szCs w:val="20"/>
          <w:color w:val="auto"/>
        </w:rPr>
      </w:pPr>
    </w:p>
    <w:p>
      <w:pPr>
        <w:jc w:val="right"/>
        <w:ind w:right="784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contributions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Increase to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 from net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Benefits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Forfeitures utilized for Plan administrative expenses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origination and maintenance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deductions from net assets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increase in net assets available for benefits before plan mergers and other transfers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Plan mergers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transfers out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increase in net assets available for benefits after plan mergers and other transfers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Beginning of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2680"/>
        <w:spacing w:after="0"/>
        <w:rPr>
          <w:sz w:val="20"/>
          <w:szCs w:val="20"/>
          <w:color w:val="auto"/>
        </w:rPr>
      </w:pPr>
      <w:r>
        <w:rPr>
          <w:rFonts w:ascii="Arial" w:cs="Arial" w:eastAsia="Arial" w:hAnsi="Arial"/>
          <w:sz w:val="15"/>
          <w:szCs w:val="15"/>
          <w:i w:val="1"/>
          <w:iCs w:val="1"/>
          <w:color w:val="auto"/>
        </w:rPr>
        <w:t>The accompanying notes are an integral part of these financial statements.</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40" w:hanging="1038"/>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22,950,337</w:t>
      </w:r>
    </w:p>
    <w:p>
      <w:pPr>
        <w:spacing w:after="0" w:line="38"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122,229,115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117030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0305" cy="21590"/>
                    </a:xfrm>
                    <a:prstGeom prst="rect">
                      <a:avLst/>
                    </a:prstGeom>
                    <a:noFill/>
                  </pic:spPr>
                </pic:pic>
              </a:graphicData>
            </a:graphic>
          </wp:anchor>
        </w:drawing>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145,179,452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117030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70305"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119,816,959</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44,296,786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9,650,216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117030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70305" cy="21590"/>
                    </a:xfrm>
                    <a:prstGeom prst="rect">
                      <a:avLst/>
                    </a:prstGeom>
                    <a:noFill/>
                  </pic:spPr>
                </pic:pic>
              </a:graphicData>
            </a:graphic>
          </wp:anchor>
        </w:drawing>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173,763,961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117030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70305" cy="21590"/>
                    </a:xfrm>
                    <a:prstGeom prst="rect">
                      <a:avLst/>
                    </a:prstGeom>
                    <a:noFill/>
                  </pic:spPr>
                </pic:pic>
              </a:graphicData>
            </a:graphic>
          </wp:anchor>
        </w:drawing>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318,943,413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117030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703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129,259,399</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466,355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123,967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117030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70305" cy="21590"/>
                    </a:xfrm>
                    <a:prstGeom prst="rect">
                      <a:avLst/>
                    </a:prstGeom>
                    <a:noFill/>
                  </pic:spPr>
                </pic:pic>
              </a:graphicData>
            </a:graphic>
          </wp:anchor>
        </w:drawing>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129,849,721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117030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70305" cy="21590"/>
                    </a:xfrm>
                    <a:prstGeom prst="rect">
                      <a:avLst/>
                    </a:prstGeom>
                    <a:noFill/>
                  </pic:spPr>
                </pic:pic>
              </a:graphicData>
            </a:graphic>
          </wp:anchor>
        </w:drawing>
      </w:r>
    </w:p>
    <w:p>
      <w:pPr>
        <w:spacing w:after="0" w:line="25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189,093,692</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2,215,987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(40,829,216)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117030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70305" cy="21590"/>
                    </a:xfrm>
                    <a:prstGeom prst="rect">
                      <a:avLst/>
                    </a:prstGeom>
                    <a:noFill/>
                  </pic:spPr>
                </pic:pic>
              </a:graphicData>
            </a:graphic>
          </wp:anchor>
        </w:drawing>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150,480,463</w:t>
      </w:r>
    </w:p>
    <w:p>
      <w:pPr>
        <w:spacing w:after="0" w:line="200" w:lineRule="exact"/>
        <w:rPr>
          <w:sz w:val="20"/>
          <w:szCs w:val="20"/>
          <w:color w:val="auto"/>
        </w:rPr>
      </w:pPr>
    </w:p>
    <w:p>
      <w:pPr>
        <w:spacing w:after="0" w:line="29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1,477,604,119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117030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70305" cy="21590"/>
                    </a:xfrm>
                    <a:prstGeom prst="rect">
                      <a:avLst/>
                    </a:prstGeom>
                    <a:noFill/>
                  </pic:spPr>
                </pic:pic>
              </a:graphicData>
            </a:graphic>
          </wp:anchor>
        </w:drawing>
      </w:r>
    </w:p>
    <w:p>
      <w:pPr>
        <w:spacing w:after="0" w:line="255" w:lineRule="exact"/>
        <w:rPr>
          <w:sz w:val="20"/>
          <w:szCs w:val="20"/>
          <w:color w:val="auto"/>
        </w:rPr>
      </w:pPr>
    </w:p>
    <w:p>
      <w:pPr>
        <w:ind w:left="820" w:hanging="818"/>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1,628,084,582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117030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70305" cy="38735"/>
                    </a:xfrm>
                    <a:prstGeom prst="rect">
                      <a:avLst/>
                    </a:prstGeom>
                    <a:noFill/>
                  </pic:spPr>
                </pic:pic>
              </a:graphicData>
            </a:graphic>
          </wp:anchor>
        </w:drawing>
      </w:r>
    </w:p>
    <w:p>
      <w:pPr>
        <w:sectPr>
          <w:pgSz w:w="11900" w:h="16838" w:orient="portrait"/>
          <w:cols w:equalWidth="0" w:num="2">
            <w:col w:w="8740" w:space="720"/>
            <w:col w:w="1900"/>
          </w:cols>
          <w:pgMar w:left="240" w:top="125"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The Thomson 401(k) Savings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 and 2003</w:t>
      </w:r>
    </w:p>
    <w:p>
      <w:pPr>
        <w:spacing w:after="0" w:line="21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231"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The following description of The Thomson 401(k) Savings Plan (the "Plan") is provided for general information purposes only. Participants should refer to the summary Plan description or the Plan document for more complete information.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540" w:right="500"/>
        <w:spacing w:after="0" w:line="332" w:lineRule="auto"/>
        <w:rPr>
          <w:sz w:val="20"/>
          <w:szCs w:val="20"/>
          <w:color w:val="auto"/>
        </w:rPr>
      </w:pPr>
      <w:r>
        <w:rPr>
          <w:rFonts w:ascii="Arial" w:cs="Arial" w:eastAsia="Arial" w:hAnsi="Arial"/>
          <w:sz w:val="16"/>
          <w:szCs w:val="16"/>
          <w:color w:val="auto"/>
        </w:rPr>
        <w:t>The Plan is a defined contribution plan covering substantially all of the employees of Thomson Holdings Inc. and certain affiliates (collectively, the "Company"). The Plan is subject to the provisions of the Employee Retirement Income Security Act of 1974 ("ERISA").</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Participation</w:t>
      </w:r>
    </w:p>
    <w:p>
      <w:pPr>
        <w:spacing w:after="0" w:line="231"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All full-time employees of the Company are eligible to participate, provided that the employee has completed at least 90 days of service. Part-time employees are eligible to participate upon completion of one year of employment.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During 2003, the Plan began offering units representing common shares of The Thomson Corporation, the parent company of the Plan sponsor, Thomson Holdings Inc., as an investment option for participants.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Contributions</w:t>
      </w:r>
    </w:p>
    <w:p>
      <w:pPr>
        <w:spacing w:after="0" w:line="231" w:lineRule="exact"/>
        <w:rPr>
          <w:sz w:val="20"/>
          <w:szCs w:val="20"/>
          <w:color w:val="auto"/>
        </w:rPr>
      </w:pPr>
    </w:p>
    <w:p>
      <w:pPr>
        <w:ind w:left="540" w:right="140"/>
        <w:spacing w:after="0" w:line="268" w:lineRule="auto"/>
        <w:rPr>
          <w:sz w:val="20"/>
          <w:szCs w:val="20"/>
          <w:color w:val="auto"/>
        </w:rPr>
      </w:pPr>
      <w:r>
        <w:rPr>
          <w:rFonts w:ascii="Arial" w:cs="Arial" w:eastAsia="Arial" w:hAnsi="Arial"/>
          <w:sz w:val="16"/>
          <w:szCs w:val="16"/>
          <w:color w:val="auto"/>
        </w:rPr>
        <w:t xml:space="preserve">In accordance with the provisions of the Plan, participants may voluntarily authorize the Company to contribute on a pretax, or contribute on a post-tax basis,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to 16% of their annual base salary and overtime through Salary Reduction (as defined in the Plan document) contributions for investment in the Plan, up to the maximum allowed under the provisions of the Internal Revenue Code ("IRC"). Participants who are age 50 or older may make additional "catch-up" contributions. The Company will make matching contributions of fifty cents on each dollar the participant contributes, up to 6% of the participant's compensation. The Company honors other employer matching contribution provisions for plans that were merged into the Plan, up to a 100% match of 4% of the participant's compensation. Additionally, for any Plan year, the Company may make discretionary contributions to the Plan.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Vesting of benefits</w:t>
      </w:r>
    </w:p>
    <w:p>
      <w:pPr>
        <w:spacing w:after="0" w:line="231"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A participant is fully vested in his or her contributions and the earnings thereon at all times and will become vested in Company contributions and the related earnings credited to their account, based upon their years of service, as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Vested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80" w:type="dxa"/>
            <w:vAlign w:val="bottom"/>
            <w:gridSpan w:val="2"/>
          </w:tcPr>
          <w:p>
            <w:pPr>
              <w:ind w:left="580"/>
              <w:spacing w:after="0"/>
              <w:rPr>
                <w:sz w:val="20"/>
                <w:szCs w:val="20"/>
                <w:color w:val="auto"/>
              </w:rPr>
            </w:pPr>
            <w:r>
              <w:rPr>
                <w:rFonts w:ascii="Arial" w:cs="Arial" w:eastAsia="Arial" w:hAnsi="Arial"/>
                <w:sz w:val="14"/>
                <w:szCs w:val="14"/>
                <w:b w:val="1"/>
                <w:bCs w:val="1"/>
                <w:color w:val="auto"/>
              </w:rPr>
              <w:t>Years of service</w:t>
            </w:r>
          </w:p>
        </w:tc>
        <w:tc>
          <w:tcPr>
            <w:tcW w:w="6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Percentage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00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4</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160" w:type="dxa"/>
            <w:vAlign w:val="bottom"/>
          </w:tcPr>
          <w:p>
            <w:pPr>
              <w:jc w:val="right"/>
              <w:ind w:right="3892"/>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6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-1060450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-1060450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-1060450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-1060450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right="80"/>
        <w:spacing w:after="0" w:line="268" w:lineRule="auto"/>
        <w:rPr>
          <w:sz w:val="20"/>
          <w:szCs w:val="20"/>
          <w:color w:val="auto"/>
        </w:rPr>
      </w:pPr>
      <w:r>
        <w:rPr>
          <w:rFonts w:ascii="Arial" w:cs="Arial" w:eastAsia="Arial" w:hAnsi="Arial"/>
          <w:sz w:val="18"/>
          <w:szCs w:val="18"/>
          <w:color w:val="auto"/>
        </w:rPr>
        <w:t>Employees who reach normal retirement age, or become disabled or die while still employed by the Company, are immediately vested in the value of the Company contributions credited to their accounts.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forfeitures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Distributions from participant accounts under the Plan as a result of termination, retirement, disability or death will be paid at the election of the participant (beneficiary) as either a lump-sum (required if the total benefit is less than $5,000) or substantially equal annual or more frequent installments over a reasonable period of time, not to exceed the participant's life expectancy.</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Participant balances which have not been vested will generally be forfeited upon termination of employment. At December 31, 2004 and 2003, forfeited nonvested accounts, which remain as assets in the Plan, totaled $554,078 and $390,716, respectively. Amounts forfeited by withdrawing members may be applied against future matching employer contributions or employer discretionary contributions or used to pay Plan administrative expenses. In 2004, employer contributions were reduced by $1,616,432 from forfeited nonvested accounts. Forfeitures that have been used to pay Plan administrative expenses have been reflected as such in the accompanying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to participants</w:t>
      </w: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Participants may borrow from their accounts for any purpose. The minimum loan amount is $500 and the maximum is 50% of the participant's vested balance up to the Internal Revenue Service limit of $50,000. Participants may have up to two outstanding loans at a time. Additionally, loans must be repaid by payroll deductions over a period not to exceed five years, except when the loan is used for the purchase of a primary residence, in which case the repayment period may not exceed 10 years. Some loans transferred into the Plan as a result of Plan mergers have repayment periods up to 30 years. Interest rates on loans are determined based upon the prevailing interest rate charged for similar loans by commercial banks in the area of the employer's place of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administration</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Plan administrator, appointed by the board of directors of the Company, administers the Plan in accordance with the terms and provisions of the Plan document. The Plan administrator has appointed Putnam Fiduciary Trust Company ("Putnam") as the trustee and third party administrator to manage the assets and day-to-day operations of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anticipates and believes that the Plan will continue without interruption but reserves the right to terminate, amend or modify the Plan at any time subject to the provisions of ERISA. Upon termination of the Plan, the balances in the accounts of each participant would become fully vested and be distributed to participants as described above.</w:t>
      </w:r>
    </w:p>
    <w:p>
      <w:pPr>
        <w:spacing w:after="0" w:line="1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7" w:name="page8"/>
    <w:bookmarkEnd w:id="7"/>
    <w:p>
      <w:pPr>
        <w:ind w:left="532"/>
        <w:spacing w:after="0"/>
        <w:rPr>
          <w:sz w:val="20"/>
          <w:szCs w:val="20"/>
          <w:color w:val="auto"/>
        </w:rPr>
      </w:pPr>
      <w:r>
        <w:rPr>
          <w:rFonts w:ascii="Arial" w:cs="Arial" w:eastAsia="Arial" w:hAnsi="Arial"/>
          <w:sz w:val="18"/>
          <w:szCs w:val="18"/>
          <w:b w:val="1"/>
          <w:bCs w:val="1"/>
          <w:color w:val="auto"/>
        </w:rPr>
        <w:t>Transfers</w:t>
      </w:r>
    </w:p>
    <w:p>
      <w:pPr>
        <w:spacing w:after="0" w:line="231" w:lineRule="exact"/>
        <w:rPr>
          <w:sz w:val="20"/>
          <w:szCs w:val="20"/>
          <w:color w:val="auto"/>
        </w:rPr>
      </w:pPr>
    </w:p>
    <w:p>
      <w:pPr>
        <w:ind w:left="532"/>
        <w:spacing w:after="0"/>
        <w:rPr>
          <w:sz w:val="20"/>
          <w:szCs w:val="20"/>
          <w:color w:val="auto"/>
        </w:rPr>
      </w:pPr>
      <w:r>
        <w:rPr>
          <w:rFonts w:ascii="Arial" w:cs="Arial" w:eastAsia="Arial" w:hAnsi="Arial"/>
          <w:sz w:val="16"/>
          <w:szCs w:val="16"/>
          <w:color w:val="auto"/>
        </w:rPr>
        <w:t>During 2004, assets were transferred into the Plan as a result of plan mergers. Details of Plan mergers which occurred during 2004 were as follows:</w:t>
      </w:r>
    </w:p>
    <w:p>
      <w:pPr>
        <w:spacing w:after="0" w:line="244" w:lineRule="exact"/>
        <w:rPr>
          <w:sz w:val="20"/>
          <w:szCs w:val="20"/>
          <w:color w:val="auto"/>
        </w:rPr>
      </w:pPr>
    </w:p>
    <w:tbl>
      <w:tblPr>
        <w:tblLayout w:type="fixed"/>
        <w:tblInd w:w="572"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w w:val="92"/>
              </w:rPr>
              <w:t>Plan Merger Date</w:t>
            </w:r>
          </w:p>
        </w:tc>
        <w:tc>
          <w:tcPr>
            <w:tcW w:w="200" w:type="dxa"/>
            <w:vAlign w:val="bottom"/>
          </w:tcPr>
          <w:p>
            <w:pPr>
              <w:spacing w:after="0"/>
              <w:rPr>
                <w:sz w:val="15"/>
                <w:szCs w:val="15"/>
                <w:color w:val="auto"/>
              </w:rPr>
            </w:pPr>
          </w:p>
        </w:tc>
        <w:tc>
          <w:tcPr>
            <w:tcW w:w="7480" w:type="dxa"/>
            <w:vAlign w:val="bottom"/>
          </w:tcPr>
          <w:p>
            <w:pPr>
              <w:ind w:left="3600"/>
              <w:spacing w:after="0"/>
              <w:rPr>
                <w:sz w:val="20"/>
                <w:szCs w:val="20"/>
                <w:color w:val="auto"/>
              </w:rPr>
            </w:pPr>
            <w:r>
              <w:rPr>
                <w:rFonts w:ascii="Arial" w:cs="Arial" w:eastAsia="Arial" w:hAnsi="Arial"/>
                <w:sz w:val="14"/>
                <w:szCs w:val="14"/>
                <w:b w:val="1"/>
                <w:bCs w:val="1"/>
                <w:color w:val="auto"/>
              </w:rPr>
              <w:t>Plan</w:t>
            </w:r>
          </w:p>
        </w:tc>
        <w:tc>
          <w:tcPr>
            <w:tcW w:w="200" w:type="dxa"/>
            <w:vAlign w:val="bottom"/>
          </w:tcPr>
          <w:p>
            <w:pPr>
              <w:spacing w:after="0"/>
              <w:rPr>
                <w:sz w:val="15"/>
                <w:szCs w:val="15"/>
                <w:color w:val="auto"/>
              </w:rPr>
            </w:pPr>
          </w:p>
        </w:tc>
        <w:tc>
          <w:tcPr>
            <w:tcW w:w="1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9"/>
              </w:rPr>
              <w:t>Assets Transferred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4/15/2004</w:t>
            </w: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Unilink 401(k) Retirement Plan</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12/31/2004</w:t>
            </w: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Hubbard One 401(k) Retirement Plan</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1,877,196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2,215,987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-751840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-751840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-751840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-751840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-751840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-751840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-323215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-323215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-323215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-323215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During the years ended December 31, 2004, significant assets were transferred from the Plan either into a separate plan maintained by the Company or as a result of the sale of certain business units of the Company as follows: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color w:val="auto"/>
        </w:rPr>
        <w:t>Details of Plan transfers out which occurred during 2004 were as follows:</w:t>
      </w:r>
    </w:p>
    <w:p>
      <w:pPr>
        <w:spacing w:after="0" w:line="221" w:lineRule="exact"/>
        <w:rPr>
          <w:sz w:val="20"/>
          <w:szCs w:val="20"/>
          <w:color w:val="auto"/>
        </w:rPr>
      </w:pPr>
    </w:p>
    <w:tbl>
      <w:tblPr>
        <w:tblLayout w:type="fixed"/>
        <w:tblInd w:w="572"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w w:val="94"/>
              </w:rPr>
              <w:t>Date of Transfer</w:t>
            </w:r>
          </w:p>
        </w:tc>
        <w:tc>
          <w:tcPr>
            <w:tcW w:w="2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320" w:type="dxa"/>
            <w:vAlign w:val="bottom"/>
            <w:gridSpan w:val="3"/>
          </w:tcPr>
          <w:p>
            <w:pPr>
              <w:jc w:val="right"/>
              <w:ind w:right="3860"/>
              <w:spacing w:after="0"/>
              <w:rPr>
                <w:sz w:val="20"/>
                <w:szCs w:val="20"/>
                <w:color w:val="auto"/>
              </w:rPr>
            </w:pPr>
            <w:r>
              <w:rPr>
                <w:rFonts w:ascii="Arial" w:cs="Arial" w:eastAsia="Arial" w:hAnsi="Arial"/>
                <w:sz w:val="14"/>
                <w:szCs w:val="14"/>
                <w:b w:val="1"/>
                <w:bCs w:val="1"/>
                <w:color w:val="auto"/>
              </w:rPr>
              <w:t>Plan</w:t>
            </w:r>
          </w:p>
        </w:tc>
        <w:tc>
          <w:tcPr>
            <w:tcW w:w="1240" w:type="dxa"/>
            <w:vAlign w:val="bottom"/>
          </w:tcPr>
          <w:p>
            <w:pPr>
              <w:jc w:val="right"/>
              <w:ind w:right="57"/>
              <w:spacing w:after="0"/>
              <w:rPr>
                <w:sz w:val="20"/>
                <w:szCs w:val="20"/>
                <w:color w:val="auto"/>
              </w:rPr>
            </w:pPr>
            <w:r>
              <w:rPr>
                <w:rFonts w:ascii="Arial" w:cs="Arial" w:eastAsia="Arial" w:hAnsi="Arial"/>
                <w:sz w:val="14"/>
                <w:szCs w:val="14"/>
                <w:b w:val="1"/>
                <w:bCs w:val="1"/>
                <w:color w:val="auto"/>
                <w:w w:val="84"/>
              </w:rPr>
              <w:t>Assets Transferred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4/1/2004</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DBM</w:t>
            </w:r>
          </w:p>
        </w:tc>
        <w:tc>
          <w:tcPr>
            <w:tcW w:w="5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19,854,337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12/31/2004</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Thomson Media</w:t>
            </w:r>
          </w:p>
        </w:tc>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20,974,879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5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40,829,216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360" w:type="dxa"/>
            <w:vAlign w:val="bottom"/>
            <w:shd w:val="clear" w:color="auto" w:fill="808080"/>
          </w:tcPr>
          <w:p>
            <w:pPr>
              <w:spacing w:after="0"/>
              <w:rPr>
                <w:sz w:val="5"/>
                <w:szCs w:val="5"/>
                <w:color w:val="auto"/>
              </w:rPr>
            </w:pPr>
          </w:p>
        </w:tc>
        <w:tc>
          <w:tcPr>
            <w:tcW w:w="5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-751840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-751840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-751840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-751840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-751840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-751840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-323215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-323215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-323215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-323215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32" w:right="7680" w:hanging="532"/>
        <w:spacing w:after="0" w:line="504" w:lineRule="auto"/>
        <w:tabs>
          <w:tab w:leader="none" w:pos="34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accounting</w:t>
      </w:r>
    </w:p>
    <w:p>
      <w:pPr>
        <w:ind w:left="532"/>
        <w:spacing w:after="0"/>
        <w:rPr>
          <w:rFonts w:ascii="Arial" w:cs="Arial" w:eastAsia="Arial" w:hAnsi="Arial"/>
          <w:sz w:val="18"/>
          <w:szCs w:val="18"/>
          <w:b w:val="1"/>
          <w:bCs w:val="1"/>
          <w:color w:val="auto"/>
        </w:rPr>
      </w:pPr>
      <w:r>
        <w:rPr>
          <w:rFonts w:ascii="Arial" w:cs="Arial" w:eastAsia="Arial" w:hAnsi="Arial"/>
          <w:sz w:val="18"/>
          <w:szCs w:val="18"/>
          <w:color w:val="auto"/>
        </w:rPr>
        <w:t>The accompanying financial statements have been prepared on the accrual basis of accounting.</w:t>
      </w:r>
    </w:p>
    <w:p>
      <w:pPr>
        <w:spacing w:after="0" w:line="219"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Investment valuation and transactions</w:t>
      </w:r>
    </w:p>
    <w:p>
      <w:pPr>
        <w:spacing w:after="0" w:line="231" w:lineRule="exact"/>
        <w:rPr>
          <w:sz w:val="20"/>
          <w:szCs w:val="20"/>
          <w:color w:val="auto"/>
        </w:rPr>
      </w:pPr>
    </w:p>
    <w:p>
      <w:pPr>
        <w:ind w:left="532" w:right="40"/>
        <w:spacing w:after="0" w:line="291" w:lineRule="auto"/>
        <w:rPr>
          <w:sz w:val="20"/>
          <w:szCs w:val="20"/>
          <w:color w:val="auto"/>
        </w:rPr>
      </w:pPr>
      <w:r>
        <w:rPr>
          <w:rFonts w:ascii="Arial" w:cs="Arial" w:eastAsia="Arial" w:hAnsi="Arial"/>
          <w:sz w:val="16"/>
          <w:szCs w:val="16"/>
          <w:color w:val="auto"/>
        </w:rPr>
        <w:t>Investments (excluding the commingled trusts and the Putnam Stable Value Fund) are valued at fair market value based on quoted market prices. The commingled trusts are valued at fair market value based on quoted market prices of the underlying securities within that fund. The Putnam Stable Value Fund is recorded at contract value. Participant loans are valued at cost less principal repayments, which approximates fair value. Purchases and sales of shares in the investment funds are recorded on the trade date. Interest income is recorded on the accrual basis. Dividends are recorded on the ex-dividend date. The Plan presents, in the statement of changes in net assets available for benefits, the net appreciation (depreciation) in the fair value of its investments, which consists of the realized gains or losses and the unrealized appreciation (depreciation) on those investments.</w:t>
      </w:r>
    </w:p>
    <w:p>
      <w:pPr>
        <w:spacing w:after="0" w:line="168" w:lineRule="exact"/>
        <w:rPr>
          <w:sz w:val="20"/>
          <w:szCs w:val="20"/>
          <w:color w:val="auto"/>
        </w:rPr>
      </w:pPr>
    </w:p>
    <w:p>
      <w:pPr>
        <w:ind w:left="532"/>
        <w:spacing w:after="0"/>
        <w:rPr>
          <w:sz w:val="20"/>
          <w:szCs w:val="20"/>
          <w:color w:val="auto"/>
        </w:rPr>
      </w:pPr>
      <w:r>
        <w:rPr>
          <w:rFonts w:ascii="Arial" w:cs="Arial" w:eastAsia="Arial" w:hAnsi="Arial"/>
          <w:sz w:val="18"/>
          <w:szCs w:val="18"/>
          <w:b w:val="1"/>
          <w:bCs w:val="1"/>
          <w:color w:val="auto"/>
        </w:rPr>
        <w:t>Administrative expenses</w:t>
      </w:r>
    </w:p>
    <w:p>
      <w:pPr>
        <w:spacing w:after="0" w:line="231" w:lineRule="exact"/>
        <w:rPr>
          <w:sz w:val="20"/>
          <w:szCs w:val="20"/>
          <w:color w:val="auto"/>
        </w:rPr>
      </w:pPr>
    </w:p>
    <w:p>
      <w:pPr>
        <w:ind w:left="532" w:right="40"/>
        <w:spacing w:after="0" w:line="298" w:lineRule="auto"/>
        <w:rPr>
          <w:sz w:val="20"/>
          <w:szCs w:val="20"/>
          <w:color w:val="auto"/>
        </w:rPr>
      </w:pPr>
      <w:r>
        <w:rPr>
          <w:rFonts w:ascii="Arial" w:cs="Arial" w:eastAsia="Arial" w:hAnsi="Arial"/>
          <w:sz w:val="16"/>
          <w:szCs w:val="16"/>
          <w:color w:val="auto"/>
        </w:rPr>
        <w:t>Administrative expenses of the Plan are either paid directly by the Company or are funded utilizing Plan forfeitures. Administrative expenses paid by the Company are not reflected in the accompanying financial statements. Administrative expenses paid out of the forfeitures account have been reflected in the accompanying financial statements. Loan origination fees are paid by the participant through a deduction from their respective account, and are recorded upon issuance of the loan. Loan maintenance fees are paid by the participant through a quarterly deduction from their respective account.</w:t>
      </w:r>
    </w:p>
    <w:p>
      <w:pPr>
        <w:spacing w:after="0" w:line="16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125" w:right="319" w:bottom="1440" w:gutter="0" w:footer="0" w:header="0"/>
        </w:sectPr>
      </w:pPr>
    </w:p>
    <w:bookmarkStart w:id="8" w:name="page9"/>
    <w:bookmarkEnd w:id="8"/>
    <w:p>
      <w:pPr>
        <w:ind w:left="532"/>
        <w:spacing w:after="0"/>
        <w:rPr>
          <w:sz w:val="20"/>
          <w:szCs w:val="20"/>
          <w:color w:val="auto"/>
        </w:rPr>
      </w:pPr>
      <w:r>
        <w:rPr>
          <w:rFonts w:ascii="Arial" w:cs="Arial" w:eastAsia="Arial" w:hAnsi="Arial"/>
          <w:sz w:val="18"/>
          <w:szCs w:val="18"/>
          <w:b w:val="1"/>
          <w:bCs w:val="1"/>
          <w:color w:val="auto"/>
        </w:rPr>
        <w:t>Benefit payments</w:t>
      </w:r>
    </w:p>
    <w:p>
      <w:pPr>
        <w:spacing w:after="0" w:line="231" w:lineRule="exact"/>
        <w:rPr>
          <w:sz w:val="20"/>
          <w:szCs w:val="20"/>
          <w:color w:val="auto"/>
        </w:rPr>
      </w:pPr>
    </w:p>
    <w:p>
      <w:pPr>
        <w:ind w:left="532"/>
        <w:spacing w:after="0"/>
        <w:rPr>
          <w:sz w:val="20"/>
          <w:szCs w:val="20"/>
          <w:color w:val="auto"/>
        </w:rPr>
      </w:pPr>
      <w:r>
        <w:rPr>
          <w:rFonts w:ascii="Arial" w:cs="Arial" w:eastAsia="Arial" w:hAnsi="Arial"/>
          <w:sz w:val="18"/>
          <w:szCs w:val="18"/>
          <w:color w:val="auto"/>
        </w:rPr>
        <w:t>Benefits are recorded when paid.</w:t>
      </w:r>
    </w:p>
    <w:p>
      <w:pPr>
        <w:spacing w:after="0" w:line="219" w:lineRule="exact"/>
        <w:rPr>
          <w:sz w:val="20"/>
          <w:szCs w:val="20"/>
          <w:color w:val="auto"/>
        </w:rPr>
      </w:pPr>
    </w:p>
    <w:p>
      <w:pPr>
        <w:ind w:left="532"/>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left="532"/>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net assets available for benefits and changes therein, and the disclosure of contingent assets and liabilities. Actual results could differ from those estimates.</w:t>
      </w:r>
    </w:p>
    <w:p>
      <w:pPr>
        <w:spacing w:after="0" w:line="188" w:lineRule="exact"/>
        <w:rPr>
          <w:sz w:val="20"/>
          <w:szCs w:val="20"/>
          <w:color w:val="auto"/>
        </w:rPr>
      </w:pPr>
    </w:p>
    <w:p>
      <w:pPr>
        <w:ind w:left="532"/>
        <w:spacing w:after="0"/>
        <w:rPr>
          <w:sz w:val="20"/>
          <w:szCs w:val="20"/>
          <w:color w:val="auto"/>
        </w:rPr>
      </w:pPr>
      <w:r>
        <w:rPr>
          <w:rFonts w:ascii="Arial" w:cs="Arial" w:eastAsia="Arial" w:hAnsi="Arial"/>
          <w:sz w:val="18"/>
          <w:szCs w:val="18"/>
          <w:b w:val="1"/>
          <w:bCs w:val="1"/>
          <w:color w:val="auto"/>
        </w:rPr>
        <w:t>Risks and uncertainties</w:t>
      </w:r>
    </w:p>
    <w:p>
      <w:pPr>
        <w:spacing w:after="0" w:line="231" w:lineRule="exact"/>
        <w:rPr>
          <w:sz w:val="20"/>
          <w:szCs w:val="20"/>
          <w:color w:val="auto"/>
        </w:rPr>
      </w:pPr>
    </w:p>
    <w:p>
      <w:pPr>
        <w:ind w:left="532" w:right="80"/>
        <w:spacing w:after="0" w:line="294" w:lineRule="auto"/>
        <w:rPr>
          <w:sz w:val="20"/>
          <w:szCs w:val="20"/>
          <w:color w:val="auto"/>
        </w:rPr>
      </w:pPr>
      <w:r>
        <w:rPr>
          <w:rFonts w:ascii="Arial" w:cs="Arial" w:eastAsia="Arial" w:hAnsi="Arial"/>
          <w:sz w:val="16"/>
          <w:szCs w:val="16"/>
          <w:color w:val="auto"/>
        </w:rPr>
        <w:t>The Plan provides for various investment options in mutual funds that invest in any combination of stocks, bonds, fixed income securities and other investment securities. These investment securities are exposed to various risks, such as interest rate, market and credit risks. Due to the level of risk and uncertainty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 and the statement of changes in net assets available for benefits.</w:t>
      </w:r>
    </w:p>
    <w:p>
      <w:pPr>
        <w:spacing w:after="0" w:line="164" w:lineRule="exact"/>
        <w:rPr>
          <w:sz w:val="20"/>
          <w:szCs w:val="20"/>
          <w:color w:val="auto"/>
        </w:rPr>
      </w:pPr>
    </w:p>
    <w:p>
      <w:pPr>
        <w:ind w:left="352" w:hanging="352"/>
        <w:spacing w:after="0"/>
        <w:tabs>
          <w:tab w:leader="none" w:pos="3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Investment Options</w:t>
      </w:r>
    </w:p>
    <w:p>
      <w:pPr>
        <w:spacing w:after="0" w:line="231" w:lineRule="exact"/>
        <w:rPr>
          <w:sz w:val="20"/>
          <w:szCs w:val="20"/>
          <w:color w:val="auto"/>
        </w:rPr>
      </w:pPr>
    </w:p>
    <w:p>
      <w:pPr>
        <w:ind w:left="532"/>
        <w:spacing w:after="0"/>
        <w:rPr>
          <w:sz w:val="20"/>
          <w:szCs w:val="20"/>
          <w:color w:val="auto"/>
        </w:rPr>
      </w:pPr>
      <w:r>
        <w:rPr>
          <w:rFonts w:ascii="Arial" w:cs="Arial" w:eastAsia="Arial" w:hAnsi="Arial"/>
          <w:sz w:val="18"/>
          <w:szCs w:val="18"/>
          <w:color w:val="auto"/>
        </w:rPr>
        <w:t>Participants in the Plan may elect to invest in any of the following investment options:</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color w:val="auto"/>
        </w:rPr>
        <w:t>The George Putnam Fund of Boston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The fund invests primarily in stocks as well as corporate and U.S. government bonds.</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color w:val="auto"/>
        </w:rPr>
        <w:t>Putnam Fund for Growth &amp; Income</w:t>
      </w:r>
    </w:p>
    <w:p>
      <w:pPr>
        <w:spacing w:after="0" w:line="225" w:lineRule="exact"/>
        <w:rPr>
          <w:sz w:val="20"/>
          <w:szCs w:val="20"/>
          <w:color w:val="auto"/>
        </w:rPr>
      </w:pPr>
    </w:p>
    <w:p>
      <w:pPr>
        <w:ind w:left="532" w:right="420"/>
        <w:spacing w:after="0" w:line="268" w:lineRule="auto"/>
        <w:rPr>
          <w:sz w:val="20"/>
          <w:szCs w:val="20"/>
          <w:color w:val="auto"/>
        </w:rPr>
      </w:pPr>
      <w:r>
        <w:rPr>
          <w:rFonts w:ascii="Arial" w:cs="Arial" w:eastAsia="Arial" w:hAnsi="Arial"/>
          <w:sz w:val="18"/>
          <w:szCs w:val="18"/>
          <w:color w:val="auto"/>
        </w:rPr>
        <w:t>The fund invests in a diversified portfolio of stocks, targeting stocks of mature companies that offer long-term growth potential while also providing income.</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color w:val="auto"/>
        </w:rPr>
        <w:t>Putnam Voyager Fund</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The fund invests primarily in the stocks of large and midsize companies expected to grow over time.</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color w:val="auto"/>
        </w:rPr>
        <w:t>Putnam New Opportunities Fund</w:t>
      </w:r>
    </w:p>
    <w:p>
      <w:pPr>
        <w:spacing w:after="0" w:line="225" w:lineRule="exact"/>
        <w:rPr>
          <w:sz w:val="20"/>
          <w:szCs w:val="20"/>
          <w:color w:val="auto"/>
        </w:rPr>
      </w:pPr>
    </w:p>
    <w:p>
      <w:pPr>
        <w:ind w:left="532" w:right="440"/>
        <w:spacing w:after="0" w:line="268" w:lineRule="auto"/>
        <w:rPr>
          <w:sz w:val="20"/>
          <w:szCs w:val="20"/>
          <w:color w:val="auto"/>
        </w:rPr>
      </w:pPr>
      <w:r>
        <w:rPr>
          <w:rFonts w:ascii="Arial" w:cs="Arial" w:eastAsia="Arial" w:hAnsi="Arial"/>
          <w:sz w:val="18"/>
          <w:szCs w:val="18"/>
          <w:color w:val="auto"/>
        </w:rPr>
        <w:t>The fund invests primarily in the common stocks of companies with long-term growth potential. The Plan ceased to offer this fund as an investment option as of May 3, 2004. All existing asset balances were transferred to the Artisan Mid Cap Fund.</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color w:val="auto"/>
        </w:rPr>
        <w:t>Putnam Stable Value Fund</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6"/>
          <w:szCs w:val="16"/>
          <w:color w:val="auto"/>
        </w:rPr>
        <w:t>The fund primarily invests in investment contracts or similar investments issued by insurance companies, banks, and similar financial institutions.</w:t>
      </w:r>
    </w:p>
    <w:p>
      <w:pPr>
        <w:spacing w:after="0" w:line="248"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color w:val="auto"/>
        </w:rPr>
        <w:t>Artisan Mid Cap Fund</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The fund primarily invests in stocks of mid size companies that exhibit franchise characteristics.</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PIMCO Total Return Fund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 invests in a diversified portfolio of fixed-income securities with an average duration that varies between three and six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Templeton Institutional Funds, Inc. Foreign Equity Series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 primarily invests in the equity securities of companies located outside the U.S. including emerging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Frank Russell Small Cap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 invests primarily in the small-capitalization stocks of the U.S. stock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Rowe Price Blue Chip Growth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 invests primarily in common stocks of large- and mid-capitalization blue-chip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Rowe Price Value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 invests primarily in common stocks believed to be undervalued. Income is a secondary objective.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BGI Equity Index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 invests in the same stocks held in the S&amp;P 500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BGI U.S. Debt Index Fund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fund invests in a diversified portfolio of debt securities including U.S. Government bonds, corporate bonds, residential and commercial mortgage-backed securities, and asset-backed securities. The fund tracks the Lehman Brothers Aggregate Bond Index.</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BGI Extended Equity Market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 invests in the stocks of small and medium-sized U.S.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BGI Russell 1000 Growth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fund invests in issues of large U.S. companies that have high price-to-book ratios and higher growth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Thomson Stock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 invests in the common shares of The Thomson Corporation.</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80" w:top="131" w:right="519" w:bottom="1440" w:gutter="0" w:footer="0" w:header="0"/>
        </w:sectPr>
      </w:pPr>
    </w:p>
    <w:bookmarkStart w:id="10" w:name="page11"/>
    <w:bookmarkEnd w:id="10"/>
    <w:p>
      <w:pPr>
        <w:spacing w:after="0"/>
        <w:tabs>
          <w:tab w:leader="none" w:pos="340" w:val="left"/>
        </w:tabs>
        <w:rPr>
          <w:sz w:val="20"/>
          <w:szCs w:val="20"/>
          <w:color w:val="auto"/>
        </w:rPr>
      </w:pPr>
      <w:r>
        <w:rPr>
          <w:rFonts w:ascii="Arial" w:cs="Arial" w:eastAsia="Arial" w:hAnsi="Arial"/>
          <w:sz w:val="18"/>
          <w:szCs w:val="18"/>
          <w:b w:val="1"/>
          <w:bCs w:val="1"/>
          <w:color w:val="auto"/>
        </w:rPr>
        <w:t>4.</w:t>
        <w:tab/>
        <w:t>Investments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Investments held by the Plan at December 31, 2004 and 2003 were as follows:</w:t>
      </w:r>
    </w:p>
    <w:p>
      <w:pPr>
        <w:spacing w:after="0" w:line="221"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6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55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Putnam Voyager Fund</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294,551,124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315,039,990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Putnam Stable Value Fund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220,238,765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218,601,056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Artisan Mid Cap Fund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213,767,450</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36,765,571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Putnam Fund for Growth &amp; Income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164,373,400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161,461,331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BGI Equity Index Fund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127,992,553</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112,164,732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Templeton Institutional Funds, Inc.</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122,074,633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92,232,547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 Rowe Price Value Fund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104,139,274</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77,075,161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The George Putnam Fund of Boston</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85,069,715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85,141,405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PIMCO Total Return Fund II</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74,065,053</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69,976,082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Frank Russell Small Cap Fund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71,538,593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55,089,660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BGI Extended Equity Market Fund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53,950,111</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34,880,682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BGI U.S. Debt Index Fund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30,094,059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28,632,959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Thomson Stock Fund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13,307,488</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7,367,081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BGI Russell 1000 Growth Fund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10,651,982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2,386,843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 Rowe Price Blue Chip Growth Fund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5,127,088</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Putnam New Opportunities Fund</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145,109,922</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1,590,941,288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1,441,925,022</w:t>
            </w:r>
          </w:p>
        </w:tc>
        <w:tc>
          <w:tcPr>
            <w:tcW w:w="0" w:type="dxa"/>
            <w:vAlign w:val="bottom"/>
          </w:tcPr>
          <w:p>
            <w:pPr>
              <w:spacing w:after="0"/>
              <w:rPr>
                <w:sz w:val="1"/>
                <w:szCs w:val="1"/>
                <w:color w:val="auto"/>
              </w:rPr>
            </w:pPr>
          </w:p>
        </w:tc>
      </w:tr>
      <w:tr>
        <w:trPr>
          <w:trHeight w:val="105"/>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w w:val="92"/>
              </w:rPr>
              <w:t>The following represents investments that represent 5% or more of the Plan's net assets:</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5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5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51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Putnam Voyager Fund, 17,185,013 and 19,315,398 shares, respectively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294,551,124</w:t>
            </w: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315,039,990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Putnam Stable Value Fund, 220,238,765 and 218,601,056 shares, respectively</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220,238,765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218,601,056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Artisan Mid Cap Fund, 7,231,810 shares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213,767,450</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6"/>
              </w:rPr>
              <w:t>Putnam Fund for Growth and Income, 8,455,470 and 9,106,333 shares, respectively</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164,373,400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161,461,331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BGI Equity Index Fund, 3,543,623 and 3,441,692 shares, respectively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127,992,553</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112,164,732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Templeton Institutional Funds, 6,022,441 and 5,441,448 shares, respectively</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122,074,633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92,232,547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 Rowe Price Value Fund, 4,547,600 and 3,851,832 shares, respectively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104,139,274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77,075,161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8"/>
              </w:rPr>
              <w:t>The George Putnam Fund of Boston 4,697,428 and 5,002,433 shares, respectively</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85,069,715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85,141,405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Putnam New Opportunities Fund, 3,738,838 shares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145,109,922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-4883150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-4883150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-4883150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-4883150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-2533650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-2533650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-2533650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-2533650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-1564640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-1564640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-1315720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-1315720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-1315720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-1315720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1" w:lineRule="exact"/>
        <w:rPr>
          <w:sz w:val="20"/>
          <w:szCs w:val="20"/>
          <w:color w:val="auto"/>
        </w:rPr>
      </w:pPr>
    </w:p>
    <w:p>
      <w:pPr>
        <w:ind w:left="5680" w:right="3160" w:hanging="5132"/>
        <w:spacing w:after="0" w:line="519" w:lineRule="auto"/>
        <w:tabs>
          <w:tab w:leader="none" w:pos="10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investment value of the fund in the year shown did not exceed 5% of the Plan's net assets.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25" w:right="799" w:bottom="1440" w:gutter="0" w:footer="0" w:header="0"/>
        </w:sectPr>
      </w:pPr>
    </w:p>
    <w:bookmarkStart w:id="11" w:name="page12"/>
    <w:bookmarkEnd w:id="11"/>
    <w:tbl>
      <w:tblPr>
        <w:tblLayout w:type="fixed"/>
        <w:tblInd w:w="540" w:type="dxa"/>
        <w:tblCellMar>
          <w:top w:w="0" w:type="dxa"/>
          <w:left w:w="0" w:type="dxa"/>
          <w:bottom w:w="0" w:type="dxa"/>
          <w:right w:w="0" w:type="dxa"/>
        </w:tblCellMar>
      </w:tblP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Investment income of the Plan for the year ended December 31, 2004 was as follows:</w:t>
            </w: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22,950,337</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appreciation in fair value of investments</w:t>
            </w: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122,229,115</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145,179,452</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7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-323215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-323215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During 2004, the Plan's investments (including gains and losses on investments bought and sold, as well as held during the year) appreciated in value by $122,229,115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91,808,279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Commingled trusts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30,327,580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Thomson Stock Fund</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93,256</w:t>
            </w:r>
          </w:p>
        </w:tc>
      </w:tr>
      <w:tr>
        <w:trPr>
          <w:trHeight w:val="118"/>
        </w:trPr>
        <w:tc>
          <w:tcPr>
            <w:tcW w:w="87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874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122,229,115</w:t>
            </w:r>
          </w:p>
        </w:tc>
      </w:tr>
      <w:tr>
        <w:trPr>
          <w:trHeight w:val="107"/>
        </w:trPr>
        <w:tc>
          <w:tcPr>
            <w:tcW w:w="8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61"/>
        </w:trPr>
        <w:tc>
          <w:tcPr>
            <w:tcW w:w="87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-323215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-323215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Status</w:t>
      </w:r>
    </w:p>
    <w:p>
      <w:pPr>
        <w:spacing w:after="0" w:line="231"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The Internal Revenue Service has determined and informed management by a letter dated September 26, 2002, that the Plan, as then in effect, was designed in accordance with the applicable sections of the IRC. Although the Plan has been amended subsequent to the receipt of the latest determination letter, the Plan administrator and the Plan's tax counsel believe that the Plan is designed and is currently being operated in compliance with the applicable requirements of the IRC. Accordingly, no provision for income taxes has been made in the accompanying financial statements.</w:t>
      </w:r>
    </w:p>
    <w:p>
      <w:pPr>
        <w:spacing w:after="0" w:line="16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Form 5500 at: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62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tcPr>
          <w:p>
            <w:pPr>
              <w:jc w:val="right"/>
              <w:ind w:right="617"/>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assets available for benefits per the financial statements</w:t>
            </w:r>
          </w:p>
        </w:tc>
        <w:tc>
          <w:tcPr>
            <w:tcW w:w="2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1,628,084,582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1,477,604,119</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Amounts allocated to withdrawing participants</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(506,762)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(275,874)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available for benefits per the Form 5500</w:t>
            </w:r>
          </w:p>
        </w:tc>
        <w:tc>
          <w:tcPr>
            <w:tcW w:w="2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1,627,577,820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1,477,328,245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40" w:type="dxa"/>
            <w:vAlign w:val="bottom"/>
            <w:vMerge w:val="restart"/>
          </w:tcPr>
          <w:p>
            <w:pPr>
              <w:jc w:val="right"/>
              <w:ind w:right="1352"/>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6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6812280</wp:posOffset>
            </wp:positionH>
            <wp:positionV relativeFrom="paragraph">
              <wp:posOffset>-1497965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-1497965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-1249045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-1249045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-1249045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-1249045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-820420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-820420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-820420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-820420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ind w:left="532"/>
        <w:spacing w:after="0"/>
        <w:rPr>
          <w:sz w:val="20"/>
          <w:szCs w:val="20"/>
          <w:color w:val="auto"/>
        </w:rPr>
      </w:pPr>
      <w:r>
        <w:rPr>
          <w:rFonts w:ascii="Arial" w:cs="Arial" w:eastAsia="Arial" w:hAnsi="Arial"/>
          <w:sz w:val="16"/>
          <w:szCs w:val="16"/>
          <w:color w:val="auto"/>
        </w:rPr>
        <w:t>The following is a reconciliation of benefits paid to participants per the financial statements for the year ended December 31, 2004 to the Form 5500:</w:t>
      </w:r>
    </w:p>
    <w:p>
      <w:pPr>
        <w:spacing w:after="0" w:line="257" w:lineRule="exact"/>
        <w:rPr>
          <w:sz w:val="20"/>
          <w:szCs w:val="20"/>
          <w:color w:val="auto"/>
        </w:rPr>
      </w:pPr>
    </w:p>
    <w:tbl>
      <w:tblPr>
        <w:tblLayout w:type="fixed"/>
        <w:tblInd w:w="572" w:type="dxa"/>
        <w:tblCellMar>
          <w:top w:w="0" w:type="dxa"/>
          <w:left w:w="0" w:type="dxa"/>
          <w:bottom w:w="0" w:type="dxa"/>
          <w:right w:w="0" w:type="dxa"/>
        </w:tblCellMar>
      </w:tblP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Benefits paid to participants per the financial statements</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129,259,399</w:t>
            </w:r>
          </w:p>
        </w:tc>
        <w:tc>
          <w:tcPr>
            <w:tcW w:w="12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Less — Amounts allocated to withdrawing participants at December 31, 2003</w:t>
            </w:r>
          </w:p>
        </w:tc>
        <w:tc>
          <w:tcPr>
            <w:tcW w:w="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(275,874)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 — Amounts allocated to withdrawing participants at December 31, 2004</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506,762</w:t>
            </w:r>
          </w:p>
        </w:tc>
        <w:tc>
          <w:tcPr>
            <w:tcW w:w="120" w:type="dxa"/>
            <w:vAlign w:val="bottom"/>
            <w:shd w:val="clear" w:color="auto" w:fill="CCEEFF"/>
          </w:tcPr>
          <w:p>
            <w:pPr>
              <w:spacing w:after="0"/>
              <w:rPr>
                <w:sz w:val="18"/>
                <w:szCs w:val="18"/>
                <w:color w:val="auto"/>
              </w:rPr>
            </w:pPr>
          </w:p>
        </w:tc>
      </w:tr>
      <w:tr>
        <w:trPr>
          <w:trHeight w:val="118"/>
        </w:trPr>
        <w:tc>
          <w:tcPr>
            <w:tcW w:w="86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600" w:type="dxa"/>
            <w:vAlign w:val="bottom"/>
          </w:tcPr>
          <w:p>
            <w:pPr>
              <w:ind w:left="200"/>
              <w:spacing w:after="0"/>
              <w:rPr>
                <w:sz w:val="20"/>
                <w:szCs w:val="20"/>
                <w:color w:val="auto"/>
              </w:rPr>
            </w:pPr>
            <w:r>
              <w:rPr>
                <w:rFonts w:ascii="Arial" w:cs="Arial" w:eastAsia="Arial" w:hAnsi="Arial"/>
                <w:sz w:val="18"/>
                <w:szCs w:val="18"/>
                <w:color w:val="auto"/>
              </w:rPr>
              <w:t>Benefits paid to participants per the Form 5500, Schedule H, Part II (lines e(4), f and g)</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129,490,287</w:t>
            </w:r>
          </w:p>
        </w:tc>
        <w:tc>
          <w:tcPr>
            <w:tcW w:w="120" w:type="dxa"/>
            <w:vAlign w:val="bottom"/>
          </w:tcPr>
          <w:p>
            <w:pPr>
              <w:spacing w:after="0"/>
              <w:rPr>
                <w:sz w:val="24"/>
                <w:szCs w:val="24"/>
                <w:color w:val="auto"/>
              </w:rPr>
            </w:pPr>
          </w:p>
        </w:tc>
      </w:tr>
      <w:tr>
        <w:trPr>
          <w:trHeight w:val="107"/>
        </w:trPr>
        <w:tc>
          <w:tcPr>
            <w:tcW w:w="8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86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6807200</wp:posOffset>
            </wp:positionH>
            <wp:positionV relativeFrom="paragraph">
              <wp:posOffset>-323215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5821045</wp:posOffset>
            </wp:positionH>
            <wp:positionV relativeFrom="paragraph">
              <wp:posOffset>-323215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Amounts allocated to withdrawing participants are recorded on the Form 5500 for benefit claims that have been processed and approved for payment prior to December 31, 2004, but not yet paid as of that date.</w:t>
      </w:r>
    </w:p>
    <w:p>
      <w:pPr>
        <w:spacing w:after="0" w:line="180" w:lineRule="exact"/>
        <w:rPr>
          <w:sz w:val="20"/>
          <w:szCs w:val="20"/>
          <w:color w:val="auto"/>
        </w:rPr>
      </w:pPr>
    </w:p>
    <w:p>
      <w:pPr>
        <w:ind w:left="352" w:hanging="352"/>
        <w:spacing w:after="0"/>
        <w:tabs>
          <w:tab w:leader="none" w:pos="3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left="532" w:right="480"/>
        <w:spacing w:after="0" w:line="268" w:lineRule="auto"/>
        <w:rPr>
          <w:sz w:val="20"/>
          <w:szCs w:val="20"/>
          <w:color w:val="auto"/>
        </w:rPr>
      </w:pPr>
      <w:r>
        <w:rPr>
          <w:rFonts w:ascii="Arial" w:cs="Arial" w:eastAsia="Arial" w:hAnsi="Arial"/>
          <w:sz w:val="18"/>
          <w:szCs w:val="18"/>
          <w:color w:val="auto"/>
        </w:rPr>
        <w:t>Certain Plan investments are mutual funds managed by Putnam. Putnam is the trustee as defined by the Plan, therefore, these transactions qualify as parties-in-interest.</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6"/>
          <w:szCs w:val="16"/>
          <w:color w:val="auto"/>
        </w:rPr>
        <w:t>Loan origination and maintenance fees paid by the participants of the Plan to Putnam amounted to $123,967 for the year ended December 31, 2004.</w:t>
      </w:r>
    </w:p>
    <w:p>
      <w:pPr>
        <w:spacing w:after="0" w:line="248" w:lineRule="exact"/>
        <w:rPr>
          <w:sz w:val="20"/>
          <w:szCs w:val="20"/>
          <w:color w:val="auto"/>
        </w:rPr>
      </w:pPr>
    </w:p>
    <w:p>
      <w:pPr>
        <w:ind w:left="532"/>
        <w:spacing w:after="0"/>
        <w:rPr>
          <w:sz w:val="20"/>
          <w:szCs w:val="20"/>
          <w:color w:val="auto"/>
        </w:rPr>
      </w:pPr>
      <w:r>
        <w:rPr>
          <w:rFonts w:ascii="Arial" w:cs="Arial" w:eastAsia="Arial" w:hAnsi="Arial"/>
          <w:sz w:val="18"/>
          <w:szCs w:val="18"/>
          <w:color w:val="auto"/>
        </w:rPr>
        <w:t>As of December 31, 2004, the Plan held 377,089 common shares of The Thomson Corporation valued at $13,307,488.</w:t>
      </w:r>
    </w:p>
    <w:p>
      <w:pPr>
        <w:spacing w:after="0" w:line="225" w:lineRule="exact"/>
        <w:rPr>
          <w:sz w:val="20"/>
          <w:szCs w:val="20"/>
          <w:color w:val="auto"/>
        </w:rPr>
      </w:pPr>
    </w:p>
    <w:p>
      <w:pPr>
        <w:ind w:left="532" w:right="100"/>
        <w:spacing w:after="0" w:line="259" w:lineRule="auto"/>
        <w:rPr>
          <w:sz w:val="20"/>
          <w:szCs w:val="20"/>
          <w:color w:val="auto"/>
        </w:rPr>
      </w:pPr>
      <w:r>
        <w:rPr>
          <w:rFonts w:ascii="Arial" w:cs="Arial" w:eastAsia="Arial" w:hAnsi="Arial"/>
          <w:sz w:val="18"/>
          <w:szCs w:val="18"/>
          <w:color w:val="auto"/>
        </w:rPr>
        <w:t>The employees of Jane's Information Group ("Jane's"), a business unit sold in April 2001 by The Thomson Corporation to its principal shareholder, The Woodbridge Company Limited, continue to participate in the Plan. Jane's matches the contributions of its employees in accordance with the provisions of the Plan.</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13" w:name="page14"/>
    <w:bookmarkEnd w:id="13"/>
    <w:p>
      <w:pPr>
        <w:ind w:left="352" w:hanging="352"/>
        <w:spacing w:after="0"/>
        <w:tabs>
          <w:tab w:leader="none" w:pos="3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1" w:lineRule="exact"/>
        <w:rPr>
          <w:sz w:val="20"/>
          <w:szCs w:val="20"/>
          <w:color w:val="auto"/>
        </w:rPr>
      </w:pPr>
    </w:p>
    <w:p>
      <w:pPr>
        <w:ind w:left="532"/>
        <w:spacing w:after="0" w:line="259" w:lineRule="auto"/>
        <w:rPr>
          <w:sz w:val="20"/>
          <w:szCs w:val="20"/>
          <w:color w:val="auto"/>
        </w:rPr>
      </w:pPr>
      <w:r>
        <w:rPr>
          <w:rFonts w:ascii="Arial" w:cs="Arial" w:eastAsia="Arial" w:hAnsi="Arial"/>
          <w:sz w:val="18"/>
          <w:szCs w:val="18"/>
          <w:color w:val="auto"/>
        </w:rPr>
        <w:t>Effective as of January 1, 2005, there was a change to participation eligibility such that all full-time employees of the Company are eligible to participate in the Plan as soon as employment commences. Also effective January 1, 2005 was an increase to the participant contribution percentage limit for non-highly compensated employees from 16% to 25%.</w:t>
      </w:r>
    </w:p>
    <w:p>
      <w:pPr>
        <w:spacing w:after="0" w:line="194" w:lineRule="exact"/>
        <w:rPr>
          <w:sz w:val="20"/>
          <w:szCs w:val="20"/>
          <w:color w:val="auto"/>
        </w:rPr>
      </w:pPr>
    </w:p>
    <w:p>
      <w:pPr>
        <w:ind w:left="532" w:right="160"/>
        <w:spacing w:after="0" w:line="268" w:lineRule="auto"/>
        <w:rPr>
          <w:sz w:val="20"/>
          <w:szCs w:val="20"/>
          <w:color w:val="auto"/>
        </w:rPr>
      </w:pPr>
      <w:r>
        <w:rPr>
          <w:rFonts w:ascii="Arial" w:cs="Arial" w:eastAsia="Arial" w:hAnsi="Arial"/>
          <w:sz w:val="18"/>
          <w:szCs w:val="18"/>
          <w:color w:val="auto"/>
        </w:rPr>
        <w:t>Effective as of January 1, 2005, the Plan trustee changed its name from Putnam Fiduciary Trust Company to Mercer Trust Company and the appointed Plan administrator changed its name from Putnam to Mercer HR Outsourcing.</w:t>
      </w:r>
    </w:p>
    <w:p>
      <w:pPr>
        <w:spacing w:after="0" w:line="186" w:lineRule="exact"/>
        <w:rPr>
          <w:sz w:val="20"/>
          <w:szCs w:val="20"/>
          <w:color w:val="auto"/>
        </w:rPr>
      </w:pPr>
    </w:p>
    <w:p>
      <w:pPr>
        <w:ind w:left="532"/>
        <w:spacing w:after="0" w:line="255" w:lineRule="auto"/>
        <w:rPr>
          <w:sz w:val="20"/>
          <w:szCs w:val="20"/>
          <w:color w:val="auto"/>
        </w:rPr>
      </w:pPr>
      <w:r>
        <w:rPr>
          <w:rFonts w:ascii="Arial" w:cs="Arial" w:eastAsia="Arial" w:hAnsi="Arial"/>
          <w:sz w:val="18"/>
          <w:szCs w:val="18"/>
          <w:color w:val="auto"/>
        </w:rPr>
        <w:t>As of March 28, 2005, there was a change to the distribution options for participants who are no longer active as a result of termination, retirement, disability or death and whose account balances are less than $5,000, but greater than $1,000. The participant can elect to receive either a lump-sum payment or the balance can be rolled into an Investment Retirement Account ("IRA"), as defined by the IRC. If no election is made, the account balance will automatically be rolled into an IRA after 30 days. Participants with balances less than $1,000 will be required to receive their distribution as a lump-sum payment.</w:t>
      </w:r>
    </w:p>
    <w:p>
      <w:pPr>
        <w:spacing w:after="0" w:line="197"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The Thomson 401(k) Savings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4i of Part IV of Schedule 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3"/>
          </w:tcPr>
          <w:p>
            <w:pPr>
              <w:ind w:left="1340"/>
              <w:spacing w:after="0"/>
              <w:rPr>
                <w:sz w:val="20"/>
                <w:szCs w:val="20"/>
                <w:color w:val="auto"/>
              </w:rPr>
            </w:pPr>
            <w:r>
              <w:rPr>
                <w:rFonts w:ascii="Arial" w:cs="Arial" w:eastAsia="Arial" w:hAnsi="Arial"/>
                <w:sz w:val="18"/>
                <w:szCs w:val="18"/>
                <w:b w:val="1"/>
                <w:bCs w:val="1"/>
                <w:color w:val="auto"/>
                <w:w w:val="84"/>
              </w:rPr>
              <w:t>Schedule I</w:t>
            </w:r>
          </w:p>
        </w:tc>
        <w:tc>
          <w:tcPr>
            <w:tcW w:w="0" w:type="dxa"/>
            <w:vAlign w:val="bottom"/>
          </w:tcPr>
          <w:p>
            <w:pPr>
              <w:spacing w:after="0"/>
              <w:rPr>
                <w:sz w:val="1"/>
                <w:szCs w:val="1"/>
                <w:color w:val="auto"/>
              </w:rPr>
            </w:pPr>
          </w:p>
        </w:tc>
      </w:tr>
      <w:tr>
        <w:trPr>
          <w:trHeight w:val="380"/>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Identity of issuer</w:t>
            </w:r>
          </w:p>
        </w:tc>
        <w:tc>
          <w:tcPr>
            <w:tcW w:w="43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Description of investment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Putnam Voyager Fund*</w:t>
            </w: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Open-end mutual fund</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294,551,124</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Putnam Stable Value Fund*</w:t>
            </w: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Collective investment trust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220,238,765**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Artisan Mid Cap Fund</w:t>
            </w: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Open-end mutual fund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213,767,450</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Putnam Fund for Growth &amp; Income*</w:t>
            </w: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Open-end mutual fund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164,373,400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BGI Equity Index Fund</w:t>
            </w: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Commingled trust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127,992,553</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Templeton Institutional Funds, Inc.</w:t>
            </w: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Open-end mutual fund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122,074,633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 Rowe Price Value Fund</w:t>
            </w: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Open-end mutual fund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104,139,274</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The George Putnam Fund of Boston*</w:t>
            </w: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Open-end mutual fund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85,069,715</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PIMCO Total Return Fund II</w:t>
            </w: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Open-end mutual fund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74,065,053</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Frank Russell Small Cap Fund</w:t>
            </w: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Commingled trust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71,538,593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BGI Extended Equity Market Fund</w:t>
            </w: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Commingled trust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53,950,111</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BGI U.S. Debt Index Fund</w:t>
            </w: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Commingled trust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30,094,059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Thomson Stock Fund*</w:t>
            </w: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fund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13,307,488</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BGI Russell 1000 Growth Fund</w:t>
            </w: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Commingled trust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10,651,982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 Rowe Price Blue Chip Growth Fund</w:t>
            </w: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Open-end mutual fund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5,127,088</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19,613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1,590,960,901</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Loan Fund*</w:t>
            </w: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w w:val="98"/>
              </w:rPr>
              <w:t>Loans to participants (maturities range from 2004 to</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2031; interest rates range from 5% to 12%)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33,836,446</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held for investment purposes</w:t>
            </w:r>
          </w:p>
        </w:tc>
        <w:tc>
          <w:tcPr>
            <w:tcW w:w="2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1,624,797,347</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-3084195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-3084195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-3084195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-3084195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-3084195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-3084195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-323215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-323215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Parties-in-interest.</w:t>
      </w:r>
    </w:p>
    <w:p>
      <w:pPr>
        <w:spacing w:after="0" w:line="25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Valued at contract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Plan Administrator has duly caused this annual report to be signed on its behalf by the undersigned, thereunto duly authorized.</w:t>
      </w:r>
    </w:p>
    <w:p>
      <w:pPr>
        <w:spacing w:after="0" w:line="18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THOMSON 401(k) SAVINGS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2005</w:t>
      </w:r>
    </w:p>
    <w:p>
      <w:pPr>
        <w:spacing w:after="0" w:line="225" w:lineRule="exact"/>
        <w:rPr>
          <w:sz w:val="20"/>
          <w:szCs w:val="20"/>
          <w:color w:val="auto"/>
        </w:rPr>
      </w:pPr>
    </w:p>
    <w:p>
      <w:pPr>
        <w:ind w:left="5260"/>
        <w:spacing w:after="0"/>
        <w:tabs>
          <w:tab w:leader="none" w:pos="5700" w:val="left"/>
        </w:tabs>
        <w:rPr>
          <w:sz w:val="20"/>
          <w:szCs w:val="20"/>
          <w:color w:val="auto"/>
        </w:rPr>
      </w:pPr>
      <w:r>
        <w:rPr>
          <w:rFonts w:ascii="Arial" w:cs="Arial" w:eastAsia="Arial" w:hAnsi="Arial"/>
          <w:sz w:val="18"/>
          <w:szCs w:val="18"/>
          <w:color w:val="auto"/>
        </w:rPr>
        <w:t>By:</w:t>
        <w:tab/>
        <w:t>/s/ JOHN J. RAFFAELI,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J. Raffaeli, Jr.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 Human Resources,</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The Thomson Corporation</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6" w:name="page17"/>
    <w:bookmarkEnd w:id="16"/>
    <w:p>
      <w:pPr>
        <w:jc w:val="right"/>
        <w:ind w:right="3839"/>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81355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THE THOMSON 401(k) SAVINGS PLAN INDEX TO FINANCIAL STATEMENTS AND EXHIBITS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SIGNATURE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820" w:right="1440" w:bottom="1440" w:gutter="0" w:footer="0" w:header="0"/>
        </w:sectPr>
      </w:pPr>
    </w:p>
    <w:bookmarkStart w:id="18" w:name="page19"/>
    <w:bookmarkEnd w:id="18"/>
    <w:p>
      <w:pPr>
        <w:spacing w:after="0"/>
        <w:rPr>
          <w:rFonts w:ascii="Arial" w:cs="Arial" w:eastAsia="Arial" w:hAnsi="Arial"/>
          <w:sz w:val="22"/>
          <w:szCs w:val="22"/>
          <w:color w:val="0000EE"/>
        </w:rPr>
      </w:pPr>
      <w:hyperlink w:anchor="page2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23</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333-105280) of The Thomson Corporation of our report dated June 28, 2005 relating to the financial statements of The Thomson 401(k) Savings Plan, which appears in this Form 11-K.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Exhibit 23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upperLetter"/>
      <w:start w:val="1"/>
    </w:lvl>
  </w:abstractNum>
  <w:abstractNum w:abstractNumId="3">
    <w:nsid w:val="216231B"/>
    <w:multiLevelType w:val="hybridMultilevel"/>
    <w:lvl w:ilvl="0">
      <w:lvlJc w:val="left"/>
      <w:lvlText w:val="%1."/>
      <w:numFmt w:val="upperLetter"/>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2"/>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decimal"/>
      <w:start w:val="6"/>
    </w:lvl>
  </w:abstractNum>
  <w:abstractNum w:abstractNumId="13">
    <w:nsid w:val="41A7C4C9"/>
    <w:multiLevelType w:val="hybridMultilevel"/>
    <w:lvl w:ilvl="0">
      <w:lvlJc w:val="left"/>
      <w:lvlText w:val="%1."/>
      <w:numFmt w:val="decimal"/>
      <w:start w:val="7"/>
    </w:lvl>
  </w:abstractNum>
  <w:abstractNum w:abstractNumId="14">
    <w:nsid w:val="6B68079A"/>
    <w:multiLevelType w:val="hybridMultilevel"/>
    <w:lvl w:ilvl="0">
      <w:lvlJc w:val="left"/>
      <w:lvlText w:val="%1."/>
      <w:numFmt w:val="decimal"/>
      <w:start w:val="8"/>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2019-12-14T21:02:46Z</dcterms:created>
  <dcterms:modified xsi:type="dcterms:W3CDTF">2019-12-14T21:02:46Z</dcterms:modified>
</cp:coreProperties>
</file>