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327660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336" w:lineRule="exact"/>
        <w:rPr>
          <w:sz w:val="24"/>
          <w:szCs w:val="24"/>
          <w:color w:val="auto"/>
        </w:rPr>
      </w:pPr>
    </w:p>
    <w:p>
      <w:pPr>
        <w:spacing w:after="0"/>
        <w:tabs>
          <w:tab w:leader="none" w:pos="8320" w:val="left"/>
        </w:tabs>
        <w:rPr>
          <w:sz w:val="20"/>
          <w:szCs w:val="20"/>
          <w:color w:val="auto"/>
        </w:rPr>
      </w:pPr>
      <w:r>
        <w:rPr>
          <w:rFonts w:ascii="Times New Roman" w:cs="Times New Roman" w:eastAsia="Times New Roman" w:hAnsi="Times New Roman"/>
          <w:sz w:val="18"/>
          <w:szCs w:val="18"/>
          <w:b w:val="1"/>
          <w:bCs w:val="1"/>
          <w:color w:val="auto"/>
        </w:rPr>
        <w:t>For the month of August 2025</w:t>
      </w:r>
      <w:r>
        <w:rPr>
          <w:sz w:val="20"/>
          <w:szCs w:val="20"/>
          <w:color w:val="auto"/>
        </w:rPr>
        <w:tab/>
      </w:r>
      <w:r>
        <w:rPr>
          <w:rFonts w:ascii="Times New Roman" w:cs="Times New Roman" w:eastAsia="Times New Roman" w:hAnsi="Times New Roman"/>
          <w:sz w:val="18"/>
          <w:szCs w:val="18"/>
          <w:b w:val="1"/>
          <w:bCs w:val="1"/>
          <w:color w:val="auto"/>
        </w:rPr>
        <w:t>Commission File Number: 1-31349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320040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THOMSON REUTERS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313055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19 Duncan Street, Toronto,</w:t>
      </w:r>
    </w:p>
    <w:p>
      <w:pPr>
        <w:spacing w:after="0" w:line="3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Ontario M5H 3H1, Canada</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20"/>
        <w:spacing w:after="0" w:line="207" w:lineRule="exact"/>
        <w:tabs>
          <w:tab w:leader="none" w:pos="120" w:val="left"/>
          <w:tab w:leader="none" w:pos="120" w:val="left"/>
          <w:tab w:leader="none" w:pos="1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523240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566420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943" w:right="439"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THOMSON REUTERS CORPORATION</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Jennifer Ruddick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620" w:val="left"/>
        </w:tabs>
        <w:rPr>
          <w:sz w:val="20"/>
          <w:szCs w:val="20"/>
          <w:color w:val="auto"/>
        </w:rPr>
      </w:pPr>
      <w:r>
        <w:rPr>
          <w:rFonts w:ascii="Times New Roman" w:cs="Times New Roman" w:eastAsia="Times New Roman" w:hAnsi="Times New Roman"/>
          <w:sz w:val="18"/>
          <w:szCs w:val="18"/>
          <w:color w:val="auto"/>
        </w:rPr>
        <w:t>Name: </w:t>
      </w:r>
      <w:r>
        <w:rPr>
          <w:sz w:val="20"/>
          <w:szCs w:val="20"/>
          <w:color w:val="auto"/>
        </w:rPr>
        <w:tab/>
      </w:r>
      <w:r>
        <w:rPr>
          <w:rFonts w:ascii="Times New Roman" w:cs="Times New Roman" w:eastAsia="Times New Roman" w:hAnsi="Times New Roman"/>
          <w:sz w:val="17"/>
          <w:szCs w:val="17"/>
          <w:color w:val="auto"/>
        </w:rPr>
        <w:t>Jennifer Ruddick</w:t>
      </w:r>
    </w:p>
    <w:p>
      <w:pPr>
        <w:spacing w:after="0" w:line="27" w:lineRule="exact"/>
        <w:rPr>
          <w:sz w:val="20"/>
          <w:szCs w:val="20"/>
          <w:color w:val="auto"/>
        </w:rPr>
      </w:pPr>
    </w:p>
    <w:p>
      <w:pPr>
        <w:ind w:left="6980"/>
        <w:spacing w:after="0"/>
        <w:tabs>
          <w:tab w:leader="none" w:pos="7520" w:val="left"/>
        </w:tabs>
        <w:rPr>
          <w:sz w:val="20"/>
          <w:szCs w:val="20"/>
          <w:color w:val="auto"/>
        </w:rPr>
      </w:pPr>
      <w:r>
        <w:rPr>
          <w:rFonts w:ascii="Times New Roman" w:cs="Times New Roman" w:eastAsia="Times New Roman" w:hAnsi="Times New Roman"/>
          <w:sz w:val="18"/>
          <w:szCs w:val="18"/>
          <w:color w:val="auto"/>
        </w:rPr>
        <w:t>Title: </w:t>
      </w:r>
      <w:r>
        <w:rPr>
          <w:sz w:val="20"/>
          <w:szCs w:val="20"/>
          <w:color w:val="auto"/>
        </w:rPr>
        <w:tab/>
      </w:r>
      <w:r>
        <w:rPr>
          <w:rFonts w:ascii="Times New Roman" w:cs="Times New Roman" w:eastAsia="Times New Roman" w:hAnsi="Times New Roman"/>
          <w:sz w:val="17"/>
          <w:szCs w:val="17"/>
          <w:color w:val="auto"/>
        </w:rPr>
        <w:t>  Deputy Company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ectPr>
          <w:pgSz w:w="11900" w:h="16838" w:orient="portrait"/>
          <w:cols w:equalWidth="0" w:num="1">
            <w:col w:w="10260"/>
          </w:cols>
          <w:pgMar w:left="440" w:top="266" w:right="1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80" w:type="dxa"/>
            <w:vAlign w:val="bottom"/>
          </w:tcPr>
          <w:p>
            <w:pPr>
              <w:ind w:left="22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Exhibit Number</w:t>
            </w:r>
          </w:p>
        </w:tc>
        <w:tc>
          <w:tcPr>
            <w:tcW w:w="94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w:t>
            </w:r>
          </w:p>
        </w:tc>
        <w:tc>
          <w:tcPr>
            <w:tcW w:w="6080" w:type="dxa"/>
            <w:vAlign w:val="bottom"/>
          </w:tcPr>
          <w:p>
            <w:pPr>
              <w:spacing w:after="0"/>
              <w:rPr>
                <w:sz w:val="24"/>
                <w:szCs w:val="24"/>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4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News release dated August 6, 2025 – Thomson Reuters Reports Second-Quarter 2025 Results</w:t>
            </w: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1208405" cy="677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840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Reports Second-Quarter 2025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TORONTO, August 6, 2025 </w:t>
      </w:r>
      <w:r>
        <w:rPr>
          <w:rFonts w:ascii="Arial" w:cs="Arial" w:eastAsia="Arial" w:hAnsi="Arial"/>
          <w:sz w:val="18"/>
          <w:szCs w:val="18"/>
          <w:color w:val="auto"/>
        </w:rPr>
        <w:t>– Thomson Reuters (TSX/Nasdaq: TRI) today reported results for the second quarter ended June 30, 2025:</w:t>
      </w:r>
    </w:p>
    <w:p>
      <w:pPr>
        <w:spacing w:after="0" w:line="239" w:lineRule="exact"/>
        <w:rPr>
          <w:sz w:val="20"/>
          <w:szCs w:val="20"/>
          <w:color w:val="auto"/>
        </w:rPr>
      </w:pPr>
    </w:p>
    <w:p>
      <w:pPr>
        <w:ind w:left="420" w:hanging="316"/>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Good revenue momentum continued in the second quarter</w:t>
      </w:r>
    </w:p>
    <w:p>
      <w:pPr>
        <w:spacing w:after="0" w:line="13" w:lineRule="exact"/>
        <w:rPr>
          <w:rFonts w:ascii="Arial" w:cs="Arial" w:eastAsia="Arial" w:hAnsi="Arial"/>
          <w:sz w:val="18"/>
          <w:szCs w:val="18"/>
          <w:color w:val="auto"/>
        </w:rPr>
      </w:pPr>
    </w:p>
    <w:p>
      <w:pPr>
        <w:ind w:left="420" w:hanging="316"/>
        <w:spacing w:after="0" w:line="234"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company revenues up 3% / organic revenues up 7%</w:t>
      </w:r>
    </w:p>
    <w:p>
      <w:pPr>
        <w:ind w:left="960" w:hanging="424"/>
        <w:spacing w:after="0" w:line="234" w:lineRule="auto"/>
        <w:tabs>
          <w:tab w:leader="none" w:pos="960" w:val="left"/>
        </w:tabs>
        <w:numPr>
          <w:ilvl w:val="1"/>
          <w:numId w:val="1"/>
        </w:numPr>
        <w:rPr>
          <w:rFonts w:ascii="Arial" w:cs="Arial" w:eastAsia="Arial" w:hAnsi="Arial"/>
          <w:sz w:val="18"/>
          <w:szCs w:val="18"/>
          <w:color w:val="auto"/>
        </w:rPr>
      </w:pPr>
      <w:r>
        <w:rPr>
          <w:rFonts w:ascii="Arial" w:cs="Arial" w:eastAsia="Arial" w:hAnsi="Arial"/>
          <w:sz w:val="18"/>
          <w:szCs w:val="18"/>
          <w:color w:val="auto"/>
        </w:rPr>
        <w:t>Organic revenues up 9% for the “Big 3” segments (Legal Professionals, Corporates and Tax &amp; Accounting Professionals)</w:t>
      </w:r>
    </w:p>
    <w:p>
      <w:pPr>
        <w:ind w:left="420" w:hanging="316"/>
        <w:spacing w:after="0" w:line="234"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Maintained full-year 2025 outlook for organic revenue growth, adjusted EBITDA margin and free cash flow</w:t>
      </w:r>
    </w:p>
    <w:p>
      <w:pPr>
        <w:ind w:left="420" w:hanging="316"/>
        <w:spacing w:after="0" w:line="234"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Repaid Canadian $1.4 billion notes (U.S. $1.0 billion) with cash on hand in May 2025</w:t>
      </w:r>
    </w:p>
    <w:p>
      <w:pPr>
        <w:ind w:left="420" w:hanging="316"/>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Launching new agentic AI solutions leveraging Thomson Reuters content and tools for our legal, tax and accounting markets</w:t>
      </w:r>
    </w:p>
    <w:p>
      <w:pPr>
        <w:spacing w:after="0" w:line="19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“We saw good momentum continue in the second quarter, with revenue in-line and margins modestly ahead of our expectations”, said Steve Hasker, President and CEO of Thomson Reuters. “We remain focused on delivering product innovation across our portfolio, as exemplified by the launch of CoCounsel Legal, including Deep Research on Westlaw and guided workflows, and CoCounsel for tax, audit and accounting. With these advanced agentic AI offerings, we continue to leverage our authoritative content and deep expertise to bring transformative professional-grade AI solutions to our markets.”</w:t>
      </w:r>
    </w:p>
    <w:p>
      <w:pPr>
        <w:spacing w:after="0" w:line="176"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Mr. Hasker added, “As we look ahead, we remain committed to a balanced capital allocation approach and continue to assess inorganic opportunities as they arise, while focusing on delivering sustained value creation through a long-term investment strategy.”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Highlights—Three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7003415" cy="2880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288036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0" w:type="dxa"/>
            <w:vAlign w:val="bottom"/>
            <w:gridSpan w:val="2"/>
          </w:tcPr>
          <w:p>
            <w:pPr>
              <w:jc w:val="center"/>
              <w:spacing w:after="0"/>
              <w:rPr>
                <w:sz w:val="20"/>
                <w:szCs w:val="20"/>
                <w:color w:val="auto"/>
              </w:rPr>
            </w:pPr>
            <w:r>
              <w:rPr>
                <w:rFonts w:ascii="Arial" w:cs="Arial" w:eastAsia="Arial" w:hAnsi="Arial"/>
                <w:sz w:val="14"/>
                <w:szCs w:val="14"/>
                <w:color w:val="auto"/>
              </w:rPr>
              <w:t>(Millions of U.S. dollars, except for EPS)</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0" w:type="dxa"/>
            <w:vAlign w:val="bottom"/>
            <w:gridSpan w:val="2"/>
          </w:tcPr>
          <w:p>
            <w:pPr>
              <w:jc w:val="center"/>
              <w:spacing w:after="0"/>
              <w:rPr>
                <w:sz w:val="20"/>
                <w:szCs w:val="20"/>
                <w:color w:val="auto"/>
              </w:rPr>
            </w:pPr>
            <w:r>
              <w:rPr>
                <w:rFonts w:ascii="Arial" w:cs="Arial" w:eastAsia="Arial" w:hAnsi="Arial"/>
                <w:sz w:val="14"/>
                <w:szCs w:val="14"/>
                <w:color w:val="auto"/>
              </w:rPr>
              <w:t>(unaudited)</w:t>
            </w:r>
          </w:p>
        </w:tc>
        <w:tc>
          <w:tcPr>
            <w:tcW w:w="4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2025</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2024</w:t>
            </w:r>
          </w:p>
        </w:tc>
        <w:tc>
          <w:tcPr>
            <w:tcW w:w="460" w:type="dxa"/>
            <w:vAlign w:val="bottom"/>
          </w:tcPr>
          <w:p>
            <w:pPr>
              <w:spacing w:after="0"/>
              <w:rPr>
                <w:sz w:val="16"/>
                <w:szCs w:val="16"/>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7"/>
              </w:rPr>
              <w:t>Change</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60" w:type="dxa"/>
            <w:vAlign w:val="bottom"/>
            <w:tcBorders>
              <w:top w:val="single" w:sz="8" w:color="CCEEFF"/>
            </w:tcBorders>
            <w:shd w:val="clear" w:color="auto" w:fill="CCEEFF"/>
          </w:tcPr>
          <w:p>
            <w:pPr>
              <w:spacing w:after="0"/>
              <w:rPr>
                <w:sz w:val="14"/>
                <w:szCs w:val="14"/>
                <w:color w:val="auto"/>
              </w:rPr>
            </w:pPr>
          </w:p>
        </w:tc>
        <w:tc>
          <w:tcPr>
            <w:tcW w:w="35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IFRS Financial Measures</w:t>
            </w:r>
            <w:r>
              <w:rPr>
                <w:rFonts w:ascii="Arial" w:cs="Arial" w:eastAsia="Arial" w:hAnsi="Arial"/>
                <w:sz w:val="18"/>
                <w:szCs w:val="18"/>
                <w:color w:val="auto"/>
                <w:vertAlign w:val="superscript"/>
              </w:rPr>
              <w:t>(1)</w:t>
            </w:r>
          </w:p>
        </w:tc>
        <w:tc>
          <w:tcPr>
            <w:tcW w:w="3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0" w:type="dxa"/>
            <w:vAlign w:val="bottom"/>
            <w:tcBorders>
              <w:top w:val="single" w:sz="8" w:color="CCEEFF"/>
            </w:tcBorders>
          </w:tcPr>
          <w:p>
            <w:pPr>
              <w:spacing w:after="0"/>
              <w:rPr>
                <w:sz w:val="17"/>
                <w:szCs w:val="17"/>
                <w:color w:val="auto"/>
              </w:rPr>
            </w:pPr>
          </w:p>
        </w:tc>
        <w:tc>
          <w:tcPr>
            <w:tcW w:w="21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Revenues</w:t>
            </w:r>
          </w:p>
        </w:tc>
        <w:tc>
          <w:tcPr>
            <w:tcW w:w="1460" w:type="dxa"/>
            <w:vAlign w:val="bottom"/>
            <w:tcBorders>
              <w:top w:val="single" w:sz="8" w:color="CCEEFF"/>
            </w:tcBorders>
            <w:gridSpan w:val="2"/>
          </w:tcPr>
          <w:p>
            <w:pPr>
              <w:spacing w:after="0"/>
              <w:rPr>
                <w:sz w:val="17"/>
                <w:szCs w:val="17"/>
                <w:color w:val="auto"/>
              </w:rPr>
            </w:pPr>
          </w:p>
        </w:tc>
        <w:tc>
          <w:tcPr>
            <w:tcW w:w="3200" w:type="dxa"/>
            <w:vAlign w:val="bottom"/>
            <w:tcBorders>
              <w:top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gridSpan w:val="2"/>
          </w:tcPr>
          <w:p>
            <w:pPr>
              <w:jc w:val="right"/>
              <w:ind w:right="320"/>
              <w:spacing w:after="0" w:line="202" w:lineRule="exact"/>
              <w:rPr>
                <w:sz w:val="20"/>
                <w:szCs w:val="20"/>
                <w:color w:val="auto"/>
              </w:rPr>
            </w:pPr>
            <w:r>
              <w:rPr>
                <w:rFonts w:ascii="Arial" w:cs="Arial" w:eastAsia="Arial" w:hAnsi="Arial"/>
                <w:sz w:val="18"/>
                <w:szCs w:val="18"/>
                <w:color w:val="auto"/>
                <w:w w:val="97"/>
              </w:rPr>
              <w:t>1,785</w:t>
            </w:r>
          </w:p>
        </w:tc>
        <w:tc>
          <w:tcPr>
            <w:tcW w:w="260" w:type="dxa"/>
            <w:vAlign w:val="bottom"/>
            <w:tcBorders>
              <w:top w:val="single" w:sz="8" w:color="CCEEFF"/>
            </w:tcBorders>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460"/>
              <w:spacing w:after="0" w:line="202" w:lineRule="exact"/>
              <w:rPr>
                <w:sz w:val="20"/>
                <w:szCs w:val="20"/>
                <w:color w:val="auto"/>
              </w:rPr>
            </w:pPr>
            <w:r>
              <w:rPr>
                <w:rFonts w:ascii="Arial" w:cs="Arial" w:eastAsia="Arial" w:hAnsi="Arial"/>
                <w:sz w:val="18"/>
                <w:szCs w:val="18"/>
                <w:color w:val="auto"/>
                <w:w w:val="97"/>
              </w:rPr>
              <w:t>1,740</w:t>
            </w:r>
          </w:p>
        </w:tc>
        <w:tc>
          <w:tcPr>
            <w:tcW w:w="1000" w:type="dxa"/>
            <w:vAlign w:val="bottom"/>
            <w:tcBorders>
              <w:top w:val="single" w:sz="8" w:color="CCEEFF"/>
            </w:tcBorders>
            <w:gridSpan w:val="2"/>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7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Operating profit</w:t>
            </w:r>
          </w:p>
        </w:tc>
        <w:tc>
          <w:tcPr>
            <w:tcW w:w="3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436</w:t>
            </w:r>
          </w:p>
        </w:tc>
        <w:tc>
          <w:tcPr>
            <w:tcW w:w="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415</w:t>
            </w:r>
          </w:p>
        </w:tc>
        <w:tc>
          <w:tcPr>
            <w:tcW w:w="10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580" w:type="dxa"/>
            <w:vAlign w:val="bottom"/>
            <w:gridSpan w:val="3"/>
          </w:tcPr>
          <w:p>
            <w:pPr>
              <w:spacing w:after="0" w:line="202" w:lineRule="exact"/>
              <w:rPr>
                <w:sz w:val="20"/>
                <w:szCs w:val="20"/>
                <w:color w:val="auto"/>
              </w:rPr>
            </w:pPr>
            <w:r>
              <w:rPr>
                <w:rFonts w:ascii="Arial" w:cs="Arial" w:eastAsia="Arial" w:hAnsi="Arial"/>
                <w:sz w:val="18"/>
                <w:szCs w:val="18"/>
                <w:color w:val="auto"/>
              </w:rPr>
              <w:t>Diluted earnings per share (EPS)</w:t>
            </w:r>
          </w:p>
        </w:tc>
        <w:tc>
          <w:tcPr>
            <w:tcW w:w="3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0.69</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1.86</w:t>
            </w: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-63%</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746</w:t>
            </w:r>
          </w:p>
        </w:tc>
        <w:tc>
          <w:tcPr>
            <w:tcW w:w="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705</w:t>
            </w:r>
          </w:p>
        </w:tc>
        <w:tc>
          <w:tcPr>
            <w:tcW w:w="10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Change at</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4"/>
              <w:spacing w:after="0"/>
              <w:rPr>
                <w:sz w:val="20"/>
                <w:szCs w:val="20"/>
                <w:color w:val="auto"/>
              </w:rPr>
            </w:pPr>
            <w:r>
              <w:rPr>
                <w:rFonts w:ascii="Arial" w:cs="Arial" w:eastAsia="Arial" w:hAnsi="Arial"/>
                <w:sz w:val="14"/>
                <w:szCs w:val="14"/>
                <w:b w:val="1"/>
                <w:bCs w:val="1"/>
                <w:color w:val="auto"/>
              </w:rPr>
              <w:t>2025</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4"/>
              <w:spacing w:after="0"/>
              <w:rPr>
                <w:sz w:val="20"/>
                <w:szCs w:val="20"/>
                <w:color w:val="auto"/>
              </w:rPr>
            </w:pPr>
            <w:r>
              <w:rPr>
                <w:rFonts w:ascii="Arial" w:cs="Arial" w:eastAsia="Arial" w:hAnsi="Arial"/>
                <w:sz w:val="14"/>
                <w:szCs w:val="14"/>
                <w:b w:val="1"/>
                <w:bCs w:val="1"/>
                <w:color w:val="auto"/>
              </w:rPr>
              <w:t>2024</w:t>
            </w:r>
          </w:p>
        </w:tc>
        <w:tc>
          <w:tcPr>
            <w:tcW w:w="46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Change</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55"/>
        </w:trPr>
        <w:tc>
          <w:tcPr>
            <w:tcW w:w="160" w:type="dxa"/>
            <w:vAlign w:val="bottom"/>
            <w:tcBorders>
              <w:top w:val="single" w:sz="8" w:color="CCEEFF"/>
            </w:tcBorders>
            <w:shd w:val="clear" w:color="auto" w:fill="CCEEFF"/>
          </w:tcPr>
          <w:p>
            <w:pPr>
              <w:spacing w:after="0"/>
              <w:rPr>
                <w:sz w:val="13"/>
                <w:szCs w:val="13"/>
                <w:color w:val="auto"/>
              </w:rPr>
            </w:pPr>
          </w:p>
        </w:tc>
        <w:tc>
          <w:tcPr>
            <w:tcW w:w="35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Non-IFRS Financial Measures</w:t>
            </w:r>
            <w:r>
              <w:rPr>
                <w:rFonts w:ascii="Arial" w:cs="Arial" w:eastAsia="Arial" w:hAnsi="Arial"/>
                <w:sz w:val="18"/>
                <w:szCs w:val="18"/>
                <w:color w:val="auto"/>
                <w:vertAlign w:val="superscript"/>
              </w:rPr>
              <w:t>(1)</w:t>
            </w:r>
          </w:p>
        </w:tc>
        <w:tc>
          <w:tcPr>
            <w:tcW w:w="3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0" w:type="dxa"/>
            <w:vAlign w:val="bottom"/>
            <w:shd w:val="clear" w:color="auto" w:fill="CCEEFF"/>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3580" w:type="dxa"/>
            <w:vAlign w:val="bottom"/>
            <w:gridSpan w:val="3"/>
          </w:tcPr>
          <w:p>
            <w:pPr>
              <w:spacing w:after="0" w:line="202" w:lineRule="exact"/>
              <w:rPr>
                <w:sz w:val="20"/>
                <w:szCs w:val="20"/>
                <w:color w:val="auto"/>
              </w:rPr>
            </w:pPr>
            <w:r>
              <w:rPr>
                <w:rFonts w:ascii="Arial" w:cs="Arial" w:eastAsia="Arial" w:hAnsi="Arial"/>
                <w:sz w:val="18"/>
                <w:szCs w:val="18"/>
                <w:color w:val="auto"/>
              </w:rPr>
              <w:t>Revenue growth in constant currency</w:t>
            </w: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Organic revenue growth</w:t>
            </w:r>
          </w:p>
        </w:tc>
        <w:tc>
          <w:tcPr>
            <w:tcW w:w="3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580" w:type="dxa"/>
            <w:vAlign w:val="bottom"/>
            <w:gridSpan w:val="3"/>
          </w:tcPr>
          <w:p>
            <w:pPr>
              <w:spacing w:after="0" w:line="202" w:lineRule="exact"/>
              <w:rPr>
                <w:sz w:val="20"/>
                <w:szCs w:val="20"/>
                <w:color w:val="auto"/>
              </w:rPr>
            </w:pPr>
            <w:r>
              <w:rPr>
                <w:rFonts w:ascii="Arial" w:cs="Arial" w:eastAsia="Arial" w:hAnsi="Arial"/>
                <w:sz w:val="18"/>
                <w:szCs w:val="18"/>
                <w:color w:val="auto"/>
              </w:rPr>
              <w:t>Adjusted EBITDA</w:t>
            </w:r>
          </w:p>
        </w:tc>
        <w:tc>
          <w:tcPr>
            <w:tcW w:w="3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678</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646</w:t>
            </w: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3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37.1%</w:t>
            </w:r>
          </w:p>
        </w:tc>
        <w:tc>
          <w:tcPr>
            <w:tcW w:w="10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70bp</w:t>
            </w:r>
          </w:p>
        </w:tc>
        <w:tc>
          <w:tcPr>
            <w:tcW w:w="11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70bp</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580" w:type="dxa"/>
            <w:vAlign w:val="bottom"/>
            <w:gridSpan w:val="3"/>
          </w:tcPr>
          <w:p>
            <w:pPr>
              <w:spacing w:after="0" w:line="202" w:lineRule="exact"/>
              <w:rPr>
                <w:sz w:val="20"/>
                <w:szCs w:val="20"/>
                <w:color w:val="auto"/>
              </w:rPr>
            </w:pPr>
            <w:r>
              <w:rPr>
                <w:rFonts w:ascii="Arial" w:cs="Arial" w:eastAsia="Arial" w:hAnsi="Arial"/>
                <w:sz w:val="18"/>
                <w:szCs w:val="18"/>
                <w:color w:val="auto"/>
              </w:rPr>
              <w:t>Adjusted EPS</w:t>
            </w:r>
          </w:p>
        </w:tc>
        <w:tc>
          <w:tcPr>
            <w:tcW w:w="3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0.87</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0.85</w:t>
            </w: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160" w:type="dxa"/>
            <w:vAlign w:val="bottom"/>
            <w:shd w:val="clear" w:color="auto" w:fill="CCEEFF"/>
          </w:tcPr>
          <w:p>
            <w:pPr>
              <w:spacing w:after="0"/>
              <w:rPr>
                <w:sz w:val="17"/>
                <w:szCs w:val="17"/>
                <w:color w:val="auto"/>
              </w:rPr>
            </w:pPr>
          </w:p>
        </w:tc>
        <w:tc>
          <w:tcPr>
            <w:tcW w:w="3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Free cash flow</w:t>
            </w:r>
          </w:p>
        </w:tc>
        <w:tc>
          <w:tcPr>
            <w:tcW w:w="3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566</w:t>
            </w:r>
          </w:p>
        </w:tc>
        <w:tc>
          <w:tcPr>
            <w:tcW w:w="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541</w:t>
            </w:r>
          </w:p>
        </w:tc>
        <w:tc>
          <w:tcPr>
            <w:tcW w:w="10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440" w:right="280" w:hanging="287"/>
        <w:spacing w:after="0" w:line="256" w:lineRule="auto"/>
        <w:rPr>
          <w:sz w:val="20"/>
          <w:szCs w:val="20"/>
          <w:color w:val="auto"/>
        </w:rPr>
      </w:pPr>
      <w:r>
        <w:rPr>
          <w:rFonts w:ascii="Arial" w:cs="Arial" w:eastAsia="Arial" w:hAnsi="Arial"/>
          <w:sz w:val="14"/>
          <w:szCs w:val="14"/>
          <w:i w:val="1"/>
          <w:iCs w:val="1"/>
          <w:color w:val="auto"/>
        </w:rPr>
        <w:t>(1)   In addition to results reported in accordance with International Financial Reporting Standards (IFRS), the company uses certain non-IFRS financial measures</w:t>
      </w:r>
      <w:r>
        <w:rPr>
          <w:sz w:val="20"/>
          <w:szCs w:val="20"/>
          <w:color w:val="auto"/>
        </w:rPr>
        <w:t xml:space="preserve"> </w:t>
      </w:r>
      <w:r>
        <w:rPr>
          <w:rFonts w:ascii="Arial" w:cs="Arial" w:eastAsia="Arial" w:hAnsi="Arial"/>
          <w:sz w:val="14"/>
          <w:szCs w:val="14"/>
          <w:i w:val="1"/>
          <w:iCs w:val="1"/>
          <w:color w:val="auto"/>
        </w:rPr>
        <w:t>     as supplemental indicators of its operating performance and financial position. See the “Non-IFRS Financial Measures” section and the tables appended to this news release for additional information on these and other non-IFRS financial measures, including how they are defined and reconciled to the most directly comparable IFRS measures.</w:t>
      </w:r>
    </w:p>
    <w:p>
      <w:pPr>
        <w:sectPr>
          <w:pgSz w:w="11900" w:h="16838" w:orient="portrait"/>
          <w:cols w:equalWidth="0" w:num="1">
            <w:col w:w="11020"/>
          </w:cols>
          <w:pgMar w:left="440" w:top="122"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025"/>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2 of 24</w:t>
      </w:r>
    </w:p>
    <w:p>
      <w:pPr>
        <w:spacing w:after="0" w:line="22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3% due to 3% growth in recurring revenues (82% of total revenues) and 5% growth in transactions revenues, partly</w:t>
      </w:r>
      <w:r>
        <w:rPr>
          <w:rFonts w:ascii="Arial" w:cs="Arial" w:eastAsia="Arial" w:hAnsi="Arial"/>
          <w:sz w:val="18"/>
          <w:szCs w:val="18"/>
          <w:b w:val="1"/>
          <w:bCs w:val="1"/>
          <w:color w:val="auto"/>
        </w:rPr>
        <w:t xml:space="preserve"> </w:t>
      </w:r>
      <w:r>
        <w:rPr>
          <w:rFonts w:ascii="Arial" w:cs="Arial" w:eastAsia="Arial" w:hAnsi="Arial"/>
          <w:sz w:val="18"/>
          <w:szCs w:val="18"/>
          <w:color w:val="auto"/>
        </w:rPr>
        <w:t>offset by a 7% decline in Global Print. Total company revenue growth was negatively impacted by net acquisitions and disposals of 5%. Foreign currency had a slightly positive impact on revenue growth.</w:t>
      </w:r>
    </w:p>
    <w:p>
      <w:pPr>
        <w:spacing w:after="0" w:line="74" w:lineRule="exact"/>
        <w:rPr>
          <w:sz w:val="20"/>
          <w:szCs w:val="20"/>
          <w:color w:val="auto"/>
        </w:rPr>
      </w:pPr>
    </w:p>
    <w:p>
      <w:pPr>
        <w:ind w:left="960" w:right="280" w:hanging="532"/>
        <w:spacing w:after="0" w:line="245"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Organic revenues increased 7% reflecting 9% growth in recurring revenues, 7% growth in transactions revenues and a 7% decline in Global Print.</w:t>
      </w: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“Big 3” segments reported organic revenue growth of 9% and collectively comprised 82% of total revenues.</w:t>
      </w:r>
    </w:p>
    <w:p>
      <w:pPr>
        <w:spacing w:after="0" w:line="194"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b w:val="1"/>
          <w:bCs w:val="1"/>
          <w:color w:val="auto"/>
        </w:rPr>
        <w:t xml:space="preserve">Operating profit </w:t>
      </w:r>
      <w:r>
        <w:rPr>
          <w:rFonts w:ascii="Arial" w:cs="Arial" w:eastAsia="Arial" w:hAnsi="Arial"/>
          <w:sz w:val="18"/>
          <w:szCs w:val="18"/>
          <w:color w:val="auto"/>
        </w:rPr>
        <w:t>increased 5%, primarily due to higher revenues and a benefit from other operating gains reflected in the current-year</w:t>
      </w:r>
      <w:r>
        <w:rPr>
          <w:rFonts w:ascii="Arial" w:cs="Arial" w:eastAsia="Arial" w:hAnsi="Arial"/>
          <w:sz w:val="18"/>
          <w:szCs w:val="18"/>
          <w:b w:val="1"/>
          <w:bCs w:val="1"/>
          <w:color w:val="auto"/>
        </w:rPr>
        <w:t xml:space="preserve"> </w:t>
      </w:r>
      <w:r>
        <w:rPr>
          <w:rFonts w:ascii="Arial" w:cs="Arial" w:eastAsia="Arial" w:hAnsi="Arial"/>
          <w:sz w:val="18"/>
          <w:szCs w:val="18"/>
          <w:color w:val="auto"/>
        </w:rPr>
        <w:t>period compared to other operating losses in the prior-year period. These items were partly offset by higher operating expenses and amortization of computer software.</w:t>
      </w:r>
    </w:p>
    <w:p>
      <w:pPr>
        <w:spacing w:after="0" w:line="74" w:lineRule="exact"/>
        <w:rPr>
          <w:sz w:val="20"/>
          <w:szCs w:val="20"/>
          <w:color w:val="auto"/>
        </w:rPr>
      </w:pPr>
    </w:p>
    <w:p>
      <w:pPr>
        <w:ind w:left="960" w:right="260" w:hanging="532"/>
        <w:spacing w:after="0" w:line="25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Adjusted EBITDA</w:t>
      </w:r>
      <w:r>
        <w:rPr>
          <w:rFonts w:ascii="Arial" w:cs="Arial" w:eastAsia="Arial" w:hAnsi="Arial"/>
          <w:sz w:val="18"/>
          <w:szCs w:val="18"/>
          <w:color w:val="auto"/>
        </w:rPr>
        <w:t>, which excludes other operating gains and losses, amortization of computer software, as well as other</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increased 5% and the related margin increased to 37.8% from 37.1% in the prior-year period, primarily due to higher operating leverage.</w:t>
      </w:r>
    </w:p>
    <w:p>
      <w:pPr>
        <w:spacing w:after="0" w:line="169"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auto"/>
        </w:rPr>
        <w:t xml:space="preserve">Diluted EPS </w:t>
      </w:r>
      <w:r>
        <w:rPr>
          <w:rFonts w:ascii="Arial" w:cs="Arial" w:eastAsia="Arial" w:hAnsi="Arial"/>
          <w:sz w:val="18"/>
          <w:szCs w:val="18"/>
          <w:color w:val="auto"/>
        </w:rPr>
        <w:t>decreased to $0.69 per share compared to $1.86 per share in the prior-year period. The current-year period included</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losses reflected in other finance costs or income. The prior-year period included a $468 million or a $1.04 per share non-cash tax benefit related to tax legislation enacted in Canada and an increase in value of the company’s former investment in London Stock Exchange Group (LSEG).</w:t>
      </w:r>
    </w:p>
    <w:p>
      <w:pPr>
        <w:spacing w:after="0" w:line="79" w:lineRule="exact"/>
        <w:rPr>
          <w:sz w:val="20"/>
          <w:szCs w:val="20"/>
          <w:color w:val="auto"/>
        </w:rPr>
      </w:pPr>
    </w:p>
    <w:p>
      <w:pPr>
        <w:ind w:left="960" w:right="100" w:hanging="532"/>
        <w:spacing w:after="0" w:line="25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Adjusted EPS</w:t>
      </w:r>
      <w:r>
        <w:rPr>
          <w:rFonts w:ascii="Arial" w:cs="Arial" w:eastAsia="Arial" w:hAnsi="Arial"/>
          <w:sz w:val="18"/>
          <w:szCs w:val="18"/>
          <w:color w:val="auto"/>
        </w:rPr>
        <w:t>, which excludes the currency losses, the non-cash tax benefit and the increase in value of LSEG,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 adjustments, increased to $0.87 per share compared to $0.85 per share in the prior-year period, primarily due to higher adjusted EBITDA, partly offset by higher income tax expense and amortization of internally developed software.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cash provided by operating activities </w:t>
      </w:r>
      <w:r>
        <w:rPr>
          <w:rFonts w:ascii="Arial" w:cs="Arial" w:eastAsia="Arial" w:hAnsi="Arial"/>
          <w:sz w:val="18"/>
          <w:szCs w:val="18"/>
          <w:color w:val="auto"/>
        </w:rPr>
        <w:t>increased by $41 million primarily due to cash benefits from higher operating profit.</w:t>
      </w:r>
    </w:p>
    <w:p>
      <w:pPr>
        <w:spacing w:after="0" w:line="117" w:lineRule="exact"/>
        <w:rPr>
          <w:sz w:val="20"/>
          <w:szCs w:val="20"/>
          <w:color w:val="auto"/>
        </w:rPr>
      </w:pPr>
    </w:p>
    <w:p>
      <w:pPr>
        <w:ind w:left="960" w:right="40" w:hanging="532"/>
        <w:spacing w:after="0" w:line="27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increased by $25 million as higher net cash provided by operating activities was partly offset by higher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w:t>
      </w:r>
    </w:p>
    <w:p>
      <w:pPr>
        <w:sectPr>
          <w:pgSz w:w="11900" w:h="16838" w:orient="portrait"/>
          <w:cols w:equalWidth="0" w:num="1">
            <w:col w:w="10980"/>
          </w:cols>
          <w:pgMar w:left="440" w:top="1201"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025"/>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3 of 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 by Customer Segment –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7003415" cy="47834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3415" cy="4783455"/>
                    </a:xfrm>
                    <a:prstGeom prst="rect">
                      <a:avLst/>
                    </a:prstGeom>
                    <a:noFill/>
                  </pic:spPr>
                </pic:pic>
              </a:graphicData>
            </a:graphic>
          </wp:anchor>
        </w:drawing>
      </w: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(Millions of U.S. dollars)</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2"/>
          </w:tcPr>
          <w:p>
            <w:pPr>
              <w:jc w:val="right"/>
              <w:ind w:right="640"/>
              <w:spacing w:after="0" w:line="143" w:lineRule="exact"/>
              <w:rPr>
                <w:sz w:val="20"/>
                <w:szCs w:val="20"/>
                <w:color w:val="auto"/>
              </w:rPr>
            </w:pPr>
            <w:r>
              <w:rPr>
                <w:rFonts w:ascii="Arial" w:cs="Arial" w:eastAsia="Arial" w:hAnsi="Arial"/>
                <w:sz w:val="14"/>
                <w:szCs w:val="14"/>
                <w:b w:val="1"/>
                <w:bCs w:val="1"/>
                <w:color w:val="auto"/>
              </w:rPr>
              <w:t>Constant</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51"/>
              <w:spacing w:after="0"/>
              <w:rPr>
                <w:sz w:val="20"/>
                <w:szCs w:val="20"/>
                <w:color w:val="auto"/>
              </w:rPr>
            </w:pPr>
            <w:r>
              <w:rPr>
                <w:rFonts w:ascii="Arial" w:cs="Arial" w:eastAsia="Arial" w:hAnsi="Arial"/>
                <w:sz w:val="14"/>
                <w:szCs w:val="14"/>
                <w:b w:val="1"/>
                <w:bCs w:val="1"/>
                <w:color w:val="auto"/>
              </w:rPr>
              <w:t>2024</w:t>
            </w:r>
          </w:p>
        </w:tc>
        <w:tc>
          <w:tcPr>
            <w:tcW w:w="44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1340" w:type="dxa"/>
            <w:vAlign w:val="bottom"/>
            <w:gridSpan w:val="2"/>
          </w:tcPr>
          <w:p>
            <w:pPr>
              <w:jc w:val="right"/>
              <w:ind w:right="560"/>
              <w:spacing w:after="0" w:line="175" w:lineRule="exact"/>
              <w:rPr>
                <w:sz w:val="20"/>
                <w:szCs w:val="20"/>
                <w:color w:val="auto"/>
              </w:rPr>
            </w:pPr>
            <w:r>
              <w:rPr>
                <w:rFonts w:ascii="Arial" w:cs="Arial" w:eastAsia="Arial" w:hAnsi="Arial"/>
                <w:sz w:val="14"/>
                <w:szCs w:val="14"/>
                <w:b w:val="1"/>
                <w:bCs w:val="1"/>
                <w:color w:val="auto"/>
                <w:w w:val="97"/>
              </w:rPr>
              <w:t>Currency</w:t>
            </w:r>
            <w:r>
              <w:rPr>
                <w:rFonts w:ascii="Arial" w:cs="Arial" w:eastAsia="Arial" w:hAnsi="Arial"/>
                <w:sz w:val="20"/>
                <w:szCs w:val="20"/>
                <w:b w:val="1"/>
                <w:bCs w:val="1"/>
                <w:color w:val="auto"/>
                <w:w w:val="97"/>
                <w:vertAlign w:val="superscript"/>
              </w:rPr>
              <w:t>(1)</w:t>
            </w:r>
          </w:p>
        </w:tc>
        <w:tc>
          <w:tcPr>
            <w:tcW w:w="1080" w:type="dxa"/>
            <w:vAlign w:val="bottom"/>
            <w:gridSpan w:val="2"/>
          </w:tcPr>
          <w:p>
            <w:pPr>
              <w:jc w:val="right"/>
              <w:ind w:right="260"/>
              <w:spacing w:after="0" w:line="175" w:lineRule="exact"/>
              <w:rPr>
                <w:sz w:val="20"/>
                <w:szCs w:val="20"/>
                <w:color w:val="auto"/>
              </w:rPr>
            </w:pPr>
            <w:r>
              <w:rPr>
                <w:rFonts w:ascii="Arial" w:cs="Arial" w:eastAsia="Arial" w:hAnsi="Arial"/>
                <w:sz w:val="14"/>
                <w:szCs w:val="14"/>
                <w:b w:val="1"/>
                <w:bCs w:val="1"/>
                <w:color w:val="auto"/>
                <w:w w:val="93"/>
              </w:rPr>
              <w:t>Organic</w:t>
            </w:r>
            <w:r>
              <w:rPr>
                <w:rFonts w:ascii="Arial" w:cs="Arial" w:eastAsia="Arial" w:hAnsi="Arial"/>
                <w:sz w:val="20"/>
                <w:szCs w:val="20"/>
                <w:b w:val="1"/>
                <w:bCs w:val="1"/>
                <w:color w:val="auto"/>
                <w:w w:val="93"/>
                <w:vertAlign w:val="superscript"/>
              </w:rPr>
              <w:t>(1)(2)</w:t>
            </w:r>
          </w:p>
        </w:tc>
        <w:tc>
          <w:tcPr>
            <w:tcW w:w="0" w:type="dxa"/>
            <w:vAlign w:val="bottom"/>
          </w:tcPr>
          <w:p>
            <w:pPr>
              <w:spacing w:after="0"/>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53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6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53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709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727</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38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442</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53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277</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250</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13%</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38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1,458</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1,419</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53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Reuters News</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218</w:t>
            </w:r>
          </w:p>
        </w:tc>
        <w:tc>
          <w:tcPr>
            <w:tcW w:w="120" w:type="dxa"/>
            <w:vAlign w:val="bottom"/>
          </w:tcPr>
          <w:p>
            <w:pPr>
              <w:spacing w:after="0"/>
              <w:rPr>
                <w:sz w:val="17"/>
                <w:szCs w:val="17"/>
                <w:color w:val="auto"/>
              </w:rPr>
            </w:pPr>
          </w:p>
        </w:tc>
        <w:tc>
          <w:tcPr>
            <w:tcW w:w="9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205</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38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Global Print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123</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53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Eliminations/Rounding</w:t>
            </w:r>
          </w:p>
        </w:tc>
        <w:tc>
          <w:tcPr>
            <w:tcW w:w="100" w:type="dxa"/>
            <w:vAlign w:val="bottom"/>
          </w:tcPr>
          <w:p>
            <w:pPr>
              <w:spacing w:after="0"/>
              <w:rPr>
                <w:sz w:val="17"/>
                <w:szCs w:val="17"/>
                <w:color w:val="auto"/>
              </w:rPr>
            </w:pPr>
          </w:p>
        </w:tc>
        <w:tc>
          <w:tcPr>
            <w:tcW w:w="8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9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(7)</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Revenues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1,785</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1,740</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3%</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2%</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380" w:type="dxa"/>
            <w:vAlign w:val="bottom"/>
            <w:gridSpan w:val="3"/>
            <w:vMerge w:val="restart"/>
          </w:tcPr>
          <w:p>
            <w:pPr>
              <w:spacing w:after="0" w:line="210" w:lineRule="exact"/>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24"/>
                <w:szCs w:val="24"/>
                <w:color w:val="auto"/>
                <w:vertAlign w:val="superscript"/>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 w:type="dxa"/>
            <w:vAlign w:val="bottom"/>
          </w:tcPr>
          <w:p>
            <w:pPr>
              <w:spacing w:after="0"/>
              <w:rPr>
                <w:sz w:val="14"/>
                <w:szCs w:val="14"/>
                <w:color w:val="auto"/>
              </w:rPr>
            </w:pPr>
          </w:p>
        </w:tc>
        <w:tc>
          <w:tcPr>
            <w:tcW w:w="53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38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327</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53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Corporates</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169</w:t>
            </w:r>
          </w:p>
        </w:tc>
        <w:tc>
          <w:tcPr>
            <w:tcW w:w="120" w:type="dxa"/>
            <w:vAlign w:val="bottom"/>
          </w:tcPr>
          <w:p>
            <w:pPr>
              <w:spacing w:after="0"/>
              <w:rPr>
                <w:sz w:val="17"/>
                <w:szCs w:val="17"/>
                <w:color w:val="auto"/>
              </w:rPr>
            </w:pPr>
          </w:p>
        </w:tc>
        <w:tc>
          <w:tcPr>
            <w:tcW w:w="9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163</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38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91</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22%</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24%</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5380" w:type="dxa"/>
            <w:vAlign w:val="bottom"/>
            <w:gridSpan w:val="3"/>
          </w:tcPr>
          <w:p>
            <w:pPr>
              <w:ind w:left="360"/>
              <w:spacing w:after="0" w:line="210" w:lineRule="exact"/>
              <w:rPr>
                <w:sz w:val="20"/>
                <w:szCs w:val="20"/>
                <w:color w:val="auto"/>
              </w:rPr>
            </w:pPr>
            <w:r>
              <w:rPr>
                <w:rFonts w:ascii="Arial" w:cs="Arial" w:eastAsia="Arial" w:hAnsi="Arial"/>
                <w:sz w:val="17"/>
                <w:szCs w:val="17"/>
                <w:color w:val="auto"/>
              </w:rPr>
              <w:t>“Big 3” Segments Combined</w:t>
            </w:r>
            <w:r>
              <w:rPr>
                <w:rFonts w:ascii="Arial" w:cs="Arial" w:eastAsia="Arial" w:hAnsi="Arial"/>
                <w:sz w:val="24"/>
                <w:szCs w:val="24"/>
                <w:color w:val="auto"/>
                <w:vertAlign w:val="superscript"/>
              </w:rPr>
              <w:t>(1)</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4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0" w:type="dxa"/>
            <w:vAlign w:val="bottom"/>
            <w:shd w:val="clear" w:color="auto" w:fill="CCEEFF"/>
          </w:tcPr>
          <w:p>
            <w:pPr>
              <w:spacing w:after="0"/>
              <w:rPr>
                <w:sz w:val="17"/>
                <w:szCs w:val="17"/>
                <w:color w:val="auto"/>
              </w:rPr>
            </w:pPr>
          </w:p>
        </w:tc>
        <w:tc>
          <w:tcPr>
            <w:tcW w:w="538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Reuters News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51</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53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Global Print</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9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43</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38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 costs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(29)</w:t>
            </w: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n/a</w:t>
            </w:r>
          </w:p>
        </w:tc>
        <w:tc>
          <w:tcPr>
            <w:tcW w:w="13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020"/>
          </w:cols>
          <w:pgMar w:left="440" w:top="1201" w:right="439" w:bottom="1440" w:gutter="0" w:footer="0" w:header="0"/>
        </w:sectPr>
      </w:pPr>
    </w:p>
    <w:tbl>
      <w:tblPr>
        <w:tblLayout w:type="fixed"/>
        <w:tblInd w:w="160" w:type="dxa"/>
        <w:tblCellMar>
          <w:top w:w="0" w:type="dxa"/>
          <w:left w:w="0" w:type="dxa"/>
          <w:bottom w:w="0" w:type="dxa"/>
          <w:right w:w="0" w:type="dxa"/>
        </w:tblCellMar>
      </w:tblPr>
      <w:tr>
        <w:trPr>
          <w:trHeight w:val="216"/>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Total Adjusted EBITDA</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  678</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  646</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5%</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line="210" w:lineRule="exact"/>
              <w:rPr>
                <w:sz w:val="20"/>
                <w:szCs w:val="20"/>
                <w:color w:val="auto"/>
              </w:rPr>
            </w:pPr>
            <w:r>
              <w:rPr>
                <w:rFonts w:ascii="Arial" w:cs="Arial" w:eastAsia="Arial" w:hAnsi="Arial"/>
                <w:sz w:val="17"/>
                <w:szCs w:val="17"/>
                <w:b w:val="1"/>
                <w:bCs w:val="1"/>
                <w:color w:val="auto"/>
              </w:rPr>
              <w:t>Adjusted EBITDA Margin</w:t>
            </w:r>
            <w:r>
              <w:rPr>
                <w:rFonts w:ascii="Arial" w:cs="Arial" w:eastAsia="Arial" w:hAnsi="Arial"/>
                <w:sz w:val="24"/>
                <w:szCs w:val="24"/>
                <w:color w:val="auto"/>
                <w:vertAlign w:val="superscript"/>
              </w:rPr>
              <w:t>(1)</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380" w:type="dxa"/>
            <w:vAlign w:val="bottom"/>
            <w:gridSpan w:val="2"/>
            <w:vMerge w:val="continue"/>
          </w:tcPr>
          <w:p>
            <w:pPr>
              <w:spacing w:after="0"/>
              <w:rPr>
                <w:sz w:val="14"/>
                <w:szCs w:val="14"/>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47.8%</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45.0%</w:t>
            </w:r>
          </w:p>
        </w:tc>
        <w:tc>
          <w:tcPr>
            <w:tcW w:w="1120" w:type="dxa"/>
            <w:vAlign w:val="bottom"/>
            <w:vMerge w:val="restart"/>
          </w:tcPr>
          <w:p>
            <w:pPr>
              <w:jc w:val="right"/>
              <w:ind w:right="310"/>
              <w:spacing w:after="0"/>
              <w:rPr>
                <w:sz w:val="20"/>
                <w:szCs w:val="20"/>
                <w:color w:val="auto"/>
              </w:rPr>
            </w:pPr>
            <w:r>
              <w:rPr>
                <w:rFonts w:ascii="Arial" w:cs="Arial" w:eastAsia="Arial" w:hAnsi="Arial"/>
                <w:sz w:val="18"/>
                <w:szCs w:val="18"/>
                <w:color w:val="auto"/>
              </w:rPr>
              <w:t>280bp</w:t>
            </w:r>
          </w:p>
        </w:tc>
        <w:tc>
          <w:tcPr>
            <w:tcW w:w="960" w:type="dxa"/>
            <w:vAlign w:val="bottom"/>
            <w:vMerge w:val="restart"/>
          </w:tcPr>
          <w:p>
            <w:pPr>
              <w:jc w:val="right"/>
              <w:ind w:right="70"/>
              <w:spacing w:after="0"/>
              <w:rPr>
                <w:sz w:val="20"/>
                <w:szCs w:val="20"/>
                <w:color w:val="auto"/>
              </w:rPr>
            </w:pPr>
            <w:r>
              <w:rPr>
                <w:rFonts w:ascii="Arial" w:cs="Arial" w:eastAsia="Arial" w:hAnsi="Arial"/>
                <w:sz w:val="18"/>
                <w:szCs w:val="18"/>
                <w:color w:val="auto"/>
              </w:rPr>
              <w:t>250bp</w:t>
            </w:r>
          </w:p>
        </w:tc>
        <w:tc>
          <w:tcPr>
            <w:tcW w:w="0" w:type="dxa"/>
            <w:vAlign w:val="bottom"/>
          </w:tcPr>
          <w:p>
            <w:pPr>
              <w:spacing w:after="0"/>
              <w:rPr>
                <w:sz w:val="1"/>
                <w:szCs w:val="1"/>
                <w:color w:val="auto"/>
              </w:rPr>
            </w:pPr>
          </w:p>
        </w:tc>
      </w:tr>
      <w:tr>
        <w:trPr>
          <w:trHeight w:val="191"/>
        </w:trPr>
        <w:tc>
          <w:tcPr>
            <w:tcW w:w="2120" w:type="dxa"/>
            <w:vAlign w:val="bottom"/>
            <w:tcBorders>
              <w:top w:val="single" w:sz="8" w:color="auto"/>
            </w:tcBorders>
          </w:tcPr>
          <w:p>
            <w:pPr>
              <w:ind w:left="360"/>
              <w:spacing w:after="0" w:line="191" w:lineRule="exact"/>
              <w:rPr>
                <w:sz w:val="20"/>
                <w:szCs w:val="20"/>
                <w:color w:val="auto"/>
              </w:rPr>
            </w:pPr>
            <w:r>
              <w:rPr>
                <w:rFonts w:ascii="Arial" w:cs="Arial" w:eastAsia="Arial" w:hAnsi="Arial"/>
                <w:sz w:val="18"/>
                <w:szCs w:val="18"/>
                <w:color w:val="auto"/>
              </w:rPr>
              <w:t>Legal Professionals</w:t>
            </w:r>
          </w:p>
        </w:tc>
        <w:tc>
          <w:tcPr>
            <w:tcW w:w="3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Corporates</w:t>
            </w: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35.7%</w:t>
            </w: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36.8%</w:t>
            </w:r>
          </w:p>
        </w:tc>
        <w:tc>
          <w:tcPr>
            <w:tcW w:w="11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-110bp</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-120bp</w:t>
            </w:r>
          </w:p>
        </w:tc>
        <w:tc>
          <w:tcPr>
            <w:tcW w:w="0" w:type="dxa"/>
            <w:vAlign w:val="bottom"/>
          </w:tcPr>
          <w:p>
            <w:pPr>
              <w:spacing w:after="0"/>
              <w:rPr>
                <w:sz w:val="1"/>
                <w:szCs w:val="1"/>
                <w:color w:val="auto"/>
              </w:rPr>
            </w:pPr>
          </w:p>
        </w:tc>
      </w:tr>
      <w:tr>
        <w:trPr>
          <w:trHeight w:val="203"/>
        </w:trPr>
        <w:tc>
          <w:tcPr>
            <w:tcW w:w="53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39.3%</w:t>
            </w: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36.8%</w:t>
            </w:r>
          </w:p>
        </w:tc>
        <w:tc>
          <w:tcPr>
            <w:tcW w:w="11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250bp</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240bp</w:t>
            </w:r>
          </w:p>
        </w:tc>
        <w:tc>
          <w:tcPr>
            <w:tcW w:w="0" w:type="dxa"/>
            <w:vAlign w:val="bottom"/>
          </w:tcPr>
          <w:p>
            <w:pPr>
              <w:spacing w:after="0"/>
              <w:rPr>
                <w:sz w:val="1"/>
                <w:szCs w:val="1"/>
                <w:color w:val="auto"/>
              </w:rPr>
            </w:pPr>
          </w:p>
        </w:tc>
      </w:tr>
      <w:tr>
        <w:trPr>
          <w:trHeight w:val="203"/>
        </w:trPr>
        <w:tc>
          <w:tcPr>
            <w:tcW w:w="5380" w:type="dxa"/>
            <w:vAlign w:val="bottom"/>
            <w:gridSpan w:val="2"/>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42.3%</w:t>
            </w: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41.0%</w:t>
            </w:r>
          </w:p>
        </w:tc>
        <w:tc>
          <w:tcPr>
            <w:tcW w:w="11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130bp</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110bp</w:t>
            </w:r>
          </w:p>
        </w:tc>
        <w:tc>
          <w:tcPr>
            <w:tcW w:w="0" w:type="dxa"/>
            <w:vAlign w:val="bottom"/>
          </w:tcPr>
          <w:p>
            <w:pPr>
              <w:spacing w:after="0"/>
              <w:rPr>
                <w:sz w:val="1"/>
                <w:szCs w:val="1"/>
                <w:color w:val="auto"/>
              </w:rPr>
            </w:pPr>
          </w:p>
        </w:tc>
      </w:tr>
      <w:tr>
        <w:trPr>
          <w:trHeight w:val="203"/>
        </w:trPr>
        <w:tc>
          <w:tcPr>
            <w:tcW w:w="53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Reuters News</w:t>
            </w: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20.8%</w:t>
            </w: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24.8%</w:t>
            </w:r>
          </w:p>
        </w:tc>
        <w:tc>
          <w:tcPr>
            <w:tcW w:w="11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-400bp</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-360bp</w:t>
            </w:r>
          </w:p>
        </w:tc>
        <w:tc>
          <w:tcPr>
            <w:tcW w:w="0" w:type="dxa"/>
            <w:vAlign w:val="bottom"/>
          </w:tcPr>
          <w:p>
            <w:pPr>
              <w:spacing w:after="0"/>
              <w:rPr>
                <w:sz w:val="1"/>
                <w:szCs w:val="1"/>
                <w:color w:val="auto"/>
              </w:rPr>
            </w:pPr>
          </w:p>
        </w:tc>
      </w:tr>
      <w:tr>
        <w:trPr>
          <w:trHeight w:val="202"/>
        </w:trPr>
        <w:tc>
          <w:tcPr>
            <w:tcW w:w="53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Global Print</w:t>
            </w: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36.0%</w:t>
            </w: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35.2%</w:t>
            </w:r>
          </w:p>
        </w:tc>
        <w:tc>
          <w:tcPr>
            <w:tcW w:w="11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80bp</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50bp</w:t>
            </w:r>
          </w:p>
        </w:tc>
        <w:tc>
          <w:tcPr>
            <w:tcW w:w="0" w:type="dxa"/>
            <w:vAlign w:val="bottom"/>
          </w:tcPr>
          <w:p>
            <w:pPr>
              <w:spacing w:after="0"/>
              <w:rPr>
                <w:sz w:val="1"/>
                <w:szCs w:val="1"/>
                <w:color w:val="auto"/>
              </w:rPr>
            </w:pPr>
          </w:p>
        </w:tc>
      </w:tr>
      <w:tr>
        <w:trPr>
          <w:trHeight w:val="247"/>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Total Adjusted EBITDA Margin</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37.8%</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37.1%</w:t>
            </w: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70bp</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70bp</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40" w:hanging="287"/>
        <w:spacing w:after="0" w:line="250" w:lineRule="auto"/>
        <w:rPr>
          <w:sz w:val="20"/>
          <w:szCs w:val="20"/>
          <w:color w:val="auto"/>
        </w:rPr>
      </w:pPr>
      <w:r>
        <w:rPr>
          <w:rFonts w:ascii="Arial" w:cs="Arial" w:eastAsia="Arial" w:hAnsi="Arial"/>
          <w:sz w:val="14"/>
          <w:szCs w:val="14"/>
          <w:i w:val="1"/>
          <w:iCs w:val="1"/>
          <w:color w:val="auto"/>
        </w:rPr>
        <w:t>(1)   See the “Non-IFRS Financial Measures” section and the tables appended to this news release for additional information on these and other non-IFRS financial measures. To compute segment and consolidated adjusted EBITDA margin, the company excludes fair value adjustments related to acquired deferred revenue.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(2)   Computed for revenue growth only.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n/a:  not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5" w:hanging="65"/>
        <w:spacing w:after="0"/>
        <w:tabs>
          <w:tab w:leader="none" w:pos="65"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  </w:t>
      </w:r>
    </w:p>
    <w:p>
      <w:pPr>
        <w:spacing w:after="0" w:line="36" w:lineRule="exact"/>
        <w:rPr>
          <w:rFonts w:ascii="Arial" w:cs="Arial" w:eastAsia="Arial" w:hAnsi="Arial"/>
          <w:sz w:val="12"/>
          <w:szCs w:val="12"/>
          <w:i w:val="1"/>
          <w:iCs w:val="1"/>
          <w:color w:val="auto"/>
        </w:rPr>
      </w:pPr>
    </w:p>
    <w:p>
      <w:pPr>
        <w:ind w:left="65" w:hanging="65"/>
        <w:spacing w:after="0"/>
        <w:tabs>
          <w:tab w:leader="none" w:pos="65"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  </w:t>
      </w:r>
    </w:p>
    <w:p>
      <w:pPr>
        <w:spacing w:after="0" w:line="24" w:lineRule="exact"/>
        <w:rPr>
          <w:rFonts w:ascii="Arial" w:cs="Arial" w:eastAsia="Arial" w:hAnsi="Arial"/>
          <w:sz w:val="12"/>
          <w:szCs w:val="12"/>
          <w:i w:val="1"/>
          <w:iCs w:val="1"/>
          <w:color w:val="auto"/>
        </w:rPr>
      </w:pPr>
    </w:p>
    <w:p>
      <w:pPr>
        <w:ind w:left="5"/>
        <w:spacing w:after="0"/>
        <w:rPr>
          <w:rFonts w:ascii="Arial" w:cs="Arial" w:eastAsia="Arial" w:hAnsi="Arial"/>
          <w:sz w:val="12"/>
          <w:szCs w:val="12"/>
          <w:i w:val="1"/>
          <w:iCs w:val="1"/>
          <w:color w:val="auto"/>
        </w:rPr>
      </w:pPr>
      <w:r>
        <w:rPr>
          <w:rFonts w:ascii="Arial" w:cs="Arial" w:eastAsia="Arial" w:hAnsi="Arial"/>
          <w:sz w:val="14"/>
          <w:szCs w:val="14"/>
          <w:i w:val="1"/>
          <w:iCs w:val="1"/>
          <w:color w:val="auto"/>
        </w:rPr>
        <w:t>   </w:t>
      </w:r>
    </w:p>
    <w:p>
      <w:pPr>
        <w:spacing w:after="0" w:line="483" w:lineRule="exact"/>
        <w:rPr>
          <w:sz w:val="20"/>
          <w:szCs w:val="20"/>
          <w:color w:val="auto"/>
        </w:rPr>
      </w:pPr>
    </w:p>
    <w:p>
      <w:pPr>
        <w:sectPr>
          <w:pgSz w:w="11900" w:h="16838" w:orient="portrait"/>
          <w:cols w:equalWidth="0" w:num="2">
            <w:col w:w="10600" w:space="155"/>
            <w:col w:w="265"/>
          </w:cols>
          <w:pgMar w:left="440" w:top="1201" w:right="439" w:bottom="1440" w:gutter="0" w:footer="0" w:header="0"/>
          <w:type w:val="continuous"/>
        </w:sectPr>
      </w:pPr>
    </w:p>
    <w:p>
      <w:pPr>
        <w:spacing w:after="0" w:line="130" w:lineRule="exact"/>
        <w:rPr>
          <w:sz w:val="20"/>
          <w:szCs w:val="20"/>
          <w:color w:val="auto"/>
        </w:rPr>
      </w:pPr>
    </w:p>
    <w:p>
      <w:pPr>
        <w:ind w:right="420"/>
        <w:spacing w:after="0" w:line="269" w:lineRule="auto"/>
        <w:rPr>
          <w:sz w:val="20"/>
          <w:szCs w:val="20"/>
          <w:color w:val="auto"/>
        </w:rPr>
      </w:pPr>
      <w:r>
        <w:rPr>
          <w:rFonts w:ascii="Arial" w:cs="Arial" w:eastAsia="Arial" w:hAnsi="Arial"/>
          <w:sz w:val="18"/>
          <w:szCs w:val="18"/>
          <w:i w:val="1"/>
          <w:iCs w:val="1"/>
          <w:color w:val="auto"/>
        </w:rPr>
        <w:t xml:space="preserve">Unless otherwise noted, all revenue growth comparisons by customer segment in this news release are at </w:t>
      </w:r>
      <w:r>
        <w:rPr>
          <w:rFonts w:ascii="Arial" w:cs="Arial" w:eastAsia="Arial" w:hAnsi="Arial"/>
          <w:sz w:val="18"/>
          <w:szCs w:val="18"/>
          <w:b w:val="1"/>
          <w:bCs w:val="1"/>
          <w:i w:val="1"/>
          <w:iCs w:val="1"/>
          <w:u w:val="single" w:color="auto"/>
          <w:color w:val="auto"/>
        </w:rPr>
        <w:t>constant currency</w:t>
      </w:r>
      <w:r>
        <w:rPr>
          <w:rFonts w:ascii="Arial" w:cs="Arial" w:eastAsia="Arial" w:hAnsi="Arial"/>
          <w:sz w:val="18"/>
          <w:szCs w:val="18"/>
          <w:i w:val="1"/>
          <w:iCs w:val="1"/>
          <w:color w:val="auto"/>
        </w:rPr>
        <w:t xml:space="preserve"> (which excludes the impact of foreign currency) as Thomson Reuters believes this provides the best basis to measure performance.</w:t>
      </w:r>
    </w:p>
    <w:p>
      <w:pPr>
        <w:sectPr>
          <w:pgSz w:w="11900" w:h="16838" w:orient="portrait"/>
          <w:cols w:equalWidth="0" w:num="1">
            <w:col w:w="11020"/>
          </w:cols>
          <w:pgMar w:left="440" w:top="1201" w:right="4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025"/>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4 of 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Professionals</w:t>
      </w:r>
    </w:p>
    <w:p>
      <w:pPr>
        <w:spacing w:after="0" w:line="104"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decreased 3% substantially due to the impact from the disposal of FindLaw, which negatively impacted recurring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revenues. Organic revenue growth was 8%.</w:t>
      </w:r>
    </w:p>
    <w:p>
      <w:pPr>
        <w:spacing w:after="0" w:line="59" w:lineRule="exact"/>
        <w:rPr>
          <w:sz w:val="20"/>
          <w:szCs w:val="20"/>
          <w:color w:val="auto"/>
        </w:rPr>
      </w:pPr>
    </w:p>
    <w:p>
      <w:pPr>
        <w:ind w:left="960" w:right="420" w:hanging="532"/>
        <w:spacing w:after="0" w:line="245"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Recurring revenues decreased 2% (97% of total, increased 9% organic). Organic revenue growth was primarily driven by Westlaw, CoCounsel, CoCounsel Drafting, Practical Law, CLEAR, and the segment’s international businesses.</w:t>
      </w: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Transactions revenues decreased 22% (3% of total, decreased 7% organic).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increased 4% to $339 million.</w:t>
      </w:r>
    </w:p>
    <w:p>
      <w:pPr>
        <w:spacing w:after="0" w:line="117" w:lineRule="exact"/>
        <w:rPr>
          <w:sz w:val="20"/>
          <w:szCs w:val="20"/>
          <w:color w:val="auto"/>
        </w:rPr>
      </w:pPr>
    </w:p>
    <w:p>
      <w:pPr>
        <w:ind w:left="960" w:hanging="53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margin increased to 47.8% from 45.0% primarily reflecting the disposal of the FindLaw business and operating leverage.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6% and organic revenue growth was 9%.</w:t>
      </w:r>
    </w:p>
    <w:p>
      <w:pPr>
        <w:spacing w:after="0" w:line="117" w:lineRule="exact"/>
        <w:rPr>
          <w:sz w:val="20"/>
          <w:szCs w:val="20"/>
          <w:color w:val="auto"/>
        </w:rPr>
      </w:pPr>
    </w:p>
    <w:p>
      <w:pPr>
        <w:ind w:left="960" w:right="480" w:hanging="532"/>
        <w:spacing w:after="0" w:line="245"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Recurring revenues increased 8% (88% of total, increased 9% organic). Organic revenue growth was primarily driven by Indirect and Direct Tax, Pagero, Practical Law, and the segment’s international businesses.</w:t>
      </w:r>
    </w:p>
    <w:p>
      <w:pPr>
        <w:ind w:left="960" w:right="160" w:hanging="532"/>
        <w:spacing w:after="0" w:line="250"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Transactions revenues decreased 2% (12% of total, increased 4% organic). Organic revenue growth was primarily driven by increases in Indirect Tax, Confirmation, SurePrep and the segment’s international businesses.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increased 3% to $169 million.</w:t>
      </w:r>
    </w:p>
    <w:p>
      <w:pPr>
        <w:spacing w:after="0" w:line="117" w:lineRule="exact"/>
        <w:rPr>
          <w:sz w:val="20"/>
          <w:szCs w:val="20"/>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margin decreased to 35.7% from 36.8% primarily reflecting higher technology and product development costs.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&amp; Accounting Professionals</w:t>
      </w:r>
    </w:p>
    <w:p>
      <w:pPr>
        <w:spacing w:after="0" w:line="10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13%, including the acquisition impact of SafeSend which was reflected in transactions revenues. Organic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growth was 11%.</w:t>
      </w:r>
    </w:p>
    <w:p>
      <w:pPr>
        <w:spacing w:after="0" w:line="59" w:lineRule="exact"/>
        <w:rPr>
          <w:sz w:val="20"/>
          <w:szCs w:val="20"/>
          <w:color w:val="auto"/>
        </w:rPr>
      </w:pPr>
    </w:p>
    <w:p>
      <w:pPr>
        <w:ind w:left="960" w:right="220" w:hanging="532"/>
        <w:spacing w:after="0" w:line="245"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Recurring revenues increased 9% (69% of total, all organic). Organic revenue growth was primarily driven by the segment’s Latin America business and its tax products.</w:t>
      </w:r>
    </w:p>
    <w:p>
      <w:pPr>
        <w:ind w:left="960" w:right="660" w:hanging="532"/>
        <w:spacing w:after="0" w:line="250"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Transactions revenues increased 23% (31% of total, increased 14% organic) primarily driven by SurePrep, SafeSend, UltraTax and Confirmation.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increased 22% to $113 million.</w:t>
      </w:r>
    </w:p>
    <w:p>
      <w:pPr>
        <w:spacing w:after="0" w:line="117" w:lineRule="exact"/>
        <w:rPr>
          <w:sz w:val="20"/>
          <w:szCs w:val="20"/>
          <w:color w:val="auto"/>
        </w:rPr>
      </w:pPr>
    </w:p>
    <w:p>
      <w:pPr>
        <w:ind w:left="960" w:hanging="532"/>
        <w:spacing w:after="0" w:line="271"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margin increased to 39.3% from 36.8%, primarily reflecting operating leverage on higher revenue growth and the timing of certain expenses.</w:t>
      </w:r>
    </w:p>
    <w:p>
      <w:pPr>
        <w:spacing w:after="0" w:line="15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Tax &amp; Accounting Professionals segment is the company’s most seasonal business with approximately 60% of full-year revenues typically generated in the first and fourth quarters. As a result, the margin performance of this segment has been generally higher in the first and fourth quarters as costs are typically incurred in a more linear fashion throughout the year.</w:t>
      </w:r>
    </w:p>
    <w:p>
      <w:pPr>
        <w:sectPr>
          <w:pgSz w:w="11900" w:h="16838" w:orient="portrait"/>
          <w:cols w:equalWidth="0" w:num="1">
            <w:col w:w="11000"/>
          </w:cols>
          <w:pgMar w:left="440" w:top="1201"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025"/>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5 of 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Reuters News</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5%, all organic, primarily due to higher Professional and Agency revenues and a contractual price increase from our</w:t>
      </w:r>
      <w:r>
        <w:rPr>
          <w:rFonts w:ascii="Arial" w:cs="Arial" w:eastAsia="Arial" w:hAnsi="Arial"/>
          <w:sz w:val="18"/>
          <w:szCs w:val="18"/>
          <w:b w:val="1"/>
          <w:bCs w:val="1"/>
          <w:color w:val="auto"/>
        </w:rPr>
        <w:t xml:space="preserve"> </w:t>
      </w:r>
      <w:r>
        <w:rPr>
          <w:rFonts w:ascii="Arial" w:cs="Arial" w:eastAsia="Arial" w:hAnsi="Arial"/>
          <w:sz w:val="18"/>
          <w:szCs w:val="18"/>
          <w:color w:val="auto"/>
        </w:rPr>
        <w:t>news agreement with the Data &amp; Analytics business of LSEG.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decreased 11% to $45 million.</w:t>
      </w:r>
    </w:p>
    <w:p>
      <w:pPr>
        <w:spacing w:after="0" w:line="117" w:lineRule="exact"/>
        <w:rPr>
          <w:sz w:val="20"/>
          <w:szCs w:val="20"/>
          <w:color w:val="auto"/>
        </w:rPr>
      </w:pPr>
    </w:p>
    <w:p>
      <w:pPr>
        <w:ind w:left="960" w:right="520" w:hanging="532"/>
        <w:spacing w:after="0" w:line="271"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margin decreased to 20.8% from 24.8% primarily due to higher editorial coverage costs and investments across the business.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Global Print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decreased 7%, all organic, driven by lower shipment volumes and the migration of customers from Global Print to Westlaw.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decreased 5% to $41 million, and the margin increased to 36.0% from 35.2%.</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Costs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Corporate costs </w:t>
      </w:r>
      <w:r>
        <w:rPr>
          <w:rFonts w:ascii="Arial" w:cs="Arial" w:eastAsia="Arial" w:hAnsi="Arial"/>
          <w:sz w:val="18"/>
          <w:szCs w:val="18"/>
          <w:color w:val="auto"/>
        </w:rPr>
        <w:t>were $29 million in both the current and prior-year periods.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Highlights – Six Months Ended June 30</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60" w:type="dxa"/>
            <w:vAlign w:val="bottom"/>
            <w:tcBorders>
              <w:top w:val="single" w:sz="8" w:color="auto"/>
              <w:left w:val="single" w:sz="8" w:color="auto"/>
            </w:tcBorders>
          </w:tcPr>
          <w:p>
            <w:pPr>
              <w:spacing w:after="0"/>
              <w:rPr>
                <w:sz w:val="14"/>
                <w:szCs w:val="14"/>
                <w:color w:val="auto"/>
              </w:rPr>
            </w:pPr>
          </w:p>
        </w:tc>
        <w:tc>
          <w:tcPr>
            <w:tcW w:w="2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2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tcPr>
          <w:p>
            <w:pPr>
              <w:spacing w:after="0"/>
              <w:rPr>
                <w:sz w:val="14"/>
                <w:szCs w:val="14"/>
                <w:color w:val="auto"/>
              </w:rPr>
            </w:pPr>
          </w:p>
        </w:tc>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0" w:type="dxa"/>
            <w:vAlign w:val="bottom"/>
            <w:gridSpan w:val="2"/>
          </w:tcPr>
          <w:p>
            <w:pPr>
              <w:jc w:val="center"/>
              <w:spacing w:after="0"/>
              <w:rPr>
                <w:sz w:val="20"/>
                <w:szCs w:val="20"/>
                <w:color w:val="auto"/>
              </w:rPr>
            </w:pPr>
            <w:r>
              <w:rPr>
                <w:rFonts w:ascii="Arial" w:cs="Arial" w:eastAsia="Arial" w:hAnsi="Arial"/>
                <w:sz w:val="14"/>
                <w:szCs w:val="14"/>
                <w:color w:val="auto"/>
              </w:rPr>
              <w:t>(Millions of U.S. dollars, except for EPS)</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0" w:type="dxa"/>
            <w:vAlign w:val="bottom"/>
            <w:tcBorders>
              <w:left w:val="single" w:sz="8" w:color="auto"/>
            </w:tcBorders>
          </w:tcPr>
          <w:p>
            <w:pPr>
              <w:spacing w:after="0"/>
              <w:rPr>
                <w:sz w:val="16"/>
                <w:szCs w:val="16"/>
                <w:color w:val="auto"/>
              </w:rPr>
            </w:pPr>
          </w:p>
        </w:tc>
        <w:tc>
          <w:tcPr>
            <w:tcW w:w="2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0" w:type="dxa"/>
            <w:vAlign w:val="bottom"/>
            <w:gridSpan w:val="2"/>
          </w:tcPr>
          <w:p>
            <w:pPr>
              <w:jc w:val="center"/>
              <w:spacing w:after="0"/>
              <w:rPr>
                <w:sz w:val="20"/>
                <w:szCs w:val="20"/>
                <w:color w:val="auto"/>
              </w:rPr>
            </w:pPr>
            <w:r>
              <w:rPr>
                <w:rFonts w:ascii="Arial" w:cs="Arial" w:eastAsia="Arial" w:hAnsi="Arial"/>
                <w:sz w:val="14"/>
                <w:szCs w:val="14"/>
                <w:color w:val="auto"/>
              </w:rPr>
              <w:t>(unaudited)</w:t>
            </w:r>
          </w:p>
        </w:tc>
        <w:tc>
          <w:tcPr>
            <w:tcW w:w="4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2025</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2024</w:t>
            </w:r>
          </w:p>
        </w:tc>
        <w:tc>
          <w:tcPr>
            <w:tcW w:w="460" w:type="dxa"/>
            <w:vAlign w:val="bottom"/>
          </w:tcPr>
          <w:p>
            <w:pPr>
              <w:spacing w:after="0"/>
              <w:rPr>
                <w:sz w:val="16"/>
                <w:szCs w:val="16"/>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7"/>
              </w:rPr>
              <w:t>Change</w:t>
            </w:r>
          </w:p>
        </w:tc>
        <w:tc>
          <w:tcPr>
            <w:tcW w:w="70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60" w:type="dxa"/>
            <w:vAlign w:val="bottom"/>
            <w:tcBorders>
              <w:left w:val="single" w:sz="8" w:color="auto"/>
            </w:tcBorders>
          </w:tcPr>
          <w:p>
            <w:pPr>
              <w:spacing w:after="0"/>
              <w:rPr>
                <w:sz w:val="13"/>
                <w:szCs w:val="13"/>
                <w:color w:val="auto"/>
              </w:rPr>
            </w:pPr>
          </w:p>
        </w:tc>
        <w:tc>
          <w:tcPr>
            <w:tcW w:w="2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60" w:type="dxa"/>
            <w:vAlign w:val="bottom"/>
            <w:tcBorders>
              <w:top w:val="single" w:sz="8" w:color="CCEEFF"/>
              <w:left w:val="single" w:sz="8" w:color="auto"/>
            </w:tcBorders>
            <w:shd w:val="clear" w:color="auto" w:fill="CCEEFF"/>
          </w:tcPr>
          <w:p>
            <w:pPr>
              <w:spacing w:after="0"/>
              <w:rPr>
                <w:sz w:val="14"/>
                <w:szCs w:val="14"/>
                <w:color w:val="auto"/>
              </w:rPr>
            </w:pPr>
          </w:p>
        </w:tc>
        <w:tc>
          <w:tcPr>
            <w:tcW w:w="35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3"/>
                <w:szCs w:val="13"/>
                <w:b w:val="1"/>
                <w:bCs w:val="1"/>
                <w:color w:val="auto"/>
              </w:rPr>
              <w:t>IFRS Financial Measures</w:t>
            </w:r>
            <w:r>
              <w:rPr>
                <w:rFonts w:ascii="Arial" w:cs="Arial" w:eastAsia="Arial" w:hAnsi="Arial"/>
                <w:sz w:val="18"/>
                <w:szCs w:val="18"/>
                <w:color w:val="auto"/>
                <w:vertAlign w:val="superscript"/>
              </w:rPr>
              <w:t>(1)</w:t>
            </w:r>
          </w:p>
        </w:tc>
        <w:tc>
          <w:tcPr>
            <w:tcW w:w="3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0" w:type="dxa"/>
            <w:vAlign w:val="bottom"/>
            <w:tcBorders>
              <w:top w:val="single" w:sz="8" w:color="CCEEFF"/>
              <w:left w:val="single" w:sz="8" w:color="auto"/>
            </w:tcBorders>
          </w:tcPr>
          <w:p>
            <w:pPr>
              <w:spacing w:after="0"/>
              <w:rPr>
                <w:sz w:val="17"/>
                <w:szCs w:val="17"/>
                <w:color w:val="auto"/>
              </w:rPr>
            </w:pPr>
          </w:p>
        </w:tc>
        <w:tc>
          <w:tcPr>
            <w:tcW w:w="21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Revenues</w:t>
            </w:r>
          </w:p>
        </w:tc>
        <w:tc>
          <w:tcPr>
            <w:tcW w:w="1460" w:type="dxa"/>
            <w:vAlign w:val="bottom"/>
            <w:tcBorders>
              <w:top w:val="single" w:sz="8" w:color="CCEEFF"/>
            </w:tcBorders>
            <w:gridSpan w:val="2"/>
          </w:tcPr>
          <w:p>
            <w:pPr>
              <w:spacing w:after="0"/>
              <w:rPr>
                <w:sz w:val="17"/>
                <w:szCs w:val="17"/>
                <w:color w:val="auto"/>
              </w:rPr>
            </w:pPr>
          </w:p>
        </w:tc>
        <w:tc>
          <w:tcPr>
            <w:tcW w:w="3200" w:type="dxa"/>
            <w:vAlign w:val="bottom"/>
            <w:tcBorders>
              <w:top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gridSpan w:val="2"/>
          </w:tcPr>
          <w:p>
            <w:pPr>
              <w:jc w:val="right"/>
              <w:ind w:right="320"/>
              <w:spacing w:after="0" w:line="202" w:lineRule="exact"/>
              <w:rPr>
                <w:sz w:val="20"/>
                <w:szCs w:val="20"/>
                <w:color w:val="auto"/>
              </w:rPr>
            </w:pPr>
            <w:r>
              <w:rPr>
                <w:rFonts w:ascii="Arial" w:cs="Arial" w:eastAsia="Arial" w:hAnsi="Arial"/>
                <w:sz w:val="18"/>
                <w:szCs w:val="18"/>
                <w:color w:val="auto"/>
                <w:w w:val="97"/>
              </w:rPr>
              <w:t>3,685</w:t>
            </w:r>
          </w:p>
        </w:tc>
        <w:tc>
          <w:tcPr>
            <w:tcW w:w="260" w:type="dxa"/>
            <w:vAlign w:val="bottom"/>
            <w:tcBorders>
              <w:top w:val="single" w:sz="8" w:color="CCEEFF"/>
            </w:tcBorders>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460"/>
              <w:spacing w:after="0" w:line="202" w:lineRule="exact"/>
              <w:rPr>
                <w:sz w:val="20"/>
                <w:szCs w:val="20"/>
                <w:color w:val="auto"/>
              </w:rPr>
            </w:pPr>
            <w:r>
              <w:rPr>
                <w:rFonts w:ascii="Arial" w:cs="Arial" w:eastAsia="Arial" w:hAnsi="Arial"/>
                <w:sz w:val="18"/>
                <w:szCs w:val="18"/>
                <w:color w:val="auto"/>
                <w:w w:val="97"/>
              </w:rPr>
              <w:t>3,625</w:t>
            </w:r>
          </w:p>
        </w:tc>
        <w:tc>
          <w:tcPr>
            <w:tcW w:w="1000" w:type="dxa"/>
            <w:vAlign w:val="bottom"/>
            <w:tcBorders>
              <w:top w:val="single" w:sz="8" w:color="CCEEFF"/>
            </w:tcBorders>
            <w:gridSpan w:val="2"/>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700" w:type="dxa"/>
            <w:vAlign w:val="bottom"/>
            <w:tcBorders>
              <w:top w:val="single" w:sz="8" w:color="CCEEFF"/>
            </w:tcBorders>
          </w:tcPr>
          <w:p>
            <w:pPr>
              <w:spacing w:after="0"/>
              <w:rPr>
                <w:sz w:val="17"/>
                <w:szCs w:val="17"/>
                <w:color w:val="auto"/>
              </w:rPr>
            </w:pPr>
          </w:p>
        </w:tc>
        <w:tc>
          <w:tcPr>
            <w:tcW w:w="440" w:type="dxa"/>
            <w:vAlign w:val="bottom"/>
            <w:tcBorders>
              <w:top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CCEEFF"/>
          </w:tcPr>
          <w:p>
            <w:pPr>
              <w:spacing w:after="0"/>
              <w:rPr>
                <w:sz w:val="17"/>
                <w:szCs w:val="17"/>
                <w:color w:val="auto"/>
              </w:rPr>
            </w:pPr>
          </w:p>
        </w:tc>
        <w:tc>
          <w:tcPr>
            <w:tcW w:w="3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Operating profit</w:t>
            </w:r>
          </w:p>
        </w:tc>
        <w:tc>
          <w:tcPr>
            <w:tcW w:w="3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999</w:t>
            </w:r>
          </w:p>
        </w:tc>
        <w:tc>
          <w:tcPr>
            <w:tcW w:w="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972</w:t>
            </w:r>
          </w:p>
        </w:tc>
        <w:tc>
          <w:tcPr>
            <w:tcW w:w="10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tcPr>
          <w:p>
            <w:pPr>
              <w:spacing w:after="0"/>
              <w:rPr>
                <w:sz w:val="17"/>
                <w:szCs w:val="17"/>
                <w:color w:val="auto"/>
              </w:rPr>
            </w:pPr>
          </w:p>
        </w:tc>
        <w:tc>
          <w:tcPr>
            <w:tcW w:w="3580" w:type="dxa"/>
            <w:vAlign w:val="bottom"/>
            <w:gridSpan w:val="3"/>
          </w:tcPr>
          <w:p>
            <w:pPr>
              <w:spacing w:after="0" w:line="202" w:lineRule="exact"/>
              <w:rPr>
                <w:sz w:val="20"/>
                <w:szCs w:val="20"/>
                <w:color w:val="auto"/>
              </w:rPr>
            </w:pPr>
            <w:r>
              <w:rPr>
                <w:rFonts w:ascii="Arial" w:cs="Arial" w:eastAsia="Arial" w:hAnsi="Arial"/>
                <w:sz w:val="18"/>
                <w:szCs w:val="18"/>
                <w:color w:val="auto"/>
              </w:rPr>
              <w:t>Diluted EPS</w:t>
            </w:r>
          </w:p>
        </w:tc>
        <w:tc>
          <w:tcPr>
            <w:tcW w:w="3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1.65</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2.92</w:t>
            </w: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-43%</w:t>
            </w:r>
          </w:p>
        </w:tc>
        <w:tc>
          <w:tcPr>
            <w:tcW w:w="7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CCEEFF"/>
          </w:tcPr>
          <w:p>
            <w:pPr>
              <w:spacing w:after="0"/>
              <w:rPr>
                <w:sz w:val="17"/>
                <w:szCs w:val="17"/>
                <w:color w:val="auto"/>
              </w:rPr>
            </w:pPr>
          </w:p>
        </w:tc>
        <w:tc>
          <w:tcPr>
            <w:tcW w:w="3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7"/>
              </w:rPr>
              <w:t>1,191</w:t>
            </w:r>
          </w:p>
        </w:tc>
        <w:tc>
          <w:tcPr>
            <w:tcW w:w="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1,137</w:t>
            </w:r>
          </w:p>
        </w:tc>
        <w:tc>
          <w:tcPr>
            <w:tcW w:w="10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w:t>
            </w:r>
          </w:p>
        </w:tc>
        <w:tc>
          <w:tcPr>
            <w:tcW w:w="700" w:type="dxa"/>
            <w:vAlign w:val="bottom"/>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60" w:type="dxa"/>
            <w:vAlign w:val="bottom"/>
            <w:tcBorders>
              <w:left w:val="single" w:sz="8" w:color="auto"/>
            </w:tcBorders>
          </w:tcPr>
          <w:p>
            <w:pPr>
              <w:spacing w:after="0"/>
              <w:rPr>
                <w:sz w:val="22"/>
                <w:szCs w:val="22"/>
                <w:color w:val="auto"/>
              </w:rPr>
            </w:pPr>
          </w:p>
        </w:tc>
        <w:tc>
          <w:tcPr>
            <w:tcW w:w="2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Change at</w:t>
            </w:r>
          </w:p>
        </w:tc>
        <w:tc>
          <w:tcPr>
            <w:tcW w:w="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tcPr>
          <w:p>
            <w:pPr>
              <w:spacing w:after="0"/>
              <w:rPr>
                <w:sz w:val="14"/>
                <w:szCs w:val="14"/>
                <w:color w:val="auto"/>
              </w:rPr>
            </w:pPr>
          </w:p>
        </w:tc>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Constant</w:t>
            </w:r>
          </w:p>
        </w:tc>
        <w:tc>
          <w:tcPr>
            <w:tcW w:w="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0" w:type="dxa"/>
            <w:vAlign w:val="bottom"/>
            <w:tcBorders>
              <w:left w:val="single" w:sz="8" w:color="auto"/>
            </w:tcBorders>
          </w:tcPr>
          <w:p>
            <w:pPr>
              <w:spacing w:after="0"/>
              <w:rPr>
                <w:sz w:val="14"/>
                <w:szCs w:val="14"/>
                <w:color w:val="auto"/>
              </w:rPr>
            </w:pPr>
          </w:p>
        </w:tc>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4"/>
              <w:spacing w:after="0"/>
              <w:rPr>
                <w:sz w:val="20"/>
                <w:szCs w:val="20"/>
                <w:color w:val="auto"/>
              </w:rPr>
            </w:pPr>
            <w:r>
              <w:rPr>
                <w:rFonts w:ascii="Arial" w:cs="Arial" w:eastAsia="Arial" w:hAnsi="Arial"/>
                <w:sz w:val="14"/>
                <w:szCs w:val="14"/>
                <w:b w:val="1"/>
                <w:bCs w:val="1"/>
                <w:color w:val="auto"/>
              </w:rPr>
              <w:t>2025</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4"/>
              <w:spacing w:after="0"/>
              <w:rPr>
                <w:sz w:val="20"/>
                <w:szCs w:val="20"/>
                <w:color w:val="auto"/>
              </w:rPr>
            </w:pPr>
            <w:r>
              <w:rPr>
                <w:rFonts w:ascii="Arial" w:cs="Arial" w:eastAsia="Arial" w:hAnsi="Arial"/>
                <w:sz w:val="14"/>
                <w:szCs w:val="14"/>
                <w:b w:val="1"/>
                <w:bCs w:val="1"/>
                <w:color w:val="auto"/>
              </w:rPr>
              <w:t>2024</w:t>
            </w:r>
          </w:p>
        </w:tc>
        <w:tc>
          <w:tcPr>
            <w:tcW w:w="46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Change</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Currency</w:t>
            </w:r>
          </w:p>
        </w:tc>
        <w:tc>
          <w:tcPr>
            <w:tcW w:w="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0" w:type="dxa"/>
            <w:vAlign w:val="bottom"/>
            <w:tcBorders>
              <w:top w:val="single" w:sz="8" w:color="CCEEFF"/>
              <w:left w:val="single" w:sz="8" w:color="auto"/>
            </w:tcBorders>
            <w:shd w:val="clear" w:color="auto" w:fill="CCEEFF"/>
          </w:tcPr>
          <w:p>
            <w:pPr>
              <w:spacing w:after="0"/>
              <w:rPr>
                <w:sz w:val="13"/>
                <w:szCs w:val="13"/>
                <w:color w:val="auto"/>
              </w:rPr>
            </w:pPr>
          </w:p>
        </w:tc>
        <w:tc>
          <w:tcPr>
            <w:tcW w:w="35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3"/>
                <w:szCs w:val="13"/>
                <w:b w:val="1"/>
                <w:bCs w:val="1"/>
                <w:color w:val="auto"/>
              </w:rPr>
              <w:t>Non-IFRS Financial Measures</w:t>
            </w:r>
            <w:r>
              <w:rPr>
                <w:rFonts w:ascii="Arial" w:cs="Arial" w:eastAsia="Arial" w:hAnsi="Arial"/>
                <w:sz w:val="18"/>
                <w:szCs w:val="18"/>
                <w:color w:val="auto"/>
                <w:vertAlign w:val="superscript"/>
              </w:rPr>
              <w:t>(1)</w:t>
            </w:r>
          </w:p>
        </w:tc>
        <w:tc>
          <w:tcPr>
            <w:tcW w:w="3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0" w:type="dxa"/>
            <w:vAlign w:val="bottom"/>
            <w:tcBorders>
              <w:left w:val="single" w:sz="8" w:color="auto"/>
            </w:tcBorders>
            <w:shd w:val="clear" w:color="auto" w:fill="CCEEFF"/>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4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Borders>
              <w:left w:val="single" w:sz="8" w:color="auto"/>
            </w:tcBorders>
          </w:tcPr>
          <w:p>
            <w:pPr>
              <w:spacing w:after="0"/>
              <w:rPr>
                <w:sz w:val="17"/>
                <w:szCs w:val="17"/>
                <w:color w:val="auto"/>
              </w:rPr>
            </w:pPr>
          </w:p>
        </w:tc>
        <w:tc>
          <w:tcPr>
            <w:tcW w:w="3580" w:type="dxa"/>
            <w:vAlign w:val="bottom"/>
            <w:gridSpan w:val="3"/>
          </w:tcPr>
          <w:p>
            <w:pPr>
              <w:spacing w:after="0" w:line="202" w:lineRule="exact"/>
              <w:rPr>
                <w:sz w:val="20"/>
                <w:szCs w:val="20"/>
                <w:color w:val="auto"/>
              </w:rPr>
            </w:pPr>
            <w:r>
              <w:rPr>
                <w:rFonts w:ascii="Arial" w:cs="Arial" w:eastAsia="Arial" w:hAnsi="Arial"/>
                <w:sz w:val="18"/>
                <w:szCs w:val="18"/>
                <w:color w:val="auto"/>
              </w:rPr>
              <w:t>Revenue growth in constant currency</w:t>
            </w: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213"/>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CCEEFF"/>
          </w:tcPr>
          <w:p>
            <w:pPr>
              <w:spacing w:after="0"/>
              <w:rPr>
                <w:sz w:val="17"/>
                <w:szCs w:val="17"/>
                <w:color w:val="auto"/>
              </w:rPr>
            </w:pPr>
          </w:p>
        </w:tc>
        <w:tc>
          <w:tcPr>
            <w:tcW w:w="3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Organic revenue growth</w:t>
            </w:r>
          </w:p>
        </w:tc>
        <w:tc>
          <w:tcPr>
            <w:tcW w:w="3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tcPr>
          <w:p>
            <w:pPr>
              <w:spacing w:after="0"/>
              <w:rPr>
                <w:sz w:val="17"/>
                <w:szCs w:val="17"/>
                <w:color w:val="auto"/>
              </w:rPr>
            </w:pPr>
          </w:p>
        </w:tc>
        <w:tc>
          <w:tcPr>
            <w:tcW w:w="3580" w:type="dxa"/>
            <w:vAlign w:val="bottom"/>
            <w:gridSpan w:val="3"/>
          </w:tcPr>
          <w:p>
            <w:pPr>
              <w:spacing w:after="0" w:line="202" w:lineRule="exact"/>
              <w:rPr>
                <w:sz w:val="20"/>
                <w:szCs w:val="20"/>
                <w:color w:val="auto"/>
              </w:rPr>
            </w:pPr>
            <w:r>
              <w:rPr>
                <w:rFonts w:ascii="Arial" w:cs="Arial" w:eastAsia="Arial" w:hAnsi="Arial"/>
                <w:sz w:val="18"/>
                <w:szCs w:val="18"/>
                <w:color w:val="auto"/>
              </w:rPr>
              <w:t>Adjusted EBITDA</w:t>
            </w:r>
          </w:p>
        </w:tc>
        <w:tc>
          <w:tcPr>
            <w:tcW w:w="3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w w:val="97"/>
              </w:rPr>
              <w:t>1,487</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7"/>
              </w:rPr>
              <w:t>1,452</w:t>
            </w: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1140" w:type="dxa"/>
            <w:vAlign w:val="bottom"/>
            <w:tcBorders>
              <w:right w:val="single" w:sz="8" w:color="auto"/>
            </w:tcBorders>
            <w:gridSpan w:val="2"/>
          </w:tcPr>
          <w:p>
            <w:pPr>
              <w:jc w:val="right"/>
              <w:ind w:right="213"/>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CCEEFF"/>
          </w:tcPr>
          <w:p>
            <w:pPr>
              <w:spacing w:after="0"/>
              <w:rPr>
                <w:sz w:val="17"/>
                <w:szCs w:val="17"/>
                <w:color w:val="auto"/>
              </w:rPr>
            </w:pPr>
          </w:p>
        </w:tc>
        <w:tc>
          <w:tcPr>
            <w:tcW w:w="3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3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40.1%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40.0%</w:t>
            </w:r>
          </w:p>
        </w:tc>
        <w:tc>
          <w:tcPr>
            <w:tcW w:w="10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10bp</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-10bp</w:t>
            </w:r>
          </w:p>
        </w:tc>
        <w:tc>
          <w:tcPr>
            <w:tcW w:w="4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tcPr>
          <w:p>
            <w:pPr>
              <w:spacing w:after="0"/>
              <w:rPr>
                <w:sz w:val="17"/>
                <w:szCs w:val="17"/>
                <w:color w:val="auto"/>
              </w:rPr>
            </w:pPr>
          </w:p>
        </w:tc>
        <w:tc>
          <w:tcPr>
            <w:tcW w:w="3580" w:type="dxa"/>
            <w:vAlign w:val="bottom"/>
            <w:gridSpan w:val="3"/>
          </w:tcPr>
          <w:p>
            <w:pPr>
              <w:spacing w:after="0" w:line="202" w:lineRule="exact"/>
              <w:rPr>
                <w:sz w:val="20"/>
                <w:szCs w:val="20"/>
                <w:color w:val="auto"/>
              </w:rPr>
            </w:pPr>
            <w:r>
              <w:rPr>
                <w:rFonts w:ascii="Arial" w:cs="Arial" w:eastAsia="Arial" w:hAnsi="Arial"/>
                <w:sz w:val="18"/>
                <w:szCs w:val="18"/>
                <w:color w:val="auto"/>
              </w:rPr>
              <w:t>Adjusted EPS</w:t>
            </w:r>
          </w:p>
        </w:tc>
        <w:tc>
          <w:tcPr>
            <w:tcW w:w="3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2.00</w:t>
            </w:r>
          </w:p>
        </w:tc>
        <w:tc>
          <w:tcPr>
            <w:tcW w:w="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1.97</w:t>
            </w: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1140" w:type="dxa"/>
            <w:vAlign w:val="bottom"/>
            <w:tcBorders>
              <w:right w:val="single" w:sz="8" w:color="auto"/>
            </w:tcBorders>
            <w:gridSpan w:val="2"/>
          </w:tcPr>
          <w:p>
            <w:pPr>
              <w:jc w:val="right"/>
              <w:ind w:right="213"/>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CCEEFF"/>
          </w:tcPr>
          <w:p>
            <w:pPr>
              <w:spacing w:after="0"/>
              <w:rPr>
                <w:sz w:val="17"/>
                <w:szCs w:val="17"/>
                <w:color w:val="auto"/>
              </w:rPr>
            </w:pPr>
          </w:p>
        </w:tc>
        <w:tc>
          <w:tcPr>
            <w:tcW w:w="3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Free cash flow</w:t>
            </w:r>
          </w:p>
        </w:tc>
        <w:tc>
          <w:tcPr>
            <w:tcW w:w="3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843</w:t>
            </w:r>
          </w:p>
        </w:tc>
        <w:tc>
          <w:tcPr>
            <w:tcW w:w="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812</w:t>
            </w:r>
          </w:p>
        </w:tc>
        <w:tc>
          <w:tcPr>
            <w:tcW w:w="10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w:t>
            </w:r>
          </w:p>
        </w:tc>
        <w:tc>
          <w:tcPr>
            <w:tcW w:w="700" w:type="dxa"/>
            <w:vAlign w:val="bottom"/>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60" w:type="dxa"/>
            <w:vAlign w:val="bottom"/>
            <w:tcBorders>
              <w:left w:val="single" w:sz="8" w:color="auto"/>
            </w:tcBorders>
          </w:tcPr>
          <w:p>
            <w:pPr>
              <w:spacing w:after="0"/>
              <w:rPr>
                <w:sz w:val="22"/>
                <w:szCs w:val="22"/>
                <w:color w:val="auto"/>
              </w:rPr>
            </w:pPr>
          </w:p>
        </w:tc>
        <w:tc>
          <w:tcPr>
            <w:tcW w:w="10440" w:type="dxa"/>
            <w:vAlign w:val="bottom"/>
            <w:gridSpan w:val="14"/>
          </w:tcPr>
          <w:p>
            <w:pPr>
              <w:spacing w:after="0"/>
              <w:rPr>
                <w:sz w:val="20"/>
                <w:szCs w:val="20"/>
                <w:color w:val="auto"/>
              </w:rPr>
            </w:pPr>
            <w:r>
              <w:rPr>
                <w:rFonts w:ascii="Arial" w:cs="Arial" w:eastAsia="Arial" w:hAnsi="Arial"/>
                <w:sz w:val="14"/>
                <w:szCs w:val="14"/>
                <w:i w:val="1"/>
                <w:iCs w:val="1"/>
                <w:color w:val="auto"/>
              </w:rPr>
              <w:t>(1)   In addition to results reported in accordance with IFRS, the company uses certain non-IFRS financial measures as supplemental indicators of its operating</w:t>
            </w:r>
          </w:p>
        </w:tc>
        <w:tc>
          <w:tcPr>
            <w:tcW w:w="440" w:type="dxa"/>
            <w:vAlign w:val="bottom"/>
            <w:tcBorders>
              <w:right w:val="single" w:sz="8" w:color="auto"/>
            </w:tcBorders>
          </w:tcPr>
          <w:p>
            <w:pPr>
              <w:jc w:val="right"/>
              <w:ind w:right="233"/>
              <w:spacing w:after="0"/>
              <w:rPr>
                <w:sz w:val="20"/>
                <w:szCs w:val="20"/>
                <w:color w:val="auto"/>
              </w:rPr>
            </w:pPr>
            <w:r>
              <w:rPr>
                <w:rFonts w:ascii="Arial" w:cs="Arial" w:eastAsia="Arial" w:hAnsi="Arial"/>
                <w:sz w:val="13"/>
                <w:szCs w:val="13"/>
                <w:i w:val="1"/>
                <w:iCs w:val="1"/>
                <w:color w:val="auto"/>
                <w:w w:val="73"/>
              </w:rPr>
              <w:t>    </w:t>
            </w: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tcPr>
          <w:p>
            <w:pPr>
              <w:spacing w:after="0"/>
              <w:rPr>
                <w:sz w:val="14"/>
                <w:szCs w:val="14"/>
                <w:color w:val="auto"/>
              </w:rPr>
            </w:pPr>
          </w:p>
        </w:tc>
        <w:tc>
          <w:tcPr>
            <w:tcW w:w="10440" w:type="dxa"/>
            <w:vAlign w:val="bottom"/>
            <w:gridSpan w:val="14"/>
          </w:tcPr>
          <w:p>
            <w:pPr>
              <w:ind w:left="280"/>
              <w:spacing w:after="0"/>
              <w:rPr>
                <w:sz w:val="20"/>
                <w:szCs w:val="20"/>
                <w:color w:val="auto"/>
              </w:rPr>
            </w:pPr>
            <w:r>
              <w:rPr>
                <w:rFonts w:ascii="Arial" w:cs="Arial" w:eastAsia="Arial" w:hAnsi="Arial"/>
                <w:sz w:val="14"/>
                <w:szCs w:val="14"/>
                <w:i w:val="1"/>
                <w:iCs w:val="1"/>
                <w:color w:val="auto"/>
              </w:rPr>
              <w:t>performance and financial position. See the “Non-IFRS Financial Measures” section and the tables appended to this news release for additional information on</w:t>
            </w:r>
          </w:p>
        </w:tc>
        <w:tc>
          <w:tcPr>
            <w:tcW w:w="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left w:val="single" w:sz="8" w:color="auto"/>
              <w:bottom w:val="single" w:sz="8" w:color="auto"/>
            </w:tcBorders>
          </w:tcPr>
          <w:p>
            <w:pPr>
              <w:spacing w:after="0"/>
              <w:rPr>
                <w:sz w:val="14"/>
                <w:szCs w:val="14"/>
                <w:color w:val="auto"/>
              </w:rPr>
            </w:pPr>
          </w:p>
        </w:tc>
        <w:tc>
          <w:tcPr>
            <w:tcW w:w="9740" w:type="dxa"/>
            <w:vAlign w:val="bottom"/>
            <w:tcBorders>
              <w:bottom w:val="single" w:sz="8" w:color="auto"/>
            </w:tcBorders>
            <w:gridSpan w:val="13"/>
          </w:tcPr>
          <w:p>
            <w:pPr>
              <w:ind w:left="280"/>
              <w:spacing w:after="0"/>
              <w:rPr>
                <w:sz w:val="20"/>
                <w:szCs w:val="20"/>
                <w:color w:val="auto"/>
              </w:rPr>
            </w:pPr>
            <w:r>
              <w:rPr>
                <w:rFonts w:ascii="Arial" w:cs="Arial" w:eastAsia="Arial" w:hAnsi="Arial"/>
                <w:sz w:val="14"/>
                <w:szCs w:val="14"/>
                <w:i w:val="1"/>
                <w:iCs w:val="1"/>
                <w:color w:val="auto"/>
              </w:rPr>
              <w:t>these and other non-IFRS financial measures, including how they are defined and reconciled to the most directly comparable IFRS measures.</w:t>
            </w: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01"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0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025"/>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6 of 24</w:t>
      </w:r>
    </w:p>
    <w:p>
      <w:pPr>
        <w:spacing w:after="0" w:line="2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2% due to 2% growth in recurring revenues (79% of total revenues) and 1% growth in transactions revenues, partly</w:t>
      </w:r>
      <w:r>
        <w:rPr>
          <w:rFonts w:ascii="Arial" w:cs="Arial" w:eastAsia="Arial" w:hAnsi="Arial"/>
          <w:sz w:val="18"/>
          <w:szCs w:val="18"/>
          <w:b w:val="1"/>
          <w:bCs w:val="1"/>
          <w:color w:val="auto"/>
        </w:rPr>
        <w:t xml:space="preserve"> </w:t>
      </w:r>
      <w:r>
        <w:rPr>
          <w:rFonts w:ascii="Arial" w:cs="Arial" w:eastAsia="Arial" w:hAnsi="Arial"/>
          <w:sz w:val="18"/>
          <w:szCs w:val="18"/>
          <w:color w:val="auto"/>
        </w:rPr>
        <w:t>offset by a 7% decline in Global Print. Total company revenue growth was negatively impacted by net acquisitions and disposals of 5%. Foreign currency had no impact on revenue growth.</w:t>
      </w:r>
    </w:p>
    <w:p>
      <w:pPr>
        <w:spacing w:after="0" w:line="74" w:lineRule="exact"/>
        <w:rPr>
          <w:sz w:val="20"/>
          <w:szCs w:val="20"/>
          <w:color w:val="auto"/>
        </w:rPr>
      </w:pPr>
    </w:p>
    <w:p>
      <w:pPr>
        <w:ind w:left="960" w:right="240" w:hanging="532"/>
        <w:spacing w:after="0" w:line="245"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Organic revenues increased 7% reflecting 9% growth in recurring revenues, 3% growth in transactions revenues and a 6% decline in Global Print.</w:t>
      </w: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“Big 3” segments reported organic revenue growth of 9% and collectively comprised 83% of total revenues.</w:t>
      </w:r>
    </w:p>
    <w:p>
      <w:pPr>
        <w:spacing w:after="0" w:line="19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b w:val="1"/>
          <w:bCs w:val="1"/>
          <w:color w:val="auto"/>
        </w:rPr>
        <w:t xml:space="preserve">Operating profit </w:t>
      </w:r>
      <w:r>
        <w:rPr>
          <w:rFonts w:ascii="Arial" w:cs="Arial" w:eastAsia="Arial" w:hAnsi="Arial"/>
          <w:sz w:val="18"/>
          <w:szCs w:val="18"/>
          <w:color w:val="auto"/>
        </w:rPr>
        <w:t>increased 3%, primarily due to higher revenues and a benefit from other operating gains reflected in the current-year</w:t>
      </w:r>
      <w:r>
        <w:rPr>
          <w:rFonts w:ascii="Arial" w:cs="Arial" w:eastAsia="Arial" w:hAnsi="Arial"/>
          <w:sz w:val="18"/>
          <w:szCs w:val="18"/>
          <w:b w:val="1"/>
          <w:bCs w:val="1"/>
          <w:color w:val="auto"/>
        </w:rPr>
        <w:t xml:space="preserve"> </w:t>
      </w:r>
      <w:r>
        <w:rPr>
          <w:rFonts w:ascii="Arial" w:cs="Arial" w:eastAsia="Arial" w:hAnsi="Arial"/>
          <w:sz w:val="18"/>
          <w:szCs w:val="18"/>
          <w:color w:val="auto"/>
        </w:rPr>
        <w:t>period compared to other operating losses in the prior-year period. These items were partly offset by higher operating expenses and amortization of computer software.</w:t>
      </w:r>
    </w:p>
    <w:p>
      <w:pPr>
        <w:spacing w:after="0" w:line="74" w:lineRule="exact"/>
        <w:rPr>
          <w:sz w:val="20"/>
          <w:szCs w:val="20"/>
          <w:color w:val="auto"/>
        </w:rPr>
      </w:pPr>
    </w:p>
    <w:p>
      <w:pPr>
        <w:ind w:left="960" w:right="160" w:hanging="532"/>
        <w:spacing w:after="0" w:line="25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Adjusted EBITDA</w:t>
      </w:r>
      <w:r>
        <w:rPr>
          <w:rFonts w:ascii="Arial" w:cs="Arial" w:eastAsia="Arial" w:hAnsi="Arial"/>
          <w:sz w:val="18"/>
          <w:szCs w:val="18"/>
          <w:color w:val="auto"/>
        </w:rPr>
        <w:t>, which excludes other operating gains and losses, amortization of computer software, as well as other</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increased 2% and the related margin increased slightly to 40.1% from 40.0%. Foreign currency contributed 20 basis points to the year-over-year change in adjusted EBITDA margin.</w:t>
      </w:r>
    </w:p>
    <w:p>
      <w:pPr>
        <w:spacing w:after="0" w:line="16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 xml:space="preserve">Diluted EPS </w:t>
      </w:r>
      <w:r>
        <w:rPr>
          <w:rFonts w:ascii="Arial" w:cs="Arial" w:eastAsia="Arial" w:hAnsi="Arial"/>
          <w:sz w:val="18"/>
          <w:szCs w:val="18"/>
          <w:color w:val="auto"/>
        </w:rPr>
        <w:t>decreased to $1.65 per share compared to $2.92 per share in the prior-year period. The current-year period included</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losses reflected in other finance costs or income. The prior-year period included a $468 million or $1.04 per share non-cash tax benefit related to tax legislation enacted in Canada and an increase in value of the company’s former investment in LSEG.</w:t>
      </w:r>
    </w:p>
    <w:p>
      <w:pPr>
        <w:spacing w:after="0" w:line="74" w:lineRule="exact"/>
        <w:rPr>
          <w:sz w:val="20"/>
          <w:szCs w:val="20"/>
          <w:color w:val="auto"/>
        </w:rPr>
      </w:pPr>
    </w:p>
    <w:p>
      <w:pPr>
        <w:ind w:left="960" w:right="60" w:hanging="532"/>
        <w:spacing w:after="0" w:line="253"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Adjusted EPS</w:t>
      </w:r>
      <w:r>
        <w:rPr>
          <w:rFonts w:ascii="Arial" w:cs="Arial" w:eastAsia="Arial" w:hAnsi="Arial"/>
          <w:sz w:val="18"/>
          <w:szCs w:val="18"/>
          <w:color w:val="auto"/>
        </w:rPr>
        <w:t>, which excludes the currency losses, the non-cash tax benefit and the increase in value of LSEG,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 adjustments, increased to $2.00 per share compared to $1.97 per share in the prior-year period, primarily due to higher adjusted EBITDA, partly offset by higher amortization of internally developed software.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cash provided by operating activities </w:t>
      </w:r>
      <w:r>
        <w:rPr>
          <w:rFonts w:ascii="Arial" w:cs="Arial" w:eastAsia="Arial" w:hAnsi="Arial"/>
          <w:sz w:val="18"/>
          <w:szCs w:val="18"/>
          <w:color w:val="auto"/>
        </w:rPr>
        <w:t>increased by $54 million primarily due to cash benefits from higher operating profit.</w:t>
      </w:r>
    </w:p>
    <w:p>
      <w:pPr>
        <w:spacing w:after="0" w:line="117" w:lineRule="exact"/>
        <w:rPr>
          <w:sz w:val="20"/>
          <w:szCs w:val="20"/>
          <w:color w:val="auto"/>
        </w:rPr>
      </w:pPr>
    </w:p>
    <w:p>
      <w:pPr>
        <w:ind w:left="960" w:hanging="532"/>
        <w:spacing w:after="0" w:line="271"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increased by $31 million as higher net cash provided by operating activities was partly offset by higher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w:t>
      </w:r>
    </w:p>
    <w:p>
      <w:pPr>
        <w:sectPr>
          <w:pgSz w:w="11900" w:h="16838" w:orient="portrait"/>
          <w:cols w:equalWidth="0" w:num="1">
            <w:col w:w="10940"/>
          </w:cols>
          <w:pgMar w:left="440" w:top="1201" w:right="5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025"/>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7 of 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 by Customer Segment –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7003415" cy="47834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3415" cy="4783455"/>
                    </a:xfrm>
                    <a:prstGeom prst="rect">
                      <a:avLst/>
                    </a:prstGeom>
                    <a:noFill/>
                  </pic:spPr>
                </pic:pic>
              </a:graphicData>
            </a:graphic>
          </wp:anchor>
        </w:drawing>
      </w: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(Millions of U.S. dollars)</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2"/>
          </w:tcPr>
          <w:p>
            <w:pPr>
              <w:jc w:val="right"/>
              <w:ind w:right="640"/>
              <w:spacing w:after="0" w:line="143" w:lineRule="exact"/>
              <w:rPr>
                <w:sz w:val="20"/>
                <w:szCs w:val="20"/>
                <w:color w:val="auto"/>
              </w:rPr>
            </w:pPr>
            <w:r>
              <w:rPr>
                <w:rFonts w:ascii="Arial" w:cs="Arial" w:eastAsia="Arial" w:hAnsi="Arial"/>
                <w:sz w:val="14"/>
                <w:szCs w:val="14"/>
                <w:b w:val="1"/>
                <w:bCs w:val="1"/>
                <w:color w:val="auto"/>
              </w:rPr>
              <w:t>Constant</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2025</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b w:val="1"/>
                <w:bCs w:val="1"/>
                <w:color w:val="auto"/>
              </w:rPr>
              <w:t>2024</w:t>
            </w:r>
          </w:p>
        </w:tc>
        <w:tc>
          <w:tcPr>
            <w:tcW w:w="44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1340" w:type="dxa"/>
            <w:vAlign w:val="bottom"/>
            <w:gridSpan w:val="2"/>
          </w:tcPr>
          <w:p>
            <w:pPr>
              <w:jc w:val="right"/>
              <w:ind w:right="560"/>
              <w:spacing w:after="0" w:line="175" w:lineRule="exact"/>
              <w:rPr>
                <w:sz w:val="20"/>
                <w:szCs w:val="20"/>
                <w:color w:val="auto"/>
              </w:rPr>
            </w:pPr>
            <w:r>
              <w:rPr>
                <w:rFonts w:ascii="Arial" w:cs="Arial" w:eastAsia="Arial" w:hAnsi="Arial"/>
                <w:sz w:val="14"/>
                <w:szCs w:val="14"/>
                <w:b w:val="1"/>
                <w:bCs w:val="1"/>
                <w:color w:val="auto"/>
                <w:w w:val="97"/>
              </w:rPr>
              <w:t>Currency</w:t>
            </w:r>
            <w:r>
              <w:rPr>
                <w:rFonts w:ascii="Arial" w:cs="Arial" w:eastAsia="Arial" w:hAnsi="Arial"/>
                <w:sz w:val="20"/>
                <w:szCs w:val="20"/>
                <w:b w:val="1"/>
                <w:bCs w:val="1"/>
                <w:color w:val="auto"/>
                <w:w w:val="97"/>
                <w:vertAlign w:val="superscript"/>
              </w:rPr>
              <w:t>(1)</w:t>
            </w:r>
          </w:p>
        </w:tc>
        <w:tc>
          <w:tcPr>
            <w:tcW w:w="1080" w:type="dxa"/>
            <w:vAlign w:val="bottom"/>
            <w:gridSpan w:val="2"/>
          </w:tcPr>
          <w:p>
            <w:pPr>
              <w:jc w:val="right"/>
              <w:ind w:right="260"/>
              <w:spacing w:after="0" w:line="175" w:lineRule="exact"/>
              <w:rPr>
                <w:sz w:val="20"/>
                <w:szCs w:val="20"/>
                <w:color w:val="auto"/>
              </w:rPr>
            </w:pPr>
            <w:r>
              <w:rPr>
                <w:rFonts w:ascii="Arial" w:cs="Arial" w:eastAsia="Arial" w:hAnsi="Arial"/>
                <w:sz w:val="14"/>
                <w:szCs w:val="14"/>
                <w:b w:val="1"/>
                <w:bCs w:val="1"/>
                <w:color w:val="auto"/>
                <w:w w:val="93"/>
              </w:rPr>
              <w:t>Organic</w:t>
            </w:r>
            <w:r>
              <w:rPr>
                <w:rFonts w:ascii="Arial" w:cs="Arial" w:eastAsia="Arial" w:hAnsi="Arial"/>
                <w:sz w:val="20"/>
                <w:szCs w:val="20"/>
                <w:b w:val="1"/>
                <w:bCs w:val="1"/>
                <w:color w:val="auto"/>
                <w:w w:val="93"/>
                <w:vertAlign w:val="superscript"/>
              </w:rPr>
              <w:t>(1)(2)</w:t>
            </w:r>
          </w:p>
        </w:tc>
        <w:tc>
          <w:tcPr>
            <w:tcW w:w="0" w:type="dxa"/>
            <w:vAlign w:val="bottom"/>
          </w:tcPr>
          <w:p>
            <w:pPr>
              <w:spacing w:after="0"/>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54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6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540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7"/>
              </w:rPr>
              <w:t>1,402</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7"/>
              </w:rPr>
              <w:t>1,448</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1,013</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949</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540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0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637</w:t>
            </w:r>
          </w:p>
        </w:tc>
        <w:tc>
          <w:tcPr>
            <w:tcW w:w="10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578</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12%</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3,052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2,975</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540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Reuters News</w:t>
            </w:r>
          </w:p>
        </w:tc>
        <w:tc>
          <w:tcPr>
            <w:tcW w:w="10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414</w:t>
            </w:r>
          </w:p>
        </w:tc>
        <w:tc>
          <w:tcPr>
            <w:tcW w:w="10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415</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Global Print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247</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540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Eliminations/Rounding</w:t>
            </w:r>
          </w:p>
        </w:tc>
        <w:tc>
          <w:tcPr>
            <w:tcW w:w="100" w:type="dxa"/>
            <w:vAlign w:val="bottom"/>
          </w:tcPr>
          <w:p>
            <w:pPr>
              <w:spacing w:after="0"/>
              <w:rPr>
                <w:sz w:val="17"/>
                <w:szCs w:val="17"/>
                <w:color w:val="auto"/>
              </w:rPr>
            </w:pPr>
          </w:p>
        </w:tc>
        <w:tc>
          <w:tcPr>
            <w:tcW w:w="9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c>
          <w:tcPr>
            <w:tcW w:w="9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(12)</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Revenues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w w:val="97"/>
              </w:rPr>
              <w:t>3,685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w w:val="97"/>
              </w:rPr>
              <w:t>3,625</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2%</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2%</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0" w:type="dxa"/>
            <w:vAlign w:val="bottom"/>
            <w:gridSpan w:val="3"/>
            <w:vMerge w:val="restart"/>
          </w:tcPr>
          <w:p>
            <w:pPr>
              <w:spacing w:after="0" w:line="210" w:lineRule="exact"/>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24"/>
                <w:szCs w:val="24"/>
                <w:color w:val="auto"/>
                <w:vertAlign w:val="superscript"/>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 w:type="dxa"/>
            <w:vAlign w:val="bottom"/>
          </w:tcPr>
          <w:p>
            <w:pPr>
              <w:spacing w:after="0"/>
              <w:rPr>
                <w:sz w:val="14"/>
                <w:szCs w:val="14"/>
                <w:color w:val="auto"/>
              </w:rPr>
            </w:pPr>
          </w:p>
        </w:tc>
        <w:tc>
          <w:tcPr>
            <w:tcW w:w="54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669</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540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Corporates</w:t>
            </w:r>
          </w:p>
        </w:tc>
        <w:tc>
          <w:tcPr>
            <w:tcW w:w="10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382</w:t>
            </w:r>
          </w:p>
        </w:tc>
        <w:tc>
          <w:tcPr>
            <w:tcW w:w="10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356</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272</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19%</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20%</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5400" w:type="dxa"/>
            <w:vAlign w:val="bottom"/>
            <w:gridSpan w:val="3"/>
          </w:tcPr>
          <w:p>
            <w:pPr>
              <w:ind w:left="360"/>
              <w:spacing w:after="0" w:line="210" w:lineRule="exact"/>
              <w:rPr>
                <w:sz w:val="20"/>
                <w:szCs w:val="20"/>
                <w:color w:val="auto"/>
              </w:rPr>
            </w:pPr>
            <w:r>
              <w:rPr>
                <w:rFonts w:ascii="Arial" w:cs="Arial" w:eastAsia="Arial" w:hAnsi="Arial"/>
                <w:sz w:val="17"/>
                <w:szCs w:val="17"/>
                <w:color w:val="auto"/>
              </w:rPr>
              <w:t>“Big 3” Segments Combined</w:t>
            </w:r>
            <w:r>
              <w:rPr>
                <w:rFonts w:ascii="Arial" w:cs="Arial" w:eastAsia="Arial" w:hAnsi="Arial"/>
                <w:sz w:val="24"/>
                <w:szCs w:val="24"/>
                <w:color w:val="auto"/>
                <w:vertAlign w:val="superscript"/>
              </w:rPr>
              <w:t>(1)</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1,380</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1,297</w:t>
            </w:r>
          </w:p>
        </w:tc>
        <w:tc>
          <w:tcPr>
            <w:tcW w:w="4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Reuters News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111</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-25%</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540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Global Print</w:t>
            </w:r>
          </w:p>
        </w:tc>
        <w:tc>
          <w:tcPr>
            <w:tcW w:w="10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85</w:t>
            </w:r>
          </w:p>
        </w:tc>
        <w:tc>
          <w:tcPr>
            <w:tcW w:w="10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90</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w:t>
            </w:r>
          </w:p>
        </w:tc>
        <w:tc>
          <w:tcPr>
            <w:tcW w:w="13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0" w:type="dxa"/>
            <w:vAlign w:val="bottom"/>
            <w:shd w:val="clear" w:color="auto" w:fill="CCEEFF"/>
          </w:tcPr>
          <w:p>
            <w:pPr>
              <w:spacing w:after="0"/>
              <w:rPr>
                <w:sz w:val="17"/>
                <w:szCs w:val="17"/>
                <w:color w:val="auto"/>
              </w:rPr>
            </w:pPr>
          </w:p>
        </w:tc>
        <w:tc>
          <w:tcPr>
            <w:tcW w:w="540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 costs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(46)</w:t>
            </w: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n/a</w:t>
            </w:r>
          </w:p>
        </w:tc>
        <w:tc>
          <w:tcPr>
            <w:tcW w:w="13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020"/>
          </w:cols>
          <w:pgMar w:left="440" w:top="1201" w:right="439" w:bottom="1440" w:gutter="0" w:footer="0" w:header="0"/>
        </w:sectPr>
      </w:pPr>
    </w:p>
    <w:tbl>
      <w:tblPr>
        <w:tblLayout w:type="fixed"/>
        <w:tblInd w:w="160" w:type="dxa"/>
        <w:tblCellMar>
          <w:top w:w="0" w:type="dxa"/>
          <w:left w:w="0" w:type="dxa"/>
          <w:bottom w:w="0" w:type="dxa"/>
          <w:right w:w="0" w:type="dxa"/>
        </w:tblCellMar>
      </w:tblPr>
      <w:tr>
        <w:trPr>
          <w:trHeight w:val="216"/>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Total Adjusted EBITDA</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1,487</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1,452</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2%</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line="210" w:lineRule="exact"/>
              <w:rPr>
                <w:sz w:val="20"/>
                <w:szCs w:val="20"/>
                <w:color w:val="auto"/>
              </w:rPr>
            </w:pPr>
            <w:r>
              <w:rPr>
                <w:rFonts w:ascii="Arial" w:cs="Arial" w:eastAsia="Arial" w:hAnsi="Arial"/>
                <w:sz w:val="17"/>
                <w:szCs w:val="17"/>
                <w:b w:val="1"/>
                <w:bCs w:val="1"/>
                <w:color w:val="auto"/>
              </w:rPr>
              <w:t>Adjusted EBITDA Margin</w:t>
            </w:r>
            <w:r>
              <w:rPr>
                <w:rFonts w:ascii="Arial" w:cs="Arial" w:eastAsia="Arial" w:hAnsi="Arial"/>
                <w:sz w:val="24"/>
                <w:szCs w:val="24"/>
                <w:color w:val="auto"/>
                <w:vertAlign w:val="superscript"/>
              </w:rPr>
              <w:t>(1)</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400" w:type="dxa"/>
            <w:vAlign w:val="bottom"/>
            <w:gridSpan w:val="2"/>
            <w:vMerge w:val="continue"/>
          </w:tcPr>
          <w:p>
            <w:pPr>
              <w:spacing w:after="0"/>
              <w:rPr>
                <w:sz w:val="14"/>
                <w:szCs w:val="14"/>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48.1%</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46.2%</w:t>
            </w:r>
          </w:p>
        </w:tc>
        <w:tc>
          <w:tcPr>
            <w:tcW w:w="1120" w:type="dxa"/>
            <w:vAlign w:val="bottom"/>
            <w:vMerge w:val="restart"/>
          </w:tcPr>
          <w:p>
            <w:pPr>
              <w:jc w:val="right"/>
              <w:ind w:right="310"/>
              <w:spacing w:after="0"/>
              <w:rPr>
                <w:sz w:val="20"/>
                <w:szCs w:val="20"/>
                <w:color w:val="auto"/>
              </w:rPr>
            </w:pPr>
            <w:r>
              <w:rPr>
                <w:rFonts w:ascii="Arial" w:cs="Arial" w:eastAsia="Arial" w:hAnsi="Arial"/>
                <w:sz w:val="18"/>
                <w:szCs w:val="18"/>
                <w:color w:val="auto"/>
              </w:rPr>
              <w:t>190bp</w:t>
            </w:r>
          </w:p>
        </w:tc>
        <w:tc>
          <w:tcPr>
            <w:tcW w:w="960" w:type="dxa"/>
            <w:vAlign w:val="bottom"/>
            <w:vMerge w:val="restart"/>
          </w:tcPr>
          <w:p>
            <w:pPr>
              <w:jc w:val="right"/>
              <w:ind w:right="70"/>
              <w:spacing w:after="0"/>
              <w:rPr>
                <w:sz w:val="20"/>
                <w:szCs w:val="20"/>
                <w:color w:val="auto"/>
              </w:rPr>
            </w:pPr>
            <w:r>
              <w:rPr>
                <w:rFonts w:ascii="Arial" w:cs="Arial" w:eastAsia="Arial" w:hAnsi="Arial"/>
                <w:sz w:val="18"/>
                <w:szCs w:val="18"/>
                <w:color w:val="auto"/>
              </w:rPr>
              <w:t>150bp</w:t>
            </w:r>
          </w:p>
        </w:tc>
        <w:tc>
          <w:tcPr>
            <w:tcW w:w="0" w:type="dxa"/>
            <w:vAlign w:val="bottom"/>
          </w:tcPr>
          <w:p>
            <w:pPr>
              <w:spacing w:after="0"/>
              <w:rPr>
                <w:sz w:val="1"/>
                <w:szCs w:val="1"/>
                <w:color w:val="auto"/>
              </w:rPr>
            </w:pPr>
          </w:p>
        </w:tc>
      </w:tr>
      <w:tr>
        <w:trPr>
          <w:trHeight w:val="191"/>
        </w:trPr>
        <w:tc>
          <w:tcPr>
            <w:tcW w:w="2120" w:type="dxa"/>
            <w:vAlign w:val="bottom"/>
            <w:tcBorders>
              <w:top w:val="single" w:sz="8" w:color="auto"/>
            </w:tcBorders>
          </w:tcPr>
          <w:p>
            <w:pPr>
              <w:ind w:left="360"/>
              <w:spacing w:after="0" w:line="191" w:lineRule="exact"/>
              <w:rPr>
                <w:sz w:val="20"/>
                <w:szCs w:val="20"/>
                <w:color w:val="auto"/>
              </w:rPr>
            </w:pPr>
            <w:r>
              <w:rPr>
                <w:rFonts w:ascii="Arial" w:cs="Arial" w:eastAsia="Arial" w:hAnsi="Arial"/>
                <w:sz w:val="18"/>
                <w:szCs w:val="18"/>
                <w:color w:val="auto"/>
              </w:rPr>
              <w:t>Legal Professionals</w:t>
            </w:r>
          </w:p>
        </w:tc>
        <w:tc>
          <w:tcPr>
            <w:tcW w:w="3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Corporates</w:t>
            </w: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37.7%</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37.3%</w:t>
            </w:r>
          </w:p>
        </w:tc>
        <w:tc>
          <w:tcPr>
            <w:tcW w:w="11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40bp</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0bp</w:t>
            </w:r>
          </w:p>
        </w:tc>
        <w:tc>
          <w:tcPr>
            <w:tcW w:w="0" w:type="dxa"/>
            <w:vAlign w:val="bottom"/>
          </w:tcPr>
          <w:p>
            <w:pPr>
              <w:spacing w:after="0"/>
              <w:rPr>
                <w:sz w:val="1"/>
                <w:szCs w:val="1"/>
                <w:color w:val="auto"/>
              </w:rPr>
            </w:pPr>
          </w:p>
        </w:tc>
      </w:tr>
      <w:tr>
        <w:trPr>
          <w:trHeight w:val="203"/>
        </w:trPr>
        <w:tc>
          <w:tcPr>
            <w:tcW w:w="54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49.1%</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47.1%</w:t>
            </w:r>
          </w:p>
        </w:tc>
        <w:tc>
          <w:tcPr>
            <w:tcW w:w="11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200bp</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160bp</w:t>
            </w:r>
          </w:p>
        </w:tc>
        <w:tc>
          <w:tcPr>
            <w:tcW w:w="0" w:type="dxa"/>
            <w:vAlign w:val="bottom"/>
          </w:tcPr>
          <w:p>
            <w:pPr>
              <w:spacing w:after="0"/>
              <w:rPr>
                <w:sz w:val="1"/>
                <w:szCs w:val="1"/>
                <w:color w:val="auto"/>
              </w:rPr>
            </w:pPr>
          </w:p>
        </w:tc>
      </w:tr>
      <w:tr>
        <w:trPr>
          <w:trHeight w:val="203"/>
        </w:trPr>
        <w:tc>
          <w:tcPr>
            <w:tcW w:w="5400" w:type="dxa"/>
            <w:vAlign w:val="bottom"/>
            <w:gridSpan w:val="2"/>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44.9%</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43.5%</w:t>
            </w:r>
          </w:p>
        </w:tc>
        <w:tc>
          <w:tcPr>
            <w:tcW w:w="11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140bp</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100bp</w:t>
            </w:r>
          </w:p>
        </w:tc>
        <w:tc>
          <w:tcPr>
            <w:tcW w:w="0" w:type="dxa"/>
            <w:vAlign w:val="bottom"/>
          </w:tcPr>
          <w:p>
            <w:pPr>
              <w:spacing w:after="0"/>
              <w:rPr>
                <w:sz w:val="1"/>
                <w:szCs w:val="1"/>
                <w:color w:val="auto"/>
              </w:rPr>
            </w:pPr>
          </w:p>
        </w:tc>
      </w:tr>
      <w:tr>
        <w:trPr>
          <w:trHeight w:val="203"/>
        </w:trPr>
        <w:tc>
          <w:tcPr>
            <w:tcW w:w="54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Reuters News</w:t>
            </w: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20.4%</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26.6%</w:t>
            </w:r>
          </w:p>
        </w:tc>
        <w:tc>
          <w:tcPr>
            <w:tcW w:w="11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-620bp</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-630bp</w:t>
            </w:r>
          </w:p>
        </w:tc>
        <w:tc>
          <w:tcPr>
            <w:tcW w:w="0" w:type="dxa"/>
            <w:vAlign w:val="bottom"/>
          </w:tcPr>
          <w:p>
            <w:pPr>
              <w:spacing w:after="0"/>
              <w:rPr>
                <w:sz w:val="1"/>
                <w:szCs w:val="1"/>
                <w:color w:val="auto"/>
              </w:rPr>
            </w:pPr>
          </w:p>
        </w:tc>
      </w:tr>
      <w:tr>
        <w:trPr>
          <w:trHeight w:val="203"/>
        </w:trPr>
        <w:tc>
          <w:tcPr>
            <w:tcW w:w="54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Global Print</w:t>
            </w: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36.9%</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36.7%</w:t>
            </w:r>
          </w:p>
        </w:tc>
        <w:tc>
          <w:tcPr>
            <w:tcW w:w="11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20bp</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-10bp</w:t>
            </w:r>
          </w:p>
        </w:tc>
        <w:tc>
          <w:tcPr>
            <w:tcW w:w="0" w:type="dxa"/>
            <w:vAlign w:val="bottom"/>
          </w:tcPr>
          <w:p>
            <w:pPr>
              <w:spacing w:after="0"/>
              <w:rPr>
                <w:sz w:val="1"/>
                <w:szCs w:val="1"/>
                <w:color w:val="auto"/>
              </w:rPr>
            </w:pPr>
          </w:p>
        </w:tc>
      </w:tr>
      <w:tr>
        <w:trPr>
          <w:trHeight w:val="247"/>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Total Adjusted EBITDA Margin</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40.1%</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40.0%</w:t>
            </w: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10bp</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-10bp</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40" w:hanging="287"/>
        <w:spacing w:after="0" w:line="250" w:lineRule="auto"/>
        <w:rPr>
          <w:sz w:val="20"/>
          <w:szCs w:val="20"/>
          <w:color w:val="auto"/>
        </w:rPr>
      </w:pPr>
      <w:r>
        <w:rPr>
          <w:rFonts w:ascii="Arial" w:cs="Arial" w:eastAsia="Arial" w:hAnsi="Arial"/>
          <w:sz w:val="14"/>
          <w:szCs w:val="14"/>
          <w:i w:val="1"/>
          <w:iCs w:val="1"/>
          <w:color w:val="auto"/>
        </w:rPr>
        <w:t>(1)   See the “Non-IFRS Financial Measures” section and the tables appended to this news release for additional information on these and other non-IFRS financial measures. To compute segment and consolidated adjusted EBITDA margin, the company excludes fair value adjustments related to acquired deferred revenue.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(2)   Computed for revenue growth only.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n/a:  not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5" w:hanging="65"/>
        <w:spacing w:after="0"/>
        <w:tabs>
          <w:tab w:leader="none" w:pos="65" w:val="left"/>
        </w:tabs>
        <w:numPr>
          <w:ilvl w:val="0"/>
          <w:numId w:val="18"/>
        </w:numPr>
        <w:rPr>
          <w:rFonts w:ascii="Arial" w:cs="Arial" w:eastAsia="Arial" w:hAnsi="Arial"/>
          <w:sz w:val="12"/>
          <w:szCs w:val="12"/>
          <w:i w:val="1"/>
          <w:iCs w:val="1"/>
          <w:color w:val="auto"/>
        </w:rPr>
      </w:pPr>
      <w:r>
        <w:rPr>
          <w:rFonts w:ascii="Arial" w:cs="Arial" w:eastAsia="Arial" w:hAnsi="Arial"/>
          <w:sz w:val="12"/>
          <w:szCs w:val="12"/>
          <w:i w:val="1"/>
          <w:iCs w:val="1"/>
          <w:color w:val="auto"/>
        </w:rPr>
        <w:t>  </w:t>
      </w:r>
    </w:p>
    <w:p>
      <w:pPr>
        <w:spacing w:after="0" w:line="36" w:lineRule="exact"/>
        <w:rPr>
          <w:rFonts w:ascii="Arial" w:cs="Arial" w:eastAsia="Arial" w:hAnsi="Arial"/>
          <w:sz w:val="12"/>
          <w:szCs w:val="12"/>
          <w:i w:val="1"/>
          <w:iCs w:val="1"/>
          <w:color w:val="auto"/>
        </w:rPr>
      </w:pPr>
    </w:p>
    <w:p>
      <w:pPr>
        <w:ind w:left="65" w:hanging="65"/>
        <w:spacing w:after="0"/>
        <w:tabs>
          <w:tab w:leader="none" w:pos="65" w:val="left"/>
        </w:tabs>
        <w:numPr>
          <w:ilvl w:val="0"/>
          <w:numId w:val="18"/>
        </w:numPr>
        <w:rPr>
          <w:rFonts w:ascii="Arial" w:cs="Arial" w:eastAsia="Arial" w:hAnsi="Arial"/>
          <w:sz w:val="12"/>
          <w:szCs w:val="12"/>
          <w:i w:val="1"/>
          <w:iCs w:val="1"/>
          <w:color w:val="auto"/>
        </w:rPr>
      </w:pPr>
      <w:r>
        <w:rPr>
          <w:rFonts w:ascii="Arial" w:cs="Arial" w:eastAsia="Arial" w:hAnsi="Arial"/>
          <w:sz w:val="12"/>
          <w:szCs w:val="12"/>
          <w:i w:val="1"/>
          <w:iCs w:val="1"/>
          <w:color w:val="auto"/>
        </w:rPr>
        <w:t>  </w:t>
      </w:r>
    </w:p>
    <w:p>
      <w:pPr>
        <w:spacing w:after="0" w:line="24" w:lineRule="exact"/>
        <w:rPr>
          <w:rFonts w:ascii="Arial" w:cs="Arial" w:eastAsia="Arial" w:hAnsi="Arial"/>
          <w:sz w:val="12"/>
          <w:szCs w:val="12"/>
          <w:i w:val="1"/>
          <w:iCs w:val="1"/>
          <w:color w:val="auto"/>
        </w:rPr>
      </w:pPr>
    </w:p>
    <w:p>
      <w:pPr>
        <w:ind w:left="5"/>
        <w:spacing w:after="0"/>
        <w:rPr>
          <w:rFonts w:ascii="Arial" w:cs="Arial" w:eastAsia="Arial" w:hAnsi="Arial"/>
          <w:sz w:val="12"/>
          <w:szCs w:val="12"/>
          <w:i w:val="1"/>
          <w:iCs w:val="1"/>
          <w:color w:val="auto"/>
        </w:rPr>
      </w:pPr>
      <w:r>
        <w:rPr>
          <w:rFonts w:ascii="Arial" w:cs="Arial" w:eastAsia="Arial" w:hAnsi="Arial"/>
          <w:sz w:val="14"/>
          <w:szCs w:val="14"/>
          <w:i w:val="1"/>
          <w:iCs w:val="1"/>
          <w:color w:val="auto"/>
        </w:rPr>
        <w:t>   </w:t>
      </w:r>
    </w:p>
    <w:p>
      <w:pPr>
        <w:sectPr>
          <w:pgSz w:w="11900" w:h="16838" w:orient="portrait"/>
          <w:cols w:equalWidth="0" w:num="2">
            <w:col w:w="10600" w:space="155"/>
            <w:col w:w="265"/>
          </w:cols>
          <w:pgMar w:left="440" w:top="1201" w:right="4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025"/>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8 of 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2025 Outlook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maintained its 2025 full-year outlook announced on February 6, 2025, except as follows:</w:t>
      </w:r>
    </w:p>
    <w:p>
      <w:pPr>
        <w:spacing w:after="0" w:line="117" w:lineRule="exact"/>
        <w:rPr>
          <w:sz w:val="20"/>
          <w:szCs w:val="20"/>
          <w:color w:val="auto"/>
        </w:rPr>
      </w:pPr>
    </w:p>
    <w:p>
      <w:pPr>
        <w:ind w:left="960" w:right="160" w:hanging="424"/>
        <w:spacing w:after="0" w:line="241"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Depreciation and amortization of computer software has been updated to reflect lower amortization of internally developed software than previously forecasted. Our full-year adjusted depreciation and amortization guidance is now $825 million to $835 million, with $625 million to $635 million related to depreciation and amortization of internally developed software.</w:t>
      </w:r>
    </w:p>
    <w:p>
      <w:pPr>
        <w:spacing w:after="0" w:line="1" w:lineRule="exact"/>
        <w:rPr>
          <w:rFonts w:ascii="Arial" w:cs="Arial" w:eastAsia="Arial" w:hAnsi="Arial"/>
          <w:sz w:val="18"/>
          <w:szCs w:val="18"/>
          <w:color w:val="auto"/>
        </w:rPr>
      </w:pPr>
    </w:p>
    <w:p>
      <w:pPr>
        <w:ind w:left="960" w:right="180" w:hanging="424"/>
        <w:spacing w:after="0" w:line="250"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interest expense is expected to be approximately $130 million, which is below our previous guidance of approximately $150 million due to higher than previously forecasted interest rates benefiting interest income.</w:t>
      </w:r>
    </w:p>
    <w:p>
      <w:pPr>
        <w:spacing w:after="0" w:line="17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company’s outlook for 2025 in the table below assumes constant currency rates and incorporates the recent SafeSend acquisition and the disposals of FindLaw and other non-core businesses, but excludes the impact of any future acquisitions or dispositions that may occur during the remainder of the year. Thomson Reuters believes that this type of guidance provides useful insight into the anticipated performance of its businesses.</w:t>
      </w:r>
    </w:p>
    <w:p>
      <w:pPr>
        <w:spacing w:after="0" w:line="174"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The company expects its third-quarter 2025 organic revenue growth to be approximately 7% and its adjusted EBITDA margin to be approximately 36%.</w:t>
      </w:r>
    </w:p>
    <w:p>
      <w:pPr>
        <w:spacing w:after="0" w:line="15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company’s 2025 outlook is forward-looking information that is subject to risks and uncertainties (see “Special Note Regarding Forward-Looking Statements, Material Risks and Material Assumptions”). In particular, the company continues to operate in an uncertain macroeconomic environment, reflecting ongoing geopolitical risk, uneven economic growth and an evolving interest rate and inflationary backdrop. Any worsening of the global economic or business environment, among other factors, could impact the company’s ability to achieve its outlook.</w:t>
      </w:r>
    </w:p>
    <w:p>
      <w:pPr>
        <w:sectPr>
          <w:pgSz w:w="11900" w:h="16838" w:orient="portrait"/>
          <w:cols w:equalWidth="0" w:num="1">
            <w:col w:w="10840"/>
          </w:cols>
          <w:pgMar w:left="440" w:top="1201" w:right="61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025"/>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9 of 24</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u w:val="single" w:color="auto"/>
          <w:color w:val="auto"/>
        </w:rPr>
        <w:t>Reported Full-Year 2024 Results and Full-Year 2025 Outlook</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6680" w:type="dxa"/>
            <w:vAlign w:val="bottom"/>
            <w:tcBorders>
              <w:top w:val="single" w:sz="8" w:color="A6A6A6"/>
              <w:left w:val="single" w:sz="8" w:color="A6A6A6"/>
              <w:right w:val="single" w:sz="8" w:color="A6A6A6"/>
            </w:tcBorders>
          </w:tcPr>
          <w:p>
            <w:pPr>
              <w:spacing w:after="0"/>
              <w:rPr>
                <w:sz w:val="23"/>
                <w:szCs w:val="23"/>
                <w:color w:val="auto"/>
              </w:rPr>
            </w:pPr>
          </w:p>
        </w:tc>
        <w:tc>
          <w:tcPr>
            <w:tcW w:w="1160" w:type="dxa"/>
            <w:vAlign w:val="bottom"/>
            <w:tcBorders>
              <w:top w:val="single" w:sz="8" w:color="A6A6A6"/>
              <w:right w:val="single" w:sz="8" w:color="A6A6A6"/>
            </w:tcBorders>
            <w:vMerge w:val="restart"/>
          </w:tcPr>
          <w:p>
            <w:pPr>
              <w:ind w:left="220"/>
              <w:spacing w:after="0"/>
              <w:rPr>
                <w:sz w:val="20"/>
                <w:szCs w:val="20"/>
                <w:color w:val="auto"/>
              </w:rPr>
            </w:pPr>
            <w:r>
              <w:rPr>
                <w:rFonts w:ascii="Arial" w:cs="Arial" w:eastAsia="Arial" w:hAnsi="Arial"/>
                <w:sz w:val="20"/>
                <w:szCs w:val="20"/>
                <w:b w:val="1"/>
                <w:bCs w:val="1"/>
                <w:color w:val="404040"/>
              </w:rPr>
              <w:t>FY 2024</w:t>
            </w:r>
          </w:p>
        </w:tc>
        <w:tc>
          <w:tcPr>
            <w:tcW w:w="1580" w:type="dxa"/>
            <w:vAlign w:val="bottom"/>
            <w:tcBorders>
              <w:top w:val="single" w:sz="8" w:color="A6A6A6"/>
              <w:right w:val="single" w:sz="8" w:color="A6A6A6"/>
            </w:tcBorders>
          </w:tcPr>
          <w:p>
            <w:pPr>
              <w:jc w:val="center"/>
              <w:spacing w:after="0"/>
              <w:rPr>
                <w:sz w:val="20"/>
                <w:szCs w:val="20"/>
                <w:color w:val="auto"/>
              </w:rPr>
            </w:pPr>
            <w:r>
              <w:rPr>
                <w:rFonts w:ascii="Arial" w:cs="Arial" w:eastAsia="Arial" w:hAnsi="Arial"/>
                <w:sz w:val="20"/>
                <w:szCs w:val="20"/>
                <w:b w:val="1"/>
                <w:bCs w:val="1"/>
                <w:color w:val="D64000"/>
                <w:w w:val="97"/>
              </w:rPr>
              <w:t>FY 2025</w:t>
            </w:r>
          </w:p>
        </w:tc>
        <w:tc>
          <w:tcPr>
            <w:tcW w:w="1620" w:type="dxa"/>
            <w:vAlign w:val="bottom"/>
            <w:tcBorders>
              <w:top w:val="single" w:sz="8" w:color="A6A6A6"/>
              <w:right w:val="single" w:sz="8" w:color="A6A6A6"/>
            </w:tcBorders>
            <w:shd w:val="clear" w:color="auto" w:fill="F8EADD"/>
          </w:tcPr>
          <w:p>
            <w:pPr>
              <w:ind w:left="460"/>
              <w:spacing w:after="0"/>
              <w:rPr>
                <w:sz w:val="20"/>
                <w:szCs w:val="20"/>
                <w:color w:val="auto"/>
              </w:rPr>
            </w:pPr>
            <w:r>
              <w:rPr>
                <w:rFonts w:ascii="Arial" w:cs="Arial" w:eastAsia="Arial" w:hAnsi="Arial"/>
                <w:sz w:val="20"/>
                <w:szCs w:val="20"/>
                <w:b w:val="1"/>
                <w:bCs w:val="1"/>
                <w:color w:val="0070C0"/>
              </w:rPr>
              <w:t>FY 2025</w:t>
            </w:r>
          </w:p>
        </w:tc>
        <w:tc>
          <w:tcPr>
            <w:tcW w:w="0" w:type="dxa"/>
            <w:vAlign w:val="bottom"/>
          </w:tcPr>
          <w:p>
            <w:pPr>
              <w:spacing w:after="0"/>
              <w:rPr>
                <w:sz w:val="1"/>
                <w:szCs w:val="1"/>
                <w:color w:val="auto"/>
              </w:rPr>
            </w:pPr>
          </w:p>
        </w:tc>
      </w:tr>
      <w:tr>
        <w:trPr>
          <w:trHeight w:val="108"/>
        </w:trPr>
        <w:tc>
          <w:tcPr>
            <w:tcW w:w="6680" w:type="dxa"/>
            <w:vAlign w:val="bottom"/>
            <w:tcBorders>
              <w:left w:val="single" w:sz="8" w:color="A6A6A6"/>
              <w:right w:val="single" w:sz="8" w:color="A6A6A6"/>
            </w:tcBorders>
            <w:vMerge w:val="restart"/>
          </w:tcPr>
          <w:p>
            <w:pPr>
              <w:ind w:left="180"/>
              <w:spacing w:after="0" w:line="216" w:lineRule="exact"/>
              <w:rPr>
                <w:sz w:val="20"/>
                <w:szCs w:val="20"/>
                <w:color w:val="auto"/>
              </w:rPr>
            </w:pPr>
            <w:r>
              <w:rPr>
                <w:rFonts w:ascii="Arial" w:cs="Arial" w:eastAsia="Arial" w:hAnsi="Arial"/>
                <w:sz w:val="20"/>
                <w:szCs w:val="20"/>
                <w:b w:val="1"/>
                <w:bCs w:val="1"/>
                <w:color w:val="D64000"/>
              </w:rPr>
              <w:t>Total Thomson Reuters</w:t>
            </w:r>
          </w:p>
        </w:tc>
        <w:tc>
          <w:tcPr>
            <w:tcW w:w="1160" w:type="dxa"/>
            <w:vAlign w:val="bottom"/>
            <w:tcBorders>
              <w:right w:val="single" w:sz="8" w:color="A6A6A6"/>
            </w:tcBorders>
            <w:vMerge w:val="continue"/>
          </w:tcPr>
          <w:p>
            <w:pPr>
              <w:spacing w:after="0"/>
              <w:rPr>
                <w:sz w:val="9"/>
                <w:szCs w:val="9"/>
                <w:color w:val="auto"/>
              </w:rPr>
            </w:pPr>
          </w:p>
        </w:tc>
        <w:tc>
          <w:tcPr>
            <w:tcW w:w="1580" w:type="dxa"/>
            <w:vAlign w:val="bottom"/>
            <w:tcBorders>
              <w:right w:val="single" w:sz="8" w:color="A6A6A6"/>
            </w:tcBorders>
            <w:vMerge w:val="restart"/>
          </w:tcPr>
          <w:p>
            <w:pPr>
              <w:jc w:val="center"/>
              <w:spacing w:after="0" w:line="216" w:lineRule="exact"/>
              <w:rPr>
                <w:sz w:val="20"/>
                <w:szCs w:val="20"/>
                <w:color w:val="auto"/>
              </w:rPr>
            </w:pPr>
            <w:r>
              <w:rPr>
                <w:rFonts w:ascii="Arial" w:cs="Arial" w:eastAsia="Arial" w:hAnsi="Arial"/>
                <w:sz w:val="20"/>
                <w:szCs w:val="20"/>
                <w:b w:val="1"/>
                <w:bCs w:val="1"/>
                <w:color w:val="D64000"/>
                <w:w w:val="97"/>
              </w:rPr>
              <w:t>Outlook</w:t>
            </w:r>
          </w:p>
        </w:tc>
        <w:tc>
          <w:tcPr>
            <w:tcW w:w="1620" w:type="dxa"/>
            <w:vAlign w:val="bottom"/>
            <w:tcBorders>
              <w:right w:val="single" w:sz="8" w:color="A6A6A6"/>
            </w:tcBorders>
            <w:vMerge w:val="restart"/>
            <w:shd w:val="clear" w:color="auto" w:fill="F8EADD"/>
          </w:tcPr>
          <w:p>
            <w:pPr>
              <w:ind w:left="460"/>
              <w:spacing w:after="0" w:line="216" w:lineRule="exact"/>
              <w:rPr>
                <w:sz w:val="20"/>
                <w:szCs w:val="20"/>
                <w:color w:val="auto"/>
              </w:rPr>
            </w:pPr>
            <w:r>
              <w:rPr>
                <w:rFonts w:ascii="Arial" w:cs="Arial" w:eastAsia="Arial" w:hAnsi="Arial"/>
                <w:sz w:val="20"/>
                <w:szCs w:val="20"/>
                <w:b w:val="1"/>
                <w:bCs w:val="1"/>
                <w:color w:val="0070C0"/>
              </w:rPr>
              <w:t>Outlook</w:t>
            </w:r>
          </w:p>
        </w:tc>
        <w:tc>
          <w:tcPr>
            <w:tcW w:w="0" w:type="dxa"/>
            <w:vAlign w:val="bottom"/>
          </w:tcPr>
          <w:p>
            <w:pPr>
              <w:spacing w:after="0"/>
              <w:rPr>
                <w:sz w:val="1"/>
                <w:szCs w:val="1"/>
                <w:color w:val="auto"/>
              </w:rPr>
            </w:pPr>
          </w:p>
        </w:tc>
      </w:tr>
      <w:tr>
        <w:trPr>
          <w:trHeight w:val="108"/>
        </w:trPr>
        <w:tc>
          <w:tcPr>
            <w:tcW w:w="6680" w:type="dxa"/>
            <w:vAlign w:val="bottom"/>
            <w:tcBorders>
              <w:left w:val="single" w:sz="8" w:color="A6A6A6"/>
              <w:right w:val="single" w:sz="8" w:color="A6A6A6"/>
            </w:tcBorders>
            <w:vMerge w:val="continue"/>
          </w:tcPr>
          <w:p>
            <w:pPr>
              <w:spacing w:after="0"/>
              <w:rPr>
                <w:sz w:val="9"/>
                <w:szCs w:val="9"/>
                <w:color w:val="auto"/>
              </w:rPr>
            </w:pPr>
          </w:p>
        </w:tc>
        <w:tc>
          <w:tcPr>
            <w:tcW w:w="116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20"/>
                <w:szCs w:val="20"/>
                <w:b w:val="1"/>
                <w:bCs w:val="1"/>
                <w:color w:val="404040"/>
              </w:rPr>
              <w:t>Reported </w:t>
            </w:r>
          </w:p>
        </w:tc>
        <w:tc>
          <w:tcPr>
            <w:tcW w:w="1580" w:type="dxa"/>
            <w:vAlign w:val="bottom"/>
            <w:tcBorders>
              <w:right w:val="single" w:sz="8" w:color="A6A6A6"/>
            </w:tcBorders>
            <w:vMerge w:val="continue"/>
          </w:tcPr>
          <w:p>
            <w:pPr>
              <w:spacing w:after="0"/>
              <w:rPr>
                <w:sz w:val="9"/>
                <w:szCs w:val="9"/>
                <w:color w:val="auto"/>
              </w:rPr>
            </w:pPr>
          </w:p>
        </w:tc>
        <w:tc>
          <w:tcPr>
            <w:tcW w:w="1620" w:type="dxa"/>
            <w:vAlign w:val="bottom"/>
            <w:tcBorders>
              <w:right w:val="single" w:sz="8" w:color="A6A6A6"/>
            </w:tcBorders>
            <w:vMerge w:val="continue"/>
            <w:shd w:val="clear" w:color="auto" w:fill="F8EADD"/>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6680" w:type="dxa"/>
            <w:vAlign w:val="bottom"/>
            <w:tcBorders>
              <w:left w:val="single" w:sz="8" w:color="A6A6A6"/>
              <w:right w:val="single" w:sz="8" w:color="A6A6A6"/>
            </w:tcBorders>
          </w:tcPr>
          <w:p>
            <w:pPr>
              <w:spacing w:after="0"/>
              <w:rPr>
                <w:sz w:val="14"/>
                <w:szCs w:val="14"/>
                <w:color w:val="auto"/>
              </w:rPr>
            </w:pPr>
          </w:p>
        </w:tc>
        <w:tc>
          <w:tcPr>
            <w:tcW w:w="1160" w:type="dxa"/>
            <w:vAlign w:val="bottom"/>
            <w:tcBorders>
              <w:right w:val="single" w:sz="8" w:color="A6A6A6"/>
            </w:tcBorders>
            <w:vMerge w:val="continue"/>
          </w:tcPr>
          <w:p>
            <w:pPr>
              <w:spacing w:after="0"/>
              <w:rPr>
                <w:sz w:val="14"/>
                <w:szCs w:val="14"/>
                <w:color w:val="auto"/>
              </w:rPr>
            </w:pPr>
          </w:p>
        </w:tc>
        <w:tc>
          <w:tcPr>
            <w:tcW w:w="158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20"/>
                <w:szCs w:val="20"/>
                <w:b w:val="1"/>
                <w:bCs w:val="1"/>
                <w:color w:val="D64000"/>
              </w:rPr>
              <w:t>2/6/2025</w:t>
            </w:r>
          </w:p>
        </w:tc>
        <w:tc>
          <w:tcPr>
            <w:tcW w:w="1620" w:type="dxa"/>
            <w:vAlign w:val="bottom"/>
            <w:tcBorders>
              <w:right w:val="single" w:sz="8" w:color="A6A6A6"/>
            </w:tcBorders>
            <w:vMerge w:val="restart"/>
            <w:shd w:val="clear" w:color="auto" w:fill="F8EADD"/>
          </w:tcPr>
          <w:p>
            <w:pPr>
              <w:ind w:left="440"/>
              <w:spacing w:after="0"/>
              <w:rPr>
                <w:sz w:val="20"/>
                <w:szCs w:val="20"/>
                <w:color w:val="auto"/>
              </w:rPr>
            </w:pPr>
            <w:r>
              <w:rPr>
                <w:rFonts w:ascii="Arial" w:cs="Arial" w:eastAsia="Arial" w:hAnsi="Arial"/>
                <w:sz w:val="20"/>
                <w:szCs w:val="20"/>
                <w:b w:val="1"/>
                <w:bCs w:val="1"/>
                <w:color w:val="0070C0"/>
              </w:rPr>
              <w:t>8/6/2025</w:t>
            </w:r>
          </w:p>
        </w:tc>
        <w:tc>
          <w:tcPr>
            <w:tcW w:w="0" w:type="dxa"/>
            <w:vAlign w:val="bottom"/>
          </w:tcPr>
          <w:p>
            <w:pPr>
              <w:spacing w:after="0"/>
              <w:rPr>
                <w:sz w:val="1"/>
                <w:szCs w:val="1"/>
                <w:color w:val="auto"/>
              </w:rPr>
            </w:pPr>
          </w:p>
        </w:tc>
      </w:tr>
      <w:tr>
        <w:trPr>
          <w:trHeight w:val="149"/>
        </w:trPr>
        <w:tc>
          <w:tcPr>
            <w:tcW w:w="6680" w:type="dxa"/>
            <w:vAlign w:val="bottom"/>
            <w:tcBorders>
              <w:left w:val="single" w:sz="8" w:color="A6A6A6"/>
              <w:right w:val="single" w:sz="8" w:color="A6A6A6"/>
            </w:tcBorders>
          </w:tcPr>
          <w:p>
            <w:pPr>
              <w:spacing w:after="0"/>
              <w:rPr>
                <w:sz w:val="12"/>
                <w:szCs w:val="12"/>
                <w:color w:val="auto"/>
              </w:rPr>
            </w:pPr>
          </w:p>
        </w:tc>
        <w:tc>
          <w:tcPr>
            <w:tcW w:w="1160" w:type="dxa"/>
            <w:vAlign w:val="bottom"/>
            <w:tcBorders>
              <w:right w:val="single" w:sz="8" w:color="A6A6A6"/>
            </w:tcBorders>
          </w:tcPr>
          <w:p>
            <w:pPr>
              <w:spacing w:after="0"/>
              <w:rPr>
                <w:sz w:val="12"/>
                <w:szCs w:val="12"/>
                <w:color w:val="auto"/>
              </w:rPr>
            </w:pPr>
          </w:p>
        </w:tc>
        <w:tc>
          <w:tcPr>
            <w:tcW w:w="1580" w:type="dxa"/>
            <w:vAlign w:val="bottom"/>
            <w:tcBorders>
              <w:right w:val="single" w:sz="8" w:color="A6A6A6"/>
            </w:tcBorders>
            <w:vMerge w:val="continue"/>
          </w:tcPr>
          <w:p>
            <w:pPr>
              <w:spacing w:after="0"/>
              <w:rPr>
                <w:sz w:val="12"/>
                <w:szCs w:val="12"/>
                <w:color w:val="auto"/>
              </w:rPr>
            </w:pPr>
          </w:p>
        </w:tc>
        <w:tc>
          <w:tcPr>
            <w:tcW w:w="1620" w:type="dxa"/>
            <w:vAlign w:val="bottom"/>
            <w:tcBorders>
              <w:bottom w:val="single" w:sz="8" w:color="F8EADD"/>
              <w:right w:val="single" w:sz="8" w:color="A6A6A6"/>
            </w:tcBorders>
            <w:vMerge w:val="continue"/>
            <w:shd w:val="clear" w:color="auto" w:fill="F8EADD"/>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6680" w:type="dxa"/>
            <w:vAlign w:val="bottom"/>
            <w:tcBorders>
              <w:top w:val="single" w:sz="8" w:color="A6A6A6"/>
              <w:left w:val="single" w:sz="8" w:color="A6A6A6"/>
              <w:bottom w:val="single" w:sz="8" w:color="A6A6A6"/>
              <w:right w:val="single" w:sz="8" w:color="A6A6A6"/>
            </w:tcBorders>
            <w:shd w:val="clear" w:color="auto" w:fill="F2F2F2"/>
          </w:tcPr>
          <w:p>
            <w:pPr>
              <w:ind w:left="180"/>
              <w:spacing w:after="0"/>
              <w:rPr>
                <w:sz w:val="20"/>
                <w:szCs w:val="20"/>
                <w:color w:val="auto"/>
              </w:rPr>
            </w:pPr>
            <w:r>
              <w:rPr>
                <w:rFonts w:ascii="Arial" w:cs="Arial" w:eastAsia="Arial" w:hAnsi="Arial"/>
                <w:sz w:val="16"/>
                <w:szCs w:val="16"/>
                <w:color w:val="auto"/>
              </w:rPr>
              <w:t>Total Revenue Growth</w:t>
            </w:r>
          </w:p>
        </w:tc>
        <w:tc>
          <w:tcPr>
            <w:tcW w:w="1160" w:type="dxa"/>
            <w:vAlign w:val="bottom"/>
            <w:tcBorders>
              <w:top w:val="single" w:sz="8" w:color="A6A6A6"/>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7%</w:t>
            </w:r>
          </w:p>
        </w:tc>
        <w:tc>
          <w:tcPr>
            <w:tcW w:w="1580" w:type="dxa"/>
            <w:vAlign w:val="bottom"/>
            <w:tcBorders>
              <w:top w:val="single" w:sz="8" w:color="A6A6A6"/>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w w:val="97"/>
              </w:rPr>
              <w:t>3.0 - 3.5%</w:t>
            </w:r>
            <w:r>
              <w:rPr>
                <w:rFonts w:ascii="Arial" w:cs="Arial" w:eastAsia="Arial" w:hAnsi="Arial"/>
                <w:sz w:val="24"/>
                <w:szCs w:val="24"/>
                <w:color w:val="auto"/>
                <w:w w:val="97"/>
                <w:vertAlign w:val="superscript"/>
              </w:rPr>
              <w:t>(2)</w:t>
            </w:r>
          </w:p>
        </w:tc>
        <w:tc>
          <w:tcPr>
            <w:tcW w:w="1620" w:type="dxa"/>
            <w:vAlign w:val="bottom"/>
            <w:tcBorders>
              <w:top w:val="single" w:sz="8" w:color="A6A6A6"/>
              <w:bottom w:val="single" w:sz="8" w:color="A6A6A6"/>
              <w:right w:val="single" w:sz="8" w:color="A6A6A6"/>
            </w:tcBorders>
            <w:shd w:val="clear" w:color="auto" w:fill="F8EADD"/>
          </w:tcPr>
          <w:p>
            <w:pPr>
              <w:ind w:left="44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304"/>
        </w:trPr>
        <w:tc>
          <w:tcPr>
            <w:tcW w:w="6680" w:type="dxa"/>
            <w:vAlign w:val="bottom"/>
            <w:tcBorders>
              <w:left w:val="single" w:sz="8" w:color="A6A6A6"/>
              <w:bottom w:val="single" w:sz="8" w:color="A6A6A6"/>
              <w:right w:val="single" w:sz="8" w:color="A6A6A6"/>
            </w:tcBorders>
          </w:tcPr>
          <w:p>
            <w:pPr>
              <w:ind w:left="180"/>
              <w:spacing w:after="0"/>
              <w:rPr>
                <w:sz w:val="20"/>
                <w:szCs w:val="20"/>
                <w:color w:val="auto"/>
              </w:rPr>
            </w:pPr>
            <w:r>
              <w:rPr>
                <w:rFonts w:ascii="Arial" w:cs="Arial" w:eastAsia="Arial" w:hAnsi="Arial"/>
                <w:sz w:val="16"/>
                <w:szCs w:val="16"/>
                <w:color w:val="auto"/>
              </w:rPr>
              <w:t>Organic Revenue Growth</w:t>
            </w:r>
            <w:r>
              <w:rPr>
                <w:rFonts w:ascii="Arial" w:cs="Arial" w:eastAsia="Arial" w:hAnsi="Arial"/>
                <w:sz w:val="24"/>
                <w:szCs w:val="24"/>
                <w:color w:val="auto"/>
                <w:vertAlign w:val="superscript"/>
              </w:rPr>
              <w:t>(1)</w:t>
            </w:r>
          </w:p>
        </w:tc>
        <w:tc>
          <w:tcPr>
            <w:tcW w:w="116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rPr>
              <w:t>7%</w:t>
            </w:r>
          </w:p>
        </w:tc>
        <w:tc>
          <w:tcPr>
            <w:tcW w:w="158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rPr>
              <w:t>7.0 - 7.5%</w:t>
            </w:r>
          </w:p>
        </w:tc>
        <w:tc>
          <w:tcPr>
            <w:tcW w:w="1620" w:type="dxa"/>
            <w:vAlign w:val="bottom"/>
            <w:tcBorders>
              <w:bottom w:val="single" w:sz="8" w:color="A6A6A6"/>
              <w:right w:val="single" w:sz="8" w:color="A6A6A6"/>
            </w:tcBorders>
            <w:shd w:val="clear" w:color="auto" w:fill="F8EADD"/>
          </w:tcPr>
          <w:p>
            <w:pPr>
              <w:ind w:left="44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304"/>
        </w:trPr>
        <w:tc>
          <w:tcPr>
            <w:tcW w:w="6680" w:type="dxa"/>
            <w:vAlign w:val="bottom"/>
            <w:tcBorders>
              <w:left w:val="single" w:sz="8" w:color="A6A6A6"/>
              <w:bottom w:val="single" w:sz="8" w:color="A6A6A6"/>
              <w:right w:val="single" w:sz="8" w:color="A6A6A6"/>
            </w:tcBorders>
            <w:shd w:val="clear" w:color="auto" w:fill="F2F2F2"/>
          </w:tcPr>
          <w:p>
            <w:pPr>
              <w:ind w:left="180"/>
              <w:spacing w:after="0"/>
              <w:rPr>
                <w:sz w:val="20"/>
                <w:szCs w:val="20"/>
                <w:color w:val="auto"/>
              </w:rPr>
            </w:pPr>
            <w:r>
              <w:rPr>
                <w:rFonts w:ascii="Arial" w:cs="Arial" w:eastAsia="Arial" w:hAnsi="Arial"/>
                <w:sz w:val="16"/>
                <w:szCs w:val="16"/>
                <w:color w:val="auto"/>
              </w:rPr>
              <w:t>Adjusted EBITDA Margin</w:t>
            </w:r>
            <w:r>
              <w:rPr>
                <w:rFonts w:ascii="Arial" w:cs="Arial" w:eastAsia="Arial" w:hAnsi="Arial"/>
                <w:sz w:val="24"/>
                <w:szCs w:val="24"/>
                <w:color w:val="auto"/>
                <w:vertAlign w:val="superscript"/>
              </w:rPr>
              <w:t>(1)</w:t>
            </w:r>
          </w:p>
        </w:tc>
        <w:tc>
          <w:tcPr>
            <w:tcW w:w="1160" w:type="dxa"/>
            <w:vAlign w:val="bottom"/>
            <w:tcBorders>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38.2%</w:t>
            </w:r>
          </w:p>
        </w:tc>
        <w:tc>
          <w:tcPr>
            <w:tcW w:w="1580" w:type="dxa"/>
            <w:vAlign w:val="bottom"/>
            <w:tcBorders>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~39%</w:t>
            </w:r>
          </w:p>
        </w:tc>
        <w:tc>
          <w:tcPr>
            <w:tcW w:w="1620" w:type="dxa"/>
            <w:vAlign w:val="bottom"/>
            <w:tcBorders>
              <w:bottom w:val="single" w:sz="8" w:color="A6A6A6"/>
              <w:right w:val="single" w:sz="8" w:color="A6A6A6"/>
            </w:tcBorders>
            <w:shd w:val="clear" w:color="auto" w:fill="F8EADD"/>
          </w:tcPr>
          <w:p>
            <w:pPr>
              <w:ind w:left="44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304"/>
        </w:trPr>
        <w:tc>
          <w:tcPr>
            <w:tcW w:w="6680" w:type="dxa"/>
            <w:vAlign w:val="bottom"/>
            <w:tcBorders>
              <w:left w:val="single" w:sz="8" w:color="A6A6A6"/>
              <w:right w:val="single" w:sz="8" w:color="A6A6A6"/>
            </w:tcBorders>
          </w:tcPr>
          <w:p>
            <w:pPr>
              <w:ind w:left="180"/>
              <w:spacing w:after="0"/>
              <w:rPr>
                <w:sz w:val="20"/>
                <w:szCs w:val="20"/>
                <w:color w:val="auto"/>
              </w:rPr>
            </w:pPr>
            <w:r>
              <w:rPr>
                <w:rFonts w:ascii="Arial" w:cs="Arial" w:eastAsia="Arial" w:hAnsi="Arial"/>
                <w:sz w:val="16"/>
                <w:szCs w:val="16"/>
                <w:color w:val="auto"/>
              </w:rPr>
              <w:t>Corporate Costs</w:t>
            </w:r>
          </w:p>
        </w:tc>
        <w:tc>
          <w:tcPr>
            <w:tcW w:w="116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94"/>
              </w:rPr>
              <w:t>  $105 million </w:t>
            </w:r>
          </w:p>
        </w:tc>
        <w:tc>
          <w:tcPr>
            <w:tcW w:w="158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w w:val="99"/>
              </w:rPr>
              <w:t>$120 - $130 million </w:t>
            </w:r>
          </w:p>
        </w:tc>
        <w:tc>
          <w:tcPr>
            <w:tcW w:w="1620" w:type="dxa"/>
            <w:vAlign w:val="bottom"/>
            <w:tcBorders>
              <w:bottom w:val="single" w:sz="8" w:color="F8EADD"/>
              <w:right w:val="single" w:sz="8" w:color="A6A6A6"/>
            </w:tcBorders>
            <w:shd w:val="clear" w:color="auto" w:fill="F8EADD"/>
          </w:tcPr>
          <w:p>
            <w:pPr>
              <w:ind w:left="44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304"/>
        </w:trPr>
        <w:tc>
          <w:tcPr>
            <w:tcW w:w="6680" w:type="dxa"/>
            <w:vAlign w:val="bottom"/>
            <w:tcBorders>
              <w:top w:val="single" w:sz="8" w:color="A6A6A6"/>
              <w:left w:val="single" w:sz="8" w:color="A6A6A6"/>
              <w:bottom w:val="single" w:sz="8" w:color="A6A6A6"/>
              <w:right w:val="single" w:sz="8" w:color="A6A6A6"/>
            </w:tcBorders>
            <w:shd w:val="clear" w:color="auto" w:fill="F2F2F2"/>
          </w:tcPr>
          <w:p>
            <w:pPr>
              <w:ind w:left="180"/>
              <w:spacing w:after="0"/>
              <w:rPr>
                <w:sz w:val="20"/>
                <w:szCs w:val="20"/>
                <w:color w:val="auto"/>
              </w:rPr>
            </w:pPr>
            <w:r>
              <w:rPr>
                <w:rFonts w:ascii="Arial" w:cs="Arial" w:eastAsia="Arial" w:hAnsi="Arial"/>
                <w:sz w:val="16"/>
                <w:szCs w:val="16"/>
                <w:color w:val="auto"/>
              </w:rPr>
              <w:t>Free Cash Flow</w:t>
            </w:r>
            <w:r>
              <w:rPr>
                <w:rFonts w:ascii="Arial" w:cs="Arial" w:eastAsia="Arial" w:hAnsi="Arial"/>
                <w:sz w:val="24"/>
                <w:szCs w:val="24"/>
                <w:color w:val="auto"/>
                <w:vertAlign w:val="superscript"/>
              </w:rPr>
              <w:t>(1)</w:t>
            </w:r>
          </w:p>
        </w:tc>
        <w:tc>
          <w:tcPr>
            <w:tcW w:w="1160" w:type="dxa"/>
            <w:vAlign w:val="bottom"/>
            <w:tcBorders>
              <w:top w:val="single" w:sz="8" w:color="A6A6A6"/>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w w:val="99"/>
              </w:rPr>
              <w:t>$1.8 billion</w:t>
            </w:r>
          </w:p>
        </w:tc>
        <w:tc>
          <w:tcPr>
            <w:tcW w:w="1580" w:type="dxa"/>
            <w:vAlign w:val="bottom"/>
            <w:tcBorders>
              <w:top w:val="single" w:sz="8" w:color="A6A6A6"/>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~$1.9 billion</w:t>
            </w:r>
          </w:p>
        </w:tc>
        <w:tc>
          <w:tcPr>
            <w:tcW w:w="1620" w:type="dxa"/>
            <w:vAlign w:val="bottom"/>
            <w:tcBorders>
              <w:top w:val="single" w:sz="8" w:color="A6A6A6"/>
              <w:bottom w:val="single" w:sz="8" w:color="A6A6A6"/>
              <w:right w:val="single" w:sz="8" w:color="A6A6A6"/>
            </w:tcBorders>
            <w:shd w:val="clear" w:color="auto" w:fill="F8EADD"/>
          </w:tcPr>
          <w:p>
            <w:pPr>
              <w:ind w:left="44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304"/>
        </w:trPr>
        <w:tc>
          <w:tcPr>
            <w:tcW w:w="6680" w:type="dxa"/>
            <w:vAlign w:val="bottom"/>
            <w:tcBorders>
              <w:left w:val="single" w:sz="8" w:color="A6A6A6"/>
              <w:bottom w:val="single" w:sz="8" w:color="A6A6A6"/>
              <w:right w:val="single" w:sz="8" w:color="A6A6A6"/>
            </w:tcBorders>
          </w:tcPr>
          <w:p>
            <w:pPr>
              <w:ind w:left="180"/>
              <w:spacing w:after="0"/>
              <w:rPr>
                <w:sz w:val="20"/>
                <w:szCs w:val="20"/>
                <w:color w:val="auto"/>
              </w:rPr>
            </w:pPr>
            <w:r>
              <w:rPr>
                <w:rFonts w:ascii="Arial" w:cs="Arial" w:eastAsia="Arial" w:hAnsi="Arial"/>
                <w:sz w:val="16"/>
                <w:szCs w:val="16"/>
                <w:color w:val="auto"/>
              </w:rPr>
              <w:t>Accrued Capex as % of Revenue</w:t>
            </w:r>
            <w:r>
              <w:rPr>
                <w:rFonts w:ascii="Arial" w:cs="Arial" w:eastAsia="Arial" w:hAnsi="Arial"/>
                <w:sz w:val="24"/>
                <w:szCs w:val="24"/>
                <w:color w:val="auto"/>
                <w:vertAlign w:val="superscript"/>
              </w:rPr>
              <w:t>(1)</w:t>
            </w:r>
          </w:p>
        </w:tc>
        <w:tc>
          <w:tcPr>
            <w:tcW w:w="116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w w:val="98"/>
              </w:rPr>
              <w:t>8.4%</w:t>
            </w:r>
          </w:p>
        </w:tc>
        <w:tc>
          <w:tcPr>
            <w:tcW w:w="158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rPr>
              <w:t>~8%</w:t>
            </w:r>
          </w:p>
        </w:tc>
        <w:tc>
          <w:tcPr>
            <w:tcW w:w="1620" w:type="dxa"/>
            <w:vAlign w:val="bottom"/>
            <w:tcBorders>
              <w:bottom w:val="single" w:sz="8" w:color="A6A6A6"/>
              <w:right w:val="single" w:sz="8" w:color="A6A6A6"/>
            </w:tcBorders>
            <w:shd w:val="clear" w:color="auto" w:fill="F8EADD"/>
          </w:tcPr>
          <w:p>
            <w:pPr>
              <w:ind w:left="44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234"/>
        </w:trPr>
        <w:tc>
          <w:tcPr>
            <w:tcW w:w="6680" w:type="dxa"/>
            <w:vAlign w:val="bottom"/>
            <w:tcBorders>
              <w:left w:val="single" w:sz="8" w:color="A6A6A6"/>
              <w:right w:val="single" w:sz="8" w:color="A6A6A6"/>
            </w:tcBorders>
            <w:shd w:val="clear" w:color="auto" w:fill="F2F2F2"/>
          </w:tcPr>
          <w:p>
            <w:pPr>
              <w:ind w:left="180"/>
              <w:spacing w:after="0"/>
              <w:rPr>
                <w:sz w:val="20"/>
                <w:szCs w:val="20"/>
                <w:color w:val="auto"/>
              </w:rPr>
            </w:pPr>
            <w:r>
              <w:rPr>
                <w:rFonts w:ascii="Arial" w:cs="Arial" w:eastAsia="Arial" w:hAnsi="Arial"/>
                <w:sz w:val="16"/>
                <w:szCs w:val="16"/>
                <w:color w:val="auto"/>
              </w:rPr>
              <w:t>Depreciation &amp; Amortization of Computer Software</w:t>
            </w:r>
          </w:p>
        </w:tc>
        <w:tc>
          <w:tcPr>
            <w:tcW w:w="1160" w:type="dxa"/>
            <w:vAlign w:val="bottom"/>
            <w:tcBorders>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$731 million</w:t>
            </w:r>
          </w:p>
        </w:tc>
        <w:tc>
          <w:tcPr>
            <w:tcW w:w="1580" w:type="dxa"/>
            <w:vAlign w:val="bottom"/>
            <w:tcBorders>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$835 - $855 million</w:t>
            </w:r>
          </w:p>
        </w:tc>
        <w:tc>
          <w:tcPr>
            <w:tcW w:w="1620" w:type="dxa"/>
            <w:vAlign w:val="bottom"/>
            <w:tcBorders>
              <w:right w:val="single" w:sz="8" w:color="A6A6A6"/>
            </w:tcBorders>
            <w:shd w:val="clear" w:color="auto" w:fill="F8EADD"/>
          </w:tcPr>
          <w:p>
            <w:pPr>
              <w:ind w:left="100"/>
              <w:spacing w:after="0"/>
              <w:rPr>
                <w:sz w:val="20"/>
                <w:szCs w:val="20"/>
                <w:color w:val="auto"/>
              </w:rPr>
            </w:pPr>
            <w:r>
              <w:rPr>
                <w:rFonts w:ascii="Arial" w:cs="Arial" w:eastAsia="Arial" w:hAnsi="Arial"/>
                <w:sz w:val="16"/>
                <w:szCs w:val="16"/>
                <w:color w:val="auto"/>
              </w:rPr>
              <w:t>$825 - $835 million</w:t>
            </w:r>
          </w:p>
        </w:tc>
        <w:tc>
          <w:tcPr>
            <w:tcW w:w="0" w:type="dxa"/>
            <w:vAlign w:val="bottom"/>
          </w:tcPr>
          <w:p>
            <w:pPr>
              <w:spacing w:after="0"/>
              <w:rPr>
                <w:sz w:val="1"/>
                <w:szCs w:val="1"/>
                <w:color w:val="auto"/>
              </w:rPr>
            </w:pPr>
          </w:p>
        </w:tc>
      </w:tr>
      <w:tr>
        <w:trPr>
          <w:trHeight w:val="162"/>
        </w:trPr>
        <w:tc>
          <w:tcPr>
            <w:tcW w:w="6680" w:type="dxa"/>
            <w:vAlign w:val="bottom"/>
            <w:tcBorders>
              <w:left w:val="single" w:sz="8" w:color="A6A6A6"/>
              <w:right w:val="single" w:sz="8" w:color="A6A6A6"/>
            </w:tcBorders>
            <w:shd w:val="clear" w:color="auto" w:fill="F2F2F2"/>
          </w:tcPr>
          <w:p>
            <w:pPr>
              <w:ind w:left="380"/>
              <w:spacing w:after="0"/>
              <w:rPr>
                <w:sz w:val="20"/>
                <w:szCs w:val="20"/>
                <w:color w:val="auto"/>
              </w:rPr>
            </w:pPr>
            <w:r>
              <w:rPr>
                <w:rFonts w:ascii="Arial" w:cs="Arial" w:eastAsia="Arial" w:hAnsi="Arial"/>
                <w:sz w:val="14"/>
                <w:szCs w:val="14"/>
                <w:color w:val="auto"/>
              </w:rPr>
              <w:t>Depreciation &amp; Amortization of Internally Developed Software</w:t>
            </w:r>
          </w:p>
        </w:tc>
        <w:tc>
          <w:tcPr>
            <w:tcW w:w="1160" w:type="dxa"/>
            <w:vAlign w:val="bottom"/>
            <w:tcBorders>
              <w:right w:val="single" w:sz="8" w:color="A6A6A6"/>
            </w:tcBorders>
            <w:shd w:val="clear" w:color="auto" w:fill="F2F2F2"/>
          </w:tcPr>
          <w:p>
            <w:pPr>
              <w:jc w:val="center"/>
              <w:spacing w:after="0"/>
              <w:rPr>
                <w:sz w:val="20"/>
                <w:szCs w:val="20"/>
                <w:color w:val="auto"/>
              </w:rPr>
            </w:pPr>
            <w:r>
              <w:rPr>
                <w:rFonts w:ascii="Arial" w:cs="Arial" w:eastAsia="Arial" w:hAnsi="Arial"/>
                <w:sz w:val="14"/>
                <w:szCs w:val="14"/>
                <w:color w:val="auto"/>
              </w:rPr>
              <w:t>$584 million</w:t>
            </w:r>
          </w:p>
        </w:tc>
        <w:tc>
          <w:tcPr>
            <w:tcW w:w="1580" w:type="dxa"/>
            <w:vAlign w:val="bottom"/>
            <w:tcBorders>
              <w:right w:val="single" w:sz="8" w:color="A6A6A6"/>
            </w:tcBorders>
            <w:shd w:val="clear" w:color="auto" w:fill="F2F2F2"/>
          </w:tcPr>
          <w:p>
            <w:pPr>
              <w:jc w:val="center"/>
              <w:spacing w:after="0"/>
              <w:rPr>
                <w:sz w:val="20"/>
                <w:szCs w:val="20"/>
                <w:color w:val="auto"/>
              </w:rPr>
            </w:pPr>
            <w:r>
              <w:rPr>
                <w:rFonts w:ascii="Arial" w:cs="Arial" w:eastAsia="Arial" w:hAnsi="Arial"/>
                <w:sz w:val="14"/>
                <w:szCs w:val="14"/>
                <w:color w:val="auto"/>
              </w:rPr>
              <w:t>$635 - $655 million</w:t>
            </w:r>
          </w:p>
        </w:tc>
        <w:tc>
          <w:tcPr>
            <w:tcW w:w="1620" w:type="dxa"/>
            <w:vAlign w:val="bottom"/>
            <w:tcBorders>
              <w:right w:val="single" w:sz="8" w:color="A6A6A6"/>
            </w:tcBorders>
            <w:shd w:val="clear" w:color="auto" w:fill="F8EADD"/>
          </w:tcPr>
          <w:p>
            <w:pPr>
              <w:ind w:left="200"/>
              <w:spacing w:after="0"/>
              <w:rPr>
                <w:sz w:val="20"/>
                <w:szCs w:val="20"/>
                <w:color w:val="auto"/>
              </w:rPr>
            </w:pPr>
            <w:r>
              <w:rPr>
                <w:rFonts w:ascii="Arial" w:cs="Arial" w:eastAsia="Arial" w:hAnsi="Arial"/>
                <w:sz w:val="14"/>
                <w:szCs w:val="14"/>
                <w:color w:val="auto"/>
              </w:rPr>
              <w:t>$625 - $635 million</w:t>
            </w:r>
          </w:p>
        </w:tc>
        <w:tc>
          <w:tcPr>
            <w:tcW w:w="0" w:type="dxa"/>
            <w:vAlign w:val="bottom"/>
          </w:tcPr>
          <w:p>
            <w:pPr>
              <w:spacing w:after="0"/>
              <w:rPr>
                <w:sz w:val="1"/>
                <w:szCs w:val="1"/>
                <w:color w:val="auto"/>
              </w:rPr>
            </w:pPr>
          </w:p>
        </w:tc>
      </w:tr>
      <w:tr>
        <w:trPr>
          <w:trHeight w:val="251"/>
        </w:trPr>
        <w:tc>
          <w:tcPr>
            <w:tcW w:w="6680" w:type="dxa"/>
            <w:vAlign w:val="bottom"/>
            <w:tcBorders>
              <w:left w:val="single" w:sz="8" w:color="A6A6A6"/>
              <w:bottom w:val="single" w:sz="8" w:color="F2F2F2"/>
              <w:right w:val="single" w:sz="8" w:color="A6A6A6"/>
            </w:tcBorders>
            <w:shd w:val="clear" w:color="auto" w:fill="F2F2F2"/>
          </w:tcPr>
          <w:p>
            <w:pPr>
              <w:ind w:left="380"/>
              <w:spacing w:after="0"/>
              <w:rPr>
                <w:sz w:val="20"/>
                <w:szCs w:val="20"/>
                <w:color w:val="auto"/>
              </w:rPr>
            </w:pPr>
            <w:r>
              <w:rPr>
                <w:rFonts w:ascii="Arial" w:cs="Arial" w:eastAsia="Arial" w:hAnsi="Arial"/>
                <w:sz w:val="14"/>
                <w:szCs w:val="14"/>
                <w:color w:val="auto"/>
              </w:rPr>
              <w:t>Amortization of Acquired Software</w:t>
            </w:r>
          </w:p>
        </w:tc>
        <w:tc>
          <w:tcPr>
            <w:tcW w:w="1160" w:type="dxa"/>
            <w:vAlign w:val="bottom"/>
            <w:tcBorders>
              <w:bottom w:val="single" w:sz="8" w:color="F2F2F2"/>
              <w:right w:val="single" w:sz="8" w:color="A6A6A6"/>
            </w:tcBorders>
            <w:shd w:val="clear" w:color="auto" w:fill="F2F2F2"/>
          </w:tcPr>
          <w:p>
            <w:pPr>
              <w:jc w:val="center"/>
              <w:spacing w:after="0"/>
              <w:rPr>
                <w:sz w:val="20"/>
                <w:szCs w:val="20"/>
                <w:color w:val="auto"/>
              </w:rPr>
            </w:pPr>
            <w:r>
              <w:rPr>
                <w:rFonts w:ascii="Arial" w:cs="Arial" w:eastAsia="Arial" w:hAnsi="Arial"/>
                <w:sz w:val="14"/>
                <w:szCs w:val="14"/>
                <w:color w:val="auto"/>
              </w:rPr>
              <w:t>$147 million</w:t>
            </w:r>
          </w:p>
        </w:tc>
        <w:tc>
          <w:tcPr>
            <w:tcW w:w="1580" w:type="dxa"/>
            <w:vAlign w:val="bottom"/>
            <w:tcBorders>
              <w:bottom w:val="single" w:sz="8" w:color="F2F2F2"/>
              <w:right w:val="single" w:sz="8" w:color="A6A6A6"/>
            </w:tcBorders>
            <w:shd w:val="clear" w:color="auto" w:fill="F2F2F2"/>
          </w:tcPr>
          <w:p>
            <w:pPr>
              <w:jc w:val="center"/>
              <w:spacing w:after="0"/>
              <w:rPr>
                <w:sz w:val="20"/>
                <w:szCs w:val="20"/>
                <w:color w:val="auto"/>
              </w:rPr>
            </w:pPr>
            <w:r>
              <w:rPr>
                <w:rFonts w:ascii="Arial" w:cs="Arial" w:eastAsia="Arial" w:hAnsi="Arial"/>
                <w:sz w:val="14"/>
                <w:szCs w:val="14"/>
                <w:color w:val="auto"/>
              </w:rPr>
              <w:t>~$200 million</w:t>
            </w:r>
          </w:p>
        </w:tc>
        <w:tc>
          <w:tcPr>
            <w:tcW w:w="1620" w:type="dxa"/>
            <w:vAlign w:val="bottom"/>
            <w:tcBorders>
              <w:bottom w:val="single" w:sz="8" w:color="F8EADD"/>
              <w:right w:val="single" w:sz="8" w:color="A6A6A6"/>
            </w:tcBorders>
            <w:shd w:val="clear" w:color="auto" w:fill="F8EADD"/>
          </w:tcPr>
          <w:p>
            <w:pPr>
              <w:ind w:left="480"/>
              <w:spacing w:after="0"/>
              <w:rPr>
                <w:sz w:val="20"/>
                <w:szCs w:val="20"/>
                <w:color w:val="auto"/>
              </w:rPr>
            </w:pPr>
            <w:r>
              <w:rPr>
                <w:rFonts w:ascii="Arial" w:cs="Arial" w:eastAsia="Arial" w:hAnsi="Arial"/>
                <w:sz w:val="14"/>
                <w:szCs w:val="14"/>
                <w:color w:val="auto"/>
              </w:rPr>
              <w:t>Unchanged</w:t>
            </w:r>
          </w:p>
        </w:tc>
        <w:tc>
          <w:tcPr>
            <w:tcW w:w="0" w:type="dxa"/>
            <w:vAlign w:val="bottom"/>
          </w:tcPr>
          <w:p>
            <w:pPr>
              <w:spacing w:after="0"/>
              <w:rPr>
                <w:sz w:val="1"/>
                <w:szCs w:val="1"/>
                <w:color w:val="auto"/>
              </w:rPr>
            </w:pPr>
          </w:p>
        </w:tc>
      </w:tr>
      <w:tr>
        <w:trPr>
          <w:trHeight w:val="304"/>
        </w:trPr>
        <w:tc>
          <w:tcPr>
            <w:tcW w:w="6680" w:type="dxa"/>
            <w:vAlign w:val="bottom"/>
            <w:tcBorders>
              <w:top w:val="single" w:sz="8" w:color="A6A6A6"/>
              <w:left w:val="single" w:sz="8" w:color="A6A6A6"/>
              <w:right w:val="single" w:sz="8" w:color="A6A6A6"/>
            </w:tcBorders>
          </w:tcPr>
          <w:p>
            <w:pPr>
              <w:ind w:left="180"/>
              <w:spacing w:after="0"/>
              <w:rPr>
                <w:sz w:val="20"/>
                <w:szCs w:val="20"/>
                <w:color w:val="auto"/>
              </w:rPr>
            </w:pPr>
            <w:r>
              <w:rPr>
                <w:rFonts w:ascii="Arial" w:cs="Arial" w:eastAsia="Arial" w:hAnsi="Arial"/>
                <w:sz w:val="16"/>
                <w:szCs w:val="16"/>
                <w:color w:val="auto"/>
              </w:rPr>
              <w:t>Net Interest Expense</w:t>
            </w:r>
          </w:p>
        </w:tc>
        <w:tc>
          <w:tcPr>
            <w:tcW w:w="1160" w:type="dxa"/>
            <w:vAlign w:val="bottom"/>
            <w:tcBorders>
              <w:top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rPr>
              <w:t>$125 million</w:t>
            </w:r>
          </w:p>
        </w:tc>
        <w:tc>
          <w:tcPr>
            <w:tcW w:w="1580" w:type="dxa"/>
            <w:vAlign w:val="bottom"/>
            <w:tcBorders>
              <w:top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w w:val="99"/>
              </w:rPr>
              <w:t>~$150 million</w:t>
            </w:r>
          </w:p>
        </w:tc>
        <w:tc>
          <w:tcPr>
            <w:tcW w:w="1620" w:type="dxa"/>
            <w:vAlign w:val="bottom"/>
            <w:tcBorders>
              <w:top w:val="single" w:sz="8" w:color="A6A6A6"/>
              <w:bottom w:val="single" w:sz="8" w:color="F8EADD"/>
              <w:right w:val="single" w:sz="8" w:color="A6A6A6"/>
            </w:tcBorders>
            <w:shd w:val="clear" w:color="auto" w:fill="F8EADD"/>
          </w:tcPr>
          <w:p>
            <w:pPr>
              <w:ind w:left="360"/>
              <w:spacing w:after="0"/>
              <w:rPr>
                <w:sz w:val="20"/>
                <w:szCs w:val="20"/>
                <w:color w:val="auto"/>
              </w:rPr>
            </w:pPr>
            <w:r>
              <w:rPr>
                <w:rFonts w:ascii="Arial" w:cs="Arial" w:eastAsia="Arial" w:hAnsi="Arial"/>
                <w:sz w:val="16"/>
                <w:szCs w:val="16"/>
                <w:color w:val="auto"/>
              </w:rPr>
              <w:t>~$130 million</w:t>
            </w:r>
          </w:p>
        </w:tc>
        <w:tc>
          <w:tcPr>
            <w:tcW w:w="0" w:type="dxa"/>
            <w:vAlign w:val="bottom"/>
          </w:tcPr>
          <w:p>
            <w:pPr>
              <w:spacing w:after="0"/>
              <w:rPr>
                <w:sz w:val="1"/>
                <w:szCs w:val="1"/>
                <w:color w:val="auto"/>
              </w:rPr>
            </w:pPr>
          </w:p>
        </w:tc>
      </w:tr>
      <w:tr>
        <w:trPr>
          <w:trHeight w:val="304"/>
        </w:trPr>
        <w:tc>
          <w:tcPr>
            <w:tcW w:w="6680" w:type="dxa"/>
            <w:vAlign w:val="bottom"/>
            <w:tcBorders>
              <w:top w:val="single" w:sz="8" w:color="A6A6A6"/>
              <w:left w:val="single" w:sz="8" w:color="A6A6A6"/>
              <w:bottom w:val="single" w:sz="8" w:color="A6A6A6"/>
              <w:right w:val="single" w:sz="8" w:color="A6A6A6"/>
            </w:tcBorders>
            <w:shd w:val="clear" w:color="auto" w:fill="F2F2F2"/>
          </w:tcPr>
          <w:p>
            <w:pPr>
              <w:ind w:left="180"/>
              <w:spacing w:after="0"/>
              <w:rPr>
                <w:sz w:val="20"/>
                <w:szCs w:val="20"/>
                <w:color w:val="auto"/>
              </w:rPr>
            </w:pPr>
            <w:r>
              <w:rPr>
                <w:rFonts w:ascii="Arial" w:cs="Arial" w:eastAsia="Arial" w:hAnsi="Arial"/>
                <w:sz w:val="16"/>
                <w:szCs w:val="16"/>
                <w:color w:val="auto"/>
              </w:rPr>
              <w:t>Effective Tax Rate on Adjusted Earnings</w:t>
            </w:r>
            <w:r>
              <w:rPr>
                <w:rFonts w:ascii="Arial" w:cs="Arial" w:eastAsia="Arial" w:hAnsi="Arial"/>
                <w:sz w:val="24"/>
                <w:szCs w:val="24"/>
                <w:color w:val="auto"/>
                <w:vertAlign w:val="superscript"/>
              </w:rPr>
              <w:t>(1)</w:t>
            </w:r>
          </w:p>
        </w:tc>
        <w:tc>
          <w:tcPr>
            <w:tcW w:w="1160" w:type="dxa"/>
            <w:vAlign w:val="bottom"/>
            <w:tcBorders>
              <w:top w:val="single" w:sz="8" w:color="A6A6A6"/>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17.6%</w:t>
            </w:r>
          </w:p>
        </w:tc>
        <w:tc>
          <w:tcPr>
            <w:tcW w:w="1580" w:type="dxa"/>
            <w:vAlign w:val="bottom"/>
            <w:tcBorders>
              <w:top w:val="single" w:sz="8" w:color="A6A6A6"/>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~19%</w:t>
            </w:r>
          </w:p>
        </w:tc>
        <w:tc>
          <w:tcPr>
            <w:tcW w:w="1620" w:type="dxa"/>
            <w:vAlign w:val="bottom"/>
            <w:tcBorders>
              <w:top w:val="single" w:sz="8" w:color="A6A6A6"/>
              <w:bottom w:val="single" w:sz="8" w:color="A6A6A6"/>
              <w:right w:val="single" w:sz="8" w:color="A6A6A6"/>
            </w:tcBorders>
            <w:shd w:val="clear" w:color="auto" w:fill="F8EADD"/>
          </w:tcPr>
          <w:p>
            <w:pPr>
              <w:ind w:left="44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246"/>
        </w:trPr>
        <w:tc>
          <w:tcPr>
            <w:tcW w:w="6680" w:type="dxa"/>
            <w:vAlign w:val="bottom"/>
            <w:tcBorders>
              <w:left w:val="single" w:sz="8" w:color="A6A6A6"/>
              <w:right w:val="single" w:sz="8" w:color="A6A6A6"/>
            </w:tcBorders>
          </w:tcPr>
          <w:p>
            <w:pPr>
              <w:spacing w:after="0"/>
              <w:rPr>
                <w:sz w:val="21"/>
                <w:szCs w:val="21"/>
                <w:color w:val="auto"/>
              </w:rPr>
            </w:pPr>
          </w:p>
        </w:tc>
        <w:tc>
          <w:tcPr>
            <w:tcW w:w="1160" w:type="dxa"/>
            <w:vAlign w:val="bottom"/>
            <w:tcBorders>
              <w:right w:val="single" w:sz="8" w:color="A6A6A6"/>
            </w:tcBorders>
            <w:vMerge w:val="restart"/>
          </w:tcPr>
          <w:p>
            <w:pPr>
              <w:ind w:left="220"/>
              <w:spacing w:after="0"/>
              <w:rPr>
                <w:sz w:val="20"/>
                <w:szCs w:val="20"/>
                <w:color w:val="auto"/>
              </w:rPr>
            </w:pPr>
            <w:r>
              <w:rPr>
                <w:rFonts w:ascii="Arial" w:cs="Arial" w:eastAsia="Arial" w:hAnsi="Arial"/>
                <w:sz w:val="20"/>
                <w:szCs w:val="20"/>
                <w:b w:val="1"/>
                <w:bCs w:val="1"/>
                <w:color w:val="404040"/>
              </w:rPr>
              <w:t>FY 2024</w:t>
            </w:r>
          </w:p>
        </w:tc>
        <w:tc>
          <w:tcPr>
            <w:tcW w:w="1580" w:type="dxa"/>
            <w:vAlign w:val="bottom"/>
            <w:tcBorders>
              <w:right w:val="single" w:sz="8" w:color="A6A6A6"/>
            </w:tcBorders>
          </w:tcPr>
          <w:p>
            <w:pPr>
              <w:jc w:val="center"/>
              <w:spacing w:after="0"/>
              <w:rPr>
                <w:sz w:val="20"/>
                <w:szCs w:val="20"/>
                <w:color w:val="auto"/>
              </w:rPr>
            </w:pPr>
            <w:r>
              <w:rPr>
                <w:rFonts w:ascii="Arial" w:cs="Arial" w:eastAsia="Arial" w:hAnsi="Arial"/>
                <w:sz w:val="20"/>
                <w:szCs w:val="20"/>
                <w:b w:val="1"/>
                <w:bCs w:val="1"/>
                <w:color w:val="D64000"/>
                <w:w w:val="97"/>
              </w:rPr>
              <w:t>FY 2025</w:t>
            </w:r>
          </w:p>
        </w:tc>
        <w:tc>
          <w:tcPr>
            <w:tcW w:w="1620" w:type="dxa"/>
            <w:vAlign w:val="bottom"/>
            <w:tcBorders>
              <w:right w:val="single" w:sz="8" w:color="A6A6A6"/>
            </w:tcBorders>
            <w:shd w:val="clear" w:color="auto" w:fill="F8EADD"/>
          </w:tcPr>
          <w:p>
            <w:pPr>
              <w:ind w:left="460"/>
              <w:spacing w:after="0"/>
              <w:rPr>
                <w:sz w:val="20"/>
                <w:szCs w:val="20"/>
                <w:color w:val="auto"/>
              </w:rPr>
            </w:pPr>
            <w:r>
              <w:rPr>
                <w:rFonts w:ascii="Arial" w:cs="Arial" w:eastAsia="Arial" w:hAnsi="Arial"/>
                <w:sz w:val="20"/>
                <w:szCs w:val="20"/>
                <w:b w:val="1"/>
                <w:bCs w:val="1"/>
                <w:color w:val="0070C0"/>
              </w:rPr>
              <w:t>FY 2025</w:t>
            </w:r>
          </w:p>
        </w:tc>
        <w:tc>
          <w:tcPr>
            <w:tcW w:w="0" w:type="dxa"/>
            <w:vAlign w:val="bottom"/>
          </w:tcPr>
          <w:p>
            <w:pPr>
              <w:spacing w:after="0"/>
              <w:rPr>
                <w:sz w:val="1"/>
                <w:szCs w:val="1"/>
                <w:color w:val="auto"/>
              </w:rPr>
            </w:pPr>
          </w:p>
        </w:tc>
      </w:tr>
      <w:tr>
        <w:trPr>
          <w:trHeight w:val="108"/>
        </w:trPr>
        <w:tc>
          <w:tcPr>
            <w:tcW w:w="6680" w:type="dxa"/>
            <w:vAlign w:val="bottom"/>
            <w:tcBorders>
              <w:left w:val="single" w:sz="8" w:color="A6A6A6"/>
              <w:right w:val="single" w:sz="8" w:color="A6A6A6"/>
            </w:tcBorders>
            <w:vMerge w:val="restart"/>
          </w:tcPr>
          <w:p>
            <w:pPr>
              <w:ind w:left="180"/>
              <w:spacing w:after="0" w:line="216" w:lineRule="exact"/>
              <w:rPr>
                <w:sz w:val="20"/>
                <w:szCs w:val="20"/>
                <w:color w:val="auto"/>
              </w:rPr>
            </w:pPr>
            <w:r>
              <w:rPr>
                <w:rFonts w:ascii="Arial" w:cs="Arial" w:eastAsia="Arial" w:hAnsi="Arial"/>
                <w:sz w:val="17"/>
                <w:szCs w:val="17"/>
                <w:b w:val="1"/>
                <w:bCs w:val="1"/>
                <w:color w:val="D64000"/>
              </w:rPr>
              <w:t>“Big 3” Segments</w:t>
            </w:r>
            <w:r>
              <w:rPr>
                <w:rFonts w:ascii="Arial" w:cs="Arial" w:eastAsia="Arial" w:hAnsi="Arial"/>
                <w:sz w:val="25"/>
                <w:szCs w:val="25"/>
                <w:b w:val="1"/>
                <w:bCs w:val="1"/>
                <w:color w:val="D64000"/>
                <w:vertAlign w:val="superscript"/>
              </w:rPr>
              <w:t>(1)</w:t>
            </w:r>
          </w:p>
        </w:tc>
        <w:tc>
          <w:tcPr>
            <w:tcW w:w="1160" w:type="dxa"/>
            <w:vAlign w:val="bottom"/>
            <w:tcBorders>
              <w:right w:val="single" w:sz="8" w:color="A6A6A6"/>
            </w:tcBorders>
            <w:vMerge w:val="continue"/>
          </w:tcPr>
          <w:p>
            <w:pPr>
              <w:spacing w:after="0"/>
              <w:rPr>
                <w:sz w:val="9"/>
                <w:szCs w:val="9"/>
                <w:color w:val="auto"/>
              </w:rPr>
            </w:pPr>
          </w:p>
        </w:tc>
        <w:tc>
          <w:tcPr>
            <w:tcW w:w="1580" w:type="dxa"/>
            <w:vAlign w:val="bottom"/>
            <w:tcBorders>
              <w:right w:val="single" w:sz="8" w:color="A6A6A6"/>
            </w:tcBorders>
            <w:vMerge w:val="restart"/>
          </w:tcPr>
          <w:p>
            <w:pPr>
              <w:jc w:val="center"/>
              <w:spacing w:after="0" w:line="216" w:lineRule="exact"/>
              <w:rPr>
                <w:sz w:val="20"/>
                <w:szCs w:val="20"/>
                <w:color w:val="auto"/>
              </w:rPr>
            </w:pPr>
            <w:r>
              <w:rPr>
                <w:rFonts w:ascii="Arial" w:cs="Arial" w:eastAsia="Arial" w:hAnsi="Arial"/>
                <w:sz w:val="20"/>
                <w:szCs w:val="20"/>
                <w:b w:val="1"/>
                <w:bCs w:val="1"/>
                <w:color w:val="D64000"/>
                <w:w w:val="97"/>
              </w:rPr>
              <w:t>Outlook</w:t>
            </w:r>
          </w:p>
        </w:tc>
        <w:tc>
          <w:tcPr>
            <w:tcW w:w="1620" w:type="dxa"/>
            <w:vAlign w:val="bottom"/>
            <w:tcBorders>
              <w:right w:val="single" w:sz="8" w:color="A6A6A6"/>
            </w:tcBorders>
            <w:vMerge w:val="restart"/>
            <w:shd w:val="clear" w:color="auto" w:fill="F8EADD"/>
          </w:tcPr>
          <w:p>
            <w:pPr>
              <w:ind w:left="460"/>
              <w:spacing w:after="0" w:line="216" w:lineRule="exact"/>
              <w:rPr>
                <w:sz w:val="20"/>
                <w:szCs w:val="20"/>
                <w:color w:val="auto"/>
              </w:rPr>
            </w:pPr>
            <w:r>
              <w:rPr>
                <w:rFonts w:ascii="Arial" w:cs="Arial" w:eastAsia="Arial" w:hAnsi="Arial"/>
                <w:sz w:val="20"/>
                <w:szCs w:val="20"/>
                <w:b w:val="1"/>
                <w:bCs w:val="1"/>
                <w:color w:val="0070C0"/>
              </w:rPr>
              <w:t>Outlook</w:t>
            </w:r>
          </w:p>
        </w:tc>
        <w:tc>
          <w:tcPr>
            <w:tcW w:w="0" w:type="dxa"/>
            <w:vAlign w:val="bottom"/>
          </w:tcPr>
          <w:p>
            <w:pPr>
              <w:spacing w:after="0"/>
              <w:rPr>
                <w:sz w:val="1"/>
                <w:szCs w:val="1"/>
                <w:color w:val="auto"/>
              </w:rPr>
            </w:pPr>
          </w:p>
        </w:tc>
      </w:tr>
      <w:tr>
        <w:trPr>
          <w:trHeight w:val="108"/>
        </w:trPr>
        <w:tc>
          <w:tcPr>
            <w:tcW w:w="6680" w:type="dxa"/>
            <w:vAlign w:val="bottom"/>
            <w:tcBorders>
              <w:left w:val="single" w:sz="8" w:color="A6A6A6"/>
              <w:right w:val="single" w:sz="8" w:color="A6A6A6"/>
            </w:tcBorders>
            <w:vMerge w:val="continue"/>
          </w:tcPr>
          <w:p>
            <w:pPr>
              <w:spacing w:after="0"/>
              <w:rPr>
                <w:sz w:val="9"/>
                <w:szCs w:val="9"/>
                <w:color w:val="auto"/>
              </w:rPr>
            </w:pPr>
          </w:p>
        </w:tc>
        <w:tc>
          <w:tcPr>
            <w:tcW w:w="116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20"/>
                <w:szCs w:val="20"/>
                <w:b w:val="1"/>
                <w:bCs w:val="1"/>
                <w:color w:val="404040"/>
              </w:rPr>
              <w:t>Reported </w:t>
            </w:r>
          </w:p>
        </w:tc>
        <w:tc>
          <w:tcPr>
            <w:tcW w:w="1580" w:type="dxa"/>
            <w:vAlign w:val="bottom"/>
            <w:tcBorders>
              <w:right w:val="single" w:sz="8" w:color="A6A6A6"/>
            </w:tcBorders>
            <w:vMerge w:val="continue"/>
          </w:tcPr>
          <w:p>
            <w:pPr>
              <w:spacing w:after="0"/>
              <w:rPr>
                <w:sz w:val="9"/>
                <w:szCs w:val="9"/>
                <w:color w:val="auto"/>
              </w:rPr>
            </w:pPr>
          </w:p>
        </w:tc>
        <w:tc>
          <w:tcPr>
            <w:tcW w:w="1620" w:type="dxa"/>
            <w:vAlign w:val="bottom"/>
            <w:tcBorders>
              <w:right w:val="single" w:sz="8" w:color="A6A6A6"/>
            </w:tcBorders>
            <w:vMerge w:val="continue"/>
            <w:shd w:val="clear" w:color="auto" w:fill="F8EADD"/>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6680" w:type="dxa"/>
            <w:vAlign w:val="bottom"/>
            <w:tcBorders>
              <w:left w:val="single" w:sz="8" w:color="A6A6A6"/>
              <w:right w:val="single" w:sz="8" w:color="A6A6A6"/>
            </w:tcBorders>
          </w:tcPr>
          <w:p>
            <w:pPr>
              <w:spacing w:after="0"/>
              <w:rPr>
                <w:sz w:val="14"/>
                <w:szCs w:val="14"/>
                <w:color w:val="auto"/>
              </w:rPr>
            </w:pPr>
          </w:p>
        </w:tc>
        <w:tc>
          <w:tcPr>
            <w:tcW w:w="1160" w:type="dxa"/>
            <w:vAlign w:val="bottom"/>
            <w:tcBorders>
              <w:right w:val="single" w:sz="8" w:color="A6A6A6"/>
            </w:tcBorders>
            <w:vMerge w:val="continue"/>
          </w:tcPr>
          <w:p>
            <w:pPr>
              <w:spacing w:after="0"/>
              <w:rPr>
                <w:sz w:val="14"/>
                <w:szCs w:val="14"/>
                <w:color w:val="auto"/>
              </w:rPr>
            </w:pPr>
          </w:p>
        </w:tc>
        <w:tc>
          <w:tcPr>
            <w:tcW w:w="158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20"/>
                <w:szCs w:val="20"/>
                <w:b w:val="1"/>
                <w:bCs w:val="1"/>
                <w:color w:val="D64000"/>
              </w:rPr>
              <w:t>2/6/2025</w:t>
            </w:r>
          </w:p>
        </w:tc>
        <w:tc>
          <w:tcPr>
            <w:tcW w:w="1620" w:type="dxa"/>
            <w:vAlign w:val="bottom"/>
            <w:tcBorders>
              <w:right w:val="single" w:sz="8" w:color="A6A6A6"/>
            </w:tcBorders>
            <w:vMerge w:val="restart"/>
            <w:shd w:val="clear" w:color="auto" w:fill="F8EADD"/>
          </w:tcPr>
          <w:p>
            <w:pPr>
              <w:ind w:left="440"/>
              <w:spacing w:after="0"/>
              <w:rPr>
                <w:sz w:val="20"/>
                <w:szCs w:val="20"/>
                <w:color w:val="auto"/>
              </w:rPr>
            </w:pPr>
            <w:r>
              <w:rPr>
                <w:rFonts w:ascii="Arial" w:cs="Arial" w:eastAsia="Arial" w:hAnsi="Arial"/>
                <w:sz w:val="20"/>
                <w:szCs w:val="20"/>
                <w:b w:val="1"/>
                <w:bCs w:val="1"/>
                <w:color w:val="0070C0"/>
              </w:rPr>
              <w:t>8/6/2025</w:t>
            </w:r>
          </w:p>
        </w:tc>
        <w:tc>
          <w:tcPr>
            <w:tcW w:w="0" w:type="dxa"/>
            <w:vAlign w:val="bottom"/>
          </w:tcPr>
          <w:p>
            <w:pPr>
              <w:spacing w:after="0"/>
              <w:rPr>
                <w:sz w:val="1"/>
                <w:szCs w:val="1"/>
                <w:color w:val="auto"/>
              </w:rPr>
            </w:pPr>
          </w:p>
        </w:tc>
      </w:tr>
      <w:tr>
        <w:trPr>
          <w:trHeight w:val="149"/>
        </w:trPr>
        <w:tc>
          <w:tcPr>
            <w:tcW w:w="6680" w:type="dxa"/>
            <w:vAlign w:val="bottom"/>
            <w:tcBorders>
              <w:left w:val="single" w:sz="8" w:color="A6A6A6"/>
              <w:right w:val="single" w:sz="8" w:color="A6A6A6"/>
            </w:tcBorders>
          </w:tcPr>
          <w:p>
            <w:pPr>
              <w:spacing w:after="0"/>
              <w:rPr>
                <w:sz w:val="12"/>
                <w:szCs w:val="12"/>
                <w:color w:val="auto"/>
              </w:rPr>
            </w:pPr>
          </w:p>
        </w:tc>
        <w:tc>
          <w:tcPr>
            <w:tcW w:w="1160" w:type="dxa"/>
            <w:vAlign w:val="bottom"/>
            <w:tcBorders>
              <w:right w:val="single" w:sz="8" w:color="A6A6A6"/>
            </w:tcBorders>
          </w:tcPr>
          <w:p>
            <w:pPr>
              <w:spacing w:after="0"/>
              <w:rPr>
                <w:sz w:val="12"/>
                <w:szCs w:val="12"/>
                <w:color w:val="auto"/>
              </w:rPr>
            </w:pPr>
          </w:p>
        </w:tc>
        <w:tc>
          <w:tcPr>
            <w:tcW w:w="1580" w:type="dxa"/>
            <w:vAlign w:val="bottom"/>
            <w:tcBorders>
              <w:right w:val="single" w:sz="8" w:color="A6A6A6"/>
            </w:tcBorders>
            <w:vMerge w:val="continue"/>
          </w:tcPr>
          <w:p>
            <w:pPr>
              <w:spacing w:after="0"/>
              <w:rPr>
                <w:sz w:val="12"/>
                <w:szCs w:val="12"/>
                <w:color w:val="auto"/>
              </w:rPr>
            </w:pPr>
          </w:p>
        </w:tc>
        <w:tc>
          <w:tcPr>
            <w:tcW w:w="1620" w:type="dxa"/>
            <w:vAlign w:val="bottom"/>
            <w:tcBorders>
              <w:bottom w:val="single" w:sz="8" w:color="F8EADD"/>
              <w:right w:val="single" w:sz="8" w:color="A6A6A6"/>
            </w:tcBorders>
            <w:vMerge w:val="continue"/>
            <w:shd w:val="clear" w:color="auto" w:fill="F8EADD"/>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6680" w:type="dxa"/>
            <w:vAlign w:val="bottom"/>
            <w:tcBorders>
              <w:top w:val="single" w:sz="8" w:color="A6A6A6"/>
              <w:left w:val="single" w:sz="8" w:color="A6A6A6"/>
              <w:bottom w:val="single" w:sz="8" w:color="A6A6A6"/>
              <w:right w:val="single" w:sz="8" w:color="A6A6A6"/>
            </w:tcBorders>
            <w:shd w:val="clear" w:color="auto" w:fill="F2F2F2"/>
          </w:tcPr>
          <w:p>
            <w:pPr>
              <w:ind w:left="180"/>
              <w:spacing w:after="0"/>
              <w:rPr>
                <w:sz w:val="20"/>
                <w:szCs w:val="20"/>
                <w:color w:val="auto"/>
              </w:rPr>
            </w:pPr>
            <w:r>
              <w:rPr>
                <w:rFonts w:ascii="Arial" w:cs="Arial" w:eastAsia="Arial" w:hAnsi="Arial"/>
                <w:sz w:val="16"/>
                <w:szCs w:val="16"/>
                <w:color w:val="auto"/>
              </w:rPr>
              <w:t>Total Revenue Growth</w:t>
            </w:r>
          </w:p>
        </w:tc>
        <w:tc>
          <w:tcPr>
            <w:tcW w:w="1160" w:type="dxa"/>
            <w:vAlign w:val="bottom"/>
            <w:tcBorders>
              <w:top w:val="single" w:sz="8" w:color="A6A6A6"/>
              <w:bottom w:val="single" w:sz="8" w:color="A6A6A6"/>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8%</w:t>
            </w:r>
          </w:p>
        </w:tc>
        <w:tc>
          <w:tcPr>
            <w:tcW w:w="1580" w:type="dxa"/>
            <w:vAlign w:val="bottom"/>
            <w:tcBorders>
              <w:top w:val="single" w:sz="8" w:color="A6A6A6"/>
              <w:bottom w:val="single" w:sz="8" w:color="A6A6A6"/>
              <w:right w:val="single" w:sz="8" w:color="A6A6A6"/>
            </w:tcBorders>
            <w:shd w:val="clear" w:color="auto" w:fill="F2F2F2"/>
          </w:tcPr>
          <w:p>
            <w:pPr>
              <w:jc w:val="center"/>
              <w:spacing w:after="0" w:line="296" w:lineRule="exact"/>
              <w:rPr>
                <w:sz w:val="20"/>
                <w:szCs w:val="20"/>
                <w:color w:val="auto"/>
              </w:rPr>
            </w:pPr>
            <w:r>
              <w:rPr>
                <w:rFonts w:ascii="Arial" w:cs="Arial" w:eastAsia="Arial" w:hAnsi="Arial"/>
                <w:sz w:val="32"/>
                <w:szCs w:val="32"/>
                <w:color w:val="auto"/>
                <w:w w:val="79"/>
                <w:vertAlign w:val="subscript"/>
              </w:rPr>
              <w:t>~4%</w:t>
            </w:r>
            <w:r>
              <w:rPr>
                <w:rFonts w:ascii="Arial" w:cs="Arial" w:eastAsia="Arial" w:hAnsi="Arial"/>
                <w:sz w:val="12"/>
                <w:szCs w:val="12"/>
                <w:color w:val="auto"/>
                <w:w w:val="79"/>
              </w:rPr>
              <w:t>(2)</w:t>
            </w:r>
          </w:p>
        </w:tc>
        <w:tc>
          <w:tcPr>
            <w:tcW w:w="1620" w:type="dxa"/>
            <w:vAlign w:val="bottom"/>
            <w:tcBorders>
              <w:top w:val="single" w:sz="8" w:color="A6A6A6"/>
              <w:bottom w:val="single" w:sz="8" w:color="A6A6A6"/>
              <w:right w:val="single" w:sz="8" w:color="A6A6A6"/>
            </w:tcBorders>
            <w:shd w:val="clear" w:color="auto" w:fill="F8EADD"/>
          </w:tcPr>
          <w:p>
            <w:pPr>
              <w:ind w:left="44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304"/>
        </w:trPr>
        <w:tc>
          <w:tcPr>
            <w:tcW w:w="6680" w:type="dxa"/>
            <w:vAlign w:val="bottom"/>
            <w:tcBorders>
              <w:left w:val="single" w:sz="8" w:color="A6A6A6"/>
              <w:right w:val="single" w:sz="8" w:color="A6A6A6"/>
            </w:tcBorders>
          </w:tcPr>
          <w:p>
            <w:pPr>
              <w:ind w:left="180"/>
              <w:spacing w:after="0"/>
              <w:rPr>
                <w:sz w:val="20"/>
                <w:szCs w:val="20"/>
                <w:color w:val="auto"/>
              </w:rPr>
            </w:pPr>
            <w:r>
              <w:rPr>
                <w:rFonts w:ascii="Arial" w:cs="Arial" w:eastAsia="Arial" w:hAnsi="Arial"/>
                <w:sz w:val="16"/>
                <w:szCs w:val="16"/>
                <w:color w:val="auto"/>
              </w:rPr>
              <w:t>Organic Revenue Growth</w:t>
            </w:r>
          </w:p>
        </w:tc>
        <w:tc>
          <w:tcPr>
            <w:tcW w:w="116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rPr>
              <w:t>9%</w:t>
            </w:r>
          </w:p>
        </w:tc>
        <w:tc>
          <w:tcPr>
            <w:tcW w:w="1580" w:type="dxa"/>
            <w:vAlign w:val="bottom"/>
            <w:tcBorders>
              <w:right w:val="single" w:sz="8" w:color="A6A6A6"/>
            </w:tcBorders>
          </w:tcPr>
          <w:p>
            <w:pPr>
              <w:jc w:val="center"/>
              <w:spacing w:after="0"/>
              <w:rPr>
                <w:sz w:val="20"/>
                <w:szCs w:val="20"/>
                <w:color w:val="auto"/>
              </w:rPr>
            </w:pPr>
            <w:r>
              <w:rPr>
                <w:rFonts w:ascii="Arial" w:cs="Arial" w:eastAsia="Arial" w:hAnsi="Arial"/>
                <w:sz w:val="16"/>
                <w:szCs w:val="16"/>
                <w:color w:val="auto"/>
              </w:rPr>
              <w:t>~9%</w:t>
            </w:r>
          </w:p>
        </w:tc>
        <w:tc>
          <w:tcPr>
            <w:tcW w:w="1620" w:type="dxa"/>
            <w:vAlign w:val="bottom"/>
            <w:tcBorders>
              <w:bottom w:val="single" w:sz="8" w:color="F8EADD"/>
              <w:right w:val="single" w:sz="8" w:color="A6A6A6"/>
            </w:tcBorders>
            <w:shd w:val="clear" w:color="auto" w:fill="F8EADD"/>
          </w:tcPr>
          <w:p>
            <w:pPr>
              <w:ind w:left="44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277"/>
        </w:trPr>
        <w:tc>
          <w:tcPr>
            <w:tcW w:w="6680" w:type="dxa"/>
            <w:vAlign w:val="bottom"/>
            <w:tcBorders>
              <w:top w:val="single" w:sz="8" w:color="A6A6A6"/>
              <w:left w:val="single" w:sz="8" w:color="A6A6A6"/>
              <w:bottom w:val="single" w:sz="8" w:color="F2F2F2"/>
              <w:right w:val="single" w:sz="8" w:color="A6A6A6"/>
            </w:tcBorders>
            <w:shd w:val="clear" w:color="auto" w:fill="F2F2F2"/>
          </w:tcPr>
          <w:p>
            <w:pPr>
              <w:ind w:left="180"/>
              <w:spacing w:after="0"/>
              <w:rPr>
                <w:sz w:val="20"/>
                <w:szCs w:val="20"/>
                <w:color w:val="auto"/>
              </w:rPr>
            </w:pPr>
            <w:r>
              <w:rPr>
                <w:rFonts w:ascii="Arial" w:cs="Arial" w:eastAsia="Arial" w:hAnsi="Arial"/>
                <w:sz w:val="16"/>
                <w:szCs w:val="16"/>
                <w:color w:val="auto"/>
              </w:rPr>
              <w:t>Adjusted EBITDA Margin</w:t>
            </w:r>
          </w:p>
        </w:tc>
        <w:tc>
          <w:tcPr>
            <w:tcW w:w="1160" w:type="dxa"/>
            <w:vAlign w:val="bottom"/>
            <w:tcBorders>
              <w:top w:val="single" w:sz="8" w:color="A6A6A6"/>
              <w:bottom w:val="single" w:sz="8" w:color="F2F2F2"/>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42.1%</w:t>
            </w:r>
          </w:p>
        </w:tc>
        <w:tc>
          <w:tcPr>
            <w:tcW w:w="1580" w:type="dxa"/>
            <w:vAlign w:val="bottom"/>
            <w:tcBorders>
              <w:top w:val="single" w:sz="8" w:color="A6A6A6"/>
              <w:bottom w:val="single" w:sz="8" w:color="F2F2F2"/>
              <w:right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~43%</w:t>
            </w:r>
          </w:p>
        </w:tc>
        <w:tc>
          <w:tcPr>
            <w:tcW w:w="1620" w:type="dxa"/>
            <w:vAlign w:val="bottom"/>
            <w:tcBorders>
              <w:top w:val="single" w:sz="8" w:color="A6A6A6"/>
              <w:bottom w:val="single" w:sz="8" w:color="F8EADD"/>
              <w:right w:val="single" w:sz="8" w:color="A6A6A6"/>
            </w:tcBorders>
            <w:shd w:val="clear" w:color="auto" w:fill="F8EADD"/>
          </w:tcPr>
          <w:p>
            <w:pPr>
              <w:ind w:left="44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27"/>
        </w:trPr>
        <w:tc>
          <w:tcPr>
            <w:tcW w:w="6680" w:type="dxa"/>
            <w:vAlign w:val="bottom"/>
            <w:tcBorders>
              <w:left w:val="single" w:sz="8" w:color="A6A6A6"/>
              <w:right w:val="single" w:sz="8" w:color="A6A6A6"/>
            </w:tcBorders>
            <w:shd w:val="clear" w:color="auto" w:fill="A6A6A6"/>
          </w:tcPr>
          <w:p>
            <w:pPr>
              <w:spacing w:after="0"/>
              <w:rPr>
                <w:sz w:val="2"/>
                <w:szCs w:val="2"/>
                <w:color w:val="auto"/>
              </w:rPr>
            </w:pPr>
          </w:p>
        </w:tc>
        <w:tc>
          <w:tcPr>
            <w:tcW w:w="1160" w:type="dxa"/>
            <w:vAlign w:val="bottom"/>
            <w:tcBorders>
              <w:right w:val="single" w:sz="8" w:color="A6A6A6"/>
            </w:tcBorders>
            <w:shd w:val="clear" w:color="auto" w:fill="A6A6A6"/>
          </w:tcPr>
          <w:p>
            <w:pPr>
              <w:spacing w:after="0"/>
              <w:rPr>
                <w:sz w:val="2"/>
                <w:szCs w:val="2"/>
                <w:color w:val="auto"/>
              </w:rPr>
            </w:pPr>
          </w:p>
        </w:tc>
        <w:tc>
          <w:tcPr>
            <w:tcW w:w="1580" w:type="dxa"/>
            <w:vAlign w:val="bottom"/>
            <w:tcBorders>
              <w:right w:val="single" w:sz="8" w:color="A6A6A6"/>
            </w:tcBorders>
            <w:shd w:val="clear" w:color="auto" w:fill="A6A6A6"/>
          </w:tcPr>
          <w:p>
            <w:pPr>
              <w:spacing w:after="0"/>
              <w:rPr>
                <w:sz w:val="2"/>
                <w:szCs w:val="2"/>
                <w:color w:val="auto"/>
              </w:rPr>
            </w:pPr>
          </w:p>
        </w:tc>
        <w:tc>
          <w:tcPr>
            <w:tcW w:w="1620" w:type="dxa"/>
            <w:vAlign w:val="bottom"/>
            <w:tcBorders>
              <w:right w:val="single" w:sz="8" w:color="A6A6A6"/>
            </w:tcBorders>
            <w:shd w:val="clear" w:color="auto" w:fill="A6A6A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440" w:right="340" w:hanging="424"/>
        <w:spacing w:after="0" w:line="251" w:lineRule="auto"/>
        <w:tabs>
          <w:tab w:leader="none" w:pos="4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Non-IFRS financial measures. See the “Non-IFRS Financial Measures” section below as well as the tables and footnotes appended to this news release for more information.</w:t>
      </w:r>
    </w:p>
    <w:p>
      <w:pPr>
        <w:spacing w:after="0" w:line="1" w:lineRule="exact"/>
        <w:rPr>
          <w:rFonts w:ascii="Arial" w:cs="Arial" w:eastAsia="Arial" w:hAnsi="Arial"/>
          <w:sz w:val="14"/>
          <w:szCs w:val="14"/>
          <w:color w:val="auto"/>
        </w:rPr>
      </w:pPr>
    </w:p>
    <w:p>
      <w:pPr>
        <w:ind w:left="440" w:hanging="424"/>
        <w:spacing w:after="0"/>
        <w:tabs>
          <w:tab w:leader="none" w:pos="4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Total revenue growth reflects the impact of the disposals of FindLaw and other non-core businesses in December 2024.</w:t>
      </w:r>
    </w:p>
    <w:p>
      <w:pPr>
        <w:spacing w:after="0" w:line="303" w:lineRule="exact"/>
        <w:rPr>
          <w:sz w:val="20"/>
          <w:szCs w:val="20"/>
          <w:color w:val="auto"/>
        </w:rPr>
      </w:pPr>
    </w:p>
    <w:p>
      <w:pPr>
        <w:ind w:left="20" w:right="60"/>
        <w:spacing w:after="0" w:line="249" w:lineRule="auto"/>
        <w:rPr>
          <w:sz w:val="20"/>
          <w:szCs w:val="20"/>
          <w:color w:val="auto"/>
        </w:rPr>
      </w:pPr>
      <w:r>
        <w:rPr>
          <w:rFonts w:ascii="Arial" w:cs="Arial" w:eastAsia="Arial" w:hAnsi="Arial"/>
          <w:sz w:val="18"/>
          <w:szCs w:val="18"/>
          <w:b w:val="1"/>
          <w:bCs w:val="1"/>
          <w:i w:val="1"/>
          <w:iCs w:val="1"/>
          <w:color w:val="auto"/>
        </w:rPr>
        <w:t>The information in this section is forward-looking. Actual results, which will include the impact of currency and future acquisitions and dispositions completed during 2025, may differ materially from the company’s 2025 outlook. The information in this section should also be read in conjunction with the section below entitled “Special Note Regarding Forward-Looking Statements, Material Risks and Material Assumptions.”</w:t>
      </w:r>
    </w:p>
    <w:p>
      <w:pPr>
        <w:sectPr>
          <w:pgSz w:w="11900" w:h="16838" w:orient="portrait"/>
          <w:cols w:equalWidth="0" w:num="1">
            <w:col w:w="11040"/>
          </w:cols>
          <w:pgMar w:left="420" w:top="1201"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025"/>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10 of 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Repayment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May 2025, the company repaid its Canadian $1.4 billion (U.S. $1.0 billion) 2.239% notes upon maturity with cash on hand.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 and Common Shares Outstanding</w:t>
      </w:r>
    </w:p>
    <w:p>
      <w:pPr>
        <w:spacing w:after="0" w:line="104"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In February 2025, the company announced a 10% or $0.22 per share annualized increase in the dividend to $2.38 per common share, representing the 32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consecutive year of dividend increases and the fourth consecutive 10% increase. A quarterly dividend of $0.595 per share is payable on September 10, 2025 to common shareholders of record as of August 19, 2025.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As of August 4, 2025, Thomson Reuters had approximately 450.7 million common shares outstanding.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Thomson Reuters</w:t>
      </w:r>
    </w:p>
    <w:p>
      <w:pPr>
        <w:spacing w:after="0" w:line="104"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color w:val="auto"/>
        </w:rPr>
        <w:t xml:space="preserve">Thomson Reuters (TSX/Nasdaq: TRI) informs the way forward by bringing together the trusted content and technology that people and organizations need to make the right decisions. The company serves professionals across legal, tax, audit, accounting, compliance, government, and media. Its products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 For more information, visit </w:t>
      </w:r>
      <w:r>
        <w:rPr>
          <w:rFonts w:ascii="Arial" w:cs="Arial" w:eastAsia="Arial" w:hAnsi="Arial"/>
          <w:sz w:val="17"/>
          <w:szCs w:val="17"/>
          <w:u w:val="single" w:color="auto"/>
          <w:color w:val="auto"/>
        </w:rPr>
        <w:t>tr.com</w:t>
      </w:r>
      <w:r>
        <w:rPr>
          <w:rFonts w:ascii="Arial" w:cs="Arial" w:eastAsia="Arial" w:hAnsi="Arial"/>
          <w:sz w:val="17"/>
          <w:szCs w:val="17"/>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106"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i w:val="1"/>
          <w:iCs w:val="1"/>
          <w:color w:val="auto"/>
        </w:rPr>
        <w:t>Thomson Reuters prepares its financial statements in accordance with International Financial Reporting Standards (IFRS), as issued by the International Accounting Standards Board (IASB).</w:t>
      </w:r>
    </w:p>
    <w:p>
      <w:pPr>
        <w:spacing w:after="0" w:line="157" w:lineRule="exact"/>
        <w:rPr>
          <w:sz w:val="20"/>
          <w:szCs w:val="20"/>
          <w:color w:val="auto"/>
        </w:rPr>
      </w:pPr>
    </w:p>
    <w:p>
      <w:pPr>
        <w:spacing w:after="0" w:line="243" w:lineRule="auto"/>
        <w:rPr>
          <w:sz w:val="20"/>
          <w:szCs w:val="20"/>
          <w:color w:val="auto"/>
        </w:rPr>
      </w:pPr>
      <w:r>
        <w:rPr>
          <w:rFonts w:ascii="Arial" w:cs="Arial" w:eastAsia="Arial" w:hAnsi="Arial"/>
          <w:sz w:val="18"/>
          <w:szCs w:val="18"/>
          <w:i w:val="1"/>
          <w:iCs w:val="1"/>
          <w:color w:val="auto"/>
        </w:rPr>
        <w:t>This news release includes certain non-IFRS financial measures, which include ratios that incorporate one or more non-IFRS financial measures, such as adjusted EBITDA (other than at the customer segment level) and the related margin, free cash flow, adjusted earnings and the effective tax rate on adjusted earnings, adjusted EPS, accrued capital expenditures expressed as a percentage of revenues, net debt and leverage ratio of net debt to adjusted EBITDA, selected measures excluding the impact of foreign currency, changes in revenues computed on an organic basis as well as all financial measures for the “Big 3” segments.</w:t>
      </w:r>
    </w:p>
    <w:p>
      <w:pPr>
        <w:spacing w:after="0" w:line="18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i w:val="1"/>
          <w:iCs w:val="1"/>
          <w:color w:val="auto"/>
        </w:rPr>
        <w:t>Thomson Reuters uses these non-IFRS financial measures as supplemental indicators of its operating performance and financial position as well as for internal planning purposes and the company’s business outlook. Additionally, Thomson Reuters uses non-IFRS measures as the basis for management incentive programs. These measures do not have any standardized meanings prescribed by IFRS and therefore are unlikely to be comparable to the calculation of similar measures used by other companies and should not be viewed as alternatives to measures of financial performance calculated in accordance with IFRS. Non-IFRS financial measures are defined and reconciled to the most directly comparable IFRS measures in the appended tables.</w:t>
      </w:r>
    </w:p>
    <w:p>
      <w:pPr>
        <w:sectPr>
          <w:pgSz w:w="11900" w:h="16838" w:orient="portrait"/>
          <w:cols w:equalWidth="0" w:num="1">
            <w:col w:w="10960"/>
          </w:cols>
          <w:pgMar w:left="440" w:top="1201" w:right="4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025"/>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11 of 24</w:t>
      </w:r>
    </w:p>
    <w:p>
      <w:pPr>
        <w:spacing w:after="0" w:line="22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i w:val="1"/>
          <w:iCs w:val="1"/>
          <w:color w:val="auto"/>
        </w:rPr>
        <w:t>The company’s outlook contains various non-IFRS financial measures. The company believes that providing reconciliations of forward-looking non-IFRS financial measures in its outlook would be potentially misleading and not practical due to the difficulty of projecting items that are not reflective of ongoing operations in any future period. The magnitude of these items may be significant. Consequently, for purposes of its outlook only, the company is unable to reconcile these non-IFRS measures to the most directly comparable IFRS measures because it cannot predict, with reasonable certainty, the impacts of changes in foreign exchange rates which impact (i) the translation of its results reported at average foreign currency rates for the year, and (ii) other finance income or expense related to intercompany financing arrangements. Additionally, the company cannot reasonably predict the occurrence or amount of other operating gains and losses that generally arise from business transactions that the company does not currently anticipate.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ROUNDING</w:t>
      </w:r>
    </w:p>
    <w:p>
      <w:pPr>
        <w:spacing w:after="0" w:line="10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i w:val="1"/>
          <w:iCs w:val="1"/>
          <w:color w:val="auto"/>
        </w:rPr>
        <w:t>Other than EPS, the company reports its results in millions of U.S. dollars, but computes percentage changes and margins using whole dollars to be more precise. As a result, percentages and margins calculated from reported amounts may differ from those presented, and growth components may not total due to rounding.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 MATERIAL RISKS AND MATERIAL ASSUMPTIONS</w:t>
      </w:r>
    </w:p>
    <w:p>
      <w:pPr>
        <w:spacing w:after="0" w:line="106" w:lineRule="exact"/>
        <w:rPr>
          <w:sz w:val="20"/>
          <w:szCs w:val="20"/>
          <w:color w:val="auto"/>
        </w:rPr>
      </w:pPr>
    </w:p>
    <w:p>
      <w:pPr>
        <w:ind w:right="20"/>
        <w:spacing w:after="0"/>
        <w:rPr>
          <w:sz w:val="20"/>
          <w:szCs w:val="20"/>
          <w:color w:val="auto"/>
        </w:rPr>
      </w:pPr>
      <w:r>
        <w:rPr>
          <w:rFonts w:ascii="Arial" w:cs="Arial" w:eastAsia="Arial" w:hAnsi="Arial"/>
          <w:sz w:val="18"/>
          <w:szCs w:val="18"/>
          <w:i w:val="1"/>
          <w:iCs w:val="1"/>
          <w:color w:val="auto"/>
        </w:rPr>
        <w:t>Certain statements in this news release, including, but not limited to, statements in Mr. Hasker’s comments and the “2025 Outlook” section are forward-looking. The words “will”, “expect”, “believe”, “target”, “estimate”, “could”, “should”, “intend”, “predict”, “project” and similar expressions identify forward-looking statements. While the company believes that it has a reasonable basis for making forward-looking statements in this news release, they are not a guarantee of future performance or outcomes and there is no assurance that any of the other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the company’s control and the effects of them can be difficult to predict.</w:t>
      </w:r>
    </w:p>
    <w:p>
      <w:pPr>
        <w:spacing w:after="0" w:line="185"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i w:val="1"/>
          <w:iCs w:val="1"/>
          <w:color w:val="auto"/>
        </w:rPr>
        <w:t xml:space="preserve">Some of the material risk factors that could cause actual results or events to differ materially from those expressed in or implied by forward-looking statements in this news release include, but are not limited to, those discussed on pages 16-27 in the “Risk Factors” section of the company’s 2024 annual report. These and other risk factors are discussed in materials that Thomson Reuters from time-to-time files with, or furnishes to, the Canadian securities regulatory authorities and the U.S. Securities and Exchange Commission (SEC). Thomson Reuters’ annual and quarterly reports are also available in the “Investor Relations” section of </w:t>
      </w:r>
      <w:r>
        <w:rPr>
          <w:rFonts w:ascii="Arial" w:cs="Arial" w:eastAsia="Arial" w:hAnsi="Arial"/>
          <w:sz w:val="18"/>
          <w:szCs w:val="18"/>
          <w:u w:val="single" w:color="auto"/>
          <w:color w:val="auto"/>
        </w:rPr>
        <w:t>tr.com</w:t>
      </w:r>
      <w:r>
        <w:rPr>
          <w:rFonts w:ascii="Arial" w:cs="Arial" w:eastAsia="Arial" w:hAnsi="Arial"/>
          <w:sz w:val="18"/>
          <w:szCs w:val="18"/>
          <w:i w:val="1"/>
          <w:iCs w:val="1"/>
          <w:color w:val="auto"/>
        </w:rPr>
        <w:t>.</w:t>
      </w:r>
    </w:p>
    <w:p>
      <w:pPr>
        <w:spacing w:after="0" w:line="181"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 xml:space="preserve">The company’s business outlook is based on information currently available to the company and is based on various external and internal assumptions made by the company in light of its experience and perception of historical trends, current conditions and expected future developments, as well as other factors that the company believes are appropriate under the circumstances. Material assumptions and material risks may cause actual performance to differ from the company’s expectations underlying its business outlook. In particular, the global economy has experienced substantial disruption due to concerns regarding economic effects associated with the macroeconomic backdrop and ongoing geopolitical risks. The company’s business outlook assumes that uncertain macroeconomic and geopolitical conditions will continue to disrupt the economy and cause periods of volatility, however, these conditions may last substantially longer than expected and any worsening of the global economic or business environment could impact the company’s ability to achieve its outlook and affect its results and other expectations. For a discussion of material assumptions and material risks related to the company’s 2025 outlook see pages 16-17 of the company’s first-quarter management’s discussion and analysis (MD&amp;A) for the period ended March 31, 2025. The company’s quarterly MD&amp;A and annual report was filed with, or furnished to, the Canadian securities regulatory authorities and the U.S. SEC and are also available in the “Investor Relations” section of </w:t>
      </w:r>
      <w:r>
        <w:rPr>
          <w:rFonts w:ascii="Arial" w:cs="Arial" w:eastAsia="Arial" w:hAnsi="Arial"/>
          <w:sz w:val="18"/>
          <w:szCs w:val="18"/>
          <w:u w:val="single" w:color="auto"/>
          <w:color w:val="auto"/>
        </w:rPr>
        <w:t>tr.com</w:t>
      </w:r>
      <w:r>
        <w:rPr>
          <w:rFonts w:ascii="Arial" w:cs="Arial" w:eastAsia="Arial" w:hAnsi="Arial"/>
          <w:sz w:val="18"/>
          <w:szCs w:val="18"/>
          <w:color w:val="auto"/>
        </w:rPr>
        <w:t>.</w:t>
      </w:r>
    </w:p>
    <w:p>
      <w:pPr>
        <w:spacing w:after="0" w:line="18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i w:val="1"/>
          <w:iCs w:val="1"/>
          <w:color w:val="auto"/>
        </w:rPr>
        <w:t>The company has provided an outlook for the purpose of presenting information about current expectations for the period presented. This information may not be appropriate for other purposes. You are cautioned not to place undue reliance on forward-looking statements which reflect expectations only as of the date of this news release.</w:t>
      </w:r>
    </w:p>
    <w:p>
      <w:pPr>
        <w:spacing w:after="0" w:line="171" w:lineRule="exact"/>
        <w:rPr>
          <w:sz w:val="20"/>
          <w:szCs w:val="20"/>
          <w:color w:val="auto"/>
        </w:rPr>
      </w:pPr>
    </w:p>
    <w:p>
      <w:pPr>
        <w:ind w:right="820"/>
        <w:spacing w:after="0" w:line="269" w:lineRule="auto"/>
        <w:rPr>
          <w:sz w:val="20"/>
          <w:szCs w:val="20"/>
          <w:color w:val="auto"/>
        </w:rPr>
      </w:pPr>
      <w:r>
        <w:rPr>
          <w:rFonts w:ascii="Arial" w:cs="Arial" w:eastAsia="Arial" w:hAnsi="Arial"/>
          <w:sz w:val="18"/>
          <w:szCs w:val="18"/>
          <w:i w:val="1"/>
          <w:iCs w:val="1"/>
          <w:color w:val="auto"/>
        </w:rPr>
        <w:t>Except as may be required by applicable law, Thomson Reuters disclaims any obligation to update or revise any forward-looking statements.</w:t>
      </w:r>
    </w:p>
    <w:p>
      <w:pPr>
        <w:sectPr>
          <w:pgSz w:w="11900" w:h="16838" w:orient="portrait"/>
          <w:cols w:equalWidth="0" w:num="1">
            <w:col w:w="11000"/>
          </w:cols>
          <w:pgMar w:left="440" w:top="1201"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025"/>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12 of 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gridSpan w:val="2"/>
          </w:tcPr>
          <w:p>
            <w:pPr>
              <w:spacing w:after="0"/>
              <w:rPr>
                <w:sz w:val="20"/>
                <w:szCs w:val="20"/>
                <w:color w:val="auto"/>
              </w:rPr>
            </w:pPr>
            <w:r>
              <w:rPr>
                <w:rFonts w:ascii="Arial" w:cs="Arial" w:eastAsia="Arial" w:hAnsi="Arial"/>
                <w:sz w:val="18"/>
                <w:szCs w:val="18"/>
                <w:color w:val="auto"/>
              </w:rPr>
              <w:t>MEDIA</w:t>
            </w:r>
          </w:p>
        </w:tc>
        <w:tc>
          <w:tcPr>
            <w:tcW w:w="3680" w:type="dxa"/>
            <w:vAlign w:val="bottom"/>
            <w:gridSpan w:val="3"/>
          </w:tcPr>
          <w:p>
            <w:pPr>
              <w:ind w:left="1560"/>
              <w:spacing w:after="0"/>
              <w:rPr>
                <w:sz w:val="20"/>
                <w:szCs w:val="20"/>
                <w:color w:val="auto"/>
              </w:rPr>
            </w:pPr>
            <w:r>
              <w:rPr>
                <w:rFonts w:ascii="Arial" w:cs="Arial" w:eastAsia="Arial" w:hAnsi="Arial"/>
                <w:sz w:val="18"/>
                <w:szCs w:val="18"/>
                <w:color w:val="auto"/>
              </w:rPr>
              <w:t>INVESTORS</w:t>
            </w:r>
          </w:p>
        </w:tc>
      </w:tr>
      <w:tr>
        <w:trPr>
          <w:trHeight w:val="203"/>
        </w:trPr>
        <w:tc>
          <w:tcPr>
            <w:tcW w:w="4180" w:type="dxa"/>
            <w:vAlign w:val="bottom"/>
            <w:gridSpan w:val="2"/>
          </w:tcPr>
          <w:p>
            <w:pPr>
              <w:spacing w:after="0" w:line="202" w:lineRule="exact"/>
              <w:rPr>
                <w:sz w:val="20"/>
                <w:szCs w:val="20"/>
                <w:color w:val="auto"/>
              </w:rPr>
            </w:pPr>
            <w:r>
              <w:rPr>
                <w:rFonts w:ascii="Arial" w:cs="Arial" w:eastAsia="Arial" w:hAnsi="Arial"/>
                <w:sz w:val="18"/>
                <w:szCs w:val="18"/>
                <w:color w:val="auto"/>
              </w:rPr>
              <w:t>Gehna Singh Kareckas</w:t>
            </w:r>
          </w:p>
        </w:tc>
        <w:tc>
          <w:tcPr>
            <w:tcW w:w="3680" w:type="dxa"/>
            <w:vAlign w:val="bottom"/>
            <w:gridSpan w:val="3"/>
          </w:tcPr>
          <w:p>
            <w:pPr>
              <w:ind w:left="1560"/>
              <w:spacing w:after="0" w:line="202" w:lineRule="exact"/>
              <w:rPr>
                <w:sz w:val="20"/>
                <w:szCs w:val="20"/>
                <w:color w:val="auto"/>
              </w:rPr>
            </w:pPr>
            <w:r>
              <w:rPr>
                <w:rFonts w:ascii="Arial" w:cs="Arial" w:eastAsia="Arial" w:hAnsi="Arial"/>
                <w:sz w:val="18"/>
                <w:szCs w:val="18"/>
                <w:color w:val="auto"/>
              </w:rPr>
              <w:t>Gary Bisbee, CFA</w:t>
            </w:r>
          </w:p>
        </w:tc>
      </w:tr>
      <w:tr>
        <w:trPr>
          <w:trHeight w:val="203"/>
        </w:trPr>
        <w:tc>
          <w:tcPr>
            <w:tcW w:w="4180" w:type="dxa"/>
            <w:vAlign w:val="bottom"/>
            <w:gridSpan w:val="2"/>
          </w:tcPr>
          <w:p>
            <w:pPr>
              <w:spacing w:after="0" w:line="202" w:lineRule="exact"/>
              <w:rPr>
                <w:sz w:val="20"/>
                <w:szCs w:val="20"/>
                <w:color w:val="auto"/>
              </w:rPr>
            </w:pPr>
            <w:r>
              <w:rPr>
                <w:rFonts w:ascii="Arial" w:cs="Arial" w:eastAsia="Arial" w:hAnsi="Arial"/>
                <w:sz w:val="18"/>
                <w:szCs w:val="18"/>
                <w:color w:val="auto"/>
              </w:rPr>
              <w:t>Senior Director, Corporate Affairs</w:t>
            </w:r>
          </w:p>
        </w:tc>
        <w:tc>
          <w:tcPr>
            <w:tcW w:w="3680" w:type="dxa"/>
            <w:vAlign w:val="bottom"/>
            <w:gridSpan w:val="3"/>
          </w:tcPr>
          <w:p>
            <w:pPr>
              <w:ind w:left="1560"/>
              <w:spacing w:after="0" w:line="202" w:lineRule="exact"/>
              <w:rPr>
                <w:sz w:val="20"/>
                <w:szCs w:val="20"/>
                <w:color w:val="auto"/>
              </w:rPr>
            </w:pPr>
            <w:r>
              <w:rPr>
                <w:rFonts w:ascii="Arial" w:cs="Arial" w:eastAsia="Arial" w:hAnsi="Arial"/>
                <w:sz w:val="18"/>
                <w:szCs w:val="18"/>
                <w:color w:val="auto"/>
                <w:w w:val="98"/>
              </w:rPr>
              <w:t>Head of Investor Relations</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+1 613 979 4272</w:t>
            </w:r>
          </w:p>
        </w:tc>
        <w:tc>
          <w:tcPr>
            <w:tcW w:w="1820" w:type="dxa"/>
            <w:vAlign w:val="bottom"/>
          </w:tcPr>
          <w:p>
            <w:pPr>
              <w:spacing w:after="0"/>
              <w:rPr>
                <w:sz w:val="17"/>
                <w:szCs w:val="17"/>
                <w:color w:val="auto"/>
              </w:rPr>
            </w:pPr>
          </w:p>
        </w:tc>
        <w:tc>
          <w:tcPr>
            <w:tcW w:w="3140" w:type="dxa"/>
            <w:vAlign w:val="bottom"/>
            <w:gridSpan w:val="2"/>
          </w:tcPr>
          <w:p>
            <w:pPr>
              <w:ind w:left="1560"/>
              <w:spacing w:after="0" w:line="202" w:lineRule="exact"/>
              <w:rPr>
                <w:sz w:val="20"/>
                <w:szCs w:val="20"/>
                <w:color w:val="auto"/>
              </w:rPr>
            </w:pPr>
            <w:r>
              <w:rPr>
                <w:rFonts w:ascii="Arial" w:cs="Arial" w:eastAsia="Arial" w:hAnsi="Arial"/>
                <w:sz w:val="18"/>
                <w:szCs w:val="18"/>
                <w:color w:val="auto"/>
              </w:rPr>
              <w:t>+1 646 540 3249</w:t>
            </w:r>
          </w:p>
        </w:tc>
        <w:tc>
          <w:tcPr>
            <w:tcW w:w="540" w:type="dxa"/>
            <w:vAlign w:val="bottom"/>
          </w:tcPr>
          <w:p>
            <w:pPr>
              <w:spacing w:after="0"/>
              <w:rPr>
                <w:sz w:val="17"/>
                <w:szCs w:val="17"/>
                <w:color w:val="auto"/>
              </w:rPr>
            </w:pPr>
          </w:p>
        </w:tc>
      </w:tr>
      <w:tr>
        <w:trPr>
          <w:trHeight w:val="194"/>
        </w:trPr>
        <w:tc>
          <w:tcPr>
            <w:tcW w:w="4180" w:type="dxa"/>
            <w:vAlign w:val="bottom"/>
            <w:gridSpan w:val="2"/>
          </w:tcPr>
          <w:p>
            <w:pPr>
              <w:spacing w:after="0" w:line="195" w:lineRule="exact"/>
              <w:rPr>
                <w:sz w:val="20"/>
                <w:szCs w:val="20"/>
                <w:color w:val="auto"/>
              </w:rPr>
            </w:pPr>
            <w:r>
              <w:rPr>
                <w:rFonts w:ascii="Arial" w:cs="Arial" w:eastAsia="Arial" w:hAnsi="Arial"/>
                <w:sz w:val="18"/>
                <w:szCs w:val="18"/>
                <w:color w:val="auto"/>
              </w:rPr>
              <w:t>gehna.singhkareckas@tr.com</w:t>
            </w:r>
          </w:p>
        </w:tc>
        <w:tc>
          <w:tcPr>
            <w:tcW w:w="3680" w:type="dxa"/>
            <w:vAlign w:val="bottom"/>
            <w:gridSpan w:val="3"/>
          </w:tcPr>
          <w:p>
            <w:pPr>
              <w:ind w:left="1560"/>
              <w:spacing w:after="0" w:line="195" w:lineRule="exact"/>
              <w:rPr>
                <w:sz w:val="20"/>
                <w:szCs w:val="20"/>
                <w:color w:val="auto"/>
              </w:rPr>
            </w:pPr>
            <w:r>
              <w:rPr>
                <w:rFonts w:ascii="Arial" w:cs="Arial" w:eastAsia="Arial" w:hAnsi="Arial"/>
                <w:sz w:val="18"/>
                <w:szCs w:val="18"/>
                <w:color w:val="auto"/>
              </w:rPr>
              <w:t>gary.bisbee@tr.com</w:t>
            </w:r>
          </w:p>
        </w:tc>
      </w:tr>
      <w:tr>
        <w:trPr>
          <w:trHeight w:val="20"/>
        </w:trPr>
        <w:tc>
          <w:tcPr>
            <w:tcW w:w="23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332"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 xml:space="preserve">Thomson Reuters will webcast a discussion of its second-quarter 2025 results and its 2025 business outlook today beginning at 8:30 a.m. Eastern Daylight Time (EDT). You can access the webcast by visiting </w:t>
      </w:r>
      <w:r>
        <w:rPr>
          <w:rFonts w:ascii="Arial" w:cs="Arial" w:eastAsia="Arial" w:hAnsi="Arial"/>
          <w:sz w:val="18"/>
          <w:szCs w:val="18"/>
          <w:b w:val="1"/>
          <w:bCs w:val="1"/>
          <w:u w:val="single" w:color="auto"/>
          <w:color w:val="auto"/>
        </w:rPr>
        <w:t>ir.tr.com</w:t>
      </w:r>
      <w:r>
        <w:rPr>
          <w:rFonts w:ascii="Arial" w:cs="Arial" w:eastAsia="Arial" w:hAnsi="Arial"/>
          <w:sz w:val="18"/>
          <w:szCs w:val="18"/>
          <w:b w:val="1"/>
          <w:bCs w:val="1"/>
          <w:color w:val="auto"/>
        </w:rPr>
        <w:t>. An archive of the webcast will be available following the presentation.</w:t>
      </w:r>
    </w:p>
    <w:p>
      <w:pPr>
        <w:sectPr>
          <w:pgSz w:w="11900" w:h="16838" w:orient="portrait"/>
          <w:cols w:equalWidth="0" w:num="1">
            <w:col w:w="10960"/>
          </w:cols>
          <w:pgMar w:left="440" w:top="1201" w:right="4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025"/>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13 of 24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(millions of U.S. dollars,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June 30,</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2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CONTINUING OPERATIONS</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28"/>
              <w:spacing w:after="0" w:line="202" w:lineRule="exact"/>
              <w:rPr>
                <w:sz w:val="20"/>
                <w:szCs w:val="20"/>
                <w:color w:val="auto"/>
              </w:rPr>
            </w:pPr>
            <w:r>
              <w:rPr>
                <w:rFonts w:ascii="Arial" w:cs="Arial" w:eastAsia="Arial" w:hAnsi="Arial"/>
                <w:sz w:val="18"/>
                <w:szCs w:val="18"/>
                <w:color w:val="auto"/>
              </w:rPr>
              <w:t>1,785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1,740</w:t>
            </w: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48"/>
              <w:spacing w:after="0" w:line="202" w:lineRule="exact"/>
              <w:rPr>
                <w:sz w:val="20"/>
                <w:szCs w:val="20"/>
                <w:color w:val="auto"/>
              </w:rPr>
            </w:pPr>
            <w:r>
              <w:rPr>
                <w:rFonts w:ascii="Arial" w:cs="Arial" w:eastAsia="Arial" w:hAnsi="Arial"/>
                <w:sz w:val="18"/>
                <w:szCs w:val="18"/>
                <w:color w:val="auto"/>
              </w:rPr>
              <w:t>3,685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468"/>
              <w:spacing w:after="0" w:line="202" w:lineRule="exact"/>
              <w:rPr>
                <w:sz w:val="20"/>
                <w:szCs w:val="20"/>
                <w:color w:val="auto"/>
              </w:rPr>
            </w:pPr>
            <w:r>
              <w:rPr>
                <w:rFonts w:ascii="Arial" w:cs="Arial" w:eastAsia="Arial" w:hAnsi="Arial"/>
                <w:sz w:val="18"/>
                <w:szCs w:val="18"/>
                <w:color w:val="auto"/>
              </w:rPr>
              <w:t>(1,124)</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(1,090)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color w:val="auto"/>
              </w:rPr>
              <w:t>(2,232)</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468"/>
              <w:spacing w:after="0" w:line="202"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488"/>
              <w:spacing w:after="0" w:line="202" w:lineRule="exact"/>
              <w:rPr>
                <w:sz w:val="20"/>
                <w:szCs w:val="20"/>
                <w:color w:val="auto"/>
              </w:rPr>
            </w:pPr>
            <w:r>
              <w:rPr>
                <w:rFonts w:ascii="Arial" w:cs="Arial" w:eastAsia="Arial" w:hAnsi="Arial"/>
                <w:sz w:val="18"/>
                <w:szCs w:val="18"/>
                <w:color w:val="auto"/>
              </w:rPr>
              <w:t>(55)</w:t>
            </w:r>
          </w:p>
        </w:tc>
        <w:tc>
          <w:tcPr>
            <w:tcW w:w="1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computer software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468"/>
              <w:spacing w:after="0" w:line="202" w:lineRule="exact"/>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468"/>
              <w:spacing w:after="0" w:line="202"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488"/>
              <w:spacing w:after="0" w:line="202" w:lineRule="exact"/>
              <w:rPr>
                <w:sz w:val="20"/>
                <w:szCs w:val="20"/>
                <w:color w:val="auto"/>
              </w:rPr>
            </w:pPr>
            <w:r>
              <w:rPr>
                <w:rFonts w:ascii="Arial" w:cs="Arial" w:eastAsia="Arial" w:hAnsi="Arial"/>
                <w:sz w:val="18"/>
                <w:szCs w:val="18"/>
                <w:color w:val="auto"/>
              </w:rPr>
              <w:t>(49)</w:t>
            </w:r>
          </w:p>
        </w:tc>
        <w:tc>
          <w:tcPr>
            <w:tcW w:w="1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operating gains (losses), net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costs, net: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360"/>
              <w:spacing w:after="0" w:line="202" w:lineRule="exact"/>
              <w:rPr>
                <w:sz w:val="20"/>
                <w:szCs w:val="20"/>
                <w:color w:val="auto"/>
              </w:rPr>
            </w:pPr>
            <w:r>
              <w:rPr>
                <w:rFonts w:ascii="Arial" w:cs="Arial" w:eastAsia="Arial" w:hAnsi="Arial"/>
                <w:sz w:val="18"/>
                <w:szCs w:val="18"/>
                <w:color w:val="auto"/>
              </w:rPr>
              <w:t>Net interest expense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468"/>
              <w:spacing w:after="0" w:line="202" w:lineRule="exact"/>
              <w:rPr>
                <w:sz w:val="20"/>
                <w:szCs w:val="20"/>
                <w:color w:val="auto"/>
              </w:rPr>
            </w:pPr>
            <w:r>
              <w:rPr>
                <w:rFonts w:ascii="Arial" w:cs="Arial" w:eastAsia="Arial" w:hAnsi="Arial"/>
                <w:sz w:val="18"/>
                <w:szCs w:val="18"/>
                <w:color w:val="auto"/>
              </w:rPr>
              <w:t>(35)</w:t>
            </w:r>
          </w:p>
        </w:tc>
        <w:tc>
          <w:tcPr>
            <w:tcW w:w="120" w:type="dxa"/>
            <w:vAlign w:val="bottom"/>
          </w:tcPr>
          <w:p>
            <w:pPr>
              <w:spacing w:after="0"/>
              <w:rPr>
                <w:sz w:val="17"/>
                <w:szCs w:val="17"/>
                <w:color w:val="auto"/>
              </w:rPr>
            </w:pP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488"/>
              <w:spacing w:after="0" w:line="202" w:lineRule="exact"/>
              <w:rPr>
                <w:sz w:val="20"/>
                <w:szCs w:val="20"/>
                <w:color w:val="auto"/>
              </w:rPr>
            </w:pPr>
            <w:r>
              <w:rPr>
                <w:rFonts w:ascii="Arial" w:cs="Arial" w:eastAsia="Arial" w:hAnsi="Arial"/>
                <w:sz w:val="18"/>
                <w:szCs w:val="18"/>
                <w:color w:val="auto"/>
              </w:rPr>
              <w:t>(65)</w:t>
            </w:r>
          </w:p>
        </w:tc>
        <w:tc>
          <w:tcPr>
            <w:tcW w:w="1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finance (costs) income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468"/>
              <w:spacing w:after="0" w:line="202" w:lineRule="exact"/>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20"/>
                <w:szCs w:val="20"/>
                <w:color w:val="auto"/>
              </w:rPr>
            </w:pPr>
            <w:r>
              <w:rPr>
                <w:rFonts w:ascii="Arial" w:cs="Arial" w:eastAsia="Arial" w:hAnsi="Arial"/>
                <w:sz w:val="18"/>
                <w:szCs w:val="18"/>
                <w:color w:val="auto"/>
              </w:rPr>
              <w:t>Income before tax and equity method investments</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2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Share of post-tax (losses) earnings in equity</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method investments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Tax (expense) benefit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468"/>
              <w:spacing w:after="0" w:line="202" w:lineRule="exact"/>
              <w:rPr>
                <w:sz w:val="20"/>
                <w:szCs w:val="20"/>
                <w:color w:val="auto"/>
              </w:rPr>
            </w:pPr>
            <w:r>
              <w:rPr>
                <w:rFonts w:ascii="Arial" w:cs="Arial" w:eastAsia="Arial" w:hAnsi="Arial"/>
                <w:sz w:val="18"/>
                <w:szCs w:val="18"/>
                <w:color w:val="auto"/>
              </w:rPr>
              <w:t>(52)</w:t>
            </w:r>
          </w:p>
        </w:tc>
        <w:tc>
          <w:tcPr>
            <w:tcW w:w="12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402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488"/>
              <w:spacing w:after="0" w:line="202" w:lineRule="exact"/>
              <w:rPr>
                <w:sz w:val="20"/>
                <w:szCs w:val="20"/>
                <w:color w:val="auto"/>
              </w:rPr>
            </w:pPr>
            <w:r>
              <w:rPr>
                <w:rFonts w:ascii="Arial" w:cs="Arial" w:eastAsia="Arial" w:hAnsi="Arial"/>
                <w:sz w:val="18"/>
                <w:szCs w:val="18"/>
                <w:color w:val="auto"/>
              </w:rPr>
              <w:t>(144)</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Earnings from continuing operations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844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rPr>
              <w:t>722</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184"/>
        </w:trPr>
        <w:tc>
          <w:tcPr>
            <w:tcW w:w="4280" w:type="dxa"/>
            <w:vAlign w:val="bottom"/>
          </w:tcPr>
          <w:p>
            <w:pPr>
              <w:spacing w:after="0" w:line="183" w:lineRule="exact"/>
              <w:rPr>
                <w:sz w:val="20"/>
                <w:szCs w:val="20"/>
                <w:color w:val="auto"/>
              </w:rPr>
            </w:pPr>
            <w:r>
              <w:rPr>
                <w:rFonts w:ascii="Arial" w:cs="Arial" w:eastAsia="Arial" w:hAnsi="Arial"/>
                <w:sz w:val="18"/>
                <w:szCs w:val="18"/>
                <w:color w:val="auto"/>
              </w:rPr>
              <w:t>Earnings (loss) from discontinued operations, net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280" w:type="dxa"/>
            <w:vAlign w:val="bottom"/>
          </w:tcPr>
          <w:p>
            <w:pPr>
              <w:ind w:left="180"/>
              <w:spacing w:after="0"/>
              <w:rPr>
                <w:sz w:val="20"/>
                <w:szCs w:val="20"/>
                <w:color w:val="auto"/>
              </w:rPr>
            </w:pPr>
            <w:r>
              <w:rPr>
                <w:rFonts w:ascii="Arial" w:cs="Arial" w:eastAsia="Arial" w:hAnsi="Arial"/>
                <w:sz w:val="18"/>
                <w:szCs w:val="18"/>
                <w:color w:val="auto"/>
              </w:rPr>
              <w:t>of tax</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548"/>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841</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Earnings (loss) attributable to:</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shareholders</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841</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568"/>
              <w:spacing w:after="0" w:line="202" w:lineRule="exact"/>
              <w:rPr>
                <w:sz w:val="20"/>
                <w:szCs w:val="20"/>
                <w:color w:val="auto"/>
              </w:rPr>
            </w:pPr>
            <w:r>
              <w:rPr>
                <w:rFonts w:ascii="Arial" w:cs="Arial" w:eastAsia="Arial" w:hAnsi="Arial"/>
                <w:sz w:val="18"/>
                <w:szCs w:val="18"/>
                <w:color w:val="auto"/>
              </w:rPr>
              <w:t>— </w:t>
            </w:r>
          </w:p>
        </w:tc>
        <w:tc>
          <w:tcPr>
            <w:tcW w:w="120" w:type="dxa"/>
            <w:vAlign w:val="bottom"/>
          </w:tcPr>
          <w:p>
            <w:pPr>
              <w:spacing w:after="0"/>
              <w:rPr>
                <w:sz w:val="17"/>
                <w:szCs w:val="17"/>
                <w:color w:val="auto"/>
              </w:rPr>
            </w:pPr>
          </w:p>
        </w:tc>
        <w:tc>
          <w:tcPr>
            <w:tcW w:w="13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— </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588"/>
              <w:spacing w:after="0" w:line="202" w:lineRule="exact"/>
              <w:rPr>
                <w:sz w:val="20"/>
                <w:szCs w:val="20"/>
                <w:color w:val="auto"/>
              </w:rPr>
            </w:pPr>
            <w:r>
              <w:rPr>
                <w:rFonts w:ascii="Arial" w:cs="Arial" w:eastAsia="Arial" w:hAnsi="Arial"/>
                <w:sz w:val="18"/>
                <w:szCs w:val="18"/>
                <w:color w:val="auto"/>
              </w:rPr>
              <w:t>— </w:t>
            </w:r>
          </w:p>
        </w:tc>
        <w:tc>
          <w:tcPr>
            <w:tcW w:w="1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Earnings per share: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Basic earnings (loss) per share: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From continuing operations</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color w:val="auto"/>
              </w:rPr>
              <w:t>0.66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1.87</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3"/>
        </w:trPr>
        <w:tc>
          <w:tcPr>
            <w:tcW w:w="4280" w:type="dxa"/>
            <w:vAlign w:val="bottom"/>
          </w:tcPr>
          <w:p>
            <w:pPr>
              <w:ind w:left="360"/>
              <w:spacing w:after="0" w:line="202" w:lineRule="exact"/>
              <w:rPr>
                <w:sz w:val="20"/>
                <w:szCs w:val="20"/>
                <w:color w:val="auto"/>
              </w:rPr>
            </w:pPr>
            <w:r>
              <w:rPr>
                <w:rFonts w:ascii="Arial" w:cs="Arial" w:eastAsia="Arial" w:hAnsi="Arial"/>
                <w:sz w:val="18"/>
                <w:szCs w:val="18"/>
                <w:color w:val="auto"/>
              </w:rPr>
              <w:t>From discontinued operations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(0.01)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548"/>
              <w:spacing w:after="0" w:line="202" w:lineRule="exact"/>
              <w:rPr>
                <w:sz w:val="20"/>
                <w:szCs w:val="20"/>
                <w:color w:val="auto"/>
              </w:rPr>
            </w:pPr>
            <w:r>
              <w:rPr>
                <w:rFonts w:ascii="Arial" w:cs="Arial" w:eastAsia="Arial" w:hAnsi="Arial"/>
                <w:sz w:val="18"/>
                <w:szCs w:val="18"/>
                <w:color w:val="auto"/>
              </w:rPr>
              <w:t>0.05</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earnings per share</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color w:val="auto"/>
              </w:rPr>
              <w:t>0.69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1.86</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Diluted earnings (loss) per share:</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From continuing operations</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color w:val="auto"/>
              </w:rPr>
              <w:t>0.66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1.87</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3"/>
        </w:trPr>
        <w:tc>
          <w:tcPr>
            <w:tcW w:w="4280" w:type="dxa"/>
            <w:vAlign w:val="bottom"/>
          </w:tcPr>
          <w:p>
            <w:pPr>
              <w:ind w:left="360"/>
              <w:spacing w:after="0" w:line="202" w:lineRule="exact"/>
              <w:rPr>
                <w:sz w:val="20"/>
                <w:szCs w:val="20"/>
                <w:color w:val="auto"/>
              </w:rPr>
            </w:pPr>
            <w:r>
              <w:rPr>
                <w:rFonts w:ascii="Arial" w:cs="Arial" w:eastAsia="Arial" w:hAnsi="Arial"/>
                <w:sz w:val="18"/>
                <w:szCs w:val="18"/>
                <w:color w:val="auto"/>
              </w:rPr>
              <w:t>From discontinued operations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(0.01)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548"/>
              <w:spacing w:after="0" w:line="202" w:lineRule="exact"/>
              <w:rPr>
                <w:sz w:val="20"/>
                <w:szCs w:val="20"/>
                <w:color w:val="auto"/>
              </w:rPr>
            </w:pPr>
            <w:r>
              <w:rPr>
                <w:rFonts w:ascii="Arial" w:cs="Arial" w:eastAsia="Arial" w:hAnsi="Arial"/>
                <w:sz w:val="18"/>
                <w:szCs w:val="18"/>
                <w:color w:val="auto"/>
              </w:rPr>
              <w:t>0.05</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per share</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color w:val="auto"/>
              </w:rPr>
              <w:t>0.69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1.86</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Basic weighted-average common shares</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450,673,826</w:t>
            </w:r>
          </w:p>
        </w:tc>
        <w:tc>
          <w:tcPr>
            <w:tcW w:w="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450,364,361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450,481,106</w:t>
            </w:r>
          </w:p>
        </w:tc>
        <w:tc>
          <w:tcPr>
            <w:tcW w:w="6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451,244,365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weighted-average common shares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28"/>
              <w:spacing w:after="0" w:line="196" w:lineRule="exact"/>
              <w:rPr>
                <w:sz w:val="20"/>
                <w:szCs w:val="20"/>
                <w:color w:val="auto"/>
              </w:rPr>
            </w:pPr>
            <w:r>
              <w:rPr>
                <w:rFonts w:ascii="Arial" w:cs="Arial" w:eastAsia="Arial" w:hAnsi="Arial"/>
                <w:sz w:val="18"/>
                <w:szCs w:val="18"/>
                <w:color w:val="auto"/>
                <w:w w:val="99"/>
              </w:rPr>
              <w:t>451,204,832</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w w:val="97"/>
              </w:rPr>
              <w:t>450,911,513</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548"/>
              <w:spacing w:after="0" w:line="196" w:lineRule="exact"/>
              <w:rPr>
                <w:sz w:val="20"/>
                <w:szCs w:val="20"/>
                <w:color w:val="auto"/>
              </w:rPr>
            </w:pPr>
            <w:r>
              <w:rPr>
                <w:rFonts w:ascii="Arial" w:cs="Arial" w:eastAsia="Arial" w:hAnsi="Arial"/>
                <w:sz w:val="18"/>
                <w:szCs w:val="18"/>
                <w:color w:val="auto"/>
                <w:w w:val="97"/>
              </w:rPr>
              <w:t>451,025,807</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9"/>
              </w:rPr>
              <w:t>451,886,658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1201"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025"/>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14 of 24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60" w:type="dxa"/>
            <w:vAlign w:val="bottom"/>
          </w:tcPr>
          <w:p>
            <w:pPr>
              <w:spacing w:after="0"/>
              <w:rPr>
                <w:sz w:val="14"/>
                <w:szCs w:val="14"/>
                <w:color w:val="auto"/>
              </w:rPr>
            </w:pPr>
          </w:p>
        </w:tc>
        <w:tc>
          <w:tcPr>
            <w:tcW w:w="9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664</w:t>
            </w:r>
          </w:p>
        </w:tc>
        <w:tc>
          <w:tcPr>
            <w:tcW w:w="220" w:type="dxa"/>
            <w:vAlign w:val="bottom"/>
          </w:tcPr>
          <w:p>
            <w:pPr>
              <w:spacing w:after="0"/>
              <w:rPr>
                <w:sz w:val="17"/>
                <w:szCs w:val="17"/>
                <w:color w:val="auto"/>
              </w:rPr>
            </w:pPr>
          </w:p>
        </w:tc>
        <w:tc>
          <w:tcPr>
            <w:tcW w:w="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and other receivables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1,088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Other financial assets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441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9"/>
        </w:trPr>
        <w:tc>
          <w:tcPr>
            <w:tcW w:w="8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Computer software, net</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1,636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identifiable intangible assets, net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3,134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3,134</w:t>
            </w:r>
          </w:p>
        </w:tc>
        <w:tc>
          <w:tcPr>
            <w:tcW w:w="0" w:type="dxa"/>
            <w:vAlign w:val="bottom"/>
          </w:tcPr>
          <w:p>
            <w:pPr>
              <w:spacing w:after="0"/>
              <w:rPr>
                <w:sz w:val="1"/>
                <w:szCs w:val="1"/>
                <w:color w:val="auto"/>
              </w:rPr>
            </w:pP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7,835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method investments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Other financial assets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625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0"/>
        </w:trPr>
        <w:tc>
          <w:tcPr>
            <w:tcW w:w="8860" w:type="dxa"/>
            <w:vAlign w:val="bottom"/>
          </w:tcPr>
          <w:p>
            <w:pPr>
              <w:spacing w:after="0" w:line="202" w:lineRule="exact"/>
              <w:rPr>
                <w:sz w:val="20"/>
                <w:szCs w:val="20"/>
                <w:color w:val="auto"/>
              </w:rPr>
            </w:pPr>
            <w:r>
              <w:rPr>
                <w:rFonts w:ascii="Arial" w:cs="Arial" w:eastAsia="Arial" w:hAnsi="Arial"/>
                <w:sz w:val="18"/>
                <w:szCs w:val="18"/>
                <w:color w:val="auto"/>
              </w:rPr>
              <w:t>Deferred tax</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17,966</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18,437</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Current indebtedness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499</w:t>
            </w:r>
          </w:p>
        </w:tc>
        <w:tc>
          <w:tcPr>
            <w:tcW w:w="220" w:type="dxa"/>
            <w:vAlign w:val="bottom"/>
          </w:tcPr>
          <w:p>
            <w:pPr>
              <w:spacing w:after="0"/>
              <w:rPr>
                <w:sz w:val="17"/>
                <w:szCs w:val="17"/>
                <w:color w:val="auto"/>
              </w:rPr>
            </w:pPr>
          </w:p>
        </w:tc>
        <w:tc>
          <w:tcPr>
            <w:tcW w:w="4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Payables, accruals and provisions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892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Current tax liabilities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1,164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09"/>
        </w:trPr>
        <w:tc>
          <w:tcPr>
            <w:tcW w:w="8860" w:type="dxa"/>
            <w:vAlign w:val="bottom"/>
          </w:tcPr>
          <w:p>
            <w:pPr>
              <w:spacing w:after="0" w:line="202" w:lineRule="exact"/>
              <w:rPr>
                <w:sz w:val="20"/>
                <w:szCs w:val="20"/>
                <w:color w:val="auto"/>
              </w:rPr>
            </w:pPr>
            <w:r>
              <w:rPr>
                <w:rFonts w:ascii="Arial" w:cs="Arial" w:eastAsia="Arial" w:hAnsi="Arial"/>
                <w:sz w:val="18"/>
                <w:szCs w:val="18"/>
                <w:color w:val="auto"/>
              </w:rPr>
              <w:t>Other financial liabilities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2,854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Long-term indebtedness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1,342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Provisions and other non-current liabilities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643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Other financial liabilities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7"/>
        </w:trPr>
        <w:tc>
          <w:tcPr>
            <w:tcW w:w="88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Capital</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3,578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9,933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9,699</w:t>
            </w:r>
          </w:p>
        </w:tc>
        <w:tc>
          <w:tcPr>
            <w:tcW w:w="0" w:type="dxa"/>
            <w:vAlign w:val="bottom"/>
          </w:tcPr>
          <w:p>
            <w:pPr>
              <w:spacing w:after="0"/>
              <w:rPr>
                <w:sz w:val="1"/>
                <w:szCs w:val="1"/>
                <w:color w:val="auto"/>
              </w:rPr>
            </w:pPr>
          </w:p>
        </w:tc>
      </w:tr>
      <w:tr>
        <w:trPr>
          <w:trHeight w:val="209"/>
        </w:trPr>
        <w:tc>
          <w:tcPr>
            <w:tcW w:w="886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8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(895)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12,616</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12,006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6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17,966</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1201"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0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025"/>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15 of 24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June 30,</w:t>
            </w:r>
          </w:p>
        </w:tc>
      </w:tr>
      <w:tr>
        <w:trPr>
          <w:trHeight w:val="156"/>
        </w:trPr>
        <w:tc>
          <w:tcPr>
            <w:tcW w:w="7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2025</w:t>
            </w:r>
          </w:p>
        </w:tc>
        <w:tc>
          <w:tcPr>
            <w:tcW w:w="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r>
      <w:tr>
        <w:trPr>
          <w:trHeight w:val="183"/>
        </w:trPr>
        <w:tc>
          <w:tcPr>
            <w:tcW w:w="71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provided by (used in):</w:t>
            </w: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continuing operations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297</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844</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722</w:t>
            </w: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$ 1,308</w:t>
            </w: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Adjustments for:</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55</w:t>
            </w: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w:t>
            </w:r>
          </w:p>
        </w:tc>
      </w:tr>
      <w:tr>
        <w:trPr>
          <w:trHeight w:val="203"/>
        </w:trPr>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computer software</w:t>
            </w:r>
          </w:p>
        </w:tc>
        <w:tc>
          <w:tcPr>
            <w:tcW w:w="10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178</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352</w:t>
            </w:r>
          </w:p>
        </w:tc>
        <w:tc>
          <w:tcPr>
            <w:tcW w:w="9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307</w:t>
            </w:r>
          </w:p>
        </w:tc>
      </w:tr>
      <w:tr>
        <w:trPr>
          <w:trHeight w:val="203"/>
        </w:trPr>
        <w:tc>
          <w:tcPr>
            <w:tcW w:w="7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49</w:t>
            </w: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w:t>
            </w:r>
          </w:p>
        </w:tc>
      </w:tr>
      <w:tr>
        <w:trPr>
          <w:trHeight w:val="203"/>
        </w:trPr>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Share of post-tax losses (earnings) in equity method investments</w:t>
            </w:r>
          </w:p>
        </w:tc>
        <w:tc>
          <w:tcPr>
            <w:tcW w:w="10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(53)</w:t>
            </w:r>
          </w:p>
        </w:tc>
      </w:tr>
      <w:tr>
        <w:trPr>
          <w:trHeight w:val="203"/>
        </w:trPr>
        <w:tc>
          <w:tcPr>
            <w:tcW w:w="7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tax</w:t>
            </w: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(545)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w:t>
            </w: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(695)</w:t>
            </w:r>
          </w:p>
        </w:tc>
      </w:tr>
      <w:tr>
        <w:trPr>
          <w:trHeight w:val="203"/>
        </w:trPr>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105</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169</w:t>
            </w:r>
          </w:p>
        </w:tc>
        <w:tc>
          <w:tcPr>
            <w:tcW w:w="9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121</w:t>
            </w:r>
          </w:p>
        </w:tc>
      </w:tr>
      <w:tr>
        <w:trPr>
          <w:trHeight w:val="202"/>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Changes in working capital and other items</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107</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(186)</w:t>
            </w: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w:t>
            </w:r>
          </w:p>
        </w:tc>
      </w:tr>
      <w:tr>
        <w:trPr>
          <w:trHeight w:val="210"/>
        </w:trPr>
        <w:tc>
          <w:tcPr>
            <w:tcW w:w="7180" w:type="dxa"/>
            <w:vAlign w:val="bottom"/>
          </w:tcPr>
          <w:p>
            <w:pPr>
              <w:spacing w:after="0"/>
              <w:rPr>
                <w:sz w:val="20"/>
                <w:szCs w:val="20"/>
                <w:color w:val="auto"/>
              </w:rPr>
            </w:pPr>
            <w:r>
              <w:rPr>
                <w:rFonts w:ascii="Arial" w:cs="Arial" w:eastAsia="Arial" w:hAnsi="Arial"/>
                <w:sz w:val="18"/>
                <w:szCs w:val="18"/>
                <w:color w:val="auto"/>
              </w:rPr>
              <w:t>Operating cash flows from continuing operations</w:t>
            </w: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18"/>
                <w:szCs w:val="18"/>
                <w:color w:val="auto"/>
              </w:rPr>
            </w:pP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cash flows from discontinued operations</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17"/>
        </w:trPr>
        <w:tc>
          <w:tcPr>
            <w:tcW w:w="71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18"/>
                <w:szCs w:val="18"/>
                <w:color w:val="auto"/>
              </w:rPr>
            </w:pP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7180" w:type="dxa"/>
            <w:vAlign w:val="bottom"/>
          </w:tcPr>
          <w:p>
            <w:pPr>
              <w:spacing w:after="0" w:line="202" w:lineRule="exact"/>
              <w:rPr>
                <w:sz w:val="20"/>
                <w:szCs w:val="20"/>
                <w:color w:val="auto"/>
              </w:rPr>
            </w:pPr>
            <w:r>
              <w:rPr>
                <w:rFonts w:ascii="Arial" w:cs="Arial" w:eastAsia="Arial" w:hAnsi="Arial"/>
                <w:sz w:val="18"/>
                <w:szCs w:val="18"/>
                <w:color w:val="auto"/>
              </w:rPr>
              <w:t>Acquisitions, net of cash acquired</w:t>
            </w:r>
          </w:p>
        </w:tc>
        <w:tc>
          <w:tcPr>
            <w:tcW w:w="100" w:type="dxa"/>
            <w:vAlign w:val="bottom"/>
          </w:tcPr>
          <w:p>
            <w:pPr>
              <w:spacing w:after="0"/>
              <w:rPr>
                <w:sz w:val="17"/>
                <w:szCs w:val="17"/>
                <w:color w:val="auto"/>
              </w:rPr>
            </w:pPr>
          </w:p>
        </w:tc>
        <w:tc>
          <w:tcPr>
            <w:tcW w:w="92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(630)</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(467)</w:t>
            </w: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(payments) related to disposals of businesses and investments</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w:t>
            </w: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w:t>
            </w: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Proceeds from sales of LSEG shares</w:t>
            </w:r>
          </w:p>
        </w:tc>
        <w:tc>
          <w:tcPr>
            <w:tcW w:w="100" w:type="dxa"/>
            <w:vAlign w:val="bottom"/>
          </w:tcPr>
          <w:p>
            <w:pPr>
              <w:spacing w:after="0"/>
              <w:rPr>
                <w:sz w:val="17"/>
                <w:szCs w:val="17"/>
                <w:color w:val="auto"/>
              </w:rPr>
            </w:pPr>
          </w:p>
        </w:tc>
        <w:tc>
          <w:tcPr>
            <w:tcW w:w="9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— </w:t>
            </w:r>
          </w:p>
        </w:tc>
        <w:tc>
          <w:tcPr>
            <w:tcW w:w="12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— </w:t>
            </w:r>
          </w:p>
        </w:tc>
        <w:tc>
          <w:tcPr>
            <w:tcW w:w="9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1,854</w:t>
            </w: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(314)</w:t>
            </w: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(297)</w:t>
            </w: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Other investing activities</w:t>
            </w:r>
          </w:p>
        </w:tc>
        <w:tc>
          <w:tcPr>
            <w:tcW w:w="100" w:type="dxa"/>
            <w:vAlign w:val="bottom"/>
          </w:tcPr>
          <w:p>
            <w:pPr>
              <w:spacing w:after="0"/>
              <w:rPr>
                <w:sz w:val="17"/>
                <w:szCs w:val="17"/>
                <w:color w:val="auto"/>
              </w:rPr>
            </w:pPr>
          </w:p>
        </w:tc>
        <w:tc>
          <w:tcPr>
            <w:tcW w:w="9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— </w:t>
            </w:r>
          </w:p>
        </w:tc>
        <w:tc>
          <w:tcPr>
            <w:tcW w:w="12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9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6</w:t>
            </w: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Taxes paid on sales of LSEG shares and disposals of businesses</w:t>
            </w: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— </w:t>
            </w: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(137)</w:t>
            </w:r>
          </w:p>
        </w:tc>
      </w:tr>
      <w:tr>
        <w:trPr>
          <w:trHeight w:val="217"/>
        </w:trPr>
        <w:tc>
          <w:tcPr>
            <w:tcW w:w="718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18"/>
                <w:szCs w:val="18"/>
                <w:color w:val="auto"/>
              </w:rPr>
            </w:pP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7180" w:type="dxa"/>
            <w:vAlign w:val="bottom"/>
          </w:tcPr>
          <w:p>
            <w:pPr>
              <w:spacing w:after="0" w:line="202" w:lineRule="exact"/>
              <w:rPr>
                <w:sz w:val="20"/>
                <w:szCs w:val="20"/>
                <w:color w:val="auto"/>
              </w:rPr>
            </w:pPr>
            <w:r>
              <w:rPr>
                <w:rFonts w:ascii="Arial" w:cs="Arial" w:eastAsia="Arial" w:hAnsi="Arial"/>
                <w:sz w:val="18"/>
                <w:szCs w:val="18"/>
                <w:color w:val="auto"/>
              </w:rPr>
              <w:t>Repayments of debt</w:t>
            </w:r>
          </w:p>
        </w:tc>
        <w:tc>
          <w:tcPr>
            <w:tcW w:w="100" w:type="dxa"/>
            <w:vAlign w:val="bottom"/>
          </w:tcPr>
          <w:p>
            <w:pPr>
              <w:spacing w:after="0"/>
              <w:rPr>
                <w:sz w:val="17"/>
                <w:szCs w:val="17"/>
                <w:color w:val="auto"/>
              </w:rPr>
            </w:pPr>
          </w:p>
        </w:tc>
        <w:tc>
          <w:tcPr>
            <w:tcW w:w="92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(999)</w:t>
            </w:r>
          </w:p>
        </w:tc>
        <w:tc>
          <w:tcPr>
            <w:tcW w:w="120" w:type="dxa"/>
            <w:vAlign w:val="bottom"/>
          </w:tcPr>
          <w:p>
            <w:pPr>
              <w:spacing w:after="0"/>
              <w:rPr>
                <w:sz w:val="17"/>
                <w:szCs w:val="17"/>
                <w:color w:val="auto"/>
              </w:rPr>
            </w:pPr>
          </w:p>
        </w:tc>
        <w:tc>
          <w:tcPr>
            <w:tcW w:w="7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— </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(999)</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(48)</w:t>
            </w: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repayments under short-term loan facilities</w:t>
            </w: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(703)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— </w:t>
            </w: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(139)</w:t>
            </w: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Payments of lease principal</w:t>
            </w:r>
          </w:p>
        </w:tc>
        <w:tc>
          <w:tcPr>
            <w:tcW w:w="100" w:type="dxa"/>
            <w:vAlign w:val="bottom"/>
          </w:tcPr>
          <w:p>
            <w:pPr>
              <w:spacing w:after="0"/>
              <w:rPr>
                <w:sz w:val="17"/>
                <w:szCs w:val="17"/>
                <w:color w:val="auto"/>
              </w:rPr>
            </w:pPr>
          </w:p>
        </w:tc>
        <w:tc>
          <w:tcPr>
            <w:tcW w:w="92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(33)</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(31)</w:t>
            </w: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Repurchases of common shares</w:t>
            </w: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(287)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— </w:t>
            </w: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(639)</w:t>
            </w: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Dividends paid on preference shares</w:t>
            </w:r>
          </w:p>
        </w:tc>
        <w:tc>
          <w:tcPr>
            <w:tcW w:w="100" w:type="dxa"/>
            <w:vAlign w:val="bottom"/>
          </w:tcPr>
          <w:p>
            <w:pPr>
              <w:spacing w:after="0"/>
              <w:rPr>
                <w:sz w:val="17"/>
                <w:szCs w:val="17"/>
                <w:color w:val="auto"/>
              </w:rPr>
            </w:pPr>
          </w:p>
        </w:tc>
        <w:tc>
          <w:tcPr>
            <w:tcW w:w="92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w:t>
            </w: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paid on common shares</w:t>
            </w: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(519)</w:t>
            </w: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(472)</w:t>
            </w:r>
          </w:p>
        </w:tc>
      </w:tr>
      <w:tr>
        <w:trPr>
          <w:trHeight w:val="203"/>
        </w:trPr>
        <w:tc>
          <w:tcPr>
            <w:tcW w:w="7180" w:type="dxa"/>
            <w:vAlign w:val="bottom"/>
          </w:tcPr>
          <w:p>
            <w:pPr>
              <w:spacing w:after="0" w:line="202" w:lineRule="exact"/>
              <w:rPr>
                <w:sz w:val="20"/>
                <w:szCs w:val="20"/>
                <w:color w:val="auto"/>
              </w:rPr>
            </w:pPr>
            <w:r>
              <w:rPr>
                <w:rFonts w:ascii="Arial" w:cs="Arial" w:eastAsia="Arial" w:hAnsi="Arial"/>
                <w:sz w:val="18"/>
                <w:szCs w:val="18"/>
                <w:color w:val="auto"/>
              </w:rPr>
              <w:t>Purchase of non-controlling interests</w:t>
            </w:r>
          </w:p>
        </w:tc>
        <w:tc>
          <w:tcPr>
            <w:tcW w:w="100" w:type="dxa"/>
            <w:vAlign w:val="bottom"/>
          </w:tcPr>
          <w:p>
            <w:pPr>
              <w:spacing w:after="0"/>
              <w:rPr>
                <w:sz w:val="17"/>
                <w:szCs w:val="17"/>
                <w:color w:val="auto"/>
              </w:rPr>
            </w:pPr>
          </w:p>
        </w:tc>
        <w:tc>
          <w:tcPr>
            <w:tcW w:w="9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— </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— </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(384)</w:t>
            </w: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w:t>
            </w: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r>
      <w:tr>
        <w:trPr>
          <w:trHeight w:val="217"/>
        </w:trPr>
        <w:tc>
          <w:tcPr>
            <w:tcW w:w="718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(1,275)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18"/>
                <w:szCs w:val="18"/>
                <w:color w:val="auto"/>
              </w:rPr>
            </w:pP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Translation adjustments</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w:t>
            </w: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r>
      <w:tr>
        <w:trPr>
          <w:trHeight w:val="209"/>
        </w:trPr>
        <w:tc>
          <w:tcPr>
            <w:tcW w:w="718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(1,304)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8"/>
                <w:szCs w:val="18"/>
                <w:color w:val="auto"/>
              </w:rPr>
            </w:pPr>
          </w:p>
        </w:tc>
      </w:tr>
      <w:tr>
        <w:trPr>
          <w:trHeight w:val="203"/>
        </w:trPr>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1,371</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1,889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1,968</w:t>
            </w: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1,298</w:t>
            </w:r>
          </w:p>
        </w:tc>
      </w:tr>
      <w:tr>
        <w:trPr>
          <w:trHeight w:val="210"/>
        </w:trPr>
        <w:tc>
          <w:tcPr>
            <w:tcW w:w="71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$ 1,670</w:t>
            </w:r>
          </w:p>
        </w:tc>
        <w:tc>
          <w:tcPr>
            <w:tcW w:w="120" w:type="dxa"/>
            <w:vAlign w:val="bottom"/>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1201" w:right="43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025"/>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16 of 24</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Thomson Reuters Corporation</w:t>
      </w:r>
    </w:p>
    <w:p>
      <w:pPr>
        <w:jc w:val="center"/>
        <w:ind w:right="-3"/>
        <w:spacing w:after="0" w:line="185" w:lineRule="auto"/>
        <w:rPr>
          <w:sz w:val="20"/>
          <w:szCs w:val="20"/>
          <w:color w:val="auto"/>
        </w:rPr>
      </w:pPr>
      <w:r>
        <w:rPr>
          <w:rFonts w:ascii="Arial" w:cs="Arial" w:eastAsia="Arial" w:hAnsi="Arial"/>
          <w:sz w:val="17"/>
          <w:szCs w:val="17"/>
          <w:b w:val="1"/>
          <w:bCs w:val="1"/>
          <w:color w:val="auto"/>
        </w:rPr>
        <w:t>Reconciliation of Earnings from Continuing Operations to Adjusted EBITDA</w:t>
      </w:r>
      <w:r>
        <w:rPr>
          <w:rFonts w:ascii="Arial" w:cs="Arial" w:eastAsia="Arial" w:hAnsi="Arial"/>
          <w:sz w:val="25"/>
          <w:szCs w:val="25"/>
          <w:b w:val="1"/>
          <w:bCs w:val="1"/>
          <w:color w:val="auto"/>
          <w:vertAlign w:val="superscript"/>
        </w:rPr>
        <w:t>(1)</w:t>
      </w:r>
    </w:p>
    <w:p>
      <w:pPr>
        <w:jc w:val="center"/>
        <w:ind w:right="-3"/>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6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11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5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June 30,</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512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w w:val="96"/>
              </w:rPr>
              <w:t>2025</w:t>
            </w:r>
          </w:p>
        </w:tc>
        <w:tc>
          <w:tcPr>
            <w:tcW w:w="3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w w:val="96"/>
              </w:rPr>
              <w:t>2024</w:t>
            </w:r>
          </w:p>
        </w:tc>
        <w:tc>
          <w:tcPr>
            <w:tcW w:w="4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2025</w:t>
            </w:r>
          </w:p>
        </w:tc>
        <w:tc>
          <w:tcPr>
            <w:tcW w:w="460" w:type="dxa"/>
            <w:vAlign w:val="bottom"/>
            <w:tcBorders>
              <w:top w:val="single" w:sz="8" w:color="auto"/>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3"/>
                <w:szCs w:val="13"/>
                <w:color w:val="auto"/>
              </w:rPr>
            </w:pP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from continuing operations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297</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844</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722</w:t>
            </w: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$1,308</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2,192</w:t>
            </w:r>
          </w:p>
        </w:tc>
        <w:tc>
          <w:tcPr>
            <w:tcW w:w="220" w:type="dxa"/>
            <w:vAlign w:val="bottom"/>
            <w:shd w:val="clear" w:color="auto" w:fill="CCEEFF"/>
          </w:tcPr>
          <w:p>
            <w:pPr>
              <w:spacing w:after="0"/>
              <w:rPr>
                <w:sz w:val="17"/>
                <w:szCs w:val="17"/>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Adjustments to remove:</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Tax expense (benefit)</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144</w:t>
            </w: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(335)</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(123)</w:t>
            </w:r>
          </w:p>
        </w:tc>
      </w:tr>
      <w:tr>
        <w:trPr>
          <w:trHeight w:val="203"/>
        </w:trPr>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Other finance costs (income)</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58</w:t>
            </w: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(24)</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(45)</w:t>
            </w:r>
          </w:p>
        </w:tc>
      </w:tr>
      <w:tr>
        <w:trPr>
          <w:trHeight w:val="203"/>
        </w:trPr>
        <w:tc>
          <w:tcPr>
            <w:tcW w:w="5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interest expense</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65</w:t>
            </w:r>
          </w:p>
        </w:tc>
        <w:tc>
          <w:tcPr>
            <w:tcW w:w="10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125</w:t>
            </w:r>
          </w:p>
        </w:tc>
      </w:tr>
      <w:tr>
        <w:trPr>
          <w:trHeight w:val="203"/>
        </w:trPr>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49</w:t>
            </w:r>
          </w:p>
        </w:tc>
        <w:tc>
          <w:tcPr>
            <w:tcW w:w="10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48</w:t>
            </w:r>
          </w:p>
        </w:tc>
        <w:tc>
          <w:tcPr>
            <w:tcW w:w="2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91</w:t>
            </w:r>
          </w:p>
        </w:tc>
      </w:tr>
      <w:tr>
        <w:trPr>
          <w:trHeight w:val="203"/>
        </w:trPr>
        <w:tc>
          <w:tcPr>
            <w:tcW w:w="5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Amortization of computer software</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352</w:t>
            </w:r>
          </w:p>
        </w:tc>
        <w:tc>
          <w:tcPr>
            <w:tcW w:w="10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307</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618</w:t>
            </w:r>
          </w:p>
        </w:tc>
      </w:tr>
      <w:tr>
        <w:trPr>
          <w:trHeight w:val="203"/>
        </w:trPr>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Depreciation</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55</w:t>
            </w:r>
          </w:p>
        </w:tc>
        <w:tc>
          <w:tcPr>
            <w:tcW w:w="10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57</w:t>
            </w:r>
          </w:p>
        </w:tc>
        <w:tc>
          <w:tcPr>
            <w:tcW w:w="2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113</w:t>
            </w:r>
          </w:p>
        </w:tc>
      </w:tr>
      <w:tr>
        <w:trPr>
          <w:trHeight w:val="27"/>
        </w:trPr>
        <w:tc>
          <w:tcPr>
            <w:tcW w:w="5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EBITDA</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662</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1,445</w:t>
            </w:r>
          </w:p>
        </w:tc>
        <w:tc>
          <w:tcPr>
            <w:tcW w:w="10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$1,437</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2,971</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Adjustments to remove:</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84"/>
        </w:trPr>
        <w:tc>
          <w:tcPr>
            <w:tcW w:w="5120" w:type="dxa"/>
            <w:vAlign w:val="bottom"/>
            <w:shd w:val="clear" w:color="auto" w:fill="CCEEFF"/>
          </w:tcPr>
          <w:p>
            <w:pPr>
              <w:ind w:left="360"/>
              <w:spacing w:after="0" w:line="183" w:lineRule="exact"/>
              <w:rPr>
                <w:sz w:val="20"/>
                <w:szCs w:val="20"/>
                <w:color w:val="auto"/>
              </w:rPr>
            </w:pPr>
            <w:r>
              <w:rPr>
                <w:rFonts w:ascii="Arial" w:cs="Arial" w:eastAsia="Arial" w:hAnsi="Arial"/>
                <w:sz w:val="18"/>
                <w:szCs w:val="18"/>
                <w:color w:val="auto"/>
              </w:rPr>
              <w:t>Share of post-tax losses (earnings) in equity method</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21"/>
        </w:trPr>
        <w:tc>
          <w:tcPr>
            <w:tcW w:w="5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investments</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r>
      <w:tr>
        <w:trPr>
          <w:trHeight w:val="203"/>
        </w:trPr>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Other operating (gains) losses, net</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7"/>
                <w:szCs w:val="17"/>
                <w:color w:val="auto"/>
              </w:rPr>
            </w:pPr>
          </w:p>
        </w:tc>
        <w:tc>
          <w:tcPr>
            <w:tcW w:w="9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w:t>
            </w:r>
          </w:p>
        </w:tc>
        <w:tc>
          <w:tcPr>
            <w:tcW w:w="10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70</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(144)</w:t>
            </w:r>
          </w:p>
        </w:tc>
      </w:tr>
      <w:tr>
        <w:trPr>
          <w:trHeight w:val="203"/>
        </w:trPr>
        <w:tc>
          <w:tcPr>
            <w:tcW w:w="5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Fair value adjustments*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34</w:t>
            </w: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w:t>
            </w:r>
          </w:p>
        </w:tc>
      </w:tr>
      <w:tr>
        <w:trPr>
          <w:trHeight w:val="217"/>
        </w:trPr>
        <w:tc>
          <w:tcPr>
            <w:tcW w:w="5120" w:type="dxa"/>
            <w:vAlign w:val="bottom"/>
          </w:tcPr>
          <w:p>
            <w:pPr>
              <w:spacing w:after="0" w:line="210" w:lineRule="exact"/>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24"/>
                <w:szCs w:val="24"/>
                <w:b w:val="1"/>
                <w:bCs w:val="1"/>
                <w:color w:val="auto"/>
                <w:vertAlign w:val="superscript"/>
              </w:rPr>
              <w:t>(1)</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w:t>
            </w:r>
          </w:p>
        </w:tc>
        <w:tc>
          <w:tcPr>
            <w:tcW w:w="4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1,487</w:t>
            </w:r>
          </w:p>
        </w:tc>
        <w:tc>
          <w:tcPr>
            <w:tcW w:w="4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1,452</w:t>
            </w:r>
          </w:p>
        </w:tc>
        <w:tc>
          <w:tcPr>
            <w:tcW w:w="4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2,779</w:t>
            </w:r>
          </w:p>
        </w:tc>
        <w:tc>
          <w:tcPr>
            <w:tcW w:w="220" w:type="dxa"/>
            <w:vAlign w:val="bottom"/>
          </w:tcPr>
          <w:p>
            <w:pPr>
              <w:spacing w:after="0"/>
              <w:rPr>
                <w:sz w:val="18"/>
                <w:szCs w:val="18"/>
                <w:color w:val="auto"/>
              </w:rPr>
            </w:pPr>
          </w:p>
        </w:tc>
      </w:tr>
      <w:tr>
        <w:trPr>
          <w:trHeight w:val="203"/>
        </w:trPr>
        <w:tc>
          <w:tcPr>
            <w:tcW w:w="512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Adjusted EBITDA margin</w:t>
            </w:r>
            <w:r>
              <w:rPr>
                <w:rFonts w:ascii="Arial" w:cs="Arial" w:eastAsia="Arial" w:hAnsi="Arial"/>
                <w:sz w:val="23"/>
                <w:szCs w:val="23"/>
                <w:b w:val="1"/>
                <w:bCs w:val="1"/>
                <w:color w:val="auto"/>
                <w:vertAlign w:val="superscript"/>
              </w:rPr>
              <w:t>(1)</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37.8%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37.1%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40.1%</w:t>
            </w: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40.0%</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38.2%</w:t>
            </w:r>
          </w:p>
        </w:tc>
      </w:tr>
      <w:tr>
        <w:trPr>
          <w:trHeight w:val="20"/>
        </w:trPr>
        <w:tc>
          <w:tcPr>
            <w:tcW w:w="5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28" w:lineRule="exact"/>
        <w:rPr>
          <w:sz w:val="20"/>
          <w:szCs w:val="20"/>
          <w:color w:val="auto"/>
        </w:rPr>
      </w:pPr>
    </w:p>
    <w:p>
      <w:pPr>
        <w:ind w:left="424" w:right="340" w:hanging="424"/>
        <w:spacing w:after="0" w:line="282" w:lineRule="auto"/>
        <w:tabs>
          <w:tab w:leader="none" w:pos="424"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Fair value adjustments primarily represent gains or losses due to changes in foreign currency exchange rates on intercompany balances that arise in the ordinary course of business, which are a component of operating expenses, as well as adjustments related to acquired deferred revenue.</w:t>
      </w:r>
    </w:p>
    <w:p>
      <w:pPr>
        <w:spacing w:after="0" w:line="1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Thomson Reuters Corporation</w:t>
      </w:r>
    </w:p>
    <w:p>
      <w:pPr>
        <w:jc w:val="center"/>
        <w:ind w:right="-3"/>
        <w:spacing w:after="0" w:line="185" w:lineRule="auto"/>
        <w:rPr>
          <w:sz w:val="20"/>
          <w:szCs w:val="20"/>
          <w:color w:val="auto"/>
        </w:rPr>
      </w:pPr>
      <w:r>
        <w:rPr>
          <w:rFonts w:ascii="Arial" w:cs="Arial" w:eastAsia="Arial" w:hAnsi="Arial"/>
          <w:sz w:val="17"/>
          <w:szCs w:val="17"/>
          <w:b w:val="1"/>
          <w:bCs w:val="1"/>
          <w:color w:val="auto"/>
        </w:rPr>
        <w:t>Reconciliation of Net Cash Provided By Operating Activities to Free Cash Flow</w:t>
      </w:r>
      <w:r>
        <w:rPr>
          <w:rFonts w:ascii="Arial" w:cs="Arial" w:eastAsia="Arial" w:hAnsi="Arial"/>
          <w:sz w:val="25"/>
          <w:szCs w:val="25"/>
          <w:b w:val="1"/>
          <w:bCs w:val="1"/>
          <w:color w:val="auto"/>
          <w:vertAlign w:val="superscript"/>
        </w:rPr>
        <w:t>(1)</w:t>
      </w:r>
    </w:p>
    <w:p>
      <w:pPr>
        <w:jc w:val="center"/>
        <w:ind w:right="-3"/>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3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3860" w:type="dxa"/>
            <w:vAlign w:val="bottom"/>
            <w:tcBorders>
              <w:bottom w:val="single" w:sz="8" w:color="CCEEFF"/>
            </w:tcBorders>
          </w:tcPr>
          <w:p>
            <w:pPr>
              <w:spacing w:after="0"/>
              <w:rPr>
                <w:sz w:val="13"/>
                <w:szCs w:val="13"/>
                <w:color w:val="auto"/>
              </w:rPr>
            </w:pPr>
          </w:p>
        </w:tc>
        <w:tc>
          <w:tcPr>
            <w:tcW w:w="24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6"/>
              </w:rPr>
              <w:t>2024</w:t>
            </w:r>
          </w:p>
        </w:tc>
        <w:tc>
          <w:tcPr>
            <w:tcW w:w="3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r>
      <w:tr>
        <w:trPr>
          <w:trHeight w:val="196"/>
        </w:trPr>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24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746</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1,191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1,137</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2,457</w:t>
            </w:r>
          </w:p>
        </w:tc>
        <w:tc>
          <w:tcPr>
            <w:tcW w:w="120" w:type="dxa"/>
            <w:vAlign w:val="bottom"/>
            <w:shd w:val="clear" w:color="auto" w:fill="CCEEFF"/>
          </w:tcPr>
          <w:p>
            <w:pPr>
              <w:spacing w:after="0"/>
              <w:rPr>
                <w:sz w:val="17"/>
                <w:szCs w:val="17"/>
                <w:color w:val="auto"/>
              </w:rPr>
            </w:pP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Capital expenditures</w:t>
            </w:r>
          </w:p>
        </w:tc>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(163)</w:t>
            </w:r>
          </w:p>
        </w:tc>
        <w:tc>
          <w:tcPr>
            <w:tcW w:w="14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(152)</w:t>
            </w:r>
          </w:p>
        </w:tc>
        <w:tc>
          <w:tcPr>
            <w:tcW w:w="10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(314)</w:t>
            </w:r>
          </w:p>
        </w:tc>
        <w:tc>
          <w:tcPr>
            <w:tcW w:w="12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(607)</w:t>
            </w:r>
          </w:p>
        </w:tc>
      </w:tr>
      <w:tr>
        <w:trPr>
          <w:trHeight w:val="203"/>
        </w:trPr>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investing activities</w:t>
            </w:r>
          </w:p>
        </w:tc>
        <w:tc>
          <w:tcPr>
            <w:tcW w:w="2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w:t>
            </w: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Payments of lease principal</w:t>
            </w:r>
          </w:p>
        </w:tc>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w:t>
            </w:r>
          </w:p>
        </w:tc>
        <w:tc>
          <w:tcPr>
            <w:tcW w:w="14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(63)</w:t>
            </w:r>
          </w:p>
        </w:tc>
      </w:tr>
      <w:tr>
        <w:trPr>
          <w:trHeight w:val="203"/>
        </w:trPr>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paid on preference shares</w:t>
            </w:r>
          </w:p>
        </w:tc>
        <w:tc>
          <w:tcPr>
            <w:tcW w:w="2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r>
      <w:tr>
        <w:trPr>
          <w:trHeight w:val="210"/>
        </w:trPr>
        <w:tc>
          <w:tcPr>
            <w:tcW w:w="3860" w:type="dxa"/>
            <w:vAlign w:val="bottom"/>
          </w:tcPr>
          <w:p>
            <w:pPr>
              <w:spacing w:after="0" w:line="210" w:lineRule="exact"/>
              <w:rPr>
                <w:sz w:val="20"/>
                <w:szCs w:val="20"/>
                <w:color w:val="auto"/>
              </w:rPr>
            </w:pPr>
            <w:r>
              <w:rPr>
                <w:rFonts w:ascii="Arial" w:cs="Arial" w:eastAsia="Arial" w:hAnsi="Arial"/>
                <w:sz w:val="17"/>
                <w:szCs w:val="17"/>
                <w:b w:val="1"/>
                <w:bCs w:val="1"/>
                <w:color w:val="auto"/>
              </w:rPr>
              <w:t>Free cash flow</w:t>
            </w:r>
            <w:r>
              <w:rPr>
                <w:rFonts w:ascii="Arial" w:cs="Arial" w:eastAsia="Arial" w:hAnsi="Arial"/>
                <w:sz w:val="24"/>
                <w:szCs w:val="24"/>
                <w:b w:val="1"/>
                <w:bCs w:val="1"/>
                <w:color w:val="auto"/>
                <w:vertAlign w:val="superscript"/>
              </w:rPr>
              <w:t>(1))</w:t>
            </w:r>
          </w:p>
        </w:tc>
        <w:tc>
          <w:tcPr>
            <w:tcW w:w="24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541</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843</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1,828</w:t>
            </w:r>
          </w:p>
        </w:tc>
        <w:tc>
          <w:tcPr>
            <w:tcW w:w="12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4"/>
        </w:trPr>
        <w:tc>
          <w:tcPr>
            <w:tcW w:w="3860" w:type="dxa"/>
            <w:vAlign w:val="bottom"/>
          </w:tcPr>
          <w:p>
            <w:pPr>
              <w:spacing w:after="0"/>
              <w:rPr>
                <w:sz w:val="24"/>
                <w:szCs w:val="24"/>
                <w:color w:val="auto"/>
              </w:rPr>
            </w:pPr>
          </w:p>
        </w:tc>
        <w:tc>
          <w:tcPr>
            <w:tcW w:w="34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9"/>
              </w:rPr>
              <w:t>Thomson Reuters Corporation</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2"/>
        </w:trPr>
        <w:tc>
          <w:tcPr>
            <w:tcW w:w="9060" w:type="dxa"/>
            <w:vAlign w:val="bottom"/>
            <w:gridSpan w:val="12"/>
          </w:tcPr>
          <w:p>
            <w:pPr>
              <w:jc w:val="center"/>
              <w:ind w:left="1852"/>
              <w:spacing w:after="0" w:line="212" w:lineRule="exact"/>
              <w:rPr>
                <w:sz w:val="20"/>
                <w:szCs w:val="20"/>
                <w:color w:val="auto"/>
              </w:rPr>
            </w:pPr>
            <w:r>
              <w:rPr>
                <w:rFonts w:ascii="Arial" w:cs="Arial" w:eastAsia="Arial" w:hAnsi="Arial"/>
                <w:sz w:val="17"/>
                <w:szCs w:val="17"/>
                <w:b w:val="1"/>
                <w:bCs w:val="1"/>
                <w:color w:val="auto"/>
              </w:rPr>
              <w:t>Reconciliation of Capital Expenditures to Accrued Capital Expenditures</w:t>
            </w:r>
            <w:r>
              <w:rPr>
                <w:rFonts w:ascii="Arial" w:cs="Arial" w:eastAsia="Arial" w:hAnsi="Arial"/>
                <w:sz w:val="24"/>
                <w:szCs w:val="24"/>
                <w:b w:val="1"/>
                <w:bCs w:val="1"/>
                <w:color w:val="auto"/>
                <w:vertAlign w:val="superscript"/>
              </w:rPr>
              <w:t>(1)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62"/>
        </w:trPr>
        <w:tc>
          <w:tcPr>
            <w:tcW w:w="3860" w:type="dxa"/>
            <w:vAlign w:val="bottom"/>
          </w:tcPr>
          <w:p>
            <w:pPr>
              <w:spacing w:after="0"/>
              <w:rPr>
                <w:sz w:val="14"/>
                <w:szCs w:val="14"/>
                <w:color w:val="auto"/>
              </w:rPr>
            </w:pPr>
          </w:p>
        </w:tc>
        <w:tc>
          <w:tcPr>
            <w:tcW w:w="2580" w:type="dxa"/>
            <w:vAlign w:val="bottom"/>
            <w:gridSpan w:val="3"/>
          </w:tcPr>
          <w:p>
            <w:pPr>
              <w:jc w:val="center"/>
              <w:ind w:left="622"/>
              <w:spacing w:after="0"/>
              <w:rPr>
                <w:sz w:val="20"/>
                <w:szCs w:val="20"/>
                <w:color w:val="auto"/>
              </w:rPr>
            </w:pPr>
            <w:r>
              <w:rPr>
                <w:rFonts w:ascii="Arial" w:cs="Arial" w:eastAsia="Arial" w:hAnsi="Arial"/>
                <w:sz w:val="14"/>
                <w:szCs w:val="14"/>
                <w:color w:val="auto"/>
              </w:rPr>
              <w:t>(millions of U.S. dollars)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0"/>
        </w:trPr>
        <w:tc>
          <w:tcPr>
            <w:tcW w:w="3860" w:type="dxa"/>
            <w:vAlign w:val="bottom"/>
          </w:tcPr>
          <w:p>
            <w:pPr>
              <w:spacing w:after="0"/>
              <w:rPr>
                <w:sz w:val="16"/>
                <w:szCs w:val="16"/>
                <w:color w:val="auto"/>
              </w:rPr>
            </w:pPr>
          </w:p>
        </w:tc>
        <w:tc>
          <w:tcPr>
            <w:tcW w:w="2580" w:type="dxa"/>
            <w:vAlign w:val="bottom"/>
            <w:gridSpan w:val="3"/>
          </w:tcPr>
          <w:p>
            <w:pPr>
              <w:jc w:val="center"/>
              <w:ind w:left="622"/>
              <w:spacing w:after="0"/>
              <w:rPr>
                <w:sz w:val="20"/>
                <w:szCs w:val="20"/>
                <w:color w:val="auto"/>
              </w:rPr>
            </w:pPr>
            <w:r>
              <w:rPr>
                <w:rFonts w:ascii="Arial" w:cs="Arial" w:eastAsia="Arial" w:hAnsi="Arial"/>
                <w:sz w:val="14"/>
                <w:szCs w:val="14"/>
                <w:color w:val="auto"/>
              </w:rPr>
              <w:t>(unaudited)</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77"/>
        </w:trPr>
        <w:tc>
          <w:tcPr>
            <w:tcW w:w="38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3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3860" w:type="dxa"/>
            <w:vAlign w:val="bottom"/>
            <w:tcBorders>
              <w:bottom w:val="single" w:sz="8" w:color="CCEEFF"/>
            </w:tcBorders>
          </w:tcPr>
          <w:p>
            <w:pPr>
              <w:spacing w:after="0"/>
              <w:rPr>
                <w:sz w:val="13"/>
                <w:szCs w:val="13"/>
                <w:color w:val="auto"/>
              </w:rPr>
            </w:pPr>
          </w:p>
        </w:tc>
        <w:tc>
          <w:tcPr>
            <w:tcW w:w="24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r>
      <w:tr>
        <w:trPr>
          <w:trHeight w:val="196"/>
        </w:trPr>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Capital expenditures</w:t>
            </w:r>
          </w:p>
        </w:tc>
        <w:tc>
          <w:tcPr>
            <w:tcW w:w="2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0"/>
        </w:trPr>
        <w:tc>
          <w:tcPr>
            <w:tcW w:w="3860" w:type="dxa"/>
            <w:vAlign w:val="bottom"/>
          </w:tcPr>
          <w:p>
            <w:pPr>
              <w:spacing w:after="0" w:line="202" w:lineRule="exact"/>
              <w:rPr>
                <w:sz w:val="20"/>
                <w:szCs w:val="20"/>
                <w:color w:val="auto"/>
              </w:rPr>
            </w:pPr>
            <w:r>
              <w:rPr>
                <w:rFonts w:ascii="Arial" w:cs="Arial" w:eastAsia="Arial" w:hAnsi="Arial"/>
                <w:sz w:val="18"/>
                <w:szCs w:val="18"/>
                <w:color w:val="auto"/>
              </w:rPr>
              <w:t>Remove: IFRS adjustment to cash basis</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386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 xml:space="preserve">Accrued capital expenditures </w:t>
            </w:r>
            <w:r>
              <w:rPr>
                <w:rFonts w:ascii="Arial" w:cs="Arial" w:eastAsia="Arial" w:hAnsi="Arial"/>
                <w:sz w:val="23"/>
                <w:szCs w:val="23"/>
                <w:b w:val="1"/>
                <w:bCs w:val="1"/>
                <w:color w:val="auto"/>
                <w:vertAlign w:val="superscript"/>
              </w:rPr>
              <w:t>(1)</w:t>
            </w:r>
          </w:p>
        </w:tc>
        <w:tc>
          <w:tcPr>
            <w:tcW w:w="2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9"/>
        </w:trPr>
        <w:tc>
          <w:tcPr>
            <w:tcW w:w="6440" w:type="dxa"/>
            <w:vAlign w:val="bottom"/>
            <w:gridSpan w:val="4"/>
          </w:tcPr>
          <w:p>
            <w:pPr>
              <w:spacing w:after="0" w:line="210" w:lineRule="exact"/>
              <w:rPr>
                <w:sz w:val="20"/>
                <w:szCs w:val="20"/>
                <w:color w:val="auto"/>
              </w:rPr>
            </w:pPr>
            <w:r>
              <w:rPr>
                <w:rFonts w:ascii="Arial" w:cs="Arial" w:eastAsia="Arial" w:hAnsi="Arial"/>
                <w:sz w:val="17"/>
                <w:szCs w:val="17"/>
                <w:b w:val="1"/>
                <w:bCs w:val="1"/>
                <w:color w:val="auto"/>
              </w:rPr>
              <w:t>Accrued capital expenditures as a percentage of revenues</w:t>
            </w:r>
            <w:r>
              <w:rPr>
                <w:rFonts w:ascii="Arial" w:cs="Arial" w:eastAsia="Arial" w:hAnsi="Arial"/>
                <w:sz w:val="24"/>
                <w:szCs w:val="24"/>
                <w:b w:val="1"/>
                <w:bCs w:val="1"/>
                <w:color w:val="auto"/>
                <w:vertAlign w:val="superscript"/>
              </w:rPr>
              <w:t>(1)</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8.4%</w:t>
            </w:r>
          </w:p>
        </w:tc>
      </w:tr>
      <w:tr>
        <w:trPr>
          <w:trHeight w:val="20"/>
        </w:trPr>
        <w:tc>
          <w:tcPr>
            <w:tcW w:w="38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6" w:lineRule="exact"/>
        <w:rPr>
          <w:sz w:val="20"/>
          <w:szCs w:val="20"/>
          <w:color w:val="auto"/>
        </w:rPr>
      </w:pPr>
    </w:p>
    <w:p>
      <w:pPr>
        <w:ind w:left="424" w:hanging="424"/>
        <w:spacing w:after="0"/>
        <w:tabs>
          <w:tab w:leader="none" w:pos="424"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Refer to page 24 for additional information on non-IFRS financial measures.</w:t>
      </w:r>
    </w:p>
    <w:p>
      <w:pPr>
        <w:sectPr>
          <w:pgSz w:w="11900" w:h="16838" w:orient="portrait"/>
          <w:cols w:equalWidth="0" w:num="1">
            <w:col w:w="11024"/>
          </w:cols>
          <w:pgMar w:left="436" w:top="1201" w:right="439" w:bottom="1440" w:gutter="0" w:footer="0" w:header="0"/>
        </w:sectPr>
      </w:pPr>
    </w:p>
    <w:bookmarkStart w:id="19" w:name="page20"/>
    <w:bookmarkEnd w:id="1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6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17 of 24</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Thomson Reuters Corporation</w:t>
      </w:r>
    </w:p>
    <w:p>
      <w:pPr>
        <w:jc w:val="center"/>
        <w:ind w:right="-3"/>
        <w:spacing w:after="0" w:line="180" w:lineRule="auto"/>
        <w:rPr>
          <w:sz w:val="20"/>
          <w:szCs w:val="20"/>
          <w:color w:val="auto"/>
        </w:rPr>
      </w:pPr>
      <w:r>
        <w:rPr>
          <w:rFonts w:ascii="Arial" w:cs="Arial" w:eastAsia="Arial" w:hAnsi="Arial"/>
          <w:sz w:val="17"/>
          <w:szCs w:val="17"/>
          <w:b w:val="1"/>
          <w:bCs w:val="1"/>
          <w:color w:val="auto"/>
        </w:rPr>
        <w:t>Reconciliation of Net Earnings to Adjusted Earnings</w:t>
      </w:r>
      <w:r>
        <w:rPr>
          <w:rFonts w:ascii="Arial" w:cs="Arial" w:eastAsia="Arial" w:hAnsi="Arial"/>
          <w:sz w:val="25"/>
          <w:szCs w:val="25"/>
          <w:b w:val="1"/>
          <w:bCs w:val="1"/>
          <w:color w:val="auto"/>
          <w:vertAlign w:val="superscript"/>
        </w:rPr>
        <w:t>(1)</w:t>
      </w:r>
    </w:p>
    <w:p>
      <w:pPr>
        <w:jc w:val="center"/>
        <w:ind w:right="-3"/>
        <w:spacing w:after="0" w:line="181" w:lineRule="auto"/>
        <w:rPr>
          <w:sz w:val="20"/>
          <w:szCs w:val="20"/>
          <w:color w:val="auto"/>
        </w:rPr>
      </w:pPr>
      <w:r>
        <w:rPr>
          <w:rFonts w:ascii="Arial" w:cs="Arial" w:eastAsia="Arial" w:hAnsi="Arial"/>
          <w:sz w:val="17"/>
          <w:szCs w:val="17"/>
          <w:b w:val="1"/>
          <w:bCs w:val="1"/>
          <w:color w:val="auto"/>
        </w:rPr>
        <w:t>Reconciliation of Total Change in Adjusted EPS to Change in Constant Currency</w:t>
      </w:r>
      <w:r>
        <w:rPr>
          <w:rFonts w:ascii="Arial" w:cs="Arial" w:eastAsia="Arial" w:hAnsi="Arial"/>
          <w:sz w:val="24"/>
          <w:szCs w:val="24"/>
          <w:b w:val="1"/>
          <w:bCs w:val="1"/>
          <w:color w:val="auto"/>
          <w:vertAlign w:val="superscript"/>
        </w:rPr>
        <w:t>(1)</w:t>
      </w:r>
    </w:p>
    <w:p>
      <w:pPr>
        <w:jc w:val="center"/>
        <w:ind w:right="-3"/>
        <w:spacing w:after="0"/>
        <w:rPr>
          <w:sz w:val="20"/>
          <w:szCs w:val="20"/>
          <w:color w:val="auto"/>
        </w:rPr>
      </w:pPr>
      <w:r>
        <w:rPr>
          <w:rFonts w:ascii="Arial" w:cs="Arial" w:eastAsia="Arial" w:hAnsi="Arial"/>
          <w:sz w:val="14"/>
          <w:szCs w:val="14"/>
          <w:color w:val="auto"/>
        </w:rPr>
        <w:t>(millions of U.S. dollars, except for share and per share data)</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57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2025</w:t>
            </w:r>
          </w:p>
        </w:tc>
        <w:tc>
          <w:tcPr>
            <w:tcW w:w="4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1"/>
              <w:spacing w:after="0" w:line="155" w:lineRule="exact"/>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earnings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841</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747</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1,319</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2,207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Adjustments to remove: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Fair value adjustments*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574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acquired computer software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52</w:t>
            </w:r>
          </w:p>
        </w:tc>
        <w:tc>
          <w:tcPr>
            <w:tcW w:w="120" w:type="dxa"/>
            <w:vAlign w:val="bottom"/>
          </w:tcPr>
          <w:p>
            <w:pPr>
              <w:spacing w:after="0"/>
              <w:rPr>
                <w:sz w:val="17"/>
                <w:szCs w:val="17"/>
                <w:color w:val="auto"/>
              </w:rPr>
            </w:pPr>
          </w:p>
        </w:tc>
        <w:tc>
          <w:tcPr>
            <w:tcW w:w="8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3"/>
        </w:trPr>
        <w:tc>
          <w:tcPr>
            <w:tcW w:w="5740" w:type="dxa"/>
            <w:vAlign w:val="bottom"/>
          </w:tcPr>
          <w:p>
            <w:pPr>
              <w:ind w:left="360"/>
              <w:spacing w:after="0" w:line="202" w:lineRule="exact"/>
              <w:rPr>
                <w:sz w:val="20"/>
                <w:szCs w:val="20"/>
                <w:color w:val="auto"/>
              </w:rPr>
            </w:pPr>
            <w:r>
              <w:rPr>
                <w:rFonts w:ascii="Arial" w:cs="Arial" w:eastAsia="Arial" w:hAnsi="Arial"/>
                <w:sz w:val="18"/>
                <w:szCs w:val="18"/>
                <w:color w:val="auto"/>
              </w:rPr>
              <w:t>Other operating (gains) losses, net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8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finance costs (income)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5740" w:type="dxa"/>
            <w:vAlign w:val="bottom"/>
          </w:tcPr>
          <w:p>
            <w:pPr>
              <w:ind w:left="360"/>
              <w:spacing w:after="0" w:line="202" w:lineRule="exact"/>
              <w:rPr>
                <w:sz w:val="20"/>
                <w:szCs w:val="20"/>
                <w:color w:val="auto"/>
              </w:rPr>
            </w:pPr>
            <w:r>
              <w:rPr>
                <w:rFonts w:ascii="Arial" w:cs="Arial" w:eastAsia="Arial" w:hAnsi="Arial"/>
                <w:sz w:val="18"/>
                <w:szCs w:val="18"/>
                <w:color w:val="auto"/>
              </w:rPr>
              <w:t>Share of post-tax losses (earnings) in equity method investments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8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(61)</w:t>
            </w:r>
          </w:p>
        </w:tc>
        <w:tc>
          <w:tcPr>
            <w:tcW w:w="100" w:type="dxa"/>
            <w:vAlign w:val="bottom"/>
          </w:tcPr>
          <w:p>
            <w:pPr>
              <w:spacing w:after="0"/>
              <w:rPr>
                <w:sz w:val="17"/>
                <w:szCs w:val="17"/>
                <w:color w:val="auto"/>
              </w:rPr>
            </w:pPr>
          </w:p>
        </w:tc>
        <w:tc>
          <w:tcPr>
            <w:tcW w:w="7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Tax on above items</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5740" w:type="dxa"/>
            <w:vAlign w:val="bottom"/>
          </w:tcPr>
          <w:p>
            <w:pPr>
              <w:ind w:left="360"/>
              <w:spacing w:after="0" w:line="202" w:lineRule="exact"/>
              <w:rPr>
                <w:sz w:val="20"/>
                <w:szCs w:val="20"/>
                <w:color w:val="auto"/>
              </w:rPr>
            </w:pPr>
            <w:r>
              <w:rPr>
                <w:rFonts w:ascii="Arial" w:cs="Arial" w:eastAsia="Arial" w:hAnsi="Arial"/>
                <w:sz w:val="16"/>
                <w:szCs w:val="16"/>
                <w:color w:val="auto"/>
              </w:rPr>
              <w:t>Tax items impacting comparability</w:t>
            </w:r>
            <w:r>
              <w:rPr>
                <w:rFonts w:ascii="Arial" w:cs="Arial" w:eastAsia="Arial" w:hAnsi="Arial"/>
                <w:sz w:val="23"/>
                <w:szCs w:val="23"/>
                <w:color w:val="auto"/>
                <w:vertAlign w:val="superscript"/>
              </w:rPr>
              <w:t>(1)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8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(470)</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(481)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(Earnings) loss from discontinued operations, net of tax</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6"/>
                <w:szCs w:val="16"/>
                <w:color w:val="auto"/>
              </w:rPr>
              <w:t>Interim period effective tax rate normalization</w:t>
            </w:r>
            <w:r>
              <w:rPr>
                <w:rFonts w:ascii="Arial" w:cs="Arial" w:eastAsia="Arial" w:hAnsi="Arial"/>
                <w:sz w:val="23"/>
                <w:szCs w:val="23"/>
                <w:color w:val="auto"/>
                <w:vertAlign w:val="superscript"/>
              </w:rPr>
              <w:t>(1)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8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declared on preference shares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5740" w:type="dxa"/>
            <w:vAlign w:val="bottom"/>
          </w:tcPr>
          <w:p>
            <w:pPr>
              <w:spacing w:after="0" w:line="210" w:lineRule="exact"/>
              <w:rPr>
                <w:sz w:val="20"/>
                <w:szCs w:val="20"/>
                <w:color w:val="auto"/>
              </w:rPr>
            </w:pPr>
            <w:r>
              <w:rPr>
                <w:rFonts w:ascii="Arial" w:cs="Arial" w:eastAsia="Arial" w:hAnsi="Arial"/>
                <w:sz w:val="17"/>
                <w:szCs w:val="17"/>
                <w:b w:val="1"/>
                <w:bCs w:val="1"/>
                <w:color w:val="auto"/>
              </w:rPr>
              <w:t>Adjusted earnings</w:t>
            </w:r>
            <w:r>
              <w:rPr>
                <w:rFonts w:ascii="Arial" w:cs="Arial" w:eastAsia="Arial" w:hAnsi="Arial"/>
                <w:sz w:val="24"/>
                <w:szCs w:val="24"/>
                <w:b w:val="1"/>
                <w:bCs w:val="1"/>
                <w:color w:val="auto"/>
                <w:vertAlign w:val="superscript"/>
              </w:rPr>
              <w:t>(1)(2)</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w:t>
            </w:r>
          </w:p>
        </w:tc>
        <w:tc>
          <w:tcPr>
            <w:tcW w:w="4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spacing w:after="0" w:line="197" w:lineRule="exact"/>
              <w:rPr>
                <w:sz w:val="20"/>
                <w:szCs w:val="20"/>
                <w:color w:val="auto"/>
              </w:rPr>
            </w:pPr>
            <w:r>
              <w:rPr>
                <w:rFonts w:ascii="Arial" w:cs="Arial" w:eastAsia="Arial" w:hAnsi="Arial"/>
                <w:sz w:val="16"/>
                <w:szCs w:val="16"/>
                <w:b w:val="1"/>
                <w:bCs w:val="1"/>
                <w:color w:val="auto"/>
              </w:rPr>
              <w:t>Adjusted EPS</w:t>
            </w:r>
            <w:r>
              <w:rPr>
                <w:rFonts w:ascii="Arial" w:cs="Arial" w:eastAsia="Arial" w:hAnsi="Arial"/>
                <w:sz w:val="22"/>
                <w:szCs w:val="22"/>
                <w:b w:val="1"/>
                <w:bCs w:val="1"/>
                <w:color w:val="auto"/>
                <w:vertAlign w:val="superscript"/>
              </w:rPr>
              <w:t>(1)(2)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0.87</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b w:val="1"/>
                <w:bCs w:val="1"/>
                <w:color w:val="auto"/>
              </w:rPr>
              <w:t>0.85</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b w:val="1"/>
                <w:bCs w:val="1"/>
                <w:color w:val="auto"/>
              </w:rPr>
              <w:t>2.00</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b w:val="1"/>
                <w:bCs w:val="1"/>
                <w:color w:val="auto"/>
              </w:rPr>
              <w:t>1.97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Total change</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Constant currency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weighted-average common shares (millions)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451.2</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450.9</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7"/>
              </w:rPr>
              <w:t>451.0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7"/>
              </w:rPr>
              <w:t>451.9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Effective Tax Rate on Adjusted Earnings</w:t>
            </w:r>
            <w:r>
              <w:rPr>
                <w:rFonts w:ascii="Arial" w:cs="Arial" w:eastAsia="Arial" w:hAnsi="Arial"/>
                <w:sz w:val="26"/>
                <w:szCs w:val="26"/>
                <w:b w:val="1"/>
                <w:bCs w:val="1"/>
                <w:color w:val="auto"/>
                <w:vertAlign w:val="superscript"/>
              </w:rPr>
              <w:t>(1)</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Year-ended</w:t>
            </w:r>
          </w:p>
        </w:tc>
        <w:tc>
          <w:tcPr>
            <w:tcW w:w="0" w:type="dxa"/>
            <w:vAlign w:val="bottom"/>
          </w:tcPr>
          <w:p>
            <w:pPr>
              <w:spacing w:after="0" w:line="20" w:lineRule="exact"/>
              <w:rPr>
                <w:sz w:val="1"/>
                <w:szCs w:val="1"/>
                <w:color w:val="auto"/>
              </w:rPr>
            </w:pPr>
          </w:p>
        </w:tc>
      </w:tr>
      <w:tr>
        <w:trPr>
          <w:trHeight w:val="390"/>
        </w:trPr>
        <w:tc>
          <w:tcPr>
            <w:tcW w:w="5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57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earnings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1,701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Plus: Dividends declared on preference shares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Plus: Tax expense on adjusted earnings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b w:val="1"/>
                <w:bCs w:val="1"/>
                <w:color w:val="auto"/>
              </w:rPr>
              <w:t>Pre-tax adjusted earnings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IFRS Tax benefit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b w:val="1"/>
                <w:bCs w:val="1"/>
                <w:color w:val="auto"/>
              </w:rPr>
              <w:t>(123)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Remove tax related to:</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Amortization of acquired computer software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 of post-tax earnings in equity method investments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360"/>
              <w:spacing w:after="0" w:line="202" w:lineRule="exact"/>
              <w:rPr>
                <w:sz w:val="20"/>
                <w:szCs w:val="20"/>
                <w:color w:val="auto"/>
              </w:rPr>
            </w:pPr>
            <w:r>
              <w:rPr>
                <w:rFonts w:ascii="Arial" w:cs="Arial" w:eastAsia="Arial" w:hAnsi="Arial"/>
                <w:sz w:val="18"/>
                <w:szCs w:val="18"/>
                <w:color w:val="auto"/>
              </w:rPr>
              <w:t>Other finance income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operating gains, net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40" w:type="dxa"/>
            <w:vAlign w:val="bottom"/>
          </w:tcPr>
          <w:p>
            <w:pPr>
              <w:ind w:left="360"/>
              <w:spacing w:after="0" w:line="202" w:lineRule="exact"/>
              <w:rPr>
                <w:sz w:val="20"/>
                <w:szCs w:val="20"/>
                <w:color w:val="auto"/>
              </w:rPr>
            </w:pPr>
            <w:r>
              <w:rPr>
                <w:rFonts w:ascii="Arial" w:cs="Arial" w:eastAsia="Arial" w:hAnsi="Arial"/>
                <w:sz w:val="18"/>
                <w:szCs w:val="18"/>
                <w:color w:val="auto"/>
              </w:rPr>
              <w:t>Other items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8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Subtotal – Remove tax benefit on pre-tax items removed from adjusted earnings</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line="202" w:lineRule="exact"/>
              <w:rPr>
                <w:sz w:val="20"/>
                <w:szCs w:val="20"/>
                <w:color w:val="auto"/>
              </w:rPr>
            </w:pPr>
            <w:r>
              <w:rPr>
                <w:rFonts w:ascii="Arial" w:cs="Arial" w:eastAsia="Arial" w:hAnsi="Arial"/>
                <w:sz w:val="18"/>
                <w:szCs w:val="18"/>
                <w:color w:val="auto"/>
              </w:rPr>
              <w:t>Remove: Tax items impacting comparability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Total—Remove all items impacting comparability</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740" w:type="dxa"/>
            <w:vAlign w:val="bottom"/>
          </w:tcPr>
          <w:p>
            <w:pPr>
              <w:spacing w:after="0"/>
              <w:rPr>
                <w:sz w:val="20"/>
                <w:szCs w:val="20"/>
                <w:color w:val="auto"/>
              </w:rPr>
            </w:pPr>
            <w:r>
              <w:rPr>
                <w:rFonts w:ascii="Arial" w:cs="Arial" w:eastAsia="Arial" w:hAnsi="Arial"/>
                <w:sz w:val="18"/>
                <w:szCs w:val="18"/>
                <w:b w:val="1"/>
                <w:bCs w:val="1"/>
                <w:color w:val="auto"/>
              </w:rPr>
              <w:t>Tax expense on adjusted earnings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Effective tax rate on adjusted earnings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17.6%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424" w:hanging="424"/>
        <w:spacing w:after="0"/>
        <w:tabs>
          <w:tab w:leader="none" w:pos="424"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Fair value adjustments primarily represent gains or losses due to changes in foreign currency exchange rates on intercompany balances that arise in the ordinary</w:t>
      </w:r>
    </w:p>
    <w:p>
      <w:pPr>
        <w:spacing w:after="0" w:line="13" w:lineRule="exact"/>
        <w:rPr>
          <w:sz w:val="20"/>
          <w:szCs w:val="20"/>
          <w:color w:val="auto"/>
        </w:rPr>
      </w:pPr>
    </w:p>
    <w:p>
      <w:pPr>
        <w:ind w:left="424"/>
        <w:spacing w:after="0"/>
        <w:rPr>
          <w:sz w:val="20"/>
          <w:szCs w:val="20"/>
          <w:color w:val="auto"/>
        </w:rPr>
      </w:pPr>
      <w:r>
        <w:rPr>
          <w:rFonts w:ascii="Arial" w:cs="Arial" w:eastAsia="Arial" w:hAnsi="Arial"/>
          <w:sz w:val="14"/>
          <w:szCs w:val="14"/>
          <w:i w:val="1"/>
          <w:iCs w:val="1"/>
          <w:color w:val="auto"/>
        </w:rPr>
        <w:t>course of business, which are a component of operating expenses, as well as adjustments related to acquired deferred revenue.</w:t>
      </w:r>
    </w:p>
    <w:p>
      <w:pPr>
        <w:spacing w:after="0" w:line="1" w:lineRule="exact"/>
        <w:rPr>
          <w:sz w:val="20"/>
          <w:szCs w:val="20"/>
          <w:color w:val="auto"/>
        </w:rPr>
      </w:pPr>
    </w:p>
    <w:p>
      <w:pPr>
        <w:ind w:left="424" w:hanging="424"/>
        <w:spacing w:after="0"/>
        <w:tabs>
          <w:tab w:leader="none" w:pos="424"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Refer to page 24 for additional information on non-IFRS financial measures.</w:t>
      </w:r>
    </w:p>
    <w:p>
      <w:pPr>
        <w:spacing w:after="0" w:line="1" w:lineRule="exact"/>
        <w:rPr>
          <w:rFonts w:ascii="Arial" w:cs="Arial" w:eastAsia="Arial" w:hAnsi="Arial"/>
          <w:sz w:val="14"/>
          <w:szCs w:val="14"/>
          <w:color w:val="auto"/>
        </w:rPr>
      </w:pPr>
    </w:p>
    <w:p>
      <w:pPr>
        <w:ind w:left="424" w:right="20" w:hanging="424"/>
        <w:spacing w:after="0" w:line="264" w:lineRule="auto"/>
        <w:tabs>
          <w:tab w:leader="none" w:pos="424"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adjusted earnings impact of non-controlling interests, which was applicable to the six-month period ended June 30, 2024 and the year-ended December 31, 2024, was not material.</w:t>
      </w:r>
    </w:p>
    <w:p>
      <w:pPr>
        <w:sectPr>
          <w:pgSz w:w="11900" w:h="16838" w:orient="portrait"/>
          <w:cols w:equalWidth="0" w:num="1">
            <w:col w:w="11024"/>
          </w:cols>
          <w:pgMar w:left="436" w:top="1201" w:right="43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6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18 of 24</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Thomson Reuters Corporation</w:t>
      </w:r>
    </w:p>
    <w:p>
      <w:pPr>
        <w:jc w:val="center"/>
        <w:ind w:right="-3"/>
        <w:spacing w:after="0" w:line="185" w:lineRule="auto"/>
        <w:rPr>
          <w:sz w:val="20"/>
          <w:szCs w:val="20"/>
          <w:color w:val="auto"/>
        </w:rPr>
      </w:pPr>
      <w:r>
        <w:rPr>
          <w:rFonts w:ascii="Arial" w:cs="Arial" w:eastAsia="Arial" w:hAnsi="Arial"/>
          <w:sz w:val="17"/>
          <w:szCs w:val="17"/>
          <w:b w:val="1"/>
          <w:bCs w:val="1"/>
          <w:color w:val="auto"/>
        </w:rPr>
        <w:t>Reconciliation of Changes in Revenues to Changes in Revenues on a Constant Currency</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 xml:space="preserve"> and Organic Basis</w:t>
      </w:r>
      <w:r>
        <w:rPr>
          <w:rFonts w:ascii="Arial" w:cs="Arial" w:eastAsia="Arial" w:hAnsi="Arial"/>
          <w:sz w:val="25"/>
          <w:szCs w:val="25"/>
          <w:b w:val="1"/>
          <w:bCs w:val="1"/>
          <w:color w:val="auto"/>
          <w:vertAlign w:val="superscript"/>
        </w:rPr>
        <w:t>(1)</w:t>
      </w:r>
    </w:p>
    <w:p>
      <w:pPr>
        <w:jc w:val="center"/>
        <w:ind w:right="-3"/>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9"/>
              </w:rPr>
              <w:t>SUBTOTAL</w:t>
            </w:r>
          </w:p>
        </w:tc>
        <w:tc>
          <w:tcPr>
            <w:tcW w:w="130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rPr>
              <w:t>Net</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2"/>
          </w:tcPr>
          <w:p>
            <w:pPr>
              <w:jc w:val="right"/>
              <w:ind w:right="480"/>
              <w:spacing w:after="0" w:line="147" w:lineRule="exact"/>
              <w:rPr>
                <w:sz w:val="20"/>
                <w:szCs w:val="20"/>
                <w:color w:val="auto"/>
              </w:rPr>
            </w:pPr>
            <w:r>
              <w:rPr>
                <w:rFonts w:ascii="Arial" w:cs="Arial" w:eastAsia="Arial" w:hAnsi="Arial"/>
                <w:sz w:val="14"/>
                <w:szCs w:val="14"/>
                <w:b w:val="1"/>
                <w:bCs w:val="1"/>
                <w:color w:val="auto"/>
              </w:rPr>
              <w:t>Foreign</w:t>
            </w:r>
          </w:p>
        </w:tc>
        <w:tc>
          <w:tcPr>
            <w:tcW w:w="7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Constant</w:t>
            </w:r>
          </w:p>
        </w:tc>
        <w:tc>
          <w:tcPr>
            <w:tcW w:w="400" w:type="dxa"/>
            <w:vAlign w:val="bottom"/>
          </w:tcPr>
          <w:p>
            <w:pPr>
              <w:spacing w:after="0"/>
              <w:rPr>
                <w:sz w:val="12"/>
                <w:szCs w:val="12"/>
                <w:color w:val="auto"/>
              </w:rPr>
            </w:pPr>
          </w:p>
        </w:tc>
        <w:tc>
          <w:tcPr>
            <w:tcW w:w="130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Acquisitions/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91"/>
              <w:spacing w:after="0"/>
              <w:rPr>
                <w:sz w:val="20"/>
                <w:szCs w:val="20"/>
                <w:color w:val="auto"/>
              </w:rPr>
            </w:pPr>
            <w:r>
              <w:rPr>
                <w:rFonts w:ascii="Arial" w:cs="Arial" w:eastAsia="Arial" w:hAnsi="Arial"/>
                <w:sz w:val="14"/>
                <w:szCs w:val="14"/>
                <w:b w:val="1"/>
                <w:bCs w:val="1"/>
                <w:color w:val="auto"/>
                <w:w w:val="96"/>
              </w:rPr>
              <w:t>2024</w:t>
            </w:r>
          </w:p>
        </w:tc>
        <w:tc>
          <w:tcPr>
            <w:tcW w:w="30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Total</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Currency</w:t>
            </w: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Currency</w:t>
            </w: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(Disposals)</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Organic</w:t>
            </w:r>
          </w:p>
        </w:tc>
        <w:tc>
          <w:tcPr>
            <w:tcW w:w="0" w:type="dxa"/>
            <w:vAlign w:val="bottom"/>
          </w:tcPr>
          <w:p>
            <w:pPr>
              <w:spacing w:after="0"/>
              <w:rPr>
                <w:sz w:val="1"/>
                <w:szCs w:val="1"/>
                <w:color w:val="auto"/>
              </w:rPr>
            </w:pPr>
          </w:p>
        </w:tc>
      </w:tr>
      <w:tr>
        <w:trPr>
          <w:trHeight w:val="163"/>
        </w:trPr>
        <w:tc>
          <w:tcPr>
            <w:tcW w:w="13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7"/>
              </w:rPr>
              <w:t>Total Revenues</w:t>
            </w:r>
          </w:p>
        </w:tc>
        <w:tc>
          <w:tcPr>
            <w:tcW w:w="27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4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709</w:t>
            </w:r>
          </w:p>
        </w:tc>
        <w:tc>
          <w:tcPr>
            <w:tcW w:w="16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727</w:t>
            </w:r>
          </w:p>
        </w:tc>
        <w:tc>
          <w:tcPr>
            <w:tcW w:w="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40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472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442</w:t>
            </w:r>
          </w:p>
        </w:tc>
        <w:tc>
          <w:tcPr>
            <w:tcW w:w="7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w:t>
            </w:r>
          </w:p>
        </w:tc>
        <w:tc>
          <w:tcPr>
            <w:tcW w:w="106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40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277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300" w:type="dxa"/>
            <w:vAlign w:val="bottom"/>
          </w:tcPr>
          <w:p>
            <w:pPr>
              <w:spacing w:after="0"/>
              <w:rPr>
                <w:sz w:val="17"/>
                <w:szCs w:val="17"/>
                <w:color w:val="auto"/>
              </w:rPr>
            </w:pPr>
          </w:p>
        </w:tc>
        <w:tc>
          <w:tcPr>
            <w:tcW w:w="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w:t>
            </w: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1,458</w:t>
            </w:r>
          </w:p>
        </w:tc>
        <w:tc>
          <w:tcPr>
            <w:tcW w:w="1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1,419</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w:t>
            </w:r>
          </w:p>
        </w:tc>
        <w:tc>
          <w:tcPr>
            <w:tcW w:w="106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40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Reuters News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205</w:t>
            </w:r>
          </w:p>
        </w:tc>
        <w:tc>
          <w:tcPr>
            <w:tcW w:w="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w:t>
            </w: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0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Global Print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123</w:t>
            </w:r>
          </w:p>
        </w:tc>
        <w:tc>
          <w:tcPr>
            <w:tcW w:w="7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w:t>
            </w:r>
          </w:p>
        </w:tc>
        <w:tc>
          <w:tcPr>
            <w:tcW w:w="106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40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Eliminations/Rounding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Revenues</w:t>
            </w: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1,785</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1,740</w:t>
            </w:r>
          </w:p>
        </w:tc>
        <w:tc>
          <w:tcPr>
            <w:tcW w:w="7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3%</w:t>
            </w:r>
          </w:p>
        </w:tc>
        <w:tc>
          <w:tcPr>
            <w:tcW w:w="106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0%</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2%</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-5%</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40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Recurring Revenues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689</w:t>
            </w:r>
          </w:p>
        </w:tc>
        <w:tc>
          <w:tcPr>
            <w:tcW w:w="1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702</w:t>
            </w:r>
          </w:p>
        </w:tc>
        <w:tc>
          <w:tcPr>
            <w:tcW w:w="7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106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40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Corporates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382</w:t>
            </w:r>
          </w:p>
        </w:tc>
        <w:tc>
          <w:tcPr>
            <w:tcW w:w="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w:t>
            </w: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40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w:t>
            </w:r>
          </w:p>
        </w:tc>
        <w:tc>
          <w:tcPr>
            <w:tcW w:w="106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080" w:type="dxa"/>
            <w:vAlign w:val="bottom"/>
            <w:gridSpan w:val="4"/>
            <w:vMerge w:val="restart"/>
          </w:tcPr>
          <w:p>
            <w:pPr>
              <w:ind w:left="360"/>
              <w:spacing w:after="0" w:line="230" w:lineRule="exact"/>
              <w:rPr>
                <w:sz w:val="20"/>
                <w:szCs w:val="20"/>
                <w:color w:val="auto"/>
              </w:rPr>
            </w:pPr>
            <w:r>
              <w:rPr>
                <w:rFonts w:ascii="Arial" w:cs="Arial" w:eastAsia="Arial" w:hAnsi="Arial"/>
                <w:sz w:val="18"/>
                <w:szCs w:val="18"/>
                <w:color w:val="auto"/>
              </w:rPr>
              <w:t>“Big 3” Segments Combined</w:t>
            </w:r>
            <w:r>
              <w:rPr>
                <w:rFonts w:ascii="Arial" w:cs="Arial" w:eastAsia="Arial" w:hAnsi="Arial"/>
                <w:sz w:val="26"/>
                <w:szCs w:val="26"/>
                <w:color w:val="auto"/>
                <w:vertAlign w:val="superscript"/>
              </w:rPr>
              <w:t>(1)</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1,292</w:t>
            </w:r>
          </w:p>
        </w:tc>
        <w:tc>
          <w:tcPr>
            <w:tcW w:w="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1,263</w:t>
            </w:r>
          </w:p>
        </w:tc>
        <w:tc>
          <w:tcPr>
            <w:tcW w:w="300" w:type="dxa"/>
            <w:vAlign w:val="bottom"/>
            <w:vMerge w:val="continue"/>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40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Reuters News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164</w:t>
            </w:r>
          </w:p>
        </w:tc>
        <w:tc>
          <w:tcPr>
            <w:tcW w:w="7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w:t>
            </w:r>
          </w:p>
        </w:tc>
        <w:tc>
          <w:tcPr>
            <w:tcW w:w="106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40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Eliminations/Rounding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Recurring Revenues</w:t>
            </w: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1,463</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1,420</w:t>
            </w:r>
          </w:p>
        </w:tc>
        <w:tc>
          <w:tcPr>
            <w:tcW w:w="7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3%</w:t>
            </w:r>
          </w:p>
        </w:tc>
        <w:tc>
          <w:tcPr>
            <w:tcW w:w="106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0%</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3%</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-6%</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40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Transactions Revenues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8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0" w:type="dxa"/>
            <w:vAlign w:val="bottom"/>
            <w:tcBorders>
              <w:top w:val="single" w:sz="8" w:color="auto"/>
            </w:tcBorders>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20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25</w:t>
            </w:r>
          </w:p>
        </w:tc>
        <w:tc>
          <w:tcPr>
            <w:tcW w:w="7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w:t>
            </w:r>
          </w:p>
        </w:tc>
        <w:tc>
          <w:tcPr>
            <w:tcW w:w="106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-22%</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40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Corporates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60</w:t>
            </w:r>
          </w:p>
        </w:tc>
        <w:tc>
          <w:tcPr>
            <w:tcW w:w="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0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w:t>
            </w:r>
          </w:p>
        </w:tc>
        <w:tc>
          <w:tcPr>
            <w:tcW w:w="1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w:t>
            </w:r>
          </w:p>
        </w:tc>
        <w:tc>
          <w:tcPr>
            <w:tcW w:w="106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23%</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080" w:type="dxa"/>
            <w:vAlign w:val="bottom"/>
            <w:gridSpan w:val="4"/>
            <w:vMerge w:val="restart"/>
          </w:tcPr>
          <w:p>
            <w:pPr>
              <w:ind w:left="360"/>
              <w:spacing w:after="0" w:line="230" w:lineRule="exact"/>
              <w:rPr>
                <w:sz w:val="20"/>
                <w:szCs w:val="20"/>
                <w:color w:val="auto"/>
              </w:rPr>
            </w:pPr>
            <w:r>
              <w:rPr>
                <w:rFonts w:ascii="Arial" w:cs="Arial" w:eastAsia="Arial" w:hAnsi="Arial"/>
                <w:sz w:val="18"/>
                <w:szCs w:val="18"/>
                <w:color w:val="auto"/>
              </w:rPr>
              <w:t>“Big 3” Segments Combined</w:t>
            </w:r>
            <w:r>
              <w:rPr>
                <w:rFonts w:ascii="Arial" w:cs="Arial" w:eastAsia="Arial" w:hAnsi="Arial"/>
                <w:sz w:val="26"/>
                <w:szCs w:val="26"/>
                <w:color w:val="auto"/>
                <w:vertAlign w:val="superscript"/>
              </w:rPr>
              <w:t>(1)</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8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166</w:t>
            </w:r>
          </w:p>
        </w:tc>
        <w:tc>
          <w:tcPr>
            <w:tcW w:w="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156</w:t>
            </w:r>
          </w:p>
        </w:tc>
        <w:tc>
          <w:tcPr>
            <w:tcW w:w="300" w:type="dxa"/>
            <w:vAlign w:val="bottom"/>
            <w:vMerge w:val="continue"/>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40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Reuters News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1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w:t>
            </w:r>
          </w:p>
        </w:tc>
        <w:tc>
          <w:tcPr>
            <w:tcW w:w="1060" w:type="dxa"/>
            <w:vAlign w:val="bottom"/>
            <w:tcBorders>
              <w:right w:val="single" w:sz="8" w:color="CCEEFF"/>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0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Transactions Revenues</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4"/>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208</w:t>
            </w:r>
          </w:p>
        </w:tc>
        <w:tc>
          <w:tcPr>
            <w:tcW w:w="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197</w:t>
            </w:r>
          </w:p>
        </w:tc>
        <w:tc>
          <w:tcPr>
            <w:tcW w:w="300" w:type="dxa"/>
            <w:vAlign w:val="bottom"/>
            <w:vMerge w:val="continue"/>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jc w:val="both"/>
        <w:ind w:left="4" w:right="40"/>
        <w:spacing w:after="0" w:line="282" w:lineRule="auto"/>
        <w:rPr>
          <w:sz w:val="20"/>
          <w:szCs w:val="20"/>
          <w:color w:val="auto"/>
        </w:rPr>
      </w:pPr>
      <w:r>
        <w:rPr>
          <w:rFonts w:ascii="Arial" w:cs="Arial" w:eastAsia="Arial" w:hAnsi="Arial"/>
          <w:sz w:val="14"/>
          <w:szCs w:val="14"/>
          <w:i w:val="1"/>
          <w:iCs w:val="1"/>
          <w:color w:val="auto"/>
        </w:rPr>
        <w:t>Growth percentages are computed using whole dollars. As a result, percentages calculated from reported amounts may differ from those presented, and growth components may not total due to rounding.</w:t>
      </w:r>
    </w:p>
    <w:p>
      <w:pPr>
        <w:spacing w:after="0" w:line="65" w:lineRule="exact"/>
        <w:rPr>
          <w:sz w:val="20"/>
          <w:szCs w:val="20"/>
          <w:color w:val="auto"/>
        </w:rPr>
      </w:pPr>
    </w:p>
    <w:p>
      <w:pPr>
        <w:ind w:left="424" w:hanging="424"/>
        <w:spacing w:after="0"/>
        <w:tabs>
          <w:tab w:leader="none" w:pos="424"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Refer to page 24 for additional information on non-IFRS financial measures.</w:t>
      </w:r>
    </w:p>
    <w:p>
      <w:pPr>
        <w:sectPr>
          <w:pgSz w:w="11900" w:h="16838" w:orient="portrait"/>
          <w:cols w:equalWidth="0" w:num="1">
            <w:col w:w="11024"/>
          </w:cols>
          <w:pgMar w:left="436" w:top="1201" w:right="439" w:bottom="1440" w:gutter="0" w:footer="0" w:header="0"/>
        </w:sectPr>
      </w:pPr>
    </w:p>
    <w:bookmarkStart w:id="21" w:name="page22"/>
    <w:bookmarkEnd w:id="2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6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19 of 24</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Thomson Reuters Corporation</w:t>
      </w:r>
    </w:p>
    <w:p>
      <w:pPr>
        <w:jc w:val="center"/>
        <w:ind w:right="-3"/>
        <w:spacing w:after="0" w:line="185" w:lineRule="auto"/>
        <w:rPr>
          <w:sz w:val="20"/>
          <w:szCs w:val="20"/>
          <w:color w:val="auto"/>
        </w:rPr>
      </w:pPr>
      <w:r>
        <w:rPr>
          <w:rFonts w:ascii="Arial" w:cs="Arial" w:eastAsia="Arial" w:hAnsi="Arial"/>
          <w:sz w:val="17"/>
          <w:szCs w:val="17"/>
          <w:b w:val="1"/>
          <w:bCs w:val="1"/>
          <w:color w:val="auto"/>
        </w:rPr>
        <w:t>Reconciliation of Changes in Revenues to Changes in Revenues on a Constant Currency</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 xml:space="preserve"> and Organic Basis</w:t>
      </w:r>
      <w:r>
        <w:rPr>
          <w:rFonts w:ascii="Arial" w:cs="Arial" w:eastAsia="Arial" w:hAnsi="Arial"/>
          <w:sz w:val="25"/>
          <w:szCs w:val="25"/>
          <w:b w:val="1"/>
          <w:bCs w:val="1"/>
          <w:color w:val="auto"/>
          <w:vertAlign w:val="superscript"/>
        </w:rPr>
        <w:t>(1)</w:t>
      </w:r>
    </w:p>
    <w:p>
      <w:pPr>
        <w:jc w:val="center"/>
        <w:ind w:right="-3"/>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9"/>
          </w:tcPr>
          <w:p>
            <w:pPr>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SUBTOTAL</w:t>
            </w:r>
          </w:p>
        </w:tc>
        <w:tc>
          <w:tcPr>
            <w:tcW w:w="1300" w:type="dxa"/>
            <w:vAlign w:val="bottom"/>
            <w:tcBorders>
              <w:top w:val="single" w:sz="8" w:color="auto"/>
            </w:tcBorders>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rPr>
              <w:t>Net</w:t>
            </w: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480"/>
              <w:spacing w:after="0" w:line="147" w:lineRule="exact"/>
              <w:rPr>
                <w:sz w:val="20"/>
                <w:szCs w:val="20"/>
                <w:color w:val="auto"/>
              </w:rPr>
            </w:pPr>
            <w:r>
              <w:rPr>
                <w:rFonts w:ascii="Arial" w:cs="Arial" w:eastAsia="Arial" w:hAnsi="Arial"/>
                <w:sz w:val="14"/>
                <w:szCs w:val="14"/>
                <w:b w:val="1"/>
                <w:bCs w:val="1"/>
                <w:color w:val="auto"/>
              </w:rPr>
              <w:t>Foreign</w:t>
            </w:r>
          </w:p>
        </w:tc>
        <w:tc>
          <w:tcPr>
            <w:tcW w:w="780" w:type="dxa"/>
            <w:vAlign w:val="bottom"/>
            <w:tcBorders>
              <w:top w:val="single" w:sz="8" w:color="auto"/>
            </w:tcBorders>
            <w:gridSpan w:val="2"/>
          </w:tcPr>
          <w:p>
            <w:pPr>
              <w:ind w:left="60"/>
              <w:spacing w:after="0" w:line="147" w:lineRule="exact"/>
              <w:rPr>
                <w:sz w:val="20"/>
                <w:szCs w:val="20"/>
                <w:color w:val="auto"/>
              </w:rPr>
            </w:pPr>
            <w:r>
              <w:rPr>
                <w:rFonts w:ascii="Arial" w:cs="Arial" w:eastAsia="Arial" w:hAnsi="Arial"/>
                <w:sz w:val="14"/>
                <w:szCs w:val="14"/>
                <w:b w:val="1"/>
                <w:bCs w:val="1"/>
                <w:color w:val="auto"/>
              </w:rPr>
              <w:t>Constant</w:t>
            </w:r>
          </w:p>
        </w:tc>
        <w:tc>
          <w:tcPr>
            <w:tcW w:w="400" w:type="dxa"/>
            <w:vAlign w:val="bottom"/>
          </w:tcPr>
          <w:p>
            <w:pPr>
              <w:spacing w:after="0"/>
              <w:rPr>
                <w:sz w:val="12"/>
                <w:szCs w:val="12"/>
                <w:color w:val="auto"/>
              </w:rPr>
            </w:pPr>
          </w:p>
        </w:tc>
        <w:tc>
          <w:tcPr>
            <w:tcW w:w="130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Acquisitions/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Currency</w:t>
            </w: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Currency</w:t>
            </w: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(Disposals)</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Organic</w:t>
            </w:r>
          </w:p>
        </w:tc>
        <w:tc>
          <w:tcPr>
            <w:tcW w:w="0" w:type="dxa"/>
            <w:vAlign w:val="bottom"/>
          </w:tcPr>
          <w:p>
            <w:pPr>
              <w:spacing w:after="0"/>
              <w:rPr>
                <w:sz w:val="1"/>
                <w:szCs w:val="1"/>
                <w:color w:val="auto"/>
              </w:rPr>
            </w:pPr>
          </w:p>
        </w:tc>
      </w:tr>
      <w:tr>
        <w:trPr>
          <w:trHeight w:val="163"/>
        </w:trPr>
        <w:tc>
          <w:tcPr>
            <w:tcW w:w="13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7"/>
              </w:rPr>
              <w:t>Total Revenues</w:t>
            </w:r>
          </w:p>
        </w:tc>
        <w:tc>
          <w:tcPr>
            <w:tcW w:w="264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4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440" w:type="dxa"/>
            <w:vAlign w:val="bottom"/>
            <w:tcBorders>
              <w:top w:val="single" w:sz="8" w:color="CCEEFF"/>
              <w:left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6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920" w:type="dxa"/>
            <w:vAlign w:val="bottom"/>
            <w:gridSpan w:val="6"/>
          </w:tcPr>
          <w:p>
            <w:pPr>
              <w:jc w:val="right"/>
              <w:ind w:right="100"/>
              <w:spacing w:after="0" w:line="202" w:lineRule="exact"/>
              <w:rPr>
                <w:sz w:val="20"/>
                <w:szCs w:val="20"/>
                <w:color w:val="auto"/>
              </w:rPr>
            </w:pPr>
            <w:r>
              <w:rPr>
                <w:rFonts w:ascii="Arial" w:cs="Arial" w:eastAsia="Arial" w:hAnsi="Arial"/>
                <w:sz w:val="18"/>
                <w:szCs w:val="18"/>
                <w:color w:val="auto"/>
              </w:rPr>
              <w:t>$1,402</w:t>
            </w:r>
          </w:p>
        </w:tc>
        <w:tc>
          <w:tcPr>
            <w:tcW w:w="920" w:type="dxa"/>
            <w:vAlign w:val="bottom"/>
            <w:gridSpan w:val="5"/>
          </w:tcPr>
          <w:p>
            <w:pPr>
              <w:jc w:val="right"/>
              <w:ind w:right="140"/>
              <w:spacing w:after="0" w:line="202" w:lineRule="exact"/>
              <w:rPr>
                <w:sz w:val="20"/>
                <w:szCs w:val="20"/>
                <w:color w:val="auto"/>
              </w:rPr>
            </w:pPr>
            <w:r>
              <w:rPr>
                <w:rFonts w:ascii="Arial" w:cs="Arial" w:eastAsia="Arial" w:hAnsi="Arial"/>
                <w:sz w:val="18"/>
                <w:szCs w:val="18"/>
                <w:color w:val="auto"/>
              </w:rPr>
              <w:t>$1,448</w:t>
            </w:r>
          </w:p>
        </w:tc>
        <w:tc>
          <w:tcPr>
            <w:tcW w:w="78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118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0%</w:t>
            </w:r>
          </w:p>
        </w:tc>
        <w:tc>
          <w:tcPr>
            <w:tcW w:w="11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96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1,013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949</w:t>
            </w:r>
          </w:p>
        </w:tc>
        <w:tc>
          <w:tcPr>
            <w:tcW w:w="78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1180" w:type="dxa"/>
            <w:vAlign w:val="bottom"/>
            <w:tcBorders>
              <w:right w:val="single" w:sz="8" w:color="CCEEFF"/>
            </w:tcBorders>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w:t>
            </w:r>
          </w:p>
        </w:tc>
        <w:tc>
          <w:tcPr>
            <w:tcW w:w="1180" w:type="dxa"/>
            <w:vAlign w:val="bottom"/>
            <w:tcBorders>
              <w:right w:val="single" w:sz="8" w:color="CCEEFF"/>
            </w:tcBorders>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96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118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1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12%</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3,052</w:t>
            </w:r>
          </w:p>
        </w:tc>
        <w:tc>
          <w:tcPr>
            <w:tcW w:w="10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2,975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1180" w:type="dxa"/>
            <w:vAlign w:val="bottom"/>
            <w:tcBorders>
              <w:right w:val="single" w:sz="8" w:color="CCEEFF"/>
            </w:tcBorders>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1180" w:type="dxa"/>
            <w:vAlign w:val="bottom"/>
            <w:tcBorders>
              <w:right w:val="single" w:sz="8" w:color="CCEEFF"/>
            </w:tcBorders>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96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Reuters News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414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415</w:t>
            </w:r>
          </w:p>
        </w:tc>
        <w:tc>
          <w:tcPr>
            <w:tcW w:w="78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0%</w:t>
            </w:r>
          </w:p>
        </w:tc>
        <w:tc>
          <w:tcPr>
            <w:tcW w:w="118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11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96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Global Print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247</w:t>
            </w:r>
          </w:p>
        </w:tc>
        <w:tc>
          <w:tcPr>
            <w:tcW w:w="78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1180" w:type="dxa"/>
            <w:vAlign w:val="bottom"/>
            <w:tcBorders>
              <w:right w:val="single" w:sz="8" w:color="CCEEFF"/>
            </w:tcBorders>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w:t>
            </w:r>
          </w:p>
        </w:tc>
        <w:tc>
          <w:tcPr>
            <w:tcW w:w="1180" w:type="dxa"/>
            <w:vAlign w:val="bottom"/>
            <w:tcBorders>
              <w:right w:val="single" w:sz="8" w:color="CCEEFF"/>
            </w:tcBorders>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396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Eliminations/Rounding</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Revenues</w:t>
            </w:r>
          </w:p>
        </w:tc>
        <w:tc>
          <w:tcPr>
            <w:tcW w:w="24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3,685</w:t>
            </w:r>
          </w:p>
        </w:tc>
        <w:tc>
          <w:tcPr>
            <w:tcW w:w="10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3,625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2%</w:t>
            </w:r>
          </w:p>
        </w:tc>
        <w:tc>
          <w:tcPr>
            <w:tcW w:w="1180" w:type="dxa"/>
            <w:vAlign w:val="bottom"/>
            <w:tcBorders>
              <w:right w:val="single" w:sz="8" w:color="CCEEFF"/>
            </w:tcBorders>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0%</w:t>
            </w:r>
          </w:p>
        </w:tc>
        <w:tc>
          <w:tcPr>
            <w:tcW w:w="1180" w:type="dxa"/>
            <w:vAlign w:val="bottom"/>
            <w:tcBorders>
              <w:right w:val="single" w:sz="8" w:color="CCEEFF"/>
            </w:tcBorders>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2%</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-5%</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39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Recurring Revenues</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920" w:type="dxa"/>
            <w:vAlign w:val="bottom"/>
            <w:gridSpan w:val="6"/>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$1,364</w:t>
            </w:r>
          </w:p>
        </w:tc>
        <w:tc>
          <w:tcPr>
            <w:tcW w:w="920" w:type="dxa"/>
            <w:vAlign w:val="bottom"/>
            <w:gridSpan w:val="5"/>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$1,400</w:t>
            </w:r>
          </w:p>
        </w:tc>
        <w:tc>
          <w:tcPr>
            <w:tcW w:w="78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1180" w:type="dxa"/>
            <w:vAlign w:val="bottom"/>
            <w:tcBorders>
              <w:right w:val="single" w:sz="8" w:color="CCEEFF"/>
            </w:tcBorders>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w:t>
            </w:r>
          </w:p>
        </w:tc>
        <w:tc>
          <w:tcPr>
            <w:tcW w:w="1180" w:type="dxa"/>
            <w:vAlign w:val="bottom"/>
            <w:tcBorders>
              <w:right w:val="single" w:sz="8" w:color="CCEEFF"/>
            </w:tcBorders>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96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Corporates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813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752</w:t>
            </w:r>
          </w:p>
        </w:tc>
        <w:tc>
          <w:tcPr>
            <w:tcW w:w="78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118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0%</w:t>
            </w:r>
          </w:p>
        </w:tc>
        <w:tc>
          <w:tcPr>
            <w:tcW w:w="11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8%</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396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1180" w:type="dxa"/>
            <w:vAlign w:val="bottom"/>
            <w:tcBorders>
              <w:right w:val="single" w:sz="8" w:color="CCEEFF"/>
            </w:tcBorders>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w:t>
            </w:r>
          </w:p>
        </w:tc>
        <w:tc>
          <w:tcPr>
            <w:tcW w:w="1180" w:type="dxa"/>
            <w:vAlign w:val="bottom"/>
            <w:tcBorders>
              <w:right w:val="single" w:sz="8" w:color="CCEEFF"/>
            </w:tcBorders>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960" w:type="dxa"/>
            <w:vAlign w:val="bottom"/>
            <w:gridSpan w:val="4"/>
            <w:vMerge w:val="restart"/>
          </w:tcPr>
          <w:p>
            <w:pPr>
              <w:ind w:left="360"/>
              <w:spacing w:after="0" w:line="230" w:lineRule="exact"/>
              <w:rPr>
                <w:sz w:val="20"/>
                <w:szCs w:val="20"/>
                <w:color w:val="auto"/>
              </w:rPr>
            </w:pPr>
            <w:r>
              <w:rPr>
                <w:rFonts w:ascii="Arial" w:cs="Arial" w:eastAsia="Arial" w:hAnsi="Arial"/>
                <w:sz w:val="18"/>
                <w:szCs w:val="18"/>
                <w:color w:val="auto"/>
              </w:rPr>
              <w:t>“Big 3” Segments Combined</w:t>
            </w:r>
            <w:r>
              <w:rPr>
                <w:rFonts w:ascii="Arial" w:cs="Arial" w:eastAsia="Arial" w:hAnsi="Arial"/>
                <w:sz w:val="26"/>
                <w:szCs w:val="26"/>
                <w:color w:val="auto"/>
                <w:vertAlign w:val="superscript"/>
              </w:rPr>
              <w:t>(1)</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2,574</w:t>
            </w:r>
          </w:p>
        </w:tc>
        <w:tc>
          <w:tcPr>
            <w:tcW w:w="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2,530</w:t>
            </w:r>
          </w:p>
        </w:tc>
        <w:tc>
          <w:tcPr>
            <w:tcW w:w="14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vMerge w:val="continue"/>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2%</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96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Reuters News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328</w:t>
            </w:r>
          </w:p>
        </w:tc>
        <w:tc>
          <w:tcPr>
            <w:tcW w:w="78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1180" w:type="dxa"/>
            <w:vAlign w:val="bottom"/>
            <w:tcBorders>
              <w:right w:val="single" w:sz="8" w:color="CCEEFF"/>
            </w:tcBorders>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w:t>
            </w:r>
          </w:p>
        </w:tc>
        <w:tc>
          <w:tcPr>
            <w:tcW w:w="1180" w:type="dxa"/>
            <w:vAlign w:val="bottom"/>
            <w:tcBorders>
              <w:right w:val="single" w:sz="8" w:color="CCEEFF"/>
            </w:tcBorders>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396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Eliminations/Rounding</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Recurring Revenues</w:t>
            </w:r>
          </w:p>
        </w:tc>
        <w:tc>
          <w:tcPr>
            <w:tcW w:w="24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2,914</w:t>
            </w:r>
          </w:p>
        </w:tc>
        <w:tc>
          <w:tcPr>
            <w:tcW w:w="10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2,846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2%</w:t>
            </w:r>
          </w:p>
        </w:tc>
        <w:tc>
          <w:tcPr>
            <w:tcW w:w="1180" w:type="dxa"/>
            <w:vAlign w:val="bottom"/>
            <w:tcBorders>
              <w:right w:val="single" w:sz="8" w:color="CCEEFF"/>
            </w:tcBorders>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0%</w:t>
            </w:r>
          </w:p>
        </w:tc>
        <w:tc>
          <w:tcPr>
            <w:tcW w:w="1180" w:type="dxa"/>
            <w:vAlign w:val="bottom"/>
            <w:tcBorders>
              <w:right w:val="single" w:sz="8" w:color="CCEEFF"/>
            </w:tcBorders>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3%</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-6%</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39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Transactions Revenues</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96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0" w:type="dxa"/>
            <w:vAlign w:val="bottom"/>
            <w:tcBorders>
              <w:top w:val="single" w:sz="8" w:color="auto"/>
            </w:tcBorders>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9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center"/>
              <w:ind w:left="152"/>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48</w:t>
            </w:r>
          </w:p>
        </w:tc>
        <w:tc>
          <w:tcPr>
            <w:tcW w:w="78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w:t>
            </w:r>
          </w:p>
        </w:tc>
        <w:tc>
          <w:tcPr>
            <w:tcW w:w="1180" w:type="dxa"/>
            <w:vAlign w:val="bottom"/>
            <w:tcBorders>
              <w:right w:val="single" w:sz="8" w:color="CCEEFF"/>
            </w:tcBorders>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1180" w:type="dxa"/>
            <w:vAlign w:val="bottom"/>
            <w:tcBorders>
              <w:right w:val="single" w:sz="8" w:color="CCEEFF"/>
            </w:tcBorders>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-23%</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396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Corporates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197</w:t>
            </w:r>
          </w:p>
        </w:tc>
        <w:tc>
          <w:tcPr>
            <w:tcW w:w="78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18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0%</w:t>
            </w:r>
          </w:p>
        </w:tc>
        <w:tc>
          <w:tcPr>
            <w:tcW w:w="11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396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w:t>
            </w:r>
          </w:p>
        </w:tc>
        <w:tc>
          <w:tcPr>
            <w:tcW w:w="1180" w:type="dxa"/>
            <w:vAlign w:val="bottom"/>
            <w:tcBorders>
              <w:right w:val="single" w:sz="8" w:color="CCEEFF"/>
            </w:tcBorders>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1180" w:type="dxa"/>
            <w:vAlign w:val="bottom"/>
            <w:tcBorders>
              <w:right w:val="single" w:sz="8" w:color="CCEEFF"/>
            </w:tcBorders>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960" w:type="dxa"/>
            <w:vAlign w:val="bottom"/>
            <w:gridSpan w:val="4"/>
            <w:vMerge w:val="restart"/>
          </w:tcPr>
          <w:p>
            <w:pPr>
              <w:ind w:left="360"/>
              <w:spacing w:after="0" w:line="230" w:lineRule="exact"/>
              <w:rPr>
                <w:sz w:val="20"/>
                <w:szCs w:val="20"/>
                <w:color w:val="auto"/>
              </w:rPr>
            </w:pPr>
            <w:r>
              <w:rPr>
                <w:rFonts w:ascii="Arial" w:cs="Arial" w:eastAsia="Arial" w:hAnsi="Arial"/>
                <w:sz w:val="18"/>
                <w:szCs w:val="18"/>
                <w:color w:val="auto"/>
              </w:rPr>
              <w:t>“Big 3” Segments Combined</w:t>
            </w:r>
            <w:r>
              <w:rPr>
                <w:rFonts w:ascii="Arial" w:cs="Arial" w:eastAsia="Arial" w:hAnsi="Arial"/>
                <w:sz w:val="26"/>
                <w:szCs w:val="26"/>
                <w:color w:val="auto"/>
                <w:vertAlign w:val="superscript"/>
              </w:rPr>
              <w:t>(1)</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14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vMerge w:val="continue"/>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7%</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96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Reuters News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10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w:t>
            </w:r>
          </w:p>
        </w:tc>
        <w:tc>
          <w:tcPr>
            <w:tcW w:w="1180" w:type="dxa"/>
            <w:vAlign w:val="bottom"/>
            <w:tcBorders>
              <w:right w:val="single" w:sz="8" w:color="CCEEFF"/>
            </w:tcBorders>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180" w:type="dxa"/>
            <w:vAlign w:val="bottom"/>
            <w:tcBorders>
              <w:right w:val="single" w:sz="8" w:color="CCEEFF"/>
            </w:tcBorders>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-29%</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9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Transactions Revenues</w:t>
            </w: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60" w:type="dxa"/>
            <w:vAlign w:val="bottom"/>
            <w:gridSpan w:val="4"/>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541</w:t>
            </w:r>
          </w:p>
        </w:tc>
        <w:tc>
          <w:tcPr>
            <w:tcW w:w="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532</w:t>
            </w:r>
          </w:p>
        </w:tc>
        <w:tc>
          <w:tcPr>
            <w:tcW w:w="14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w:t>
            </w:r>
          </w:p>
        </w:tc>
        <w:tc>
          <w:tcPr>
            <w:tcW w:w="120" w:type="dxa"/>
            <w:vAlign w:val="bottom"/>
            <w:vMerge w:val="continue"/>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0%</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w w:val="86"/>
              </w:rPr>
              <w:t>SUBTOTAL</w:t>
            </w:r>
          </w:p>
        </w:tc>
        <w:tc>
          <w:tcPr>
            <w:tcW w:w="130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rPr>
              <w:t>Net</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4"/>
          </w:tcPr>
          <w:p>
            <w:pPr>
              <w:jc w:val="right"/>
              <w:ind w:right="600"/>
              <w:spacing w:after="0" w:line="147" w:lineRule="exact"/>
              <w:rPr>
                <w:sz w:val="20"/>
                <w:szCs w:val="20"/>
                <w:color w:val="auto"/>
              </w:rPr>
            </w:pPr>
            <w:r>
              <w:rPr>
                <w:rFonts w:ascii="Arial" w:cs="Arial" w:eastAsia="Arial" w:hAnsi="Arial"/>
                <w:sz w:val="14"/>
                <w:szCs w:val="14"/>
                <w:b w:val="1"/>
                <w:bCs w:val="1"/>
                <w:color w:val="auto"/>
              </w:rPr>
              <w:t>Foreign</w:t>
            </w:r>
          </w:p>
        </w:tc>
        <w:tc>
          <w:tcPr>
            <w:tcW w:w="70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b w:val="1"/>
                <w:bCs w:val="1"/>
                <w:color w:val="auto"/>
              </w:rPr>
              <w:t>Constant</w:t>
            </w:r>
          </w:p>
        </w:tc>
        <w:tc>
          <w:tcPr>
            <w:tcW w:w="480" w:type="dxa"/>
            <w:vAlign w:val="bottom"/>
            <w:gridSpan w:val="2"/>
          </w:tcPr>
          <w:p>
            <w:pPr>
              <w:spacing w:after="0"/>
              <w:rPr>
                <w:sz w:val="12"/>
                <w:szCs w:val="12"/>
                <w:color w:val="auto"/>
              </w:rPr>
            </w:pPr>
          </w:p>
        </w:tc>
        <w:tc>
          <w:tcPr>
            <w:tcW w:w="130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7"/>
              </w:rPr>
              <w:t>Acquisitions/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5"/>
              </w:rPr>
              <w:t>Total</w:t>
            </w:r>
          </w:p>
        </w:tc>
        <w:tc>
          <w:tcPr>
            <w:tcW w:w="11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Currency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Currency</w:t>
            </w: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(Disposals)</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Organic</w:t>
            </w:r>
          </w:p>
        </w:tc>
        <w:tc>
          <w:tcPr>
            <w:tcW w:w="0" w:type="dxa"/>
            <w:vAlign w:val="bottom"/>
          </w:tcPr>
          <w:p>
            <w:pPr>
              <w:spacing w:after="0"/>
              <w:rPr>
                <w:sz w:val="1"/>
                <w:szCs w:val="1"/>
                <w:color w:val="auto"/>
              </w:rPr>
            </w:pPr>
          </w:p>
        </w:tc>
      </w:tr>
      <w:tr>
        <w:trPr>
          <w:trHeight w:val="163"/>
        </w:trPr>
        <w:tc>
          <w:tcPr>
            <w:tcW w:w="13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7"/>
              </w:rPr>
              <w:t>Total Revenues</w:t>
            </w:r>
          </w:p>
        </w:tc>
        <w:tc>
          <w:tcPr>
            <w:tcW w:w="264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440" w:type="dxa"/>
            <w:vAlign w:val="bottom"/>
            <w:tcBorders>
              <w:top w:val="single" w:sz="8" w:color="CCEEFF"/>
              <w:left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6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820" w:type="dxa"/>
            <w:vAlign w:val="bottom"/>
            <w:gridSpan w:val="4"/>
          </w:tcPr>
          <w:p>
            <w:pPr>
              <w:jc w:val="right"/>
              <w:ind w:right="168"/>
              <w:spacing w:after="0" w:line="202" w:lineRule="exact"/>
              <w:rPr>
                <w:sz w:val="20"/>
                <w:szCs w:val="20"/>
                <w:color w:val="auto"/>
              </w:rPr>
            </w:pPr>
            <w:r>
              <w:rPr>
                <w:rFonts w:ascii="Arial" w:cs="Arial" w:eastAsia="Arial" w:hAnsi="Arial"/>
                <w:sz w:val="18"/>
                <w:szCs w:val="18"/>
                <w:color w:val="auto"/>
              </w:rPr>
              <w:t>$2,922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$2,807</w:t>
            </w:r>
          </w:p>
        </w:tc>
        <w:tc>
          <w:tcPr>
            <w:tcW w:w="140" w:type="dxa"/>
            <w:vAlign w:val="bottom"/>
          </w:tcPr>
          <w:p>
            <w:pPr>
              <w:spacing w:after="0"/>
              <w:rPr>
                <w:sz w:val="17"/>
                <w:szCs w:val="17"/>
                <w:color w:val="auto"/>
              </w:rPr>
            </w:pPr>
          </w:p>
        </w:tc>
        <w:tc>
          <w:tcPr>
            <w:tcW w:w="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w:t>
            </w:r>
          </w:p>
        </w:tc>
        <w:tc>
          <w:tcPr>
            <w:tcW w:w="280" w:type="dxa"/>
            <w:vAlign w:val="bottom"/>
          </w:tcPr>
          <w:p>
            <w:pPr>
              <w:spacing w:after="0"/>
              <w:rPr>
                <w:sz w:val="17"/>
                <w:szCs w:val="17"/>
                <w:color w:val="auto"/>
              </w:rPr>
            </w:pPr>
          </w:p>
        </w:tc>
        <w:tc>
          <w:tcPr>
            <w:tcW w:w="1180" w:type="dxa"/>
            <w:vAlign w:val="bottom"/>
            <w:gridSpan w:val="4"/>
          </w:tcPr>
          <w:p>
            <w:pPr>
              <w:jc w:val="right"/>
              <w:ind w:right="380"/>
              <w:spacing w:after="0" w:line="202" w:lineRule="exact"/>
              <w:rPr>
                <w:sz w:val="20"/>
                <w:szCs w:val="20"/>
                <w:color w:val="auto"/>
              </w:rPr>
            </w:pPr>
            <w:r>
              <w:rPr>
                <w:rFonts w:ascii="Arial" w:cs="Arial" w:eastAsia="Arial" w:hAnsi="Arial"/>
                <w:sz w:val="18"/>
                <w:szCs w:val="18"/>
                <w:color w:val="auto"/>
              </w:rPr>
              <w:t>0%</w:t>
            </w:r>
          </w:p>
        </w:tc>
        <w:tc>
          <w:tcPr>
            <w:tcW w:w="11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4%</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396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Corporates</w:t>
            </w:r>
          </w:p>
        </w:tc>
        <w:tc>
          <w:tcPr>
            <w:tcW w:w="820" w:type="dxa"/>
            <w:vAlign w:val="bottom"/>
            <w:gridSpan w:val="4"/>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1,844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1,620</w:t>
            </w:r>
          </w:p>
        </w:tc>
        <w:tc>
          <w:tcPr>
            <w:tcW w:w="1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0%</w:t>
            </w:r>
          </w:p>
        </w:tc>
        <w:tc>
          <w:tcPr>
            <w:tcW w:w="1180" w:type="dxa"/>
            <w:vAlign w:val="bottom"/>
            <w:tcBorders>
              <w:right w:val="single" w:sz="8" w:color="CCEEFF"/>
            </w:tcBorders>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14%</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396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5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1,165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1,058</w:t>
            </w:r>
          </w:p>
        </w:tc>
        <w:tc>
          <w:tcPr>
            <w:tcW w:w="140" w:type="dxa"/>
            <w:vAlign w:val="bottom"/>
          </w:tcPr>
          <w:p>
            <w:pPr>
              <w:spacing w:after="0"/>
              <w:rPr>
                <w:sz w:val="17"/>
                <w:szCs w:val="17"/>
                <w:color w:val="auto"/>
              </w:rPr>
            </w:pPr>
          </w:p>
        </w:tc>
        <w:tc>
          <w:tcPr>
            <w:tcW w:w="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7"/>
                <w:szCs w:val="17"/>
                <w:color w:val="auto"/>
              </w:rPr>
            </w:pPr>
          </w:p>
        </w:tc>
        <w:tc>
          <w:tcPr>
            <w:tcW w:w="1180" w:type="dxa"/>
            <w:vAlign w:val="bottom"/>
            <w:gridSpan w:val="4"/>
          </w:tcPr>
          <w:p>
            <w:pPr>
              <w:jc w:val="right"/>
              <w:ind w:right="380"/>
              <w:spacing w:after="0" w:line="202" w:lineRule="exact"/>
              <w:rPr>
                <w:sz w:val="20"/>
                <w:szCs w:val="20"/>
                <w:color w:val="auto"/>
              </w:rPr>
            </w:pPr>
            <w:r>
              <w:rPr>
                <w:rFonts w:ascii="Arial" w:cs="Arial" w:eastAsia="Arial" w:hAnsi="Arial"/>
                <w:sz w:val="18"/>
                <w:szCs w:val="18"/>
                <w:color w:val="auto"/>
              </w:rPr>
              <w:t>-1%</w:t>
            </w:r>
          </w:p>
        </w:tc>
        <w:tc>
          <w:tcPr>
            <w:tcW w:w="11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11%</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5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5,931</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5,485</w:t>
            </w:r>
          </w:p>
        </w:tc>
        <w:tc>
          <w:tcPr>
            <w:tcW w:w="1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0%</w:t>
            </w:r>
          </w:p>
        </w:tc>
        <w:tc>
          <w:tcPr>
            <w:tcW w:w="1180" w:type="dxa"/>
            <w:vAlign w:val="bottom"/>
            <w:tcBorders>
              <w:right w:val="single" w:sz="8" w:color="CCEEFF"/>
            </w:tcBorders>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96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Reuters News</w:t>
            </w:r>
          </w:p>
        </w:tc>
        <w:tc>
          <w:tcPr>
            <w:tcW w:w="820" w:type="dxa"/>
            <w:vAlign w:val="bottom"/>
            <w:gridSpan w:val="4"/>
          </w:tcPr>
          <w:p>
            <w:pPr>
              <w:jc w:val="right"/>
              <w:ind w:right="168"/>
              <w:spacing w:after="0" w:line="202" w:lineRule="exact"/>
              <w:rPr>
                <w:sz w:val="20"/>
                <w:szCs w:val="20"/>
                <w:color w:val="auto"/>
              </w:rPr>
            </w:pPr>
            <w:r>
              <w:rPr>
                <w:rFonts w:ascii="Arial" w:cs="Arial" w:eastAsia="Arial" w:hAnsi="Arial"/>
                <w:sz w:val="18"/>
                <w:szCs w:val="18"/>
                <w:color w:val="auto"/>
              </w:rPr>
              <w:t>832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769</w:t>
            </w:r>
          </w:p>
        </w:tc>
        <w:tc>
          <w:tcPr>
            <w:tcW w:w="140" w:type="dxa"/>
            <w:vAlign w:val="bottom"/>
          </w:tcPr>
          <w:p>
            <w:pPr>
              <w:spacing w:after="0"/>
              <w:rPr>
                <w:sz w:val="17"/>
                <w:szCs w:val="17"/>
                <w:color w:val="auto"/>
              </w:rPr>
            </w:pPr>
          </w:p>
        </w:tc>
        <w:tc>
          <w:tcPr>
            <w:tcW w:w="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w:t>
            </w:r>
          </w:p>
        </w:tc>
        <w:tc>
          <w:tcPr>
            <w:tcW w:w="280" w:type="dxa"/>
            <w:vAlign w:val="bottom"/>
          </w:tcPr>
          <w:p>
            <w:pPr>
              <w:spacing w:after="0"/>
              <w:rPr>
                <w:sz w:val="17"/>
                <w:szCs w:val="17"/>
                <w:color w:val="auto"/>
              </w:rPr>
            </w:pPr>
          </w:p>
        </w:tc>
        <w:tc>
          <w:tcPr>
            <w:tcW w:w="1180" w:type="dxa"/>
            <w:vAlign w:val="bottom"/>
            <w:gridSpan w:val="4"/>
          </w:tcPr>
          <w:p>
            <w:pPr>
              <w:jc w:val="right"/>
              <w:ind w:right="380"/>
              <w:spacing w:after="0" w:line="202" w:lineRule="exact"/>
              <w:rPr>
                <w:sz w:val="20"/>
                <w:szCs w:val="20"/>
                <w:color w:val="auto"/>
              </w:rPr>
            </w:pPr>
            <w:r>
              <w:rPr>
                <w:rFonts w:ascii="Arial" w:cs="Arial" w:eastAsia="Arial" w:hAnsi="Arial"/>
                <w:sz w:val="18"/>
                <w:szCs w:val="18"/>
                <w:color w:val="auto"/>
              </w:rPr>
              <w:t>0%</w:t>
            </w:r>
          </w:p>
        </w:tc>
        <w:tc>
          <w:tcPr>
            <w:tcW w:w="11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8%</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396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Global Print</w:t>
            </w:r>
          </w:p>
        </w:tc>
        <w:tc>
          <w:tcPr>
            <w:tcW w:w="820" w:type="dxa"/>
            <w:vAlign w:val="bottom"/>
            <w:gridSpan w:val="4"/>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519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562</w:t>
            </w:r>
          </w:p>
        </w:tc>
        <w:tc>
          <w:tcPr>
            <w:tcW w:w="1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0%</w:t>
            </w:r>
          </w:p>
        </w:tc>
        <w:tc>
          <w:tcPr>
            <w:tcW w:w="1180" w:type="dxa"/>
            <w:vAlign w:val="bottom"/>
            <w:tcBorders>
              <w:right w:val="single" w:sz="8" w:color="CCEEFF"/>
            </w:tcBorders>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396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Eliminations/Rounding</w:t>
            </w:r>
          </w:p>
        </w:tc>
        <w:tc>
          <w:tcPr>
            <w:tcW w:w="820" w:type="dxa"/>
            <w:vAlign w:val="bottom"/>
            <w:gridSpan w:val="4"/>
          </w:tcPr>
          <w:p>
            <w:pPr>
              <w:jc w:val="right"/>
              <w:ind w:right="108"/>
              <w:spacing w:after="0" w:line="202"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(22)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9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Revenues</w:t>
            </w:r>
          </w:p>
        </w:tc>
        <w:tc>
          <w:tcPr>
            <w:tcW w:w="5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7,258</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6,794</w:t>
            </w:r>
          </w:p>
        </w:tc>
        <w:tc>
          <w:tcPr>
            <w:tcW w:w="1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28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0%</w:t>
            </w:r>
          </w:p>
        </w:tc>
        <w:tc>
          <w:tcPr>
            <w:tcW w:w="1180" w:type="dxa"/>
            <w:vAlign w:val="bottom"/>
            <w:tcBorders>
              <w:right w:val="single" w:sz="8" w:color="CCEEFF"/>
            </w:tcBorders>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7%</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0%</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jc w:val="both"/>
        <w:ind w:left="4" w:right="40"/>
        <w:spacing w:after="0" w:line="282" w:lineRule="auto"/>
        <w:rPr>
          <w:sz w:val="20"/>
          <w:szCs w:val="20"/>
          <w:color w:val="auto"/>
        </w:rPr>
      </w:pPr>
      <w:r>
        <w:rPr>
          <w:rFonts w:ascii="Arial" w:cs="Arial" w:eastAsia="Arial" w:hAnsi="Arial"/>
          <w:sz w:val="14"/>
          <w:szCs w:val="14"/>
          <w:i w:val="1"/>
          <w:iCs w:val="1"/>
          <w:color w:val="auto"/>
        </w:rPr>
        <w:t>Growth percentages are computed using whole dollars. As a result, percentages calculated from reported amounts may differ from those presented, and growth components may not total due to rounding.</w:t>
      </w:r>
    </w:p>
    <w:p>
      <w:pPr>
        <w:spacing w:after="0" w:line="65" w:lineRule="exact"/>
        <w:rPr>
          <w:sz w:val="20"/>
          <w:szCs w:val="20"/>
          <w:color w:val="auto"/>
        </w:rPr>
      </w:pPr>
    </w:p>
    <w:p>
      <w:pPr>
        <w:ind w:left="424" w:hanging="424"/>
        <w:spacing w:after="0"/>
        <w:tabs>
          <w:tab w:leader="none" w:pos="424"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Refer to page 24 for additional information on non-IFRS financial measures.</w:t>
      </w:r>
    </w:p>
    <w:p>
      <w:pPr>
        <w:sectPr>
          <w:pgSz w:w="11900" w:h="16838" w:orient="portrait"/>
          <w:cols w:equalWidth="0" w:num="1">
            <w:col w:w="11024"/>
          </w:cols>
          <w:pgMar w:left="436" w:top="1201" w:right="439" w:bottom="1440" w:gutter="0" w:footer="0" w:header="0"/>
        </w:sectPr>
      </w:pPr>
    </w:p>
    <w:bookmarkStart w:id="22" w:name="page23"/>
    <w:bookmarkEnd w:id="2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6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20 of 24</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Thomson Reuters Corporation</w:t>
      </w:r>
    </w:p>
    <w:p>
      <w:pPr>
        <w:jc w:val="center"/>
        <w:ind w:right="-3"/>
        <w:spacing w:after="0" w:line="185" w:lineRule="auto"/>
        <w:rPr>
          <w:sz w:val="20"/>
          <w:szCs w:val="20"/>
          <w:color w:val="auto"/>
        </w:rPr>
      </w:pPr>
      <w:r>
        <w:rPr>
          <w:rFonts w:ascii="Arial" w:cs="Arial" w:eastAsia="Arial" w:hAnsi="Arial"/>
          <w:sz w:val="17"/>
          <w:szCs w:val="17"/>
          <w:b w:val="1"/>
          <w:bCs w:val="1"/>
          <w:color w:val="auto"/>
        </w:rPr>
        <w:t>Reconciliation of Changes in Adjusted EBITDA</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 xml:space="preserve"> and Related Margin</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 xml:space="preserve"> to Changes on a Constant Currency Basis</w:t>
      </w:r>
      <w:r>
        <w:rPr>
          <w:rFonts w:ascii="Arial" w:cs="Arial" w:eastAsia="Arial" w:hAnsi="Arial"/>
          <w:sz w:val="25"/>
          <w:szCs w:val="25"/>
          <w:b w:val="1"/>
          <w:bCs w:val="1"/>
          <w:color w:val="auto"/>
          <w:vertAlign w:val="superscript"/>
        </w:rPr>
        <w:t>(1)</w:t>
      </w:r>
    </w:p>
    <w:p>
      <w:pPr>
        <w:jc w:val="center"/>
        <w:ind w:right="-3"/>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rPr>
              <w:t>Foreign</w:t>
            </w:r>
          </w:p>
        </w:tc>
        <w:tc>
          <w:tcPr>
            <w:tcW w:w="6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Constant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rPr>
              <w:t>2025</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2024</w:t>
            </w:r>
          </w:p>
        </w:tc>
        <w:tc>
          <w:tcPr>
            <w:tcW w:w="46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Currency</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56"/>
        </w:trPr>
        <w:tc>
          <w:tcPr>
            <w:tcW w:w="43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3"/>
                <w:szCs w:val="13"/>
                <w:b w:val="1"/>
                <w:bCs w:val="1"/>
                <w:color w:val="auto"/>
              </w:rPr>
              <w:t>Adjusted EBITDA</w:t>
            </w:r>
            <w:r>
              <w:rPr>
                <w:rFonts w:ascii="Arial" w:cs="Arial" w:eastAsia="Arial" w:hAnsi="Arial"/>
                <w:sz w:val="18"/>
                <w:szCs w:val="18"/>
                <w:b w:val="1"/>
                <w:bCs w:val="1"/>
                <w:color w:val="auto"/>
                <w:vertAlign w:val="superscript"/>
              </w:rPr>
              <w:t>(1)</w:t>
            </w:r>
          </w:p>
        </w:tc>
        <w:tc>
          <w:tcPr>
            <w:tcW w:w="15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shd w:val="clear" w:color="auto" w:fill="000000"/>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339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327</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38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Corporates</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163</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43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c>
          <w:tcPr>
            <w:tcW w:w="460" w:type="dxa"/>
            <w:vAlign w:val="bottom"/>
          </w:tcPr>
          <w:p>
            <w:pPr>
              <w:spacing w:after="0"/>
              <w:rPr>
                <w:sz w:val="17"/>
                <w:szCs w:val="17"/>
                <w:color w:val="auto"/>
              </w:rPr>
            </w:pP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22%</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8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621</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581</w:t>
            </w:r>
          </w:p>
        </w:tc>
        <w:tc>
          <w:tcPr>
            <w:tcW w:w="4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43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Reuters News</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51</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438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Global Print</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43</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3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Corporate costs</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c>
          <w:tcPr>
            <w:tcW w:w="9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(29)</w:t>
            </w:r>
          </w:p>
        </w:tc>
        <w:tc>
          <w:tcPr>
            <w:tcW w:w="10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n/a</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Adjusted EBITDA</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b w:val="1"/>
                <w:bCs w:val="1"/>
                <w:color w:val="auto"/>
              </w:rPr>
              <w:t>678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646</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5%</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0%</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spacing w:after="0" w:line="210" w:lineRule="exact"/>
              <w:rPr>
                <w:sz w:val="20"/>
                <w:szCs w:val="20"/>
                <w:color w:val="auto"/>
              </w:rPr>
            </w:pPr>
            <w:r>
              <w:rPr>
                <w:rFonts w:ascii="Arial" w:cs="Arial" w:eastAsia="Arial" w:hAnsi="Arial"/>
                <w:sz w:val="17"/>
                <w:szCs w:val="17"/>
                <w:b w:val="1"/>
                <w:bCs w:val="1"/>
                <w:color w:val="auto"/>
              </w:rPr>
              <w:t>Adjusted EBITDA Margin</w:t>
            </w:r>
            <w:r>
              <w:rPr>
                <w:rFonts w:ascii="Arial" w:cs="Arial" w:eastAsia="Arial" w:hAnsi="Arial"/>
                <w:sz w:val="24"/>
                <w:szCs w:val="24"/>
                <w:color w:val="auto"/>
                <w:vertAlign w:val="superscript"/>
              </w:rPr>
              <w:t>(1)</w:t>
            </w: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80" w:type="dxa"/>
            <w:vAlign w:val="bottom"/>
            <w:gridSpan w:val="3"/>
            <w:vMerge w:val="continue"/>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20" w:type="dxa"/>
            <w:vAlign w:val="bottom"/>
            <w:tcBorders>
              <w:top w:val="single" w:sz="8" w:color="auto"/>
            </w:tcBorders>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2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45.0%</w:t>
            </w: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280bp</w:t>
            </w: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250bp</w:t>
            </w:r>
          </w:p>
        </w:tc>
        <w:tc>
          <w:tcPr>
            <w:tcW w:w="0" w:type="dxa"/>
            <w:vAlign w:val="bottom"/>
          </w:tcPr>
          <w:p>
            <w:pPr>
              <w:spacing w:after="0"/>
              <w:rPr>
                <w:sz w:val="1"/>
                <w:szCs w:val="1"/>
                <w:color w:val="auto"/>
              </w:rPr>
            </w:pPr>
          </w:p>
        </w:tc>
      </w:tr>
      <w:tr>
        <w:trPr>
          <w:trHeight w:val="203"/>
        </w:trPr>
        <w:tc>
          <w:tcPr>
            <w:tcW w:w="43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Corporates</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35.7%</w:t>
            </w:r>
          </w:p>
        </w:tc>
        <w:tc>
          <w:tcPr>
            <w:tcW w:w="12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36.8%</w:t>
            </w:r>
          </w:p>
        </w:tc>
        <w:tc>
          <w:tcPr>
            <w:tcW w:w="10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-110bp</w:t>
            </w:r>
          </w:p>
        </w:tc>
        <w:tc>
          <w:tcPr>
            <w:tcW w:w="11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10bp</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-120bp</w:t>
            </w:r>
          </w:p>
        </w:tc>
        <w:tc>
          <w:tcPr>
            <w:tcW w:w="0" w:type="dxa"/>
            <w:vAlign w:val="bottom"/>
          </w:tcPr>
          <w:p>
            <w:pPr>
              <w:spacing w:after="0"/>
              <w:rPr>
                <w:sz w:val="1"/>
                <w:szCs w:val="1"/>
                <w:color w:val="auto"/>
              </w:rPr>
            </w:pPr>
          </w:p>
        </w:tc>
      </w:tr>
      <w:tr>
        <w:trPr>
          <w:trHeight w:val="203"/>
        </w:trPr>
        <w:tc>
          <w:tcPr>
            <w:tcW w:w="438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36.8%</w:t>
            </w: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250bp</w:t>
            </w: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240bp</w:t>
            </w:r>
          </w:p>
        </w:tc>
        <w:tc>
          <w:tcPr>
            <w:tcW w:w="0" w:type="dxa"/>
            <w:vAlign w:val="bottom"/>
          </w:tcPr>
          <w:p>
            <w:pPr>
              <w:spacing w:after="0"/>
              <w:rPr>
                <w:sz w:val="1"/>
                <w:szCs w:val="1"/>
                <w:color w:val="auto"/>
              </w:rPr>
            </w:pPr>
          </w:p>
        </w:tc>
      </w:tr>
      <w:tr>
        <w:trPr>
          <w:trHeight w:val="203"/>
        </w:trPr>
        <w:tc>
          <w:tcPr>
            <w:tcW w:w="4380" w:type="dxa"/>
            <w:vAlign w:val="bottom"/>
            <w:gridSpan w:val="3"/>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42.3%</w:t>
            </w:r>
          </w:p>
        </w:tc>
        <w:tc>
          <w:tcPr>
            <w:tcW w:w="12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41.0%</w:t>
            </w:r>
          </w:p>
        </w:tc>
        <w:tc>
          <w:tcPr>
            <w:tcW w:w="10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130bp</w:t>
            </w:r>
          </w:p>
        </w:tc>
        <w:tc>
          <w:tcPr>
            <w:tcW w:w="11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20bp</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110bp</w:t>
            </w:r>
          </w:p>
        </w:tc>
        <w:tc>
          <w:tcPr>
            <w:tcW w:w="0" w:type="dxa"/>
            <w:vAlign w:val="bottom"/>
          </w:tcPr>
          <w:p>
            <w:pPr>
              <w:spacing w:after="0"/>
              <w:rPr>
                <w:sz w:val="1"/>
                <w:szCs w:val="1"/>
                <w:color w:val="auto"/>
              </w:rPr>
            </w:pPr>
          </w:p>
        </w:tc>
      </w:tr>
      <w:tr>
        <w:trPr>
          <w:trHeight w:val="202"/>
        </w:trPr>
        <w:tc>
          <w:tcPr>
            <w:tcW w:w="438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Reuters News</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24.8%</w:t>
            </w: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-400bp</w:t>
            </w: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-360bp</w:t>
            </w:r>
          </w:p>
        </w:tc>
        <w:tc>
          <w:tcPr>
            <w:tcW w:w="0" w:type="dxa"/>
            <w:vAlign w:val="bottom"/>
          </w:tcPr>
          <w:p>
            <w:pPr>
              <w:spacing w:after="0"/>
              <w:rPr>
                <w:sz w:val="1"/>
                <w:szCs w:val="1"/>
                <w:color w:val="auto"/>
              </w:rPr>
            </w:pPr>
          </w:p>
        </w:tc>
      </w:tr>
      <w:tr>
        <w:trPr>
          <w:trHeight w:val="203"/>
        </w:trPr>
        <w:tc>
          <w:tcPr>
            <w:tcW w:w="43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Global Print</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36.0%</w:t>
            </w:r>
          </w:p>
        </w:tc>
        <w:tc>
          <w:tcPr>
            <w:tcW w:w="120" w:type="dxa"/>
            <w:vAlign w:val="bottom"/>
          </w:tcPr>
          <w:p>
            <w:pPr>
              <w:spacing w:after="0"/>
              <w:rPr>
                <w:sz w:val="17"/>
                <w:szCs w:val="17"/>
                <w:color w:val="auto"/>
              </w:rPr>
            </w:pP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35.2%</w:t>
            </w:r>
          </w:p>
        </w:tc>
        <w:tc>
          <w:tcPr>
            <w:tcW w:w="10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80bp</w:t>
            </w:r>
          </w:p>
        </w:tc>
        <w:tc>
          <w:tcPr>
            <w:tcW w:w="11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30bp</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50bp</w:t>
            </w:r>
          </w:p>
        </w:tc>
        <w:tc>
          <w:tcPr>
            <w:tcW w:w="0" w:type="dxa"/>
            <w:vAlign w:val="bottom"/>
          </w:tcPr>
          <w:p>
            <w:pPr>
              <w:spacing w:after="0"/>
              <w:rPr>
                <w:sz w:val="1"/>
                <w:szCs w:val="1"/>
                <w:color w:val="auto"/>
              </w:rPr>
            </w:pPr>
          </w:p>
        </w:tc>
      </w:tr>
      <w:tr>
        <w:trPr>
          <w:trHeight w:val="203"/>
        </w:trPr>
        <w:tc>
          <w:tcPr>
            <w:tcW w:w="4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Adjusted EBITDA Margin</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37.8%</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37.1%</w:t>
            </w: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70bp</w:t>
            </w: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b w:val="1"/>
                <w:bCs w:val="1"/>
                <w:color w:val="auto"/>
              </w:rPr>
              <w:t>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70bp</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Thomson Reuters Corporation</w:t>
      </w:r>
    </w:p>
    <w:p>
      <w:pPr>
        <w:jc w:val="center"/>
        <w:ind w:right="-3"/>
        <w:spacing w:after="0" w:line="185" w:lineRule="auto"/>
        <w:rPr>
          <w:sz w:val="20"/>
          <w:szCs w:val="20"/>
          <w:color w:val="auto"/>
        </w:rPr>
      </w:pPr>
      <w:r>
        <w:rPr>
          <w:rFonts w:ascii="Arial" w:cs="Arial" w:eastAsia="Arial" w:hAnsi="Arial"/>
          <w:sz w:val="17"/>
          <w:szCs w:val="17"/>
          <w:b w:val="1"/>
          <w:bCs w:val="1"/>
          <w:color w:val="auto"/>
        </w:rPr>
        <w:t>Reconciliation of Changes in Adjusted EBITDA</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 xml:space="preserve"> and Related Margin</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 xml:space="preserve"> to Changes on a Constant Currency Basis</w:t>
      </w:r>
      <w:r>
        <w:rPr>
          <w:rFonts w:ascii="Arial" w:cs="Arial" w:eastAsia="Arial" w:hAnsi="Arial"/>
          <w:sz w:val="25"/>
          <w:szCs w:val="25"/>
          <w:b w:val="1"/>
          <w:bCs w:val="1"/>
          <w:color w:val="auto"/>
          <w:vertAlign w:val="superscript"/>
        </w:rPr>
        <w:t>(1)</w:t>
      </w:r>
    </w:p>
    <w:p>
      <w:pPr>
        <w:jc w:val="center"/>
        <w:ind w:right="-3"/>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Foreign</w:t>
            </w:r>
          </w:p>
        </w:tc>
        <w:tc>
          <w:tcPr>
            <w:tcW w:w="6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Constant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b w:val="1"/>
                <w:bCs w:val="1"/>
                <w:color w:val="auto"/>
              </w:rPr>
              <w:t>2024</w:t>
            </w:r>
          </w:p>
        </w:tc>
        <w:tc>
          <w:tcPr>
            <w:tcW w:w="38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Currency</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55"/>
        </w:trPr>
        <w:tc>
          <w:tcPr>
            <w:tcW w:w="45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3"/>
                <w:szCs w:val="13"/>
                <w:b w:val="1"/>
                <w:bCs w:val="1"/>
                <w:color w:val="auto"/>
              </w:rPr>
              <w:t>Adjusted EBITDA</w:t>
            </w:r>
            <w:r>
              <w:rPr>
                <w:rFonts w:ascii="Arial" w:cs="Arial" w:eastAsia="Arial" w:hAnsi="Arial"/>
                <w:sz w:val="18"/>
                <w:szCs w:val="18"/>
                <w:b w:val="1"/>
                <w:bCs w:val="1"/>
                <w:color w:val="auto"/>
                <w:vertAlign w:val="superscript"/>
              </w:rPr>
              <w:t>(1)</w:t>
            </w:r>
          </w:p>
        </w:tc>
        <w:tc>
          <w:tcPr>
            <w:tcW w:w="1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80" w:type="dxa"/>
            <w:vAlign w:val="bottom"/>
            <w:shd w:val="clear" w:color="auto" w:fill="000000"/>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675</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669</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454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Corporates</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356</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w:t>
            </w: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45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323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272</w:t>
            </w:r>
          </w:p>
        </w:tc>
        <w:tc>
          <w:tcPr>
            <w:tcW w:w="38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w:t>
            </w: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1,380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1,297</w:t>
            </w: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w:t>
            </w: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45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Reuters News</w:t>
            </w: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84</w:t>
            </w:r>
          </w:p>
        </w:tc>
        <w:tc>
          <w:tcPr>
            <w:tcW w:w="100" w:type="dxa"/>
            <w:vAlign w:val="bottom"/>
          </w:tcPr>
          <w:p>
            <w:pPr>
              <w:spacing w:after="0"/>
              <w:rPr>
                <w:sz w:val="17"/>
                <w:szCs w:val="17"/>
                <w:color w:val="auto"/>
              </w:rPr>
            </w:pP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111</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w:t>
            </w: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454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Global Print</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90</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w:t>
            </w: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45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Corporate costs</w:t>
            </w: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(62)</w:t>
            </w:r>
          </w:p>
        </w:tc>
        <w:tc>
          <w:tcPr>
            <w:tcW w:w="100" w:type="dxa"/>
            <w:vAlign w:val="bottom"/>
          </w:tcPr>
          <w:p>
            <w:pPr>
              <w:spacing w:after="0"/>
              <w:rPr>
                <w:sz w:val="17"/>
                <w:szCs w:val="17"/>
                <w:color w:val="auto"/>
              </w:rPr>
            </w:pPr>
          </w:p>
        </w:tc>
        <w:tc>
          <w:tcPr>
            <w:tcW w:w="8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(46)</w:t>
            </w:r>
          </w:p>
        </w:tc>
        <w:tc>
          <w:tcPr>
            <w:tcW w:w="10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n/a</w:t>
            </w: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n/a</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Adjusted EBITDA</w:t>
            </w:r>
          </w:p>
        </w:tc>
        <w:tc>
          <w:tcPr>
            <w:tcW w:w="1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1,487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w w:val="97"/>
              </w:rPr>
              <w:t>1,452</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w:t>
            </w: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0%</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line="210" w:lineRule="exact"/>
              <w:rPr>
                <w:sz w:val="20"/>
                <w:szCs w:val="20"/>
                <w:color w:val="auto"/>
              </w:rPr>
            </w:pPr>
            <w:r>
              <w:rPr>
                <w:rFonts w:ascii="Arial" w:cs="Arial" w:eastAsia="Arial" w:hAnsi="Arial"/>
                <w:sz w:val="17"/>
                <w:szCs w:val="17"/>
                <w:b w:val="1"/>
                <w:bCs w:val="1"/>
                <w:color w:val="auto"/>
              </w:rPr>
              <w:t>Adjusted EBITDA Margin</w:t>
            </w:r>
            <w:r>
              <w:rPr>
                <w:rFonts w:ascii="Arial" w:cs="Arial" w:eastAsia="Arial" w:hAnsi="Arial"/>
                <w:sz w:val="24"/>
                <w:szCs w:val="24"/>
                <w:color w:val="auto"/>
                <w:vertAlign w:val="superscript"/>
              </w:rPr>
              <w:t>(1)</w:t>
            </w: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40" w:type="dxa"/>
            <w:vAlign w:val="bottom"/>
            <w:gridSpan w:val="3"/>
            <w:vMerge w:val="continue"/>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20" w:type="dxa"/>
            <w:vAlign w:val="bottom"/>
            <w:tcBorders>
              <w:top w:val="single" w:sz="8" w:color="auto"/>
            </w:tcBorders>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24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46.2%</w:t>
            </w:r>
          </w:p>
        </w:tc>
        <w:tc>
          <w:tcPr>
            <w:tcW w:w="10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190bp</w:t>
            </w: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150bp</w:t>
            </w:r>
          </w:p>
        </w:tc>
        <w:tc>
          <w:tcPr>
            <w:tcW w:w="0" w:type="dxa"/>
            <w:vAlign w:val="bottom"/>
          </w:tcPr>
          <w:p>
            <w:pPr>
              <w:spacing w:after="0"/>
              <w:rPr>
                <w:sz w:val="1"/>
                <w:szCs w:val="1"/>
                <w:color w:val="auto"/>
              </w:rPr>
            </w:pPr>
          </w:p>
        </w:tc>
      </w:tr>
      <w:tr>
        <w:trPr>
          <w:trHeight w:val="203"/>
        </w:trPr>
        <w:tc>
          <w:tcPr>
            <w:tcW w:w="45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Corporates</w:t>
            </w: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37.7%</w:t>
            </w:r>
          </w:p>
        </w:tc>
        <w:tc>
          <w:tcPr>
            <w:tcW w:w="10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37.3%</w:t>
            </w:r>
          </w:p>
        </w:tc>
        <w:tc>
          <w:tcPr>
            <w:tcW w:w="10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40bp</w:t>
            </w: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40bp</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0bp</w:t>
            </w:r>
          </w:p>
        </w:tc>
        <w:tc>
          <w:tcPr>
            <w:tcW w:w="0" w:type="dxa"/>
            <w:vAlign w:val="bottom"/>
          </w:tcPr>
          <w:p>
            <w:pPr>
              <w:spacing w:after="0"/>
              <w:rPr>
                <w:sz w:val="1"/>
                <w:szCs w:val="1"/>
                <w:color w:val="auto"/>
              </w:rPr>
            </w:pPr>
          </w:p>
        </w:tc>
      </w:tr>
      <w:tr>
        <w:trPr>
          <w:trHeight w:val="203"/>
        </w:trPr>
        <w:tc>
          <w:tcPr>
            <w:tcW w:w="454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47.1%</w:t>
            </w:r>
          </w:p>
        </w:tc>
        <w:tc>
          <w:tcPr>
            <w:tcW w:w="10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200bp</w:t>
            </w: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160bp</w:t>
            </w:r>
          </w:p>
        </w:tc>
        <w:tc>
          <w:tcPr>
            <w:tcW w:w="0" w:type="dxa"/>
            <w:vAlign w:val="bottom"/>
          </w:tcPr>
          <w:p>
            <w:pPr>
              <w:spacing w:after="0"/>
              <w:rPr>
                <w:sz w:val="1"/>
                <w:szCs w:val="1"/>
                <w:color w:val="auto"/>
              </w:rPr>
            </w:pPr>
          </w:p>
        </w:tc>
      </w:tr>
      <w:tr>
        <w:trPr>
          <w:trHeight w:val="203"/>
        </w:trPr>
        <w:tc>
          <w:tcPr>
            <w:tcW w:w="4540" w:type="dxa"/>
            <w:vAlign w:val="bottom"/>
            <w:gridSpan w:val="3"/>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44.9%</w:t>
            </w:r>
          </w:p>
        </w:tc>
        <w:tc>
          <w:tcPr>
            <w:tcW w:w="10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43.5%</w:t>
            </w:r>
          </w:p>
        </w:tc>
        <w:tc>
          <w:tcPr>
            <w:tcW w:w="10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140bp</w:t>
            </w: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40bp</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100bp</w:t>
            </w:r>
          </w:p>
        </w:tc>
        <w:tc>
          <w:tcPr>
            <w:tcW w:w="0" w:type="dxa"/>
            <w:vAlign w:val="bottom"/>
          </w:tcPr>
          <w:p>
            <w:pPr>
              <w:spacing w:after="0"/>
              <w:rPr>
                <w:sz w:val="1"/>
                <w:szCs w:val="1"/>
                <w:color w:val="auto"/>
              </w:rPr>
            </w:pPr>
          </w:p>
        </w:tc>
      </w:tr>
      <w:tr>
        <w:trPr>
          <w:trHeight w:val="203"/>
        </w:trPr>
        <w:tc>
          <w:tcPr>
            <w:tcW w:w="454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Reuters News</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26.6%</w:t>
            </w:r>
          </w:p>
        </w:tc>
        <w:tc>
          <w:tcPr>
            <w:tcW w:w="10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-620bp</w:t>
            </w: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-630bp</w:t>
            </w:r>
          </w:p>
        </w:tc>
        <w:tc>
          <w:tcPr>
            <w:tcW w:w="0" w:type="dxa"/>
            <w:vAlign w:val="bottom"/>
          </w:tcPr>
          <w:p>
            <w:pPr>
              <w:spacing w:after="0"/>
              <w:rPr>
                <w:sz w:val="1"/>
                <w:szCs w:val="1"/>
                <w:color w:val="auto"/>
              </w:rPr>
            </w:pPr>
          </w:p>
        </w:tc>
      </w:tr>
      <w:tr>
        <w:trPr>
          <w:trHeight w:val="203"/>
        </w:trPr>
        <w:tc>
          <w:tcPr>
            <w:tcW w:w="45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Global Print</w:t>
            </w: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36.9%</w:t>
            </w:r>
          </w:p>
        </w:tc>
        <w:tc>
          <w:tcPr>
            <w:tcW w:w="10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36.7%</w:t>
            </w:r>
          </w:p>
        </w:tc>
        <w:tc>
          <w:tcPr>
            <w:tcW w:w="10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20bp</w:t>
            </w: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30bp</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-10bp</w:t>
            </w:r>
          </w:p>
        </w:tc>
        <w:tc>
          <w:tcPr>
            <w:tcW w:w="0" w:type="dxa"/>
            <w:vAlign w:val="bottom"/>
          </w:tcPr>
          <w:p>
            <w:pPr>
              <w:spacing w:after="0"/>
              <w:rPr>
                <w:sz w:val="1"/>
                <w:szCs w:val="1"/>
                <w:color w:val="auto"/>
              </w:rPr>
            </w:pPr>
          </w:p>
        </w:tc>
      </w:tr>
      <w:tr>
        <w:trPr>
          <w:trHeight w:val="203"/>
        </w:trPr>
        <w:tc>
          <w:tcPr>
            <w:tcW w:w="45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Adjusted EBITDA Margin</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40.1%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40.0%</w:t>
            </w:r>
          </w:p>
        </w:tc>
        <w:tc>
          <w:tcPr>
            <w:tcW w:w="10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10bp</w:t>
            </w: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20bp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-10bp</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4"/>
        <w:spacing w:after="0"/>
        <w:rPr>
          <w:sz w:val="20"/>
          <w:szCs w:val="20"/>
          <w:color w:val="auto"/>
        </w:rPr>
      </w:pPr>
      <w:r>
        <w:rPr>
          <w:rFonts w:ascii="Arial" w:cs="Arial" w:eastAsia="Arial" w:hAnsi="Arial"/>
          <w:sz w:val="14"/>
          <w:szCs w:val="14"/>
          <w:i w:val="1"/>
          <w:iCs w:val="1"/>
          <w:color w:val="auto"/>
        </w:rPr>
        <w:t>n/a: not applicable</w:t>
      </w:r>
    </w:p>
    <w:p>
      <w:pPr>
        <w:spacing w:after="0" w:line="109" w:lineRule="exact"/>
        <w:rPr>
          <w:sz w:val="20"/>
          <w:szCs w:val="20"/>
          <w:color w:val="auto"/>
        </w:rPr>
      </w:pPr>
    </w:p>
    <w:p>
      <w:pPr>
        <w:ind w:left="4" w:right="680"/>
        <w:spacing w:after="0" w:line="282" w:lineRule="auto"/>
        <w:rPr>
          <w:sz w:val="20"/>
          <w:szCs w:val="20"/>
          <w:color w:val="auto"/>
        </w:rPr>
      </w:pPr>
      <w:r>
        <w:rPr>
          <w:rFonts w:ascii="Arial" w:cs="Arial" w:eastAsia="Arial" w:hAnsi="Arial"/>
          <w:sz w:val="14"/>
          <w:szCs w:val="14"/>
          <w:i w:val="1"/>
          <w:iCs w:val="1"/>
          <w:color w:val="auto"/>
        </w:rPr>
        <w:t>Growth percentages and margins are computed using whole dollars. As a result, percentages and margins calculated from reported amounts may differ from those presented, and growth components may not total due to rounding.</w:t>
      </w:r>
    </w:p>
    <w:p>
      <w:pPr>
        <w:spacing w:after="0" w:line="65" w:lineRule="exact"/>
        <w:rPr>
          <w:sz w:val="20"/>
          <w:szCs w:val="20"/>
          <w:color w:val="auto"/>
        </w:rPr>
      </w:pPr>
    </w:p>
    <w:p>
      <w:pPr>
        <w:ind w:left="424" w:hanging="424"/>
        <w:spacing w:after="0"/>
        <w:tabs>
          <w:tab w:leader="none" w:pos="424"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Refer to page 24 for additional information on non-IFRS financial measures.</w:t>
      </w:r>
    </w:p>
    <w:p>
      <w:pPr>
        <w:sectPr>
          <w:pgSz w:w="11900" w:h="16838" w:orient="portrait"/>
          <w:cols w:equalWidth="0" w:num="1">
            <w:col w:w="11024"/>
          </w:cols>
          <w:pgMar w:left="436" w:top="1201" w:right="439" w:bottom="1440" w:gutter="0" w:footer="0" w:header="0"/>
        </w:sectPr>
      </w:pPr>
    </w:p>
    <w:bookmarkStart w:id="23" w:name="page24"/>
    <w:bookmarkEnd w:id="2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6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21 of 24</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Reconciliation of adjusted EBITDA margin</w:t>
      </w:r>
      <w:r>
        <w:rPr>
          <w:rFonts w:ascii="Arial" w:cs="Arial" w:eastAsia="Arial" w:hAnsi="Arial"/>
          <w:sz w:val="26"/>
          <w:szCs w:val="26"/>
          <w:b w:val="1"/>
          <w:bCs w:val="1"/>
          <w:color w:val="auto"/>
          <w:vertAlign w:val="superscript"/>
        </w:rPr>
        <w:t>(1)</w:t>
      </w:r>
    </w:p>
    <w:p>
      <w:pPr>
        <w:spacing w:after="0" w:line="30" w:lineRule="exact"/>
        <w:rPr>
          <w:sz w:val="20"/>
          <w:szCs w:val="20"/>
          <w:color w:val="auto"/>
        </w:rPr>
      </w:pPr>
    </w:p>
    <w:p>
      <w:pPr>
        <w:ind w:left="4" w:right="520"/>
        <w:spacing w:after="0" w:line="242" w:lineRule="auto"/>
        <w:rPr>
          <w:sz w:val="20"/>
          <w:szCs w:val="20"/>
          <w:color w:val="auto"/>
        </w:rPr>
      </w:pPr>
      <w:r>
        <w:rPr>
          <w:rFonts w:ascii="Arial" w:cs="Arial" w:eastAsia="Arial" w:hAnsi="Arial"/>
          <w:sz w:val="18"/>
          <w:szCs w:val="18"/>
          <w:color w:val="auto"/>
        </w:rPr>
        <w:t>To compute segment and consolidated adjusted EBITDA margin, the company excludes fair value adjustments related to acquired deferred revenue from its IFRS revenues. The charts below reconcile IFRS revenues to revenues used in the calculation of adjusted EBITDA margin, which excludes fair value adjustments related to acquired deferred revenue.</w:t>
      </w:r>
    </w:p>
    <w:p>
      <w:pPr>
        <w:spacing w:after="0" w:line="216" w:lineRule="exact"/>
        <w:rPr>
          <w:sz w:val="20"/>
          <w:szCs w:val="20"/>
          <w:color w:val="auto"/>
        </w:rPr>
      </w:pPr>
    </w:p>
    <w:p>
      <w:pPr>
        <w:jc w:val="center"/>
        <w:ind w:right="216"/>
        <w:spacing w:after="0"/>
        <w:rPr>
          <w:sz w:val="20"/>
          <w:szCs w:val="20"/>
          <w:color w:val="auto"/>
        </w:rPr>
      </w:pPr>
      <w:r>
        <w:rPr>
          <w:rFonts w:ascii="Arial" w:cs="Arial" w:eastAsia="Arial" w:hAnsi="Arial"/>
          <w:sz w:val="14"/>
          <w:szCs w:val="14"/>
          <w:b w:val="1"/>
          <w:bCs w:val="1"/>
          <w:color w:val="auto"/>
        </w:rPr>
        <w:t>Three Months Ended June 30, 2025</w:t>
      </w:r>
    </w:p>
    <w:p>
      <w:pPr>
        <w:spacing w:after="0" w:line="24" w:lineRule="exact"/>
        <w:rPr>
          <w:sz w:val="20"/>
          <w:szCs w:val="20"/>
          <w:color w:val="auto"/>
        </w:rPr>
      </w:pPr>
    </w:p>
    <w:tbl>
      <w:tblPr>
        <w:tblLayout w:type="fixed"/>
        <w:tblInd w:w="4" w:type="dxa"/>
        <w:tblCellMar>
          <w:top w:w="0" w:type="dxa"/>
          <w:left w:w="0" w:type="dxa"/>
          <w:bottom w:w="0" w:type="dxa"/>
          <w:right w:w="0" w:type="dxa"/>
        </w:tblCellMar>
      </w:tblPr>
      <w:tr>
        <w:trPr>
          <w:trHeight w:val="146"/>
        </w:trPr>
        <w:tc>
          <w:tcPr>
            <w:tcW w:w="7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Revenues excluding</w:t>
            </w: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Remove fair value</w:t>
            </w:r>
          </w:p>
        </w:tc>
        <w:tc>
          <w:tcPr>
            <w:tcW w:w="120" w:type="dxa"/>
            <w:vAlign w:val="bottom"/>
          </w:tcPr>
          <w:p>
            <w:pPr>
              <w:spacing w:after="0"/>
              <w:rPr>
                <w:sz w:val="14"/>
                <w:szCs w:val="14"/>
                <w:color w:val="auto"/>
              </w:rPr>
            </w:pPr>
          </w:p>
        </w:tc>
        <w:tc>
          <w:tcPr>
            <w:tcW w:w="17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color w:val="auto"/>
              </w:rPr>
              <w:t>millions of U.S. dollars)</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adjustments to</w:t>
            </w:r>
          </w:p>
        </w:tc>
        <w:tc>
          <w:tcPr>
            <w:tcW w:w="120" w:type="dxa"/>
            <w:vAlign w:val="bottom"/>
          </w:tcPr>
          <w:p>
            <w:pPr>
              <w:spacing w:after="0"/>
              <w:rPr>
                <w:sz w:val="14"/>
                <w:szCs w:val="14"/>
                <w:color w:val="auto"/>
              </w:rPr>
            </w:pPr>
          </w:p>
        </w:tc>
        <w:tc>
          <w:tcPr>
            <w:tcW w:w="17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adjustments to</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acquired deferred</w:t>
            </w:r>
          </w:p>
        </w:tc>
        <w:tc>
          <w:tcPr>
            <w:tcW w:w="19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rPr>
              <w:t>acquired deferred</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Adjusted EBITDA</w:t>
            </w:r>
          </w:p>
        </w:tc>
        <w:tc>
          <w:tcPr>
            <w:tcW w:w="0" w:type="dxa"/>
            <w:vAlign w:val="bottom"/>
          </w:tcPr>
          <w:p>
            <w:pPr>
              <w:spacing w:after="0"/>
              <w:rPr>
                <w:sz w:val="1"/>
                <w:szCs w:val="1"/>
                <w:color w:val="auto"/>
              </w:rPr>
            </w:pPr>
          </w:p>
        </w:tc>
      </w:tr>
      <w:tr>
        <w:trPr>
          <w:trHeight w:val="171"/>
        </w:trPr>
        <w:tc>
          <w:tcPr>
            <w:tcW w:w="2280" w:type="dxa"/>
            <w:vAlign w:val="bottom"/>
            <w:gridSpan w:val="2"/>
          </w:tcPr>
          <w:p>
            <w:pPr>
              <w:spacing w:after="0"/>
              <w:rPr>
                <w:sz w:val="20"/>
                <w:szCs w:val="20"/>
                <w:color w:val="auto"/>
              </w:rPr>
            </w:pPr>
            <w:r>
              <w:rPr>
                <w:rFonts w:ascii="Arial" w:cs="Arial" w:eastAsia="Arial" w:hAnsi="Arial"/>
                <w:sz w:val="14"/>
                <w:szCs w:val="14"/>
                <w:color w:val="auto"/>
              </w:rPr>
              <w:t>(unaudited)</w:t>
            </w:r>
          </w:p>
        </w:tc>
        <w:tc>
          <w:tcPr>
            <w:tcW w:w="480" w:type="dxa"/>
            <w:vAlign w:val="bottom"/>
          </w:tcPr>
          <w:p>
            <w:pPr>
              <w:spacing w:after="0"/>
              <w:rPr>
                <w:sz w:val="14"/>
                <w:szCs w:val="14"/>
                <w:color w:val="auto"/>
              </w:rPr>
            </w:pPr>
          </w:p>
        </w:tc>
        <w:tc>
          <w:tcPr>
            <w:tcW w:w="1280" w:type="dxa"/>
            <w:vAlign w:val="bottom"/>
            <w:gridSpan w:val="5"/>
          </w:tcPr>
          <w:p>
            <w:pPr>
              <w:ind w:left="20"/>
              <w:spacing w:after="0"/>
              <w:rPr>
                <w:sz w:val="20"/>
                <w:szCs w:val="20"/>
                <w:color w:val="auto"/>
              </w:rPr>
            </w:pPr>
            <w:r>
              <w:rPr>
                <w:rFonts w:ascii="Arial" w:cs="Arial" w:eastAsia="Arial" w:hAnsi="Arial"/>
                <w:sz w:val="14"/>
                <w:szCs w:val="14"/>
                <w:b w:val="1"/>
                <w:bCs w:val="1"/>
                <w:color w:val="auto"/>
              </w:rPr>
              <w:t>IFRS revenues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4"/>
                <w:szCs w:val="14"/>
                <w:color w:val="auto"/>
              </w:rPr>
            </w:pPr>
          </w:p>
        </w:tc>
        <w:tc>
          <w:tcPr>
            <w:tcW w:w="17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revenue</w:t>
            </w: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Adjusted EBITDA</w:t>
            </w: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0"/>
        </w:trPr>
        <w:tc>
          <w:tcPr>
            <w:tcW w:w="720" w:type="dxa"/>
            <w:vAlign w:val="bottom"/>
            <w:tcBorders>
              <w:bottom w:val="single" w:sz="8" w:color="CCEEFF"/>
            </w:tcBorders>
            <w:shd w:val="clear" w:color="auto" w:fill="000000"/>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Legal Professionals</w:t>
            </w:r>
          </w:p>
        </w:tc>
        <w:tc>
          <w:tcPr>
            <w:tcW w:w="480" w:type="dxa"/>
            <w:vAlign w:val="bottom"/>
            <w:tcBorders>
              <w:right w:val="single" w:sz="8" w:color="CCEEFF"/>
            </w:tcBorders>
            <w:shd w:val="clear" w:color="auto" w:fill="CCEEFF"/>
          </w:tcPr>
          <w:p>
            <w:pPr>
              <w:spacing w:after="0"/>
              <w:rPr>
                <w:sz w:val="16"/>
                <w:szCs w:val="16"/>
                <w:color w:val="auto"/>
              </w:rPr>
            </w:pPr>
          </w:p>
        </w:tc>
        <w:tc>
          <w:tcPr>
            <w:tcW w:w="3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709</w:t>
            </w:r>
          </w:p>
        </w:tc>
        <w:tc>
          <w:tcPr>
            <w:tcW w:w="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ind w:left="840"/>
              <w:spacing w:after="0" w:line="189" w:lineRule="exact"/>
              <w:rPr>
                <w:sz w:val="20"/>
                <w:szCs w:val="20"/>
                <w:color w:val="auto"/>
              </w:rPr>
            </w:pPr>
            <w:r>
              <w:rPr>
                <w:rFonts w:ascii="Arial" w:cs="Arial" w:eastAsia="Arial" w:hAnsi="Arial"/>
                <w:sz w:val="18"/>
                <w:szCs w:val="18"/>
                <w:color w:val="auto"/>
                <w:w w:val="81"/>
              </w:rPr>
              <w:t>— </w:t>
            </w:r>
          </w:p>
        </w:tc>
        <w:tc>
          <w:tcPr>
            <w:tcW w:w="50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709</w:t>
            </w:r>
          </w:p>
        </w:tc>
        <w:tc>
          <w:tcPr>
            <w:tcW w:w="540" w:type="dxa"/>
            <w:vAlign w:val="bottom"/>
            <w:tcBorders>
              <w:left w:val="single" w:sz="8" w:color="CCEEFF"/>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339</w:t>
            </w:r>
          </w:p>
        </w:tc>
        <w:tc>
          <w:tcPr>
            <w:tcW w:w="520" w:type="dxa"/>
            <w:vAlign w:val="bottom"/>
            <w:tcBorders>
              <w:left w:val="single" w:sz="8" w:color="CCEEFF"/>
            </w:tcBorders>
            <w:shd w:val="clear" w:color="auto" w:fill="CCEEFF"/>
          </w:tcPr>
          <w:p>
            <w:pPr>
              <w:spacing w:after="0"/>
              <w:rPr>
                <w:sz w:val="16"/>
                <w:szCs w:val="16"/>
                <w:color w:val="auto"/>
              </w:rPr>
            </w:pPr>
          </w:p>
        </w:tc>
        <w:tc>
          <w:tcPr>
            <w:tcW w:w="14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3"/>
        </w:trPr>
        <w:tc>
          <w:tcPr>
            <w:tcW w:w="2280" w:type="dxa"/>
            <w:vAlign w:val="bottom"/>
            <w:gridSpan w:val="2"/>
          </w:tcPr>
          <w:p>
            <w:pPr>
              <w:spacing w:after="0" w:line="202" w:lineRule="exact"/>
              <w:rPr>
                <w:sz w:val="20"/>
                <w:szCs w:val="20"/>
                <w:color w:val="auto"/>
              </w:rPr>
            </w:pPr>
            <w:r>
              <w:rPr>
                <w:rFonts w:ascii="Arial" w:cs="Arial" w:eastAsia="Arial" w:hAnsi="Arial"/>
                <w:sz w:val="18"/>
                <w:szCs w:val="18"/>
                <w:color w:val="auto"/>
              </w:rPr>
              <w:t>Corporates</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472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ind w:left="840"/>
              <w:spacing w:after="0" w:line="202" w:lineRule="exact"/>
              <w:rPr>
                <w:sz w:val="20"/>
                <w:szCs w:val="20"/>
                <w:color w:val="auto"/>
              </w:rPr>
            </w:pPr>
            <w:r>
              <w:rPr>
                <w:rFonts w:ascii="Arial" w:cs="Arial" w:eastAsia="Arial" w:hAnsi="Arial"/>
                <w:sz w:val="18"/>
                <w:szCs w:val="18"/>
                <w:color w:val="auto"/>
              </w:rPr>
              <w:t>— </w:t>
            </w: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472</w:t>
            </w: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169</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184"/>
        </w:trPr>
        <w:tc>
          <w:tcPr>
            <w:tcW w:w="22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Tax &amp; Accounting</w:t>
            </w:r>
          </w:p>
        </w:tc>
        <w:tc>
          <w:tcPr>
            <w:tcW w:w="48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tcBorders>
              <w:left w:val="single" w:sz="8" w:color="CCEEFF"/>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40" w:type="dxa"/>
            <w:vAlign w:val="bottom"/>
            <w:tcBorders>
              <w:left w:val="single" w:sz="8" w:color="CCEEFF"/>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20" w:type="dxa"/>
            <w:vAlign w:val="bottom"/>
            <w:tcBorders>
              <w:left w:val="single" w:sz="8" w:color="CCEEFF"/>
            </w:tcBorders>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Professionals</w:t>
            </w:r>
          </w:p>
        </w:tc>
        <w:tc>
          <w:tcPr>
            <w:tcW w:w="48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540" w:type="dxa"/>
            <w:vAlign w:val="bottom"/>
            <w:tcBorders>
              <w:left w:val="single" w:sz="8" w:color="CCEEFF"/>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113</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191"/>
        </w:trPr>
        <w:tc>
          <w:tcPr>
            <w:tcW w:w="2280" w:type="dxa"/>
            <w:vAlign w:val="bottom"/>
            <w:gridSpan w:val="2"/>
          </w:tcPr>
          <w:p>
            <w:pPr>
              <w:spacing w:after="0" w:line="191" w:lineRule="exact"/>
              <w:rPr>
                <w:sz w:val="20"/>
                <w:szCs w:val="20"/>
                <w:color w:val="auto"/>
              </w:rPr>
            </w:pPr>
            <w:r>
              <w:rPr>
                <w:rFonts w:ascii="Arial" w:cs="Arial" w:eastAsia="Arial" w:hAnsi="Arial"/>
                <w:sz w:val="18"/>
                <w:szCs w:val="18"/>
                <w:color w:val="auto"/>
              </w:rPr>
              <w:t>“Big 3” Segments</w:t>
            </w:r>
          </w:p>
        </w:tc>
        <w:tc>
          <w:tcPr>
            <w:tcW w:w="4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280" w:type="dxa"/>
            <w:vAlign w:val="bottom"/>
            <w:gridSpan w:val="2"/>
          </w:tcPr>
          <w:p>
            <w:pPr>
              <w:ind w:left="180"/>
              <w:spacing w:after="0" w:line="221" w:lineRule="exact"/>
              <w:rPr>
                <w:sz w:val="20"/>
                <w:szCs w:val="20"/>
                <w:color w:val="auto"/>
              </w:rPr>
            </w:pPr>
            <w:r>
              <w:rPr>
                <w:rFonts w:ascii="Arial" w:cs="Arial" w:eastAsia="Arial" w:hAnsi="Arial"/>
                <w:sz w:val="17"/>
                <w:szCs w:val="17"/>
                <w:color w:val="auto"/>
              </w:rPr>
              <w:t>Combined</w:t>
            </w:r>
            <w:r>
              <w:rPr>
                <w:rFonts w:ascii="Arial" w:cs="Arial" w:eastAsia="Arial" w:hAnsi="Arial"/>
                <w:sz w:val="25"/>
                <w:szCs w:val="25"/>
                <w:color w:val="auto"/>
                <w:vertAlign w:val="superscript"/>
              </w:rPr>
              <w:t>(1)</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1,458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1,468</w:t>
            </w: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621</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3"/>
        </w:trPr>
        <w:tc>
          <w:tcPr>
            <w:tcW w:w="2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Reuters News</w:t>
            </w:r>
          </w:p>
        </w:tc>
        <w:tc>
          <w:tcPr>
            <w:tcW w:w="4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ind w:left="840"/>
              <w:spacing w:after="0" w:line="202" w:lineRule="exact"/>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w:t>
            </w: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45</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2"/>
        </w:trPr>
        <w:tc>
          <w:tcPr>
            <w:tcW w:w="2280" w:type="dxa"/>
            <w:vAlign w:val="bottom"/>
            <w:gridSpan w:val="2"/>
          </w:tcPr>
          <w:p>
            <w:pPr>
              <w:spacing w:after="0" w:line="202" w:lineRule="exact"/>
              <w:rPr>
                <w:sz w:val="20"/>
                <w:szCs w:val="20"/>
                <w:color w:val="auto"/>
              </w:rPr>
            </w:pPr>
            <w:r>
              <w:rPr>
                <w:rFonts w:ascii="Arial" w:cs="Arial" w:eastAsia="Arial" w:hAnsi="Arial"/>
                <w:sz w:val="18"/>
                <w:szCs w:val="18"/>
                <w:color w:val="auto"/>
              </w:rPr>
              <w:t>Global Print</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ind w:left="840"/>
              <w:spacing w:after="0" w:line="202" w:lineRule="exact"/>
              <w:rPr>
                <w:sz w:val="20"/>
                <w:szCs w:val="20"/>
                <w:color w:val="auto"/>
              </w:rPr>
            </w:pPr>
            <w:r>
              <w:rPr>
                <w:rFonts w:ascii="Arial" w:cs="Arial" w:eastAsia="Arial" w:hAnsi="Arial"/>
                <w:sz w:val="18"/>
                <w:szCs w:val="18"/>
                <w:color w:val="auto"/>
              </w:rPr>
              <w:t>— </w:t>
            </w: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41</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3"/>
        </w:trPr>
        <w:tc>
          <w:tcPr>
            <w:tcW w:w="2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Eliminations/ Rounding</w:t>
            </w:r>
          </w:p>
        </w:tc>
        <w:tc>
          <w:tcPr>
            <w:tcW w:w="4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w:t>
            </w: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ind w:left="840"/>
              <w:spacing w:after="0" w:line="202" w:lineRule="exact"/>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7"/>
                <w:szCs w:val="17"/>
                <w:color w:val="auto"/>
              </w:rPr>
            </w:pPr>
          </w:p>
        </w:tc>
        <w:tc>
          <w:tcPr>
            <w:tcW w:w="1780" w:type="dxa"/>
            <w:vAlign w:val="bottom"/>
            <w:tcBorders>
              <w:right w:val="single" w:sz="8" w:color="CCEEFF"/>
            </w:tcBorders>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— </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280" w:type="dxa"/>
            <w:vAlign w:val="bottom"/>
            <w:gridSpan w:val="2"/>
          </w:tcPr>
          <w:p>
            <w:pPr>
              <w:spacing w:after="0" w:line="202" w:lineRule="exact"/>
              <w:rPr>
                <w:sz w:val="20"/>
                <w:szCs w:val="20"/>
                <w:color w:val="auto"/>
              </w:rPr>
            </w:pPr>
            <w:r>
              <w:rPr>
                <w:rFonts w:ascii="Arial" w:cs="Arial" w:eastAsia="Arial" w:hAnsi="Arial"/>
                <w:sz w:val="18"/>
                <w:szCs w:val="18"/>
                <w:color w:val="auto"/>
              </w:rPr>
              <w:t>Corporate costs</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30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ind w:left="840"/>
              <w:spacing w:after="0" w:line="202" w:lineRule="exact"/>
              <w:rPr>
                <w:sz w:val="20"/>
                <w:szCs w:val="20"/>
                <w:color w:val="auto"/>
              </w:rPr>
            </w:pPr>
            <w:r>
              <w:rPr>
                <w:rFonts w:ascii="Arial" w:cs="Arial" w:eastAsia="Arial" w:hAnsi="Arial"/>
                <w:sz w:val="18"/>
                <w:szCs w:val="18"/>
                <w:color w:val="auto"/>
                <w:w w:val="81"/>
              </w:rPr>
              <w:t>— </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(29)</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Consolidated totals</w:t>
            </w:r>
          </w:p>
        </w:tc>
        <w:tc>
          <w:tcPr>
            <w:tcW w:w="480" w:type="dxa"/>
            <w:vAlign w:val="bottom"/>
            <w:tcBorders>
              <w:right w:val="single" w:sz="8" w:color="CCEEFF"/>
            </w:tcBorders>
            <w:shd w:val="clear" w:color="auto" w:fill="CCEEFF"/>
          </w:tcPr>
          <w:p>
            <w:pPr>
              <w:spacing w:after="0"/>
              <w:rPr>
                <w:sz w:val="17"/>
                <w:szCs w:val="17"/>
                <w:color w:val="auto"/>
              </w:rPr>
            </w:pPr>
          </w:p>
        </w:tc>
        <w:tc>
          <w:tcPr>
            <w:tcW w:w="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1,785</w:t>
            </w:r>
          </w:p>
        </w:tc>
        <w:tc>
          <w:tcPr>
            <w:tcW w:w="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50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1,795</w:t>
            </w: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678</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Six Months Ended June 30, 2025</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00" w:type="dxa"/>
            <w:vAlign w:val="bottom"/>
            <w:gridSpan w:val="3"/>
          </w:tcPr>
          <w:p>
            <w:pPr>
              <w:jc w:val="center"/>
              <w:ind w:right="540"/>
              <w:spacing w:after="0" w:line="147" w:lineRule="exact"/>
              <w:rPr>
                <w:sz w:val="20"/>
                <w:szCs w:val="20"/>
                <w:color w:val="auto"/>
              </w:rPr>
            </w:pPr>
            <w:r>
              <w:rPr>
                <w:rFonts w:ascii="Arial" w:cs="Arial" w:eastAsia="Arial" w:hAnsi="Arial"/>
                <w:sz w:val="14"/>
                <w:szCs w:val="14"/>
                <w:b w:val="1"/>
                <w:bCs w:val="1"/>
                <w:color w:val="auto"/>
              </w:rPr>
              <w:t>Revenues excluding</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Remove fair value</w:t>
            </w:r>
          </w:p>
        </w:tc>
        <w:tc>
          <w:tcPr>
            <w:tcW w:w="120" w:type="dxa"/>
            <w:vAlign w:val="bottom"/>
          </w:tcPr>
          <w:p>
            <w:pPr>
              <w:spacing w:after="0"/>
              <w:rPr>
                <w:sz w:val="14"/>
                <w:szCs w:val="14"/>
                <w:color w:val="auto"/>
              </w:rPr>
            </w:pPr>
          </w:p>
        </w:tc>
        <w:tc>
          <w:tcPr>
            <w:tcW w:w="17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color w:val="auto"/>
              </w:rPr>
              <w:t>millions of U.S. dollars)</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adjustments to</w:t>
            </w:r>
          </w:p>
        </w:tc>
        <w:tc>
          <w:tcPr>
            <w:tcW w:w="120" w:type="dxa"/>
            <w:vAlign w:val="bottom"/>
          </w:tcPr>
          <w:p>
            <w:pPr>
              <w:spacing w:after="0"/>
              <w:rPr>
                <w:sz w:val="14"/>
                <w:szCs w:val="14"/>
                <w:color w:val="auto"/>
              </w:rPr>
            </w:pPr>
          </w:p>
        </w:tc>
        <w:tc>
          <w:tcPr>
            <w:tcW w:w="17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adjustments to</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acquired deferred</w:t>
            </w:r>
          </w:p>
        </w:tc>
        <w:tc>
          <w:tcPr>
            <w:tcW w:w="19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rPr>
              <w:t>acquired deferred</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Adjusted EBITDA</w:t>
            </w:r>
          </w:p>
        </w:tc>
        <w:tc>
          <w:tcPr>
            <w:tcW w:w="0" w:type="dxa"/>
            <w:vAlign w:val="bottom"/>
          </w:tcPr>
          <w:p>
            <w:pPr>
              <w:spacing w:after="0"/>
              <w:rPr>
                <w:sz w:val="1"/>
                <w:szCs w:val="1"/>
                <w:color w:val="auto"/>
              </w:rPr>
            </w:pPr>
          </w:p>
        </w:tc>
      </w:tr>
      <w:tr>
        <w:trPr>
          <w:trHeight w:val="171"/>
        </w:trPr>
        <w:tc>
          <w:tcPr>
            <w:tcW w:w="2280" w:type="dxa"/>
            <w:vAlign w:val="bottom"/>
            <w:gridSpan w:val="2"/>
          </w:tcPr>
          <w:p>
            <w:pPr>
              <w:spacing w:after="0"/>
              <w:rPr>
                <w:sz w:val="20"/>
                <w:szCs w:val="20"/>
                <w:color w:val="auto"/>
              </w:rPr>
            </w:pPr>
            <w:r>
              <w:rPr>
                <w:rFonts w:ascii="Arial" w:cs="Arial" w:eastAsia="Arial" w:hAnsi="Arial"/>
                <w:sz w:val="14"/>
                <w:szCs w:val="14"/>
                <w:color w:val="auto"/>
              </w:rPr>
              <w:t>(unaudited)</w:t>
            </w:r>
          </w:p>
        </w:tc>
        <w:tc>
          <w:tcPr>
            <w:tcW w:w="480" w:type="dxa"/>
            <w:vAlign w:val="bottom"/>
          </w:tcPr>
          <w:p>
            <w:pPr>
              <w:spacing w:after="0"/>
              <w:rPr>
                <w:sz w:val="14"/>
                <w:szCs w:val="14"/>
                <w:color w:val="auto"/>
              </w:rPr>
            </w:pP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IFRS revenues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4"/>
                <w:szCs w:val="14"/>
                <w:color w:val="auto"/>
              </w:rPr>
            </w:pPr>
          </w:p>
        </w:tc>
        <w:tc>
          <w:tcPr>
            <w:tcW w:w="17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revenue</w:t>
            </w: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Adjusted EBITDA</w:t>
            </w: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0"/>
        </w:trPr>
        <w:tc>
          <w:tcPr>
            <w:tcW w:w="720" w:type="dxa"/>
            <w:vAlign w:val="bottom"/>
            <w:tcBorders>
              <w:bottom w:val="single" w:sz="8" w:color="CCEEFF"/>
            </w:tcBorders>
            <w:shd w:val="clear" w:color="auto" w:fill="000000"/>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Legal Professionals</w:t>
            </w:r>
          </w:p>
        </w:tc>
        <w:tc>
          <w:tcPr>
            <w:tcW w:w="480" w:type="dxa"/>
            <w:vAlign w:val="bottom"/>
            <w:tcBorders>
              <w:right w:val="single" w:sz="8" w:color="CCEEFF"/>
            </w:tcBorders>
            <w:shd w:val="clear" w:color="auto" w:fill="CCEEFF"/>
          </w:tcPr>
          <w:p>
            <w:pPr>
              <w:spacing w:after="0"/>
              <w:rPr>
                <w:sz w:val="16"/>
                <w:szCs w:val="16"/>
                <w:color w:val="auto"/>
              </w:rPr>
            </w:pPr>
          </w:p>
        </w:tc>
        <w:tc>
          <w:tcPr>
            <w:tcW w:w="3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1,402</w:t>
            </w:r>
          </w:p>
        </w:tc>
        <w:tc>
          <w:tcPr>
            <w:tcW w:w="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ind w:left="820"/>
              <w:spacing w:after="0" w:line="189" w:lineRule="exact"/>
              <w:rPr>
                <w:sz w:val="20"/>
                <w:szCs w:val="20"/>
                <w:color w:val="auto"/>
              </w:rPr>
            </w:pPr>
            <w:r>
              <w:rPr>
                <w:rFonts w:ascii="Arial" w:cs="Arial" w:eastAsia="Arial" w:hAnsi="Arial"/>
                <w:sz w:val="18"/>
                <w:szCs w:val="18"/>
                <w:color w:val="auto"/>
                <w:w w:val="88"/>
              </w:rPr>
              <w:t>— </w:t>
            </w:r>
          </w:p>
        </w:tc>
        <w:tc>
          <w:tcPr>
            <w:tcW w:w="50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1,402</w:t>
            </w:r>
          </w:p>
        </w:tc>
        <w:tc>
          <w:tcPr>
            <w:tcW w:w="540" w:type="dxa"/>
            <w:vAlign w:val="bottom"/>
            <w:tcBorders>
              <w:left w:val="single" w:sz="8" w:color="CCEEFF"/>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675</w:t>
            </w:r>
          </w:p>
        </w:tc>
        <w:tc>
          <w:tcPr>
            <w:tcW w:w="520" w:type="dxa"/>
            <w:vAlign w:val="bottom"/>
            <w:tcBorders>
              <w:left w:val="single" w:sz="8" w:color="CCEEFF"/>
            </w:tcBorders>
            <w:shd w:val="clear" w:color="auto" w:fill="CCEEFF"/>
          </w:tcPr>
          <w:p>
            <w:pPr>
              <w:spacing w:after="0"/>
              <w:rPr>
                <w:sz w:val="16"/>
                <w:szCs w:val="16"/>
                <w:color w:val="auto"/>
              </w:rPr>
            </w:pPr>
          </w:p>
        </w:tc>
        <w:tc>
          <w:tcPr>
            <w:tcW w:w="14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3"/>
        </w:trPr>
        <w:tc>
          <w:tcPr>
            <w:tcW w:w="2280" w:type="dxa"/>
            <w:vAlign w:val="bottom"/>
            <w:gridSpan w:val="2"/>
          </w:tcPr>
          <w:p>
            <w:pPr>
              <w:spacing w:after="0" w:line="202" w:lineRule="exact"/>
              <w:rPr>
                <w:sz w:val="20"/>
                <w:szCs w:val="20"/>
                <w:color w:val="auto"/>
              </w:rPr>
            </w:pPr>
            <w:r>
              <w:rPr>
                <w:rFonts w:ascii="Arial" w:cs="Arial" w:eastAsia="Arial" w:hAnsi="Arial"/>
                <w:sz w:val="18"/>
                <w:szCs w:val="18"/>
                <w:color w:val="auto"/>
              </w:rPr>
              <w:t>Corporates</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1,013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— </w:t>
            </w: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1,013</w:t>
            </w: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382</w:t>
            </w:r>
          </w:p>
        </w:tc>
        <w:tc>
          <w:tcPr>
            <w:tcW w:w="520" w:type="dxa"/>
            <w:vAlign w:val="bottom"/>
          </w:tcPr>
          <w:p>
            <w:pPr>
              <w:spacing w:after="0"/>
              <w:rPr>
                <w:sz w:val="17"/>
                <w:szCs w:val="17"/>
                <w:color w:val="auto"/>
              </w:rPr>
            </w:pP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184"/>
        </w:trPr>
        <w:tc>
          <w:tcPr>
            <w:tcW w:w="22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Tax &amp; Accounting</w:t>
            </w:r>
          </w:p>
        </w:tc>
        <w:tc>
          <w:tcPr>
            <w:tcW w:w="48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tcBorders>
              <w:left w:val="single" w:sz="8" w:color="CCEEFF"/>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40" w:type="dxa"/>
            <w:vAlign w:val="bottom"/>
            <w:tcBorders>
              <w:left w:val="single" w:sz="8" w:color="CCEEFF"/>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20" w:type="dxa"/>
            <w:vAlign w:val="bottom"/>
            <w:tcBorders>
              <w:left w:val="single" w:sz="8" w:color="CCEEFF"/>
            </w:tcBorders>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Professionals</w:t>
            </w:r>
          </w:p>
        </w:tc>
        <w:tc>
          <w:tcPr>
            <w:tcW w:w="48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8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812"/>
              <w:spacing w:after="0"/>
              <w:rPr>
                <w:sz w:val="20"/>
                <w:szCs w:val="20"/>
                <w:color w:val="auto"/>
              </w:rPr>
            </w:pPr>
            <w:r>
              <w:rPr>
                <w:rFonts w:ascii="Arial" w:cs="Arial" w:eastAsia="Arial" w:hAnsi="Arial"/>
                <w:sz w:val="18"/>
                <w:szCs w:val="18"/>
                <w:color w:val="auto"/>
                <w:w w:val="99"/>
              </w:rPr>
              <w:t>20</w:t>
            </w:r>
          </w:p>
        </w:tc>
        <w:tc>
          <w:tcPr>
            <w:tcW w:w="5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540" w:type="dxa"/>
            <w:vAlign w:val="bottom"/>
            <w:tcBorders>
              <w:left w:val="single" w:sz="8" w:color="CCEEFF"/>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520" w:type="dxa"/>
            <w:vAlign w:val="bottom"/>
            <w:tcBorders>
              <w:left w:val="single" w:sz="8" w:color="CCEEFF"/>
            </w:tcBorders>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191"/>
        </w:trPr>
        <w:tc>
          <w:tcPr>
            <w:tcW w:w="2280" w:type="dxa"/>
            <w:vAlign w:val="bottom"/>
            <w:gridSpan w:val="2"/>
          </w:tcPr>
          <w:p>
            <w:pPr>
              <w:spacing w:after="0" w:line="191" w:lineRule="exact"/>
              <w:rPr>
                <w:sz w:val="20"/>
                <w:szCs w:val="20"/>
                <w:color w:val="auto"/>
              </w:rPr>
            </w:pPr>
            <w:r>
              <w:rPr>
                <w:rFonts w:ascii="Arial" w:cs="Arial" w:eastAsia="Arial" w:hAnsi="Arial"/>
                <w:sz w:val="18"/>
                <w:szCs w:val="18"/>
                <w:color w:val="auto"/>
              </w:rPr>
              <w:t>“Big 3” Segments</w:t>
            </w:r>
          </w:p>
        </w:tc>
        <w:tc>
          <w:tcPr>
            <w:tcW w:w="4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280" w:type="dxa"/>
            <w:vAlign w:val="bottom"/>
            <w:gridSpan w:val="2"/>
          </w:tcPr>
          <w:p>
            <w:pPr>
              <w:ind w:left="180"/>
              <w:spacing w:after="0" w:line="221" w:lineRule="exact"/>
              <w:rPr>
                <w:sz w:val="20"/>
                <w:szCs w:val="20"/>
                <w:color w:val="auto"/>
              </w:rPr>
            </w:pPr>
            <w:r>
              <w:rPr>
                <w:rFonts w:ascii="Arial" w:cs="Arial" w:eastAsia="Arial" w:hAnsi="Arial"/>
                <w:sz w:val="17"/>
                <w:szCs w:val="17"/>
                <w:color w:val="auto"/>
              </w:rPr>
              <w:t>Combined</w:t>
            </w:r>
            <w:r>
              <w:rPr>
                <w:rFonts w:ascii="Arial" w:cs="Arial" w:eastAsia="Arial" w:hAnsi="Arial"/>
                <w:sz w:val="25"/>
                <w:szCs w:val="25"/>
                <w:color w:val="auto"/>
                <w:vertAlign w:val="superscript"/>
              </w:rPr>
              <w:t>(1)</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ind w:left="812"/>
              <w:spacing w:after="0"/>
              <w:rPr>
                <w:sz w:val="20"/>
                <w:szCs w:val="20"/>
                <w:color w:val="auto"/>
              </w:rPr>
            </w:pPr>
            <w:r>
              <w:rPr>
                <w:rFonts w:ascii="Arial" w:cs="Arial" w:eastAsia="Arial" w:hAnsi="Arial"/>
                <w:sz w:val="18"/>
                <w:szCs w:val="18"/>
                <w:color w:val="auto"/>
                <w:w w:val="99"/>
              </w:rPr>
              <w:t>20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3,072</w:t>
            </w: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1,380</w:t>
            </w:r>
          </w:p>
        </w:tc>
        <w:tc>
          <w:tcPr>
            <w:tcW w:w="52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3"/>
        </w:trPr>
        <w:tc>
          <w:tcPr>
            <w:tcW w:w="2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Reuters News</w:t>
            </w:r>
          </w:p>
        </w:tc>
        <w:tc>
          <w:tcPr>
            <w:tcW w:w="4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414</w:t>
            </w:r>
          </w:p>
        </w:tc>
        <w:tc>
          <w:tcPr>
            <w:tcW w:w="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414</w:t>
            </w: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520" w:type="dxa"/>
            <w:vAlign w:val="bottom"/>
            <w:tcBorders>
              <w:left w:val="single" w:sz="8" w:color="CCEEFF"/>
            </w:tcBorders>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3"/>
        </w:trPr>
        <w:tc>
          <w:tcPr>
            <w:tcW w:w="2280" w:type="dxa"/>
            <w:vAlign w:val="bottom"/>
            <w:gridSpan w:val="2"/>
          </w:tcPr>
          <w:p>
            <w:pPr>
              <w:spacing w:after="0" w:line="202" w:lineRule="exact"/>
              <w:rPr>
                <w:sz w:val="20"/>
                <w:szCs w:val="20"/>
                <w:color w:val="auto"/>
              </w:rPr>
            </w:pPr>
            <w:r>
              <w:rPr>
                <w:rFonts w:ascii="Arial" w:cs="Arial" w:eastAsia="Arial" w:hAnsi="Arial"/>
                <w:sz w:val="18"/>
                <w:szCs w:val="18"/>
                <w:color w:val="auto"/>
              </w:rPr>
              <w:t>Global Print</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230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— </w:t>
            </w: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230</w:t>
            </w: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520" w:type="dxa"/>
            <w:vAlign w:val="bottom"/>
          </w:tcPr>
          <w:p>
            <w:pPr>
              <w:spacing w:after="0"/>
              <w:rPr>
                <w:sz w:val="17"/>
                <w:szCs w:val="17"/>
                <w:color w:val="auto"/>
              </w:rPr>
            </w:pP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3"/>
        </w:trPr>
        <w:tc>
          <w:tcPr>
            <w:tcW w:w="2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Eliminations/ Rounding</w:t>
            </w:r>
          </w:p>
        </w:tc>
        <w:tc>
          <w:tcPr>
            <w:tcW w:w="4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7"/>
                <w:szCs w:val="17"/>
                <w:color w:val="auto"/>
              </w:rPr>
            </w:pPr>
          </w:p>
        </w:tc>
        <w:tc>
          <w:tcPr>
            <w:tcW w:w="1780" w:type="dxa"/>
            <w:vAlign w:val="bottom"/>
            <w:tcBorders>
              <w:right w:val="single" w:sz="8" w:color="CCEEFF"/>
            </w:tcBorders>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— </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280" w:type="dxa"/>
            <w:vAlign w:val="bottom"/>
            <w:gridSpan w:val="2"/>
          </w:tcPr>
          <w:p>
            <w:pPr>
              <w:spacing w:after="0" w:line="202" w:lineRule="exact"/>
              <w:rPr>
                <w:sz w:val="20"/>
                <w:szCs w:val="20"/>
                <w:color w:val="auto"/>
              </w:rPr>
            </w:pPr>
            <w:r>
              <w:rPr>
                <w:rFonts w:ascii="Arial" w:cs="Arial" w:eastAsia="Arial" w:hAnsi="Arial"/>
                <w:sz w:val="18"/>
                <w:szCs w:val="18"/>
                <w:color w:val="auto"/>
              </w:rPr>
              <w:t>Corporate costs</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30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ind w:left="820"/>
              <w:spacing w:after="0" w:line="202" w:lineRule="exact"/>
              <w:rPr>
                <w:sz w:val="20"/>
                <w:szCs w:val="20"/>
                <w:color w:val="auto"/>
              </w:rPr>
            </w:pPr>
            <w:r>
              <w:rPr>
                <w:rFonts w:ascii="Arial" w:cs="Arial" w:eastAsia="Arial" w:hAnsi="Arial"/>
                <w:sz w:val="18"/>
                <w:szCs w:val="18"/>
                <w:color w:val="auto"/>
                <w:w w:val="88"/>
              </w:rPr>
              <w:t>— </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(62)</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Consolidated totals</w:t>
            </w:r>
          </w:p>
        </w:tc>
        <w:tc>
          <w:tcPr>
            <w:tcW w:w="820" w:type="dxa"/>
            <w:vAlign w:val="bottom"/>
            <w:gridSpan w:val="3"/>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3,685</w:t>
            </w:r>
          </w:p>
        </w:tc>
        <w:tc>
          <w:tcPr>
            <w:tcW w:w="8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812"/>
              <w:spacing w:after="0" w:line="202" w:lineRule="exact"/>
              <w:rPr>
                <w:sz w:val="20"/>
                <w:szCs w:val="20"/>
                <w:color w:val="auto"/>
              </w:rPr>
            </w:pPr>
            <w:r>
              <w:rPr>
                <w:rFonts w:ascii="Arial" w:cs="Arial" w:eastAsia="Arial" w:hAnsi="Arial"/>
                <w:sz w:val="18"/>
                <w:szCs w:val="18"/>
                <w:color w:val="auto"/>
                <w:w w:val="99"/>
              </w:rPr>
              <w:t>20</w:t>
            </w:r>
          </w:p>
        </w:tc>
        <w:tc>
          <w:tcPr>
            <w:tcW w:w="50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3,705</w:t>
            </w: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1,487</w:t>
            </w:r>
          </w:p>
        </w:tc>
        <w:tc>
          <w:tcPr>
            <w:tcW w:w="520" w:type="dxa"/>
            <w:vAlign w:val="bottom"/>
            <w:tcBorders>
              <w:left w:val="single" w:sz="8" w:color="CCEEFF"/>
            </w:tcBorders>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7"/>
          </w:tcPr>
          <w:p>
            <w:pPr>
              <w:jc w:val="right"/>
              <w:ind w:right="1300"/>
              <w:spacing w:after="0"/>
              <w:rPr>
                <w:sz w:val="20"/>
                <w:szCs w:val="20"/>
                <w:color w:val="auto"/>
              </w:rPr>
            </w:pPr>
            <w:r>
              <w:rPr>
                <w:rFonts w:ascii="Arial" w:cs="Arial" w:eastAsia="Arial" w:hAnsi="Arial"/>
                <w:sz w:val="14"/>
                <w:szCs w:val="14"/>
                <w:b w:val="1"/>
                <w:bCs w:val="1"/>
                <w:color w:val="auto"/>
              </w:rPr>
              <w:t>Three Months Ended June 30, 2024</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00" w:type="dxa"/>
            <w:vAlign w:val="bottom"/>
            <w:gridSpan w:val="3"/>
          </w:tcPr>
          <w:p>
            <w:pPr>
              <w:jc w:val="center"/>
              <w:ind w:right="480"/>
              <w:spacing w:after="0" w:line="147" w:lineRule="exact"/>
              <w:rPr>
                <w:sz w:val="20"/>
                <w:szCs w:val="20"/>
                <w:color w:val="auto"/>
              </w:rPr>
            </w:pPr>
            <w:r>
              <w:rPr>
                <w:rFonts w:ascii="Arial" w:cs="Arial" w:eastAsia="Arial" w:hAnsi="Arial"/>
                <w:sz w:val="14"/>
                <w:szCs w:val="14"/>
                <w:b w:val="1"/>
                <w:bCs w:val="1"/>
                <w:color w:val="auto"/>
              </w:rPr>
              <w:t>Revenues excluding</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Remove fair value</w:t>
            </w:r>
          </w:p>
        </w:tc>
        <w:tc>
          <w:tcPr>
            <w:tcW w:w="120" w:type="dxa"/>
            <w:vAlign w:val="bottom"/>
          </w:tcPr>
          <w:p>
            <w:pPr>
              <w:spacing w:after="0"/>
              <w:rPr>
                <w:sz w:val="14"/>
                <w:szCs w:val="14"/>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2"/>
            <w:vMerge w:val="restart"/>
          </w:tcPr>
          <w:p>
            <w:pPr>
              <w:spacing w:after="0"/>
              <w:rPr>
                <w:sz w:val="20"/>
                <w:szCs w:val="20"/>
                <w:color w:val="auto"/>
              </w:rPr>
            </w:pPr>
            <w:r>
              <w:rPr>
                <w:rFonts w:ascii="Arial" w:cs="Arial" w:eastAsia="Arial" w:hAnsi="Arial"/>
                <w:sz w:val="14"/>
                <w:szCs w:val="14"/>
                <w:color w:val="auto"/>
              </w:rPr>
              <w:t>(millions of U.S. dollars)</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adjustments to</w:t>
            </w:r>
          </w:p>
        </w:tc>
        <w:tc>
          <w:tcPr>
            <w:tcW w:w="120" w:type="dxa"/>
            <w:vAlign w:val="bottom"/>
          </w:tcPr>
          <w:p>
            <w:pPr>
              <w:spacing w:after="0"/>
              <w:rPr>
                <w:sz w:val="14"/>
                <w:szCs w:val="14"/>
                <w:color w:val="auto"/>
              </w:rPr>
            </w:pPr>
          </w:p>
        </w:tc>
        <w:tc>
          <w:tcPr>
            <w:tcW w:w="17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adjustments to</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acquired deferred</w:t>
            </w:r>
          </w:p>
        </w:tc>
        <w:tc>
          <w:tcPr>
            <w:tcW w:w="19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rPr>
              <w:t>acquired deferred</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Adjusted EBITDA</w:t>
            </w:r>
          </w:p>
        </w:tc>
        <w:tc>
          <w:tcPr>
            <w:tcW w:w="0" w:type="dxa"/>
            <w:vAlign w:val="bottom"/>
          </w:tcPr>
          <w:p>
            <w:pPr>
              <w:spacing w:after="0"/>
              <w:rPr>
                <w:sz w:val="1"/>
                <w:szCs w:val="1"/>
                <w:color w:val="auto"/>
              </w:rPr>
            </w:pPr>
          </w:p>
        </w:tc>
      </w:tr>
      <w:tr>
        <w:trPr>
          <w:trHeight w:val="171"/>
        </w:trPr>
        <w:tc>
          <w:tcPr>
            <w:tcW w:w="2280" w:type="dxa"/>
            <w:vAlign w:val="bottom"/>
            <w:gridSpan w:val="2"/>
          </w:tcPr>
          <w:p>
            <w:pPr>
              <w:spacing w:after="0"/>
              <w:rPr>
                <w:sz w:val="20"/>
                <w:szCs w:val="20"/>
                <w:color w:val="auto"/>
              </w:rPr>
            </w:pPr>
            <w:r>
              <w:rPr>
                <w:rFonts w:ascii="Arial" w:cs="Arial" w:eastAsia="Arial" w:hAnsi="Arial"/>
                <w:sz w:val="14"/>
                <w:szCs w:val="14"/>
                <w:color w:val="auto"/>
              </w:rPr>
              <w:t>(unaudited)</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4"/>
          </w:tcPr>
          <w:p>
            <w:pPr>
              <w:ind w:left="20"/>
              <w:spacing w:after="0"/>
              <w:rPr>
                <w:sz w:val="20"/>
                <w:szCs w:val="20"/>
                <w:color w:val="auto"/>
              </w:rPr>
            </w:pPr>
            <w:r>
              <w:rPr>
                <w:rFonts w:ascii="Arial" w:cs="Arial" w:eastAsia="Arial" w:hAnsi="Arial"/>
                <w:sz w:val="14"/>
                <w:szCs w:val="14"/>
                <w:b w:val="1"/>
                <w:bCs w:val="1"/>
                <w:color w:val="auto"/>
              </w:rPr>
              <w:t>IFRS revenues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ind w:left="24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4"/>
                <w:szCs w:val="14"/>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revenue</w:t>
            </w: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Adjusted EBITDA</w:t>
            </w: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0"/>
        </w:trPr>
        <w:tc>
          <w:tcPr>
            <w:tcW w:w="720" w:type="dxa"/>
            <w:vAlign w:val="bottom"/>
            <w:tcBorders>
              <w:bottom w:val="single" w:sz="8" w:color="CCEEFF"/>
            </w:tcBorders>
            <w:shd w:val="clear" w:color="auto" w:fill="000000"/>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Legal Professionals</w:t>
            </w:r>
          </w:p>
        </w:tc>
        <w:tc>
          <w:tcPr>
            <w:tcW w:w="520" w:type="dxa"/>
            <w:vAlign w:val="bottom"/>
            <w:gridSpan w:val="2"/>
            <w:shd w:val="clear" w:color="auto" w:fill="CCEEFF"/>
          </w:tcPr>
          <w:p>
            <w:pPr>
              <w:spacing w:after="0"/>
              <w:rPr>
                <w:sz w:val="16"/>
                <w:szCs w:val="16"/>
                <w:color w:val="auto"/>
              </w:rPr>
            </w:pPr>
          </w:p>
        </w:tc>
        <w:tc>
          <w:tcPr>
            <w:tcW w:w="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727</w:t>
            </w:r>
          </w:p>
        </w:tc>
        <w:tc>
          <w:tcPr>
            <w:tcW w:w="2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ind w:left="792"/>
              <w:spacing w:after="0" w:line="189" w:lineRule="exact"/>
              <w:rPr>
                <w:sz w:val="20"/>
                <w:szCs w:val="20"/>
                <w:color w:val="auto"/>
              </w:rPr>
            </w:pPr>
            <w:r>
              <w:rPr>
                <w:rFonts w:ascii="Arial" w:cs="Arial" w:eastAsia="Arial" w:hAnsi="Arial"/>
                <w:sz w:val="18"/>
                <w:szCs w:val="18"/>
                <w:color w:val="auto"/>
                <w:w w:val="81"/>
              </w:rPr>
              <w:t>— </w:t>
            </w:r>
          </w:p>
        </w:tc>
        <w:tc>
          <w:tcPr>
            <w:tcW w:w="50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727</w:t>
            </w:r>
          </w:p>
        </w:tc>
        <w:tc>
          <w:tcPr>
            <w:tcW w:w="540" w:type="dxa"/>
            <w:vAlign w:val="bottom"/>
            <w:tcBorders>
              <w:left w:val="single" w:sz="8" w:color="CCEEFF"/>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327</w:t>
            </w:r>
          </w:p>
        </w:tc>
        <w:tc>
          <w:tcPr>
            <w:tcW w:w="520" w:type="dxa"/>
            <w:vAlign w:val="bottom"/>
            <w:tcBorders>
              <w:left w:val="single" w:sz="8" w:color="CCEEFF"/>
            </w:tcBorders>
            <w:shd w:val="clear" w:color="auto" w:fill="CCEEFF"/>
          </w:tcPr>
          <w:p>
            <w:pPr>
              <w:spacing w:after="0"/>
              <w:rPr>
                <w:sz w:val="16"/>
                <w:szCs w:val="16"/>
                <w:color w:val="auto"/>
              </w:rPr>
            </w:pPr>
          </w:p>
        </w:tc>
        <w:tc>
          <w:tcPr>
            <w:tcW w:w="14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3"/>
        </w:trPr>
        <w:tc>
          <w:tcPr>
            <w:tcW w:w="2280" w:type="dxa"/>
            <w:vAlign w:val="bottom"/>
            <w:gridSpan w:val="2"/>
          </w:tcPr>
          <w:p>
            <w:pPr>
              <w:spacing w:after="0" w:line="202" w:lineRule="exact"/>
              <w:rPr>
                <w:sz w:val="20"/>
                <w:szCs w:val="20"/>
                <w:color w:val="auto"/>
              </w:rPr>
            </w:pPr>
            <w:r>
              <w:rPr>
                <w:rFonts w:ascii="Arial" w:cs="Arial" w:eastAsia="Arial" w:hAnsi="Arial"/>
                <w:sz w:val="18"/>
                <w:szCs w:val="18"/>
                <w:color w:val="auto"/>
              </w:rPr>
              <w:t>Corporates</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442</w:t>
            </w:r>
          </w:p>
        </w:tc>
        <w:tc>
          <w:tcPr>
            <w:tcW w:w="36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7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444</w:t>
            </w:r>
          </w:p>
        </w:tc>
        <w:tc>
          <w:tcPr>
            <w:tcW w:w="42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163</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184"/>
        </w:trPr>
        <w:tc>
          <w:tcPr>
            <w:tcW w:w="22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Tax &amp; Accounting</w:t>
            </w:r>
          </w:p>
        </w:tc>
        <w:tc>
          <w:tcPr>
            <w:tcW w:w="48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tcBorders>
              <w:left w:val="single" w:sz="8" w:color="CCEEFF"/>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40" w:type="dxa"/>
            <w:vAlign w:val="bottom"/>
            <w:tcBorders>
              <w:left w:val="single" w:sz="8" w:color="CCEEFF"/>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20" w:type="dxa"/>
            <w:vAlign w:val="bottom"/>
            <w:tcBorders>
              <w:left w:val="single" w:sz="8" w:color="CCEEFF"/>
            </w:tcBorders>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Professionals</w:t>
            </w:r>
          </w:p>
        </w:tc>
        <w:tc>
          <w:tcPr>
            <w:tcW w:w="48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tcBorders>
              <w:right w:val="single" w:sz="8" w:color="CCEEFF"/>
            </w:tcBorders>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1"/>
              </w:rPr>
              <w:t>— </w:t>
            </w:r>
          </w:p>
        </w:tc>
        <w:tc>
          <w:tcPr>
            <w:tcW w:w="120" w:type="dxa"/>
            <w:vAlign w:val="bottom"/>
            <w:shd w:val="clear" w:color="auto" w:fill="CCEEFF"/>
          </w:tcPr>
          <w:p>
            <w:pPr>
              <w:spacing w:after="0"/>
              <w:rPr>
                <w:sz w:val="19"/>
                <w:szCs w:val="19"/>
                <w:color w:val="auto"/>
              </w:rPr>
            </w:pPr>
          </w:p>
        </w:tc>
        <w:tc>
          <w:tcPr>
            <w:tcW w:w="178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250</w:t>
            </w:r>
          </w:p>
        </w:tc>
        <w:tc>
          <w:tcPr>
            <w:tcW w:w="4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191"/>
        </w:trPr>
        <w:tc>
          <w:tcPr>
            <w:tcW w:w="2280" w:type="dxa"/>
            <w:vAlign w:val="bottom"/>
            <w:gridSpan w:val="2"/>
          </w:tcPr>
          <w:p>
            <w:pPr>
              <w:spacing w:after="0" w:line="191" w:lineRule="exact"/>
              <w:rPr>
                <w:sz w:val="20"/>
                <w:szCs w:val="20"/>
                <w:color w:val="auto"/>
              </w:rPr>
            </w:pPr>
            <w:r>
              <w:rPr>
                <w:rFonts w:ascii="Arial" w:cs="Arial" w:eastAsia="Arial" w:hAnsi="Arial"/>
                <w:sz w:val="18"/>
                <w:szCs w:val="18"/>
                <w:color w:val="auto"/>
              </w:rPr>
              <w:t>“Big 3” Segments</w:t>
            </w: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280" w:type="dxa"/>
            <w:vAlign w:val="bottom"/>
            <w:gridSpan w:val="2"/>
          </w:tcPr>
          <w:p>
            <w:pPr>
              <w:ind w:left="180"/>
              <w:spacing w:after="0" w:line="221" w:lineRule="exact"/>
              <w:rPr>
                <w:sz w:val="20"/>
                <w:szCs w:val="20"/>
                <w:color w:val="auto"/>
              </w:rPr>
            </w:pPr>
            <w:r>
              <w:rPr>
                <w:rFonts w:ascii="Arial" w:cs="Arial" w:eastAsia="Arial" w:hAnsi="Arial"/>
                <w:sz w:val="17"/>
                <w:szCs w:val="17"/>
                <w:color w:val="auto"/>
              </w:rPr>
              <w:t>Combined</w:t>
            </w:r>
            <w:r>
              <w:rPr>
                <w:rFonts w:ascii="Arial" w:cs="Arial" w:eastAsia="Arial" w:hAnsi="Arial"/>
                <w:sz w:val="25"/>
                <w:szCs w:val="25"/>
                <w:color w:val="auto"/>
                <w:vertAlign w:val="superscript"/>
              </w:rPr>
              <w:t>(1)</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1,419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780" w:type="dxa"/>
            <w:vAlign w:val="bottom"/>
            <w:gridSpan w:val="2"/>
          </w:tcPr>
          <w:p>
            <w:pPr>
              <w:jc w:val="right"/>
              <w:ind w:right="500"/>
              <w:spacing w:after="0"/>
              <w:rPr>
                <w:sz w:val="20"/>
                <w:szCs w:val="20"/>
                <w:color w:val="auto"/>
              </w:rPr>
            </w:pPr>
            <w:r>
              <w:rPr>
                <w:rFonts w:ascii="Arial" w:cs="Arial" w:eastAsia="Arial" w:hAnsi="Arial"/>
                <w:sz w:val="18"/>
                <w:szCs w:val="18"/>
                <w:color w:val="auto"/>
              </w:rPr>
              <w:t>1,421</w:t>
            </w:r>
          </w:p>
        </w:tc>
        <w:tc>
          <w:tcPr>
            <w:tcW w:w="42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581</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3"/>
        </w:trPr>
        <w:tc>
          <w:tcPr>
            <w:tcW w:w="2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Reuters News</w:t>
            </w:r>
          </w:p>
        </w:tc>
        <w:tc>
          <w:tcPr>
            <w:tcW w:w="4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205</w:t>
            </w: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center"/>
              <w:ind w:left="292"/>
              <w:spacing w:after="0" w:line="202" w:lineRule="exact"/>
              <w:rPr>
                <w:sz w:val="20"/>
                <w:szCs w:val="20"/>
                <w:color w:val="auto"/>
              </w:rPr>
            </w:pPr>
            <w:r>
              <w:rPr>
                <w:rFonts w:ascii="Arial" w:cs="Arial" w:eastAsia="Arial" w:hAnsi="Arial"/>
                <w:sz w:val="18"/>
                <w:szCs w:val="18"/>
                <w:color w:val="auto"/>
                <w:w w:val="81"/>
              </w:rPr>
              <w:t>— </w:t>
            </w:r>
          </w:p>
        </w:tc>
        <w:tc>
          <w:tcPr>
            <w:tcW w:w="120" w:type="dxa"/>
            <w:vAlign w:val="bottom"/>
            <w:shd w:val="clear" w:color="auto" w:fill="CCEEFF"/>
          </w:tcPr>
          <w:p>
            <w:pPr>
              <w:spacing w:after="0"/>
              <w:rPr>
                <w:sz w:val="17"/>
                <w:szCs w:val="17"/>
                <w:color w:val="auto"/>
              </w:rPr>
            </w:pPr>
          </w:p>
        </w:tc>
        <w:tc>
          <w:tcPr>
            <w:tcW w:w="1780" w:type="dxa"/>
            <w:vAlign w:val="bottom"/>
            <w:tcBorders>
              <w:right w:val="single" w:sz="8" w:color="CCEEFF"/>
            </w:tcBorders>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205</w:t>
            </w: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51</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3"/>
        </w:trPr>
        <w:tc>
          <w:tcPr>
            <w:tcW w:w="2280" w:type="dxa"/>
            <w:vAlign w:val="bottom"/>
            <w:gridSpan w:val="2"/>
          </w:tcPr>
          <w:p>
            <w:pPr>
              <w:spacing w:after="0" w:line="202" w:lineRule="exact"/>
              <w:rPr>
                <w:sz w:val="20"/>
                <w:szCs w:val="20"/>
                <w:color w:val="auto"/>
              </w:rPr>
            </w:pPr>
            <w:r>
              <w:rPr>
                <w:rFonts w:ascii="Arial" w:cs="Arial" w:eastAsia="Arial" w:hAnsi="Arial"/>
                <w:sz w:val="18"/>
                <w:szCs w:val="18"/>
                <w:color w:val="auto"/>
              </w:rPr>
              <w:t>Global Print</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123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left="292"/>
              <w:spacing w:after="0" w:line="202" w:lineRule="exact"/>
              <w:rPr>
                <w:sz w:val="20"/>
                <w:szCs w:val="20"/>
                <w:color w:val="auto"/>
              </w:rPr>
            </w:pPr>
            <w:r>
              <w:rPr>
                <w:rFonts w:ascii="Arial" w:cs="Arial" w:eastAsia="Arial" w:hAnsi="Arial"/>
                <w:sz w:val="18"/>
                <w:szCs w:val="18"/>
                <w:color w:val="auto"/>
                <w:w w:val="81"/>
              </w:rPr>
              <w:t>— </w:t>
            </w:r>
          </w:p>
        </w:tc>
        <w:tc>
          <w:tcPr>
            <w:tcW w:w="120" w:type="dxa"/>
            <w:vAlign w:val="bottom"/>
          </w:tcPr>
          <w:p>
            <w:pPr>
              <w:spacing w:after="0"/>
              <w:rPr>
                <w:sz w:val="17"/>
                <w:szCs w:val="17"/>
                <w:color w:val="auto"/>
              </w:rPr>
            </w:pPr>
          </w:p>
        </w:tc>
        <w:tc>
          <w:tcPr>
            <w:tcW w:w="17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123</w:t>
            </w:r>
          </w:p>
        </w:tc>
        <w:tc>
          <w:tcPr>
            <w:tcW w:w="42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43</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3"/>
        </w:trPr>
        <w:tc>
          <w:tcPr>
            <w:tcW w:w="2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Eliminations/ Rounding</w:t>
            </w:r>
          </w:p>
        </w:tc>
        <w:tc>
          <w:tcPr>
            <w:tcW w:w="4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2"/>
            <w:shd w:val="clear" w:color="auto" w:fill="CCEEFF"/>
          </w:tcPr>
          <w:p>
            <w:pPr>
              <w:jc w:val="center"/>
              <w:ind w:left="292"/>
              <w:spacing w:after="0" w:line="202" w:lineRule="exact"/>
              <w:rPr>
                <w:sz w:val="20"/>
                <w:szCs w:val="20"/>
                <w:color w:val="auto"/>
              </w:rPr>
            </w:pPr>
            <w:r>
              <w:rPr>
                <w:rFonts w:ascii="Arial" w:cs="Arial" w:eastAsia="Arial" w:hAnsi="Arial"/>
                <w:sz w:val="18"/>
                <w:szCs w:val="18"/>
                <w:color w:val="auto"/>
                <w:w w:val="81"/>
              </w:rPr>
              <w:t>— </w:t>
            </w:r>
          </w:p>
        </w:tc>
        <w:tc>
          <w:tcPr>
            <w:tcW w:w="120" w:type="dxa"/>
            <w:vAlign w:val="bottom"/>
            <w:shd w:val="clear" w:color="auto" w:fill="CCEEFF"/>
          </w:tcPr>
          <w:p>
            <w:pPr>
              <w:spacing w:after="0"/>
              <w:rPr>
                <w:sz w:val="17"/>
                <w:szCs w:val="17"/>
                <w:color w:val="auto"/>
              </w:rPr>
            </w:pPr>
          </w:p>
        </w:tc>
        <w:tc>
          <w:tcPr>
            <w:tcW w:w="1780" w:type="dxa"/>
            <w:vAlign w:val="bottom"/>
            <w:tcBorders>
              <w:right w:val="single" w:sz="8" w:color="CCEEFF"/>
            </w:tcBorders>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— </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280" w:type="dxa"/>
            <w:vAlign w:val="bottom"/>
            <w:gridSpan w:val="2"/>
          </w:tcPr>
          <w:p>
            <w:pPr>
              <w:spacing w:after="0" w:line="202" w:lineRule="exact"/>
              <w:rPr>
                <w:sz w:val="20"/>
                <w:szCs w:val="20"/>
                <w:color w:val="auto"/>
              </w:rPr>
            </w:pPr>
            <w:r>
              <w:rPr>
                <w:rFonts w:ascii="Arial" w:cs="Arial" w:eastAsia="Arial" w:hAnsi="Arial"/>
                <w:sz w:val="18"/>
                <w:szCs w:val="18"/>
                <w:color w:val="auto"/>
              </w:rPr>
              <w:t>Corporate costs</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— </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left="792"/>
              <w:spacing w:after="0" w:line="202" w:lineRule="exact"/>
              <w:rPr>
                <w:sz w:val="20"/>
                <w:szCs w:val="20"/>
                <w:color w:val="auto"/>
              </w:rPr>
            </w:pPr>
            <w:r>
              <w:rPr>
                <w:rFonts w:ascii="Arial" w:cs="Arial" w:eastAsia="Arial" w:hAnsi="Arial"/>
                <w:sz w:val="18"/>
                <w:szCs w:val="18"/>
                <w:color w:val="auto"/>
                <w:w w:val="81"/>
              </w:rPr>
              <w:t>— </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(29)</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Consolidated totals</w:t>
            </w:r>
          </w:p>
        </w:tc>
        <w:tc>
          <w:tcPr>
            <w:tcW w:w="520" w:type="dxa"/>
            <w:vAlign w:val="bottom"/>
            <w:gridSpan w:val="2"/>
            <w:shd w:val="clear" w:color="auto" w:fill="CCEEFF"/>
          </w:tcPr>
          <w:p>
            <w:pPr>
              <w:spacing w:after="0"/>
              <w:rPr>
                <w:sz w:val="17"/>
                <w:szCs w:val="17"/>
                <w:color w:val="auto"/>
              </w:rPr>
            </w:pPr>
          </w:p>
        </w:tc>
        <w:tc>
          <w:tcPr>
            <w:tcW w:w="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1,740</w:t>
            </w:r>
          </w:p>
        </w:tc>
        <w:tc>
          <w:tcPr>
            <w:tcW w:w="2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CCEEFF"/>
            </w:tcBorders>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780" w:type="dxa"/>
            <w:vAlign w:val="bottom"/>
            <w:tcBorders>
              <w:right w:val="single" w:sz="8" w:color="CCEEFF"/>
            </w:tcBorders>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1,742</w:t>
            </w:r>
          </w:p>
        </w:tc>
        <w:tc>
          <w:tcPr>
            <w:tcW w:w="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646</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4"/>
        <w:spacing w:after="0"/>
        <w:rPr>
          <w:sz w:val="20"/>
          <w:szCs w:val="20"/>
          <w:color w:val="auto"/>
        </w:rPr>
      </w:pPr>
      <w:r>
        <w:rPr>
          <w:rFonts w:ascii="Arial" w:cs="Arial" w:eastAsia="Arial" w:hAnsi="Arial"/>
          <w:sz w:val="14"/>
          <w:szCs w:val="14"/>
          <w:i w:val="1"/>
          <w:iCs w:val="1"/>
          <w:color w:val="auto"/>
        </w:rPr>
        <w:t>n/a: not applicable</w:t>
      </w:r>
    </w:p>
    <w:p>
      <w:pPr>
        <w:spacing w:after="0" w:line="109" w:lineRule="exact"/>
        <w:rPr>
          <w:sz w:val="20"/>
          <w:szCs w:val="20"/>
          <w:color w:val="auto"/>
        </w:rPr>
      </w:pPr>
    </w:p>
    <w:p>
      <w:pPr>
        <w:ind w:left="4"/>
        <w:spacing w:after="0"/>
        <w:rPr>
          <w:sz w:val="20"/>
          <w:szCs w:val="20"/>
          <w:color w:val="auto"/>
        </w:rPr>
      </w:pPr>
      <w:r>
        <w:rPr>
          <w:rFonts w:ascii="Arial" w:cs="Arial" w:eastAsia="Arial" w:hAnsi="Arial"/>
          <w:sz w:val="14"/>
          <w:szCs w:val="14"/>
          <w:i w:val="1"/>
          <w:iCs w:val="1"/>
          <w:color w:val="auto"/>
        </w:rPr>
        <w:t>Margins are computed using whole dollars, as a result, margins calculated from reported amounts may differ from those presented due to rounding.</w:t>
      </w:r>
    </w:p>
    <w:p>
      <w:pPr>
        <w:spacing w:after="0" w:line="121" w:lineRule="exact"/>
        <w:rPr>
          <w:sz w:val="20"/>
          <w:szCs w:val="20"/>
          <w:color w:val="auto"/>
        </w:rPr>
      </w:pPr>
    </w:p>
    <w:p>
      <w:pPr>
        <w:ind w:left="424" w:hanging="424"/>
        <w:spacing w:after="0"/>
        <w:tabs>
          <w:tab w:leader="none" w:pos="424"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Refer to page 24 for additional information on non-IFRS financial measures.</w:t>
      </w:r>
    </w:p>
    <w:p>
      <w:pPr>
        <w:sectPr>
          <w:pgSz w:w="11900" w:h="16838" w:orient="portrait"/>
          <w:cols w:equalWidth="0" w:num="1">
            <w:col w:w="11024"/>
          </w:cols>
          <w:pgMar w:left="436" w:top="1201" w:right="439" w:bottom="1440" w:gutter="0" w:footer="0" w:header="0"/>
        </w:sectPr>
      </w:pPr>
    </w:p>
    <w:bookmarkStart w:id="24" w:name="page25"/>
    <w:bookmarkEnd w:id="2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6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22 of 24</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Reconciliation of adjusted EBITDA margin</w:t>
      </w:r>
      <w:r>
        <w:rPr>
          <w:rFonts w:ascii="Arial" w:cs="Arial" w:eastAsia="Arial" w:hAnsi="Arial"/>
          <w:sz w:val="26"/>
          <w:szCs w:val="26"/>
          <w:b w:val="1"/>
          <w:bCs w:val="1"/>
          <w:color w:val="auto"/>
          <w:vertAlign w:val="superscript"/>
        </w:rPr>
        <w:t>(1)</w:t>
      </w:r>
    </w:p>
    <w:p>
      <w:pPr>
        <w:spacing w:after="0" w:line="156" w:lineRule="exact"/>
        <w:rPr>
          <w:sz w:val="20"/>
          <w:szCs w:val="20"/>
          <w:color w:val="auto"/>
        </w:rPr>
      </w:pPr>
    </w:p>
    <w:p>
      <w:pPr>
        <w:jc w:val="center"/>
        <w:ind w:right="216"/>
        <w:spacing w:after="0"/>
        <w:rPr>
          <w:sz w:val="20"/>
          <w:szCs w:val="20"/>
          <w:color w:val="auto"/>
        </w:rPr>
      </w:pPr>
      <w:r>
        <w:rPr>
          <w:rFonts w:ascii="Arial" w:cs="Arial" w:eastAsia="Arial" w:hAnsi="Arial"/>
          <w:sz w:val="14"/>
          <w:szCs w:val="14"/>
          <w:b w:val="1"/>
          <w:bCs w:val="1"/>
          <w:color w:val="auto"/>
        </w:rPr>
        <w:t>Six Months Ended June 30, 2024</w:t>
      </w:r>
    </w:p>
    <w:p>
      <w:pPr>
        <w:spacing w:after="0" w:line="24" w:lineRule="exact"/>
        <w:rPr>
          <w:sz w:val="20"/>
          <w:szCs w:val="20"/>
          <w:color w:val="auto"/>
        </w:rPr>
      </w:pPr>
    </w:p>
    <w:tbl>
      <w:tblPr>
        <w:tblLayout w:type="fixed"/>
        <w:tblInd w:w="4" w:type="dxa"/>
        <w:tblCellMar>
          <w:top w:w="0" w:type="dxa"/>
          <w:left w:w="0" w:type="dxa"/>
          <w:bottom w:w="0" w:type="dxa"/>
          <w:right w:w="0" w:type="dxa"/>
        </w:tblCellMar>
      </w:tblPr>
      <w:tr>
        <w:trPr>
          <w:trHeight w:val="146"/>
        </w:trPr>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jc w:val="center"/>
              <w:ind w:right="280"/>
              <w:spacing w:after="0" w:line="147" w:lineRule="exact"/>
              <w:rPr>
                <w:sz w:val="20"/>
                <w:szCs w:val="20"/>
                <w:color w:val="auto"/>
              </w:rPr>
            </w:pPr>
            <w:r>
              <w:rPr>
                <w:rFonts w:ascii="Arial" w:cs="Arial" w:eastAsia="Arial" w:hAnsi="Arial"/>
                <w:sz w:val="14"/>
                <w:szCs w:val="14"/>
                <w:b w:val="1"/>
                <w:bCs w:val="1"/>
                <w:color w:val="auto"/>
              </w:rPr>
              <w:t>Revenues excluding</w:t>
            </w: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Remove fair value</w:t>
            </w:r>
          </w:p>
        </w:tc>
        <w:tc>
          <w:tcPr>
            <w:tcW w:w="17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gridSpan w:val="5"/>
            <w:vMerge w:val="restart"/>
          </w:tcPr>
          <w:p>
            <w:pPr>
              <w:spacing w:after="0"/>
              <w:rPr>
                <w:sz w:val="20"/>
                <w:szCs w:val="20"/>
                <w:color w:val="auto"/>
              </w:rPr>
            </w:pPr>
            <w:r>
              <w:rPr>
                <w:rFonts w:ascii="Arial" w:cs="Arial" w:eastAsia="Arial" w:hAnsi="Arial"/>
                <w:sz w:val="14"/>
                <w:szCs w:val="14"/>
                <w:color w:val="auto"/>
              </w:rPr>
              <w:t>(millions of U.S. dollars)</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adjustments to</w:t>
            </w:r>
          </w:p>
        </w:tc>
        <w:tc>
          <w:tcPr>
            <w:tcW w:w="17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adjustments to</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0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rPr>
              <w:t>acquired deferred</w:t>
            </w:r>
          </w:p>
        </w:tc>
        <w:tc>
          <w:tcPr>
            <w:tcW w:w="17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rPr>
              <w:t>acquired deferred</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rPr>
              <w:t>Adjusted EBITDA</w:t>
            </w:r>
          </w:p>
        </w:tc>
        <w:tc>
          <w:tcPr>
            <w:tcW w:w="0" w:type="dxa"/>
            <w:vAlign w:val="bottom"/>
          </w:tcPr>
          <w:p>
            <w:pPr>
              <w:spacing w:after="0"/>
              <w:rPr>
                <w:sz w:val="1"/>
                <w:szCs w:val="1"/>
                <w:color w:val="auto"/>
              </w:rPr>
            </w:pPr>
          </w:p>
        </w:tc>
      </w:tr>
      <w:tr>
        <w:trPr>
          <w:trHeight w:val="171"/>
        </w:trPr>
        <w:tc>
          <w:tcPr>
            <w:tcW w:w="2700" w:type="dxa"/>
            <w:vAlign w:val="bottom"/>
            <w:gridSpan w:val="5"/>
          </w:tcPr>
          <w:p>
            <w:pPr>
              <w:spacing w:after="0"/>
              <w:rPr>
                <w:sz w:val="20"/>
                <w:szCs w:val="20"/>
                <w:color w:val="auto"/>
              </w:rPr>
            </w:pPr>
            <w:r>
              <w:rPr>
                <w:rFonts w:ascii="Arial" w:cs="Arial" w:eastAsia="Arial" w:hAnsi="Arial"/>
                <w:sz w:val="14"/>
                <w:szCs w:val="14"/>
                <w:color w:val="auto"/>
              </w:rPr>
              <w:t>(unaudited)</w:t>
            </w:r>
          </w:p>
        </w:tc>
        <w:tc>
          <w:tcPr>
            <w:tcW w:w="6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IFRS revenues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revenue</w:t>
            </w:r>
          </w:p>
        </w:tc>
        <w:tc>
          <w:tcPr>
            <w:tcW w:w="17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Adjusted EBITDA</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0"/>
        </w:trPr>
        <w:tc>
          <w:tcPr>
            <w:tcW w:w="720" w:type="dxa"/>
            <w:vAlign w:val="bottom"/>
            <w:tcBorders>
              <w:bottom w:val="single" w:sz="8" w:color="CCEEFF"/>
            </w:tcBorders>
            <w:shd w:val="clear" w:color="auto" w:fill="000000"/>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auto"/>
              </w:rPr>
              <w:t>Legal Professionals</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1,448</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23"/>
              <w:spacing w:after="0" w:line="189"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1,448</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669</w:t>
            </w: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3"/>
        </w:trPr>
        <w:tc>
          <w:tcPr>
            <w:tcW w:w="2700" w:type="dxa"/>
            <w:vAlign w:val="bottom"/>
            <w:gridSpan w:val="5"/>
          </w:tcPr>
          <w:p>
            <w:pPr>
              <w:spacing w:after="0" w:line="202" w:lineRule="exact"/>
              <w:rPr>
                <w:sz w:val="20"/>
                <w:szCs w:val="20"/>
                <w:color w:val="auto"/>
              </w:rPr>
            </w:pPr>
            <w:r>
              <w:rPr>
                <w:rFonts w:ascii="Arial" w:cs="Arial" w:eastAsia="Arial" w:hAnsi="Arial"/>
                <w:sz w:val="18"/>
                <w:szCs w:val="18"/>
                <w:color w:val="auto"/>
              </w:rPr>
              <w:t>Corporates</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949</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w:t>
            </w:r>
          </w:p>
        </w:tc>
        <w:tc>
          <w:tcPr>
            <w:tcW w:w="920" w:type="dxa"/>
            <w:vAlign w:val="bottom"/>
          </w:tcPr>
          <w:p>
            <w:pPr>
              <w:spacing w:after="0"/>
              <w:rPr>
                <w:sz w:val="17"/>
                <w:szCs w:val="17"/>
                <w:color w:val="auto"/>
              </w:rPr>
            </w:pPr>
          </w:p>
        </w:tc>
        <w:tc>
          <w:tcPr>
            <w:tcW w:w="7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954</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356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184"/>
        </w:trPr>
        <w:tc>
          <w:tcPr>
            <w:tcW w:w="2700" w:type="dxa"/>
            <w:vAlign w:val="bottom"/>
            <w:gridSpan w:val="5"/>
            <w:shd w:val="clear" w:color="auto" w:fill="CCEEFF"/>
          </w:tcPr>
          <w:p>
            <w:pPr>
              <w:spacing w:after="0" w:line="183" w:lineRule="exact"/>
              <w:rPr>
                <w:sz w:val="20"/>
                <w:szCs w:val="20"/>
                <w:color w:val="auto"/>
              </w:rPr>
            </w:pPr>
            <w:r>
              <w:rPr>
                <w:rFonts w:ascii="Arial" w:cs="Arial" w:eastAsia="Arial" w:hAnsi="Arial"/>
                <w:sz w:val="18"/>
                <w:szCs w:val="18"/>
                <w:color w:val="auto"/>
              </w:rPr>
              <w:t>Tax &amp; Accounting</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7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Professionals</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578</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578</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191"/>
        </w:trPr>
        <w:tc>
          <w:tcPr>
            <w:tcW w:w="2700" w:type="dxa"/>
            <w:vAlign w:val="bottom"/>
            <w:gridSpan w:val="5"/>
          </w:tcPr>
          <w:p>
            <w:pPr>
              <w:spacing w:after="0" w:line="191" w:lineRule="exact"/>
              <w:rPr>
                <w:sz w:val="20"/>
                <w:szCs w:val="20"/>
                <w:color w:val="auto"/>
              </w:rPr>
            </w:pPr>
            <w:r>
              <w:rPr>
                <w:rFonts w:ascii="Arial" w:cs="Arial" w:eastAsia="Arial" w:hAnsi="Arial"/>
                <w:sz w:val="18"/>
                <w:szCs w:val="18"/>
                <w:color w:val="auto"/>
              </w:rPr>
              <w:t>“Big 3” Segments</w:t>
            </w:r>
          </w:p>
        </w:tc>
        <w:tc>
          <w:tcPr>
            <w:tcW w:w="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700" w:type="dxa"/>
            <w:vAlign w:val="bottom"/>
            <w:gridSpan w:val="5"/>
          </w:tcPr>
          <w:p>
            <w:pPr>
              <w:ind w:left="180"/>
              <w:spacing w:after="0" w:line="221" w:lineRule="exact"/>
              <w:rPr>
                <w:sz w:val="20"/>
                <w:szCs w:val="20"/>
                <w:color w:val="auto"/>
              </w:rPr>
            </w:pPr>
            <w:r>
              <w:rPr>
                <w:rFonts w:ascii="Arial" w:cs="Arial" w:eastAsia="Arial" w:hAnsi="Arial"/>
                <w:sz w:val="17"/>
                <w:szCs w:val="17"/>
                <w:color w:val="auto"/>
              </w:rPr>
              <w:t>Combined</w:t>
            </w:r>
            <w:r>
              <w:rPr>
                <w:rFonts w:ascii="Arial" w:cs="Arial" w:eastAsia="Arial" w:hAnsi="Arial"/>
                <w:sz w:val="25"/>
                <w:szCs w:val="25"/>
                <w:color w:val="auto"/>
                <w:vertAlign w:val="superscript"/>
              </w:rPr>
              <w:t>(1)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2,975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92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2,980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1,297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3"/>
        </w:trPr>
        <w:tc>
          <w:tcPr>
            <w:tcW w:w="27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Reuters News</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415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w:t>
            </w:r>
          </w:p>
        </w:tc>
        <w:tc>
          <w:tcPr>
            <w:tcW w:w="9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416</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3"/>
        </w:trPr>
        <w:tc>
          <w:tcPr>
            <w:tcW w:w="2700" w:type="dxa"/>
            <w:vAlign w:val="bottom"/>
            <w:gridSpan w:val="5"/>
          </w:tcPr>
          <w:p>
            <w:pPr>
              <w:spacing w:after="0" w:line="202" w:lineRule="exact"/>
              <w:rPr>
                <w:sz w:val="20"/>
                <w:szCs w:val="20"/>
                <w:color w:val="auto"/>
              </w:rPr>
            </w:pPr>
            <w:r>
              <w:rPr>
                <w:rFonts w:ascii="Arial" w:cs="Arial" w:eastAsia="Arial" w:hAnsi="Arial"/>
                <w:sz w:val="18"/>
                <w:szCs w:val="18"/>
                <w:color w:val="auto"/>
              </w:rPr>
              <w:t>Global Print</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247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— </w:t>
            </w:r>
          </w:p>
        </w:tc>
        <w:tc>
          <w:tcPr>
            <w:tcW w:w="920" w:type="dxa"/>
            <w:vAlign w:val="bottom"/>
          </w:tcPr>
          <w:p>
            <w:pPr>
              <w:spacing w:after="0"/>
              <w:rPr>
                <w:sz w:val="17"/>
                <w:szCs w:val="17"/>
                <w:color w:val="auto"/>
              </w:rPr>
            </w:pPr>
          </w:p>
        </w:tc>
        <w:tc>
          <w:tcPr>
            <w:tcW w:w="7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247</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90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3"/>
        </w:trPr>
        <w:tc>
          <w:tcPr>
            <w:tcW w:w="27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Eliminations/ Rounding</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700" w:type="dxa"/>
            <w:vAlign w:val="bottom"/>
            <w:gridSpan w:val="5"/>
          </w:tcPr>
          <w:p>
            <w:pPr>
              <w:spacing w:after="0" w:line="202" w:lineRule="exact"/>
              <w:rPr>
                <w:sz w:val="20"/>
                <w:szCs w:val="20"/>
                <w:color w:val="auto"/>
              </w:rPr>
            </w:pPr>
            <w:r>
              <w:rPr>
                <w:rFonts w:ascii="Arial" w:cs="Arial" w:eastAsia="Arial" w:hAnsi="Arial"/>
                <w:sz w:val="18"/>
                <w:szCs w:val="18"/>
                <w:color w:val="auto"/>
              </w:rPr>
              <w:t>Corporate costs</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Consolidated totals</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3,625</w:t>
            </w:r>
          </w:p>
        </w:tc>
        <w:tc>
          <w:tcPr>
            <w:tcW w:w="2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w:t>
            </w:r>
          </w:p>
        </w:tc>
        <w:tc>
          <w:tcPr>
            <w:tcW w:w="920" w:type="dxa"/>
            <w:vAlign w:val="bottom"/>
            <w:shd w:val="clear" w:color="auto" w:fill="CCEEFF"/>
          </w:tcPr>
          <w:p>
            <w:pPr>
              <w:jc w:val="right"/>
              <w:ind w:right="723"/>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3,631</w:t>
            </w:r>
          </w:p>
        </w:tc>
        <w:tc>
          <w:tcPr>
            <w:tcW w:w="6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1,452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Thomson Reuters Corporation</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17"/>
          </w:tcPr>
          <w:p>
            <w:pPr>
              <w:jc w:val="center"/>
              <w:ind w:right="80"/>
              <w:spacing w:after="0" w:line="212" w:lineRule="exact"/>
              <w:rPr>
                <w:sz w:val="20"/>
                <w:szCs w:val="20"/>
                <w:color w:val="auto"/>
              </w:rPr>
            </w:pPr>
            <w:r>
              <w:rPr>
                <w:rFonts w:ascii="Arial" w:cs="Arial" w:eastAsia="Arial" w:hAnsi="Arial"/>
                <w:sz w:val="17"/>
                <w:szCs w:val="17"/>
                <w:b w:val="1"/>
                <w:bCs w:val="1"/>
                <w:color w:val="auto"/>
              </w:rPr>
              <w:t>“Big 3” Segments and Consolidated Adjusted EBITDA</w:t>
            </w:r>
            <w:r>
              <w:rPr>
                <w:rFonts w:ascii="Arial" w:cs="Arial" w:eastAsia="Arial" w:hAnsi="Arial"/>
                <w:sz w:val="24"/>
                <w:szCs w:val="24"/>
                <w:b w:val="1"/>
                <w:bCs w:val="1"/>
                <w:color w:val="auto"/>
                <w:vertAlign w:val="superscript"/>
              </w:rPr>
              <w:t>(1)</w:t>
            </w:r>
            <w:r>
              <w:rPr>
                <w:rFonts w:ascii="Arial" w:cs="Arial" w:eastAsia="Arial" w:hAnsi="Arial"/>
                <w:sz w:val="17"/>
                <w:szCs w:val="17"/>
                <w:b w:val="1"/>
                <w:bCs w:val="1"/>
                <w:color w:val="auto"/>
              </w:rPr>
              <w:t xml:space="preserve"> and the Related Margins</w:t>
            </w:r>
            <w:r>
              <w:rPr>
                <w:rFonts w:ascii="Arial" w:cs="Arial" w:eastAsia="Arial" w:hAnsi="Arial"/>
                <w:sz w:val="24"/>
                <w:szCs w:val="24"/>
                <w:b w:val="1"/>
                <w:bCs w:val="1"/>
                <w:color w:val="auto"/>
                <w:vertAlign w:val="superscript"/>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3"/>
          </w:tcPr>
          <w:p>
            <w:pPr>
              <w:jc w:val="center"/>
              <w:ind w:right="203"/>
              <w:spacing w:after="0"/>
              <w:rPr>
                <w:sz w:val="20"/>
                <w:szCs w:val="20"/>
                <w:color w:val="auto"/>
              </w:rPr>
            </w:pPr>
            <w:r>
              <w:rPr>
                <w:rFonts w:ascii="Arial" w:cs="Arial" w:eastAsia="Arial" w:hAnsi="Arial"/>
                <w:sz w:val="14"/>
                <w:szCs w:val="14"/>
                <w:color w:val="auto"/>
              </w:rPr>
              <w:t>(millions of U.S. dollars)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left="556"/>
              <w:spacing w:after="0"/>
              <w:rPr>
                <w:sz w:val="20"/>
                <w:szCs w:val="20"/>
                <w:color w:val="auto"/>
              </w:rPr>
            </w:pPr>
            <w:r>
              <w:rPr>
                <w:rFonts w:ascii="Arial" w:cs="Arial" w:eastAsia="Arial" w:hAnsi="Arial"/>
                <w:sz w:val="14"/>
                <w:szCs w:val="14"/>
                <w:color w:val="auto"/>
              </w:rPr>
              <w:t>(unaudited)</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72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00" w:type="dxa"/>
            <w:vAlign w:val="bottom"/>
            <w:gridSpan w:val="5"/>
            <w:shd w:val="clear" w:color="auto" w:fill="CCEEFF"/>
          </w:tcPr>
          <w:p>
            <w:pPr>
              <w:spacing w:after="0" w:line="156" w:lineRule="exact"/>
              <w:rPr>
                <w:sz w:val="20"/>
                <w:szCs w:val="20"/>
                <w:color w:val="auto"/>
              </w:rPr>
            </w:pPr>
            <w:r>
              <w:rPr>
                <w:rFonts w:ascii="Arial" w:cs="Arial" w:eastAsia="Arial" w:hAnsi="Arial"/>
                <w:sz w:val="13"/>
                <w:szCs w:val="13"/>
                <w:b w:val="1"/>
                <w:bCs w:val="1"/>
                <w:color w:val="auto"/>
              </w:rPr>
              <w:t>Adjusted EBITDA</w:t>
            </w:r>
            <w:r>
              <w:rPr>
                <w:rFonts w:ascii="Arial" w:cs="Arial" w:eastAsia="Arial" w:hAnsi="Arial"/>
                <w:sz w:val="18"/>
                <w:szCs w:val="18"/>
                <w:b w:val="1"/>
                <w:bCs w:val="1"/>
                <w:color w:val="auto"/>
                <w:vertAlign w:val="superscript"/>
              </w:rPr>
              <w:t>(1)</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03"/>
        </w:trPr>
        <w:tc>
          <w:tcPr>
            <w:tcW w:w="2700" w:type="dxa"/>
            <w:vAlign w:val="bottom"/>
            <w:gridSpan w:val="5"/>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Corporates</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0"/>
        </w:trPr>
        <w:tc>
          <w:tcPr>
            <w:tcW w:w="3100" w:type="dxa"/>
            <w:vAlign w:val="bottom"/>
            <w:gridSpan w:val="7"/>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00" w:type="dxa"/>
            <w:vAlign w:val="bottom"/>
            <w:gridSpan w:val="7"/>
            <w:shd w:val="clear" w:color="auto" w:fill="CCEEFF"/>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03"/>
        </w:trPr>
        <w:tc>
          <w:tcPr>
            <w:tcW w:w="270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Reuters News</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2"/>
        </w:trPr>
        <w:tc>
          <w:tcPr>
            <w:tcW w:w="2700" w:type="dxa"/>
            <w:vAlign w:val="bottom"/>
            <w:gridSpan w:val="5"/>
            <w:shd w:val="clear" w:color="auto" w:fill="CCEEFF"/>
          </w:tcPr>
          <w:p>
            <w:pPr>
              <w:ind w:left="360"/>
              <w:spacing w:after="0" w:line="202" w:lineRule="exact"/>
              <w:rPr>
                <w:sz w:val="20"/>
                <w:szCs w:val="20"/>
                <w:color w:val="auto"/>
              </w:rPr>
            </w:pPr>
            <w:r>
              <w:rPr>
                <w:rFonts w:ascii="Arial" w:cs="Arial" w:eastAsia="Arial" w:hAnsi="Arial"/>
                <w:sz w:val="18"/>
                <w:szCs w:val="18"/>
                <w:color w:val="auto"/>
              </w:rPr>
              <w:t>Global Print</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3"/>
        </w:trPr>
        <w:tc>
          <w:tcPr>
            <w:tcW w:w="270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Corporate costs</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Adjusted EBITDA</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2,779</w:t>
            </w:r>
          </w:p>
        </w:tc>
        <w:tc>
          <w:tcPr>
            <w:tcW w:w="0" w:type="dxa"/>
            <w:vAlign w:val="bottom"/>
          </w:tcPr>
          <w:p>
            <w:pPr>
              <w:spacing w:after="0"/>
              <w:rPr>
                <w:sz w:val="1"/>
                <w:szCs w:val="1"/>
                <w:color w:val="auto"/>
              </w:rPr>
            </w:pPr>
          </w:p>
        </w:tc>
      </w:tr>
      <w:tr>
        <w:trPr>
          <w:trHeight w:val="20"/>
        </w:trPr>
        <w:tc>
          <w:tcPr>
            <w:tcW w:w="2700" w:type="dxa"/>
            <w:vAlign w:val="bottom"/>
            <w:gridSpan w:val="5"/>
            <w:vMerge w:val="restart"/>
          </w:tcPr>
          <w:p>
            <w:pPr>
              <w:spacing w:after="0" w:line="210" w:lineRule="exact"/>
              <w:rPr>
                <w:sz w:val="20"/>
                <w:szCs w:val="20"/>
                <w:color w:val="auto"/>
              </w:rPr>
            </w:pPr>
            <w:r>
              <w:rPr>
                <w:rFonts w:ascii="Arial" w:cs="Arial" w:eastAsia="Arial" w:hAnsi="Arial"/>
                <w:sz w:val="17"/>
                <w:szCs w:val="17"/>
                <w:b w:val="1"/>
                <w:bCs w:val="1"/>
                <w:color w:val="auto"/>
              </w:rPr>
              <w:t>“Big 3” Segments Combined</w:t>
            </w:r>
            <w:r>
              <w:rPr>
                <w:rFonts w:ascii="Arial" w:cs="Arial" w:eastAsia="Arial" w:hAnsi="Arial"/>
                <w:sz w:val="24"/>
                <w:szCs w:val="24"/>
                <w:color w:val="auto"/>
                <w:vertAlign w:val="superscript"/>
              </w:rPr>
              <w:t>(1)</w:t>
            </w: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70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60" w:type="dxa"/>
            <w:vAlign w:val="bottom"/>
            <w:tcBorders>
              <w:top w:val="single" w:sz="8" w:color="auto"/>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03"/>
        </w:trPr>
        <w:tc>
          <w:tcPr>
            <w:tcW w:w="6900" w:type="dxa"/>
            <w:vAlign w:val="bottom"/>
            <w:gridSpan w:val="14"/>
          </w:tcPr>
          <w:p>
            <w:pPr>
              <w:spacing w:after="0" w:line="202" w:lineRule="exact"/>
              <w:rPr>
                <w:sz w:val="20"/>
                <w:szCs w:val="20"/>
                <w:color w:val="auto"/>
              </w:rPr>
            </w:pPr>
            <w:r>
              <w:rPr>
                <w:rFonts w:ascii="Arial" w:cs="Arial" w:eastAsia="Arial" w:hAnsi="Arial"/>
                <w:sz w:val="18"/>
                <w:szCs w:val="18"/>
                <w:color w:val="auto"/>
              </w:rPr>
              <w:t>Revenues, excluding $7 million of fair value adjustments to acquired deferred revenue</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03"/>
        </w:trPr>
        <w:tc>
          <w:tcPr>
            <w:tcW w:w="27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175"/>
        </w:trPr>
        <w:tc>
          <w:tcPr>
            <w:tcW w:w="2700" w:type="dxa"/>
            <w:vAlign w:val="bottom"/>
            <w:gridSpan w:val="5"/>
          </w:tcPr>
          <w:p>
            <w:pPr>
              <w:spacing w:after="0" w:line="176" w:lineRule="exact"/>
              <w:rPr>
                <w:sz w:val="20"/>
                <w:szCs w:val="20"/>
                <w:color w:val="auto"/>
              </w:rPr>
            </w:pPr>
            <w:r>
              <w:rPr>
                <w:rFonts w:ascii="Arial" w:cs="Arial" w:eastAsia="Arial" w:hAnsi="Arial"/>
                <w:sz w:val="14"/>
                <w:szCs w:val="14"/>
                <w:b w:val="1"/>
                <w:bCs w:val="1"/>
                <w:color w:val="auto"/>
              </w:rPr>
              <w:t>Consolidated</w:t>
            </w:r>
            <w:r>
              <w:rPr>
                <w:rFonts w:ascii="Arial" w:cs="Arial" w:eastAsia="Arial" w:hAnsi="Arial"/>
                <w:sz w:val="20"/>
                <w:szCs w:val="20"/>
                <w:color w:val="auto"/>
                <w:vertAlign w:val="superscript"/>
              </w:rPr>
              <w:t>(1)</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03"/>
        </w:trPr>
        <w:tc>
          <w:tcPr>
            <w:tcW w:w="6900" w:type="dxa"/>
            <w:vAlign w:val="bottom"/>
            <w:gridSpan w:val="14"/>
          </w:tcPr>
          <w:p>
            <w:pPr>
              <w:spacing w:after="0" w:line="202" w:lineRule="exact"/>
              <w:rPr>
                <w:sz w:val="20"/>
                <w:szCs w:val="20"/>
                <w:color w:val="auto"/>
              </w:rPr>
            </w:pPr>
            <w:r>
              <w:rPr>
                <w:rFonts w:ascii="Arial" w:cs="Arial" w:eastAsia="Arial" w:hAnsi="Arial"/>
                <w:sz w:val="18"/>
                <w:szCs w:val="18"/>
                <w:color w:val="auto"/>
              </w:rPr>
              <w:t>Revenues, excluding $9 million of fair value adjustments to acquired deferred revenue</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7,267</w:t>
            </w:r>
          </w:p>
        </w:tc>
        <w:tc>
          <w:tcPr>
            <w:tcW w:w="0" w:type="dxa"/>
            <w:vAlign w:val="bottom"/>
          </w:tcPr>
          <w:p>
            <w:pPr>
              <w:spacing w:after="0"/>
              <w:rPr>
                <w:sz w:val="1"/>
                <w:szCs w:val="1"/>
                <w:color w:val="auto"/>
              </w:rPr>
            </w:pPr>
          </w:p>
        </w:tc>
      </w:tr>
      <w:tr>
        <w:trPr>
          <w:trHeight w:val="202"/>
        </w:trPr>
        <w:tc>
          <w:tcPr>
            <w:tcW w:w="27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4"/>
        <w:spacing w:after="0"/>
        <w:rPr>
          <w:sz w:val="20"/>
          <w:szCs w:val="20"/>
          <w:color w:val="auto"/>
        </w:rPr>
      </w:pPr>
      <w:r>
        <w:rPr>
          <w:rFonts w:ascii="Arial" w:cs="Arial" w:eastAsia="Arial" w:hAnsi="Arial"/>
          <w:sz w:val="14"/>
          <w:szCs w:val="14"/>
          <w:i w:val="1"/>
          <w:iCs w:val="1"/>
          <w:color w:val="auto"/>
        </w:rPr>
        <w:t>n/a: not applicable</w:t>
      </w:r>
    </w:p>
    <w:p>
      <w:pPr>
        <w:spacing w:after="0" w:line="109" w:lineRule="exact"/>
        <w:rPr>
          <w:sz w:val="20"/>
          <w:szCs w:val="20"/>
          <w:color w:val="auto"/>
        </w:rPr>
      </w:pPr>
    </w:p>
    <w:p>
      <w:pPr>
        <w:ind w:left="4"/>
        <w:spacing w:after="0"/>
        <w:rPr>
          <w:sz w:val="20"/>
          <w:szCs w:val="20"/>
          <w:color w:val="auto"/>
        </w:rPr>
      </w:pPr>
      <w:r>
        <w:rPr>
          <w:rFonts w:ascii="Arial" w:cs="Arial" w:eastAsia="Arial" w:hAnsi="Arial"/>
          <w:sz w:val="14"/>
          <w:szCs w:val="14"/>
          <w:i w:val="1"/>
          <w:iCs w:val="1"/>
          <w:color w:val="auto"/>
        </w:rPr>
        <w:t>Margins are computed using whole dollars, as a result, margins calculated from reported amounts may differ from those presented due to rounding.</w:t>
      </w:r>
    </w:p>
    <w:p>
      <w:pPr>
        <w:spacing w:after="0" w:line="121" w:lineRule="exact"/>
        <w:rPr>
          <w:sz w:val="20"/>
          <w:szCs w:val="20"/>
          <w:color w:val="auto"/>
        </w:rPr>
      </w:pPr>
    </w:p>
    <w:p>
      <w:pPr>
        <w:ind w:left="424" w:hanging="424"/>
        <w:spacing w:after="0"/>
        <w:tabs>
          <w:tab w:leader="none" w:pos="424"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Refer to page 24 for additional information on non-IFRS financial measures.</w:t>
      </w:r>
    </w:p>
    <w:p>
      <w:pPr>
        <w:sectPr>
          <w:pgSz w:w="11900" w:h="16838" w:orient="portrait"/>
          <w:cols w:equalWidth="0" w:num="1">
            <w:col w:w="11024"/>
          </w:cols>
          <w:pgMar w:left="436" w:top="1201" w:right="439" w:bottom="1440" w:gutter="0" w:footer="0" w:header="0"/>
        </w:sectPr>
      </w:pPr>
    </w:p>
    <w:bookmarkStart w:id="25" w:name="page26"/>
    <w:bookmarkEnd w:id="2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6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23 of 24</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Thomson Reuters Corporation</w:t>
      </w:r>
    </w:p>
    <w:p>
      <w:pPr>
        <w:jc w:val="center"/>
        <w:ind w:right="-3"/>
        <w:spacing w:after="0" w:line="185" w:lineRule="auto"/>
        <w:rPr>
          <w:sz w:val="20"/>
          <w:szCs w:val="20"/>
          <w:color w:val="auto"/>
        </w:rPr>
      </w:pPr>
      <w:r>
        <w:rPr>
          <w:rFonts w:ascii="Arial" w:cs="Arial" w:eastAsia="Arial" w:hAnsi="Arial"/>
          <w:sz w:val="17"/>
          <w:szCs w:val="17"/>
          <w:b w:val="1"/>
          <w:bCs w:val="1"/>
          <w:color w:val="auto"/>
        </w:rPr>
        <w:t>Reconciliation of Net Debt</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 xml:space="preserve"> and Leverage Ratio of Net Debt to Adjusted EBITDA</w:t>
      </w:r>
      <w:r>
        <w:rPr>
          <w:rFonts w:ascii="Arial" w:cs="Arial" w:eastAsia="Arial" w:hAnsi="Arial"/>
          <w:sz w:val="25"/>
          <w:szCs w:val="25"/>
          <w:b w:val="1"/>
          <w:bCs w:val="1"/>
          <w:color w:val="auto"/>
          <w:vertAlign w:val="superscript"/>
        </w:rPr>
        <w:t>(1)</w:t>
      </w:r>
    </w:p>
    <w:p>
      <w:pPr>
        <w:jc w:val="center"/>
        <w:ind w:right="-3"/>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894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indebtedness</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499</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940" w:type="dxa"/>
            <w:vAlign w:val="bottom"/>
          </w:tcPr>
          <w:p>
            <w:pPr>
              <w:spacing w:after="0" w:line="202" w:lineRule="exact"/>
              <w:rPr>
                <w:sz w:val="20"/>
                <w:szCs w:val="20"/>
                <w:color w:val="auto"/>
              </w:rPr>
            </w:pPr>
            <w:r>
              <w:rPr>
                <w:rFonts w:ascii="Arial" w:cs="Arial" w:eastAsia="Arial" w:hAnsi="Arial"/>
                <w:sz w:val="18"/>
                <w:szCs w:val="18"/>
                <w:color w:val="auto"/>
              </w:rPr>
              <w:t>Long-term indebtedness</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1,841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09"/>
        </w:trPr>
        <w:tc>
          <w:tcPr>
            <w:tcW w:w="8940" w:type="dxa"/>
            <w:vAlign w:val="bottom"/>
          </w:tcPr>
          <w:p>
            <w:pPr>
              <w:spacing w:after="0" w:line="202" w:lineRule="exact"/>
              <w:rPr>
                <w:sz w:val="20"/>
                <w:szCs w:val="20"/>
                <w:color w:val="auto"/>
              </w:rPr>
            </w:pPr>
            <w:r>
              <w:rPr>
                <w:rFonts w:ascii="Arial" w:cs="Arial" w:eastAsia="Arial" w:hAnsi="Arial"/>
                <w:sz w:val="18"/>
                <w:szCs w:val="18"/>
                <w:color w:val="auto"/>
              </w:rPr>
              <w:t>Swaps</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— </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debt after swaps</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1,841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10"/>
        </w:trPr>
        <w:tc>
          <w:tcPr>
            <w:tcW w:w="8940" w:type="dxa"/>
            <w:vAlign w:val="bottom"/>
          </w:tcPr>
          <w:p>
            <w:pPr>
              <w:spacing w:after="0" w:line="202" w:lineRule="exact"/>
              <w:rPr>
                <w:sz w:val="20"/>
                <w:szCs w:val="20"/>
                <w:color w:val="auto"/>
              </w:rPr>
            </w:pPr>
            <w:r>
              <w:rPr>
                <w:rFonts w:ascii="Arial" w:cs="Arial" w:eastAsia="Arial" w:hAnsi="Arial"/>
                <w:sz w:val="18"/>
                <w:szCs w:val="18"/>
                <w:color w:val="auto"/>
              </w:rPr>
              <w:t>Remove fair value adjustments for hedges</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— </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debt after currency hedging arrangements</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1,841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Remove transaction costs, premiums or discounts, included in the carrying value of debt</w:t>
            </w:r>
          </w:p>
        </w:tc>
        <w:tc>
          <w:tcPr>
            <w:tcW w:w="10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 Lease liabilities (current and non-current)</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9"/>
        </w:trPr>
        <w:tc>
          <w:tcPr>
            <w:tcW w:w="8940" w:type="dxa"/>
            <w:vAlign w:val="bottom"/>
          </w:tcPr>
          <w:p>
            <w:pPr>
              <w:spacing w:after="0" w:line="202" w:lineRule="exact"/>
              <w:rPr>
                <w:sz w:val="20"/>
                <w:szCs w:val="20"/>
                <w:color w:val="auto"/>
              </w:rPr>
            </w:pPr>
            <w:r>
              <w:rPr>
                <w:rFonts w:ascii="Arial" w:cs="Arial" w:eastAsia="Arial" w:hAnsi="Arial"/>
                <w:sz w:val="18"/>
                <w:szCs w:val="18"/>
                <w:color w:val="auto"/>
              </w:rPr>
              <w:t>Less: Cash and cash equivalents</w:t>
            </w:r>
          </w:p>
        </w:tc>
        <w:tc>
          <w:tcPr>
            <w:tcW w:w="100" w:type="dxa"/>
            <w:vAlign w:val="bottom"/>
          </w:tcPr>
          <w:p>
            <w:pPr>
              <w:spacing w:after="0"/>
              <w:rPr>
                <w:sz w:val="18"/>
                <w:szCs w:val="18"/>
                <w:color w:val="auto"/>
              </w:rPr>
            </w:pPr>
          </w:p>
        </w:tc>
        <w:tc>
          <w:tcPr>
            <w:tcW w:w="7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(664)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debt</w:t>
            </w:r>
          </w:p>
        </w:tc>
        <w:tc>
          <w:tcPr>
            <w:tcW w:w="10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1,457</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1,156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color w:val="auto"/>
              </w:rPr>
              <w:t>Leverage ratio of net debt to adjusted EBITDA</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2,814</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Net debt/adjusted EBITDA</w:t>
            </w:r>
          </w:p>
        </w:tc>
        <w:tc>
          <w:tcPr>
            <w:tcW w:w="10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0.5:1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424" w:hanging="424"/>
        <w:spacing w:after="0"/>
        <w:tabs>
          <w:tab w:leader="none" w:pos="424"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Refer to page 24 for additional information on non-IFRS financial measures.</w:t>
      </w:r>
    </w:p>
    <w:p>
      <w:pPr>
        <w:sectPr>
          <w:pgSz w:w="11900" w:h="16838" w:orient="portrait"/>
          <w:cols w:equalWidth="0" w:num="1">
            <w:col w:w="11024"/>
          </w:cols>
          <w:pgMar w:left="436" w:top="1201"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1217295" cy="4546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54660"/>
                    </a:xfrm>
                    <a:prstGeom prst="rect">
                      <a:avLst/>
                    </a:prstGeom>
                    <a:noFill/>
                  </pic:spPr>
                </pic:pic>
              </a:graphicData>
            </a:graphic>
          </wp:anchor>
        </w:drawing>
        <w:t>Thomson Reuters Reports Second-Quarter 2025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24 of 24</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780" w:type="dxa"/>
            <w:vAlign w:val="bottom"/>
            <w:tcBorders>
              <w:top w:val="single" w:sz="8" w:color="auto"/>
              <w:left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Non-IFRS Financial</w:t>
            </w:r>
          </w:p>
        </w:tc>
        <w:tc>
          <w:tcPr>
            <w:tcW w:w="4780" w:type="dxa"/>
            <w:vAlign w:val="bottom"/>
            <w:tcBorders>
              <w:top w:val="single" w:sz="8" w:color="auto"/>
              <w:right w:val="single" w:sz="8" w:color="auto"/>
            </w:tcBorders>
          </w:tcPr>
          <w:p>
            <w:pPr>
              <w:spacing w:after="0"/>
              <w:rPr>
                <w:sz w:val="14"/>
                <w:szCs w:val="14"/>
                <w:color w:val="auto"/>
              </w:rPr>
            </w:pPr>
          </w:p>
        </w:tc>
        <w:tc>
          <w:tcPr>
            <w:tcW w:w="448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8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4"/>
                <w:szCs w:val="14"/>
                <w:b w:val="1"/>
                <w:bCs w:val="1"/>
                <w:color w:val="auto"/>
              </w:rPr>
              <w:t>Measures</w:t>
            </w:r>
          </w:p>
        </w:tc>
        <w:tc>
          <w:tcPr>
            <w:tcW w:w="4780" w:type="dxa"/>
            <w:vAlign w:val="bottom"/>
            <w:tcBorders>
              <w:bottom w:val="single" w:sz="8" w:color="auto"/>
              <w:right w:val="single" w:sz="8" w:color="auto"/>
            </w:tcBorders>
          </w:tcPr>
          <w:p>
            <w:pPr>
              <w:ind w:left="2160"/>
              <w:spacing w:after="0"/>
              <w:rPr>
                <w:sz w:val="20"/>
                <w:szCs w:val="20"/>
                <w:color w:val="auto"/>
              </w:rPr>
            </w:pPr>
            <w:r>
              <w:rPr>
                <w:rFonts w:ascii="Arial" w:cs="Arial" w:eastAsia="Arial" w:hAnsi="Arial"/>
                <w:sz w:val="14"/>
                <w:szCs w:val="14"/>
                <w:b w:val="1"/>
                <w:bCs w:val="1"/>
                <w:color w:val="auto"/>
              </w:rPr>
              <w:t>Definition</w:t>
            </w:r>
          </w:p>
        </w:tc>
        <w:tc>
          <w:tcPr>
            <w:tcW w:w="4480" w:type="dxa"/>
            <w:vAlign w:val="bottom"/>
            <w:tcBorders>
              <w:bottom w:val="single" w:sz="8" w:color="auto"/>
              <w:right w:val="single" w:sz="8" w:color="auto"/>
            </w:tcBorders>
          </w:tcPr>
          <w:p>
            <w:pPr>
              <w:ind w:left="820"/>
              <w:spacing w:after="0"/>
              <w:rPr>
                <w:sz w:val="20"/>
                <w:szCs w:val="20"/>
                <w:color w:val="auto"/>
              </w:rPr>
            </w:pPr>
            <w:r>
              <w:rPr>
                <w:rFonts w:ascii="Arial" w:cs="Arial" w:eastAsia="Arial" w:hAnsi="Arial"/>
                <w:sz w:val="14"/>
                <w:szCs w:val="14"/>
                <w:b w:val="1"/>
                <w:bCs w:val="1"/>
                <w:color w:val="auto"/>
              </w:rPr>
              <w:t>Why Useful to the Company and Investors</w:t>
            </w: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Adjusted EBITDA</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Represents earnings or losses from continuing</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a consistent basis to evaluate operating</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and the related</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operations before tax expense or benefit, net interest</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profitability and performance trends by excluding</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margin</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expense, other finance costs or income, depreciation,</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items that the company does not consider to be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amortization of computer software and other identifiable</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controllable activities for this purpose.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intangible assets, Thomson Reuters share of post-tax</w:t>
            </w:r>
          </w:p>
        </w:tc>
        <w:tc>
          <w:tcPr>
            <w:tcW w:w="44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Also, represents a measure commonly reported and</w:t>
            </w: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earnings or losses in equity method investments, other</w:t>
            </w:r>
          </w:p>
        </w:tc>
        <w:tc>
          <w:tcPr>
            <w:tcW w:w="4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vMerge w:val="continue"/>
          </w:tcPr>
          <w:p>
            <w:pPr>
              <w:spacing w:after="0"/>
              <w:rPr>
                <w:sz w:val="7"/>
                <w:szCs w:val="7"/>
                <w:color w:val="auto"/>
              </w:rPr>
            </w:pPr>
          </w:p>
        </w:tc>
        <w:tc>
          <w:tcPr>
            <w:tcW w:w="448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widely used by investors as a valuation metric, as well</w:t>
            </w: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operating gains and losses, certain asset impairment</w:t>
            </w:r>
          </w:p>
        </w:tc>
        <w:tc>
          <w:tcPr>
            <w:tcW w:w="4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vMerge w:val="continue"/>
          </w:tcPr>
          <w:p>
            <w:pPr>
              <w:spacing w:after="0"/>
              <w:rPr>
                <w:sz w:val="7"/>
                <w:szCs w:val="7"/>
                <w:color w:val="auto"/>
              </w:rPr>
            </w:pPr>
          </w:p>
        </w:tc>
        <w:tc>
          <w:tcPr>
            <w:tcW w:w="448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as to assess the company’s ability to incur and</w:t>
            </w: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charges and fair value adjustments, including those</w:t>
            </w:r>
          </w:p>
        </w:tc>
        <w:tc>
          <w:tcPr>
            <w:tcW w:w="4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vMerge w:val="continue"/>
          </w:tcPr>
          <w:p>
            <w:pPr>
              <w:spacing w:after="0"/>
              <w:rPr>
                <w:sz w:val="7"/>
                <w:szCs w:val="7"/>
                <w:color w:val="auto"/>
              </w:rPr>
            </w:pPr>
          </w:p>
        </w:tc>
        <w:tc>
          <w:tcPr>
            <w:tcW w:w="44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service debt.</w:t>
            </w:r>
          </w:p>
        </w:tc>
        <w:tc>
          <w:tcPr>
            <w:tcW w:w="0" w:type="dxa"/>
            <w:vAlign w:val="bottom"/>
          </w:tcPr>
          <w:p>
            <w:pPr>
              <w:spacing w:after="0"/>
              <w:rPr>
                <w:sz w:val="1"/>
                <w:szCs w:val="1"/>
                <w:color w:val="auto"/>
              </w:rPr>
            </w:pPr>
          </w:p>
        </w:tc>
      </w:tr>
      <w:tr>
        <w:trPr>
          <w:trHeight w:val="158"/>
        </w:trPr>
        <w:tc>
          <w:tcPr>
            <w:tcW w:w="1780" w:type="dxa"/>
            <w:vAlign w:val="bottom"/>
            <w:tcBorders>
              <w:left w:val="single" w:sz="8" w:color="auto"/>
              <w:right w:val="single" w:sz="8" w:color="auto"/>
            </w:tcBorders>
          </w:tcPr>
          <w:p>
            <w:pPr>
              <w:spacing w:after="0"/>
              <w:rPr>
                <w:sz w:val="13"/>
                <w:szCs w:val="13"/>
                <w:color w:val="auto"/>
              </w:rPr>
            </w:pPr>
          </w:p>
        </w:tc>
        <w:tc>
          <w:tcPr>
            <w:tcW w:w="47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related to acquired deferred revenue.</w:t>
            </w:r>
          </w:p>
        </w:tc>
        <w:tc>
          <w:tcPr>
            <w:tcW w:w="44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vMerge w:val="continue"/>
          </w:tcPr>
          <w:p>
            <w:pPr>
              <w:spacing w:after="0"/>
              <w:rPr>
                <w:sz w:val="7"/>
                <w:szCs w:val="7"/>
                <w:color w:val="auto"/>
              </w:rPr>
            </w:pPr>
          </w:p>
        </w:tc>
        <w:tc>
          <w:tcPr>
            <w:tcW w:w="4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1780" w:type="dxa"/>
            <w:vAlign w:val="bottom"/>
            <w:tcBorders>
              <w:left w:val="single" w:sz="8" w:color="auto"/>
              <w:right w:val="single" w:sz="8" w:color="auto"/>
            </w:tcBorders>
          </w:tcPr>
          <w:p>
            <w:pPr>
              <w:spacing w:after="0"/>
              <w:rPr>
                <w:sz w:val="24"/>
                <w:szCs w:val="24"/>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The related margin is adjusted EBITDA expressed as a</w:t>
            </w:r>
          </w:p>
        </w:tc>
        <w:tc>
          <w:tcPr>
            <w:tcW w:w="4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percentage of revenues. For purposes of this calculation,</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revenues are before fair value adjustments to acquired</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deferred revenue.</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780" w:type="dxa"/>
            <w:vAlign w:val="bottom"/>
            <w:tcBorders>
              <w:left w:val="single" w:sz="8" w:color="auto"/>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c>
          <w:tcPr>
            <w:tcW w:w="4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Adjusted earnings</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Net earnings or loss including dividends declared on</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a more comparable basis to analyze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and adjusted EPS</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preference shares but excluding the post-tax impacts of</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fair value adjustments, including those related to</w:t>
            </w:r>
          </w:p>
        </w:tc>
        <w:tc>
          <w:tcPr>
            <w:tcW w:w="44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These measures are commonly used by shareholders</w:t>
            </w: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acquired deferred revenue, amortization of acquired</w:t>
            </w:r>
          </w:p>
        </w:tc>
        <w:tc>
          <w:tcPr>
            <w:tcW w:w="4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vMerge w:val="continue"/>
          </w:tcPr>
          <w:p>
            <w:pPr>
              <w:spacing w:after="0"/>
              <w:rPr>
                <w:sz w:val="7"/>
                <w:szCs w:val="7"/>
                <w:color w:val="auto"/>
              </w:rPr>
            </w:pPr>
          </w:p>
        </w:tc>
        <w:tc>
          <w:tcPr>
            <w:tcW w:w="44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to measure performance.</w:t>
            </w:r>
          </w:p>
        </w:tc>
        <w:tc>
          <w:tcPr>
            <w:tcW w:w="0" w:type="dxa"/>
            <w:vAlign w:val="bottom"/>
          </w:tcPr>
          <w:p>
            <w:pPr>
              <w:spacing w:after="0"/>
              <w:rPr>
                <w:sz w:val="1"/>
                <w:szCs w:val="1"/>
                <w:color w:val="auto"/>
              </w:rPr>
            </w:pPr>
          </w:p>
        </w:tc>
      </w:tr>
      <w:tr>
        <w:trPr>
          <w:trHeight w:val="158"/>
        </w:trPr>
        <w:tc>
          <w:tcPr>
            <w:tcW w:w="1780" w:type="dxa"/>
            <w:vAlign w:val="bottom"/>
            <w:tcBorders>
              <w:left w:val="single" w:sz="8" w:color="auto"/>
              <w:right w:val="single" w:sz="8" w:color="auto"/>
            </w:tcBorders>
          </w:tcPr>
          <w:p>
            <w:pPr>
              <w:spacing w:after="0"/>
              <w:rPr>
                <w:sz w:val="13"/>
                <w:szCs w:val="13"/>
                <w:color w:val="auto"/>
              </w:rPr>
            </w:pPr>
          </w:p>
        </w:tc>
        <w:tc>
          <w:tcPr>
            <w:tcW w:w="478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intangible assets (attributable to other identifiable</w:t>
            </w:r>
          </w:p>
        </w:tc>
        <w:tc>
          <w:tcPr>
            <w:tcW w:w="44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1780" w:type="dxa"/>
            <w:vAlign w:val="bottom"/>
            <w:tcBorders>
              <w:left w:val="single" w:sz="8" w:color="auto"/>
              <w:right w:val="single" w:sz="8" w:color="auto"/>
            </w:tcBorders>
          </w:tcPr>
          <w:p>
            <w:pPr>
              <w:spacing w:after="0"/>
              <w:rPr>
                <w:sz w:val="3"/>
                <w:szCs w:val="3"/>
                <w:color w:val="auto"/>
              </w:rPr>
            </w:pPr>
          </w:p>
        </w:tc>
        <w:tc>
          <w:tcPr>
            <w:tcW w:w="4780" w:type="dxa"/>
            <w:vAlign w:val="bottom"/>
            <w:tcBorders>
              <w:right w:val="single" w:sz="8" w:color="auto"/>
            </w:tcBorders>
            <w:vMerge w:val="continue"/>
          </w:tcPr>
          <w:p>
            <w:pPr>
              <w:spacing w:after="0"/>
              <w:rPr>
                <w:sz w:val="3"/>
                <w:szCs w:val="3"/>
                <w:color w:val="auto"/>
              </w:rPr>
            </w:pPr>
          </w:p>
        </w:tc>
        <w:tc>
          <w:tcPr>
            <w:tcW w:w="44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intangible assets and acquired computer software), other</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operating gains and losses, certain asset impairment</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charges, other finance costs or income, Thomson</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Reuters share of post-tax earnings or losses in equity</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method investments, discontinued operations and other</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items affecting comparability. Acquired intangible assets</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contribute to the generation of revenues from acquired</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companies, which are included in the company’s</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computation of adjusted earnings.</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780" w:type="dxa"/>
            <w:vAlign w:val="bottom"/>
            <w:tcBorders>
              <w:left w:val="single" w:sz="8" w:color="auto"/>
              <w:right w:val="single" w:sz="8" w:color="auto"/>
            </w:tcBorders>
          </w:tcPr>
          <w:p>
            <w:pPr>
              <w:spacing w:after="0"/>
              <w:rPr>
                <w:sz w:val="24"/>
                <w:szCs w:val="24"/>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The post-tax amount of each item is excluded from</w:t>
            </w:r>
          </w:p>
        </w:tc>
        <w:tc>
          <w:tcPr>
            <w:tcW w:w="4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adjusted earnings based on the specific tax rules and tax</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rates associated with the nature and jurisdiction of each</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item.</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780" w:type="dxa"/>
            <w:vAlign w:val="bottom"/>
            <w:tcBorders>
              <w:left w:val="single" w:sz="8" w:color="auto"/>
              <w:right w:val="single" w:sz="8" w:color="auto"/>
            </w:tcBorders>
          </w:tcPr>
          <w:p>
            <w:pPr>
              <w:spacing w:after="0"/>
              <w:rPr>
                <w:sz w:val="24"/>
                <w:szCs w:val="24"/>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Adjusted EPS is calculated from adjusted earnings using</w:t>
            </w:r>
          </w:p>
        </w:tc>
        <w:tc>
          <w:tcPr>
            <w:tcW w:w="4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diluted weighted-average shares and does not represent</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actual earnings or loss per share attributable to</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shareholders.</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780" w:type="dxa"/>
            <w:vAlign w:val="bottom"/>
            <w:tcBorders>
              <w:left w:val="single" w:sz="8" w:color="auto"/>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c>
          <w:tcPr>
            <w:tcW w:w="4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Effective tax rate</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Adjusted tax expense divided by pre-tax adjusted</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a basis to analyze the effective tax rate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on adjusted</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earnings. Adjusted tax expense is computed as income</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associated with adjusted earnings.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earnings</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tax (benefit) expense plus or minus the income tax</w:t>
            </w:r>
          </w:p>
        </w:tc>
        <w:tc>
          <w:tcPr>
            <w:tcW w:w="44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The company’s effective tax rate computed in</w:t>
            </w:r>
          </w:p>
        </w:tc>
        <w:tc>
          <w:tcPr>
            <w:tcW w:w="0" w:type="dxa"/>
            <w:vAlign w:val="bottom"/>
          </w:tcPr>
          <w:p>
            <w:pPr>
              <w:spacing w:after="0"/>
              <w:rPr>
                <w:sz w:val="1"/>
                <w:szCs w:val="1"/>
                <w:color w:val="auto"/>
              </w:rPr>
            </w:pPr>
          </w:p>
        </w:tc>
      </w:tr>
      <w:tr>
        <w:trPr>
          <w:trHeight w:val="121"/>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impacts of all items impacting adjusted earnings (as</w:t>
            </w:r>
          </w:p>
        </w:tc>
        <w:tc>
          <w:tcPr>
            <w:tcW w:w="4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vMerge w:val="continue"/>
          </w:tcPr>
          <w:p>
            <w:pPr>
              <w:spacing w:after="0"/>
              <w:rPr>
                <w:sz w:val="7"/>
                <w:szCs w:val="7"/>
                <w:color w:val="auto"/>
              </w:rPr>
            </w:pPr>
          </w:p>
        </w:tc>
        <w:tc>
          <w:tcPr>
            <w:tcW w:w="448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accordance with IFRS may be more volatile by</w:t>
            </w:r>
          </w:p>
        </w:tc>
        <w:tc>
          <w:tcPr>
            <w:tcW w:w="0" w:type="dxa"/>
            <w:vAlign w:val="bottom"/>
          </w:tcPr>
          <w:p>
            <w:pPr>
              <w:spacing w:after="0"/>
              <w:rPr>
                <w:sz w:val="1"/>
                <w:szCs w:val="1"/>
                <w:color w:val="auto"/>
              </w:rPr>
            </w:pPr>
          </w:p>
        </w:tc>
      </w:tr>
      <w:tr>
        <w:trPr>
          <w:trHeight w:val="121"/>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described above), and other tax items impacting</w:t>
            </w:r>
          </w:p>
        </w:tc>
        <w:tc>
          <w:tcPr>
            <w:tcW w:w="4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vMerge w:val="continue"/>
          </w:tcPr>
          <w:p>
            <w:pPr>
              <w:spacing w:after="0"/>
              <w:rPr>
                <w:sz w:val="7"/>
                <w:szCs w:val="7"/>
                <w:color w:val="auto"/>
              </w:rPr>
            </w:pPr>
          </w:p>
        </w:tc>
        <w:tc>
          <w:tcPr>
            <w:tcW w:w="448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quarter because the geographical mix of pre-tax</w:t>
            </w:r>
          </w:p>
        </w:tc>
        <w:tc>
          <w:tcPr>
            <w:tcW w:w="0" w:type="dxa"/>
            <w:vAlign w:val="bottom"/>
          </w:tcPr>
          <w:p>
            <w:pPr>
              <w:spacing w:after="0"/>
              <w:rPr>
                <w:sz w:val="1"/>
                <w:szCs w:val="1"/>
                <w:color w:val="auto"/>
              </w:rPr>
            </w:pPr>
          </w:p>
        </w:tc>
      </w:tr>
      <w:tr>
        <w:trPr>
          <w:trHeight w:val="121"/>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comparability.</w:t>
            </w:r>
          </w:p>
        </w:tc>
        <w:tc>
          <w:tcPr>
            <w:tcW w:w="4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continue"/>
          </w:tcPr>
          <w:p>
            <w:pPr>
              <w:spacing w:after="0"/>
              <w:rPr>
                <w:sz w:val="10"/>
                <w:szCs w:val="10"/>
                <w:color w:val="auto"/>
              </w:rPr>
            </w:pPr>
          </w:p>
        </w:tc>
        <w:tc>
          <w:tcPr>
            <w:tcW w:w="448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profits and losses in interim periods may be different</w:t>
            </w:r>
          </w:p>
        </w:tc>
        <w:tc>
          <w:tcPr>
            <w:tcW w:w="0" w:type="dxa"/>
            <w:vAlign w:val="bottom"/>
          </w:tcPr>
          <w:p>
            <w:pPr>
              <w:spacing w:after="0"/>
              <w:rPr>
                <w:sz w:val="1"/>
                <w:szCs w:val="1"/>
                <w:color w:val="auto"/>
              </w:rPr>
            </w:pPr>
          </w:p>
        </w:tc>
      </w:tr>
      <w:tr>
        <w:trPr>
          <w:trHeight w:val="85"/>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tcPr>
          <w:p>
            <w:pPr>
              <w:spacing w:after="0"/>
              <w:rPr>
                <w:sz w:val="7"/>
                <w:szCs w:val="7"/>
                <w:color w:val="auto"/>
              </w:rPr>
            </w:pPr>
          </w:p>
        </w:tc>
        <w:tc>
          <w:tcPr>
            <w:tcW w:w="4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In interim periods, the company also makes an</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from that for the full year. Therefore, the company</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adjustment to reflect income taxes based on the</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believes that using the expected full-year effective tax</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estimated full-year effective tax rate. Earnings or losses</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rate provides more comparability among interim</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for interim periods under IFRS reflect income taxes</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periods.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based on the estimated effective tax rates of each of the</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jurisdictions in which Thomson Reuters operates. The</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non-IFRS adjustment reallocates estimated full-year</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income taxes between interim periods but has no effect</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on full-year income taxes.</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780" w:type="dxa"/>
            <w:vAlign w:val="bottom"/>
            <w:tcBorders>
              <w:left w:val="single" w:sz="8" w:color="auto"/>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c>
          <w:tcPr>
            <w:tcW w:w="4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Free cash flow</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Net cash provided by operating activities and other</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Helps assess the company’s ability, over the long</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investing activities, less capital expenditures, payments</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term, to create value for its shareholders as it</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of lease principal and dividends paid on the company’s</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represents cash available to repay debt, pay common</w:t>
            </w: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preference shares.</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dividends, fund share repurchases and acquisitions.</w:t>
            </w:r>
          </w:p>
        </w:tc>
        <w:tc>
          <w:tcPr>
            <w:tcW w:w="0" w:type="dxa"/>
            <w:vAlign w:val="bottom"/>
          </w:tcPr>
          <w:p>
            <w:pPr>
              <w:spacing w:after="0"/>
              <w:rPr>
                <w:sz w:val="1"/>
                <w:szCs w:val="1"/>
                <w:color w:val="auto"/>
              </w:rPr>
            </w:pPr>
          </w:p>
        </w:tc>
      </w:tr>
      <w:tr>
        <w:trPr>
          <w:trHeight w:val="37"/>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Changes before</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The changes in revenues, adjusted EBITDA and the</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better comparability of business trends from</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the impact of</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related margin, and adjusted EPS before currency (at</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period to period.</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foreign currency or</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constant currency or excluding the effects of currency)</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at “constant</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are determined by converting the current and equivalent</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currency”</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prior period’s local currency results using the same</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foreign currency exchange rate.</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tcPr>
          <w:p>
            <w:pPr>
              <w:spacing w:after="0"/>
              <w:rPr>
                <w:sz w:val="7"/>
                <w:szCs w:val="7"/>
                <w:color w:val="auto"/>
              </w:rPr>
            </w:pPr>
          </w:p>
        </w:tc>
        <w:tc>
          <w:tcPr>
            <w:tcW w:w="4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01" w:right="439" w:bottom="474" w:gutter="0" w:footer="0" w:header="0"/>
        </w:sectPr>
      </w:pPr>
    </w:p>
    <w:bookmarkStart w:id="27" w:name="page28"/>
    <w:bookmarkEnd w:id="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Changes in</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Represent changes in revenues of the company’s</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further insight into the performance of the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revenues</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existing businesses at constant currency. The metric</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company’s existing businesses by excluding distortive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computed on an</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excludes the distortive impacts of acquisitions and</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impacts and serves as a better measure of the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“organic” basis</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dispositions from not owning the business in both</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company’s ability to grow its business over the long</w:t>
            </w: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comparable periods.</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term.</w:t>
            </w:r>
          </w:p>
        </w:tc>
        <w:tc>
          <w:tcPr>
            <w:tcW w:w="0" w:type="dxa"/>
            <w:vAlign w:val="bottom"/>
          </w:tcPr>
          <w:p>
            <w:pPr>
              <w:spacing w:after="0"/>
              <w:rPr>
                <w:sz w:val="1"/>
                <w:szCs w:val="1"/>
                <w:color w:val="auto"/>
              </w:rPr>
            </w:pPr>
          </w:p>
        </w:tc>
      </w:tr>
      <w:tr>
        <w:trPr>
          <w:trHeight w:val="36"/>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Accrued capital</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9"/>
              </w:rPr>
              <w:t>Accrued capital expenditures divided by revenues, where</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Reflects the basis on which the company manages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expenditures as a</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accrued capital expenditures include amounts that</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capital expenditures for internal budgeting purposes.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percentage of</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remain unpaid at the end of the reporting period. For</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revenues</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purposes of this calculation, revenues are before fair</w:t>
            </w:r>
          </w:p>
        </w:tc>
        <w:tc>
          <w:tcPr>
            <w:tcW w:w="4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value adjustments to acquired deferred revenue.</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“Big 3” segments</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The company’s combined Legal Professionals,</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“Big 3” segments comprised approximately 80%</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Corporates and Tax &amp; Accounting Professionals</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of revenues and represent the core of the company’s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segments. All measures reported for the “Big 3”</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business information service product offerings.</w:t>
            </w: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segments are non-IFRS financial measures.</w:t>
            </w:r>
          </w:p>
        </w:tc>
        <w:tc>
          <w:tcPr>
            <w:tcW w:w="4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780" w:type="dxa"/>
            <w:vAlign w:val="bottom"/>
            <w:tcBorders>
              <w:left w:val="single" w:sz="8" w:color="auto"/>
              <w:bottom w:val="single" w:sz="8" w:color="auto"/>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1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Net debt and</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Net debt is total indebtedness (excluding the associated</w:t>
            </w: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a commonly used measure of a company’s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leverage ratio of</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unamortized transaction costs and premiums or</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leverage and its ability to pay its debt. Given that the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net debt to</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discount) plus the currency related fair value of</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hedges some of its debt to reduce risk, the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adjusted EBITDA</w:t>
            </w: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associated hedging instruments, and lease liabilities less</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includes hedging instruments as it believes</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it provides a better measure of the total obligation</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Net debt to adjusted EBITDA is net debt divided by</w:t>
            </w: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associated with its outstanding debt. However,</w:t>
            </w: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continue"/>
          </w:tcPr>
          <w:p>
            <w:pPr>
              <w:spacing w:after="0"/>
              <w:rPr>
                <w:sz w:val="10"/>
                <w:szCs w:val="10"/>
                <w:color w:val="auto"/>
              </w:rPr>
            </w:pPr>
          </w:p>
        </w:tc>
        <w:tc>
          <w:tcPr>
            <w:tcW w:w="448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because the company intends to hold its debt and</w:t>
            </w: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vMerge w:val="restart"/>
          </w:tcPr>
          <w:p>
            <w:pPr>
              <w:ind w:left="200"/>
              <w:spacing w:after="0" w:line="202" w:lineRule="exact"/>
              <w:rPr>
                <w:sz w:val="20"/>
                <w:szCs w:val="20"/>
                <w:color w:val="auto"/>
              </w:rPr>
            </w:pPr>
            <w:r>
              <w:rPr>
                <w:rFonts w:ascii="Arial" w:cs="Arial" w:eastAsia="Arial" w:hAnsi="Arial"/>
                <w:sz w:val="18"/>
                <w:szCs w:val="18"/>
                <w:color w:val="auto"/>
              </w:rPr>
              <w:t>adjusted EBITDA for the previous twelve-month period</w:t>
            </w:r>
          </w:p>
        </w:tc>
        <w:tc>
          <w:tcPr>
            <w:tcW w:w="4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780" w:type="dxa"/>
            <w:vAlign w:val="bottom"/>
            <w:tcBorders>
              <w:left w:val="single" w:sz="8" w:color="auto"/>
              <w:right w:val="single" w:sz="8" w:color="auto"/>
            </w:tcBorders>
          </w:tcPr>
          <w:p>
            <w:pPr>
              <w:spacing w:after="0"/>
              <w:rPr>
                <w:sz w:val="10"/>
                <w:szCs w:val="10"/>
                <w:color w:val="auto"/>
              </w:rPr>
            </w:pPr>
          </w:p>
        </w:tc>
        <w:tc>
          <w:tcPr>
            <w:tcW w:w="4780" w:type="dxa"/>
            <w:vAlign w:val="bottom"/>
            <w:tcBorders>
              <w:right w:val="single" w:sz="8" w:color="auto"/>
            </w:tcBorders>
            <w:vMerge w:val="continue"/>
          </w:tcPr>
          <w:p>
            <w:pPr>
              <w:spacing w:after="0"/>
              <w:rPr>
                <w:sz w:val="10"/>
                <w:szCs w:val="10"/>
                <w:color w:val="auto"/>
              </w:rPr>
            </w:pPr>
          </w:p>
        </w:tc>
        <w:tc>
          <w:tcPr>
            <w:tcW w:w="448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related hedges to maturity, the company does not</w:t>
            </w:r>
          </w:p>
        </w:tc>
        <w:tc>
          <w:tcPr>
            <w:tcW w:w="0" w:type="dxa"/>
            <w:vAlign w:val="bottom"/>
          </w:tcPr>
          <w:p>
            <w:pPr>
              <w:spacing w:after="0"/>
              <w:rPr>
                <w:sz w:val="1"/>
                <w:szCs w:val="1"/>
                <w:color w:val="auto"/>
              </w:rPr>
            </w:pPr>
          </w:p>
        </w:tc>
      </w:tr>
      <w:tr>
        <w:trPr>
          <w:trHeight w:val="81"/>
        </w:trPr>
        <w:tc>
          <w:tcPr>
            <w:tcW w:w="1780" w:type="dxa"/>
            <w:vAlign w:val="bottom"/>
            <w:tcBorders>
              <w:left w:val="single" w:sz="8" w:color="auto"/>
              <w:right w:val="single" w:sz="8" w:color="auto"/>
            </w:tcBorders>
          </w:tcPr>
          <w:p>
            <w:pPr>
              <w:spacing w:after="0"/>
              <w:rPr>
                <w:sz w:val="7"/>
                <w:szCs w:val="7"/>
                <w:color w:val="auto"/>
              </w:rPr>
            </w:pPr>
          </w:p>
        </w:tc>
        <w:tc>
          <w:tcPr>
            <w:tcW w:w="47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ending with the current fiscal quarter.</w:t>
            </w:r>
          </w:p>
        </w:tc>
        <w:tc>
          <w:tcPr>
            <w:tcW w:w="4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780" w:type="dxa"/>
            <w:vAlign w:val="bottom"/>
            <w:tcBorders>
              <w:left w:val="single" w:sz="8" w:color="auto"/>
              <w:right w:val="single" w:sz="8" w:color="auto"/>
            </w:tcBorders>
          </w:tcPr>
          <w:p>
            <w:pPr>
              <w:spacing w:after="0"/>
              <w:rPr>
                <w:sz w:val="13"/>
                <w:szCs w:val="13"/>
                <w:color w:val="auto"/>
              </w:rPr>
            </w:pPr>
          </w:p>
        </w:tc>
        <w:tc>
          <w:tcPr>
            <w:tcW w:w="4780" w:type="dxa"/>
            <w:vAlign w:val="bottom"/>
            <w:tcBorders>
              <w:right w:val="single" w:sz="8" w:color="auto"/>
            </w:tcBorders>
            <w:vMerge w:val="continue"/>
          </w:tcPr>
          <w:p>
            <w:pPr>
              <w:spacing w:after="0"/>
              <w:rPr>
                <w:sz w:val="13"/>
                <w:szCs w:val="13"/>
                <w:color w:val="auto"/>
              </w:rPr>
            </w:pPr>
          </w:p>
        </w:tc>
        <w:tc>
          <w:tcPr>
            <w:tcW w:w="448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consider the interest components of the associated</w:t>
            </w:r>
          </w:p>
        </w:tc>
        <w:tc>
          <w:tcPr>
            <w:tcW w:w="0" w:type="dxa"/>
            <w:vAlign w:val="bottom"/>
          </w:tcPr>
          <w:p>
            <w:pPr>
              <w:spacing w:after="0"/>
              <w:rPr>
                <w:sz w:val="1"/>
                <w:szCs w:val="1"/>
                <w:color w:val="auto"/>
              </w:rPr>
            </w:pPr>
          </w:p>
        </w:tc>
      </w:tr>
      <w:tr>
        <w:trPr>
          <w:trHeight w:val="45"/>
        </w:trPr>
        <w:tc>
          <w:tcPr>
            <w:tcW w:w="1780" w:type="dxa"/>
            <w:vAlign w:val="bottom"/>
            <w:tcBorders>
              <w:left w:val="single" w:sz="8" w:color="auto"/>
              <w:right w:val="single" w:sz="8" w:color="auto"/>
            </w:tcBorders>
          </w:tcPr>
          <w:p>
            <w:pPr>
              <w:spacing w:after="0"/>
              <w:rPr>
                <w:sz w:val="3"/>
                <w:szCs w:val="3"/>
                <w:color w:val="auto"/>
              </w:rPr>
            </w:pPr>
          </w:p>
        </w:tc>
        <w:tc>
          <w:tcPr>
            <w:tcW w:w="4780" w:type="dxa"/>
            <w:vAlign w:val="bottom"/>
            <w:tcBorders>
              <w:right w:val="single" w:sz="8" w:color="auto"/>
            </w:tcBorders>
          </w:tcPr>
          <w:p>
            <w:pPr>
              <w:spacing w:after="0"/>
              <w:rPr>
                <w:sz w:val="3"/>
                <w:szCs w:val="3"/>
                <w:color w:val="auto"/>
              </w:rPr>
            </w:pPr>
          </w:p>
        </w:tc>
        <w:tc>
          <w:tcPr>
            <w:tcW w:w="448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fair value of hedges in its measurements. The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reduces gross indebtedness by cash and</w:t>
            </w: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cash equivalents.</w:t>
            </w:r>
          </w:p>
        </w:tc>
        <w:tc>
          <w:tcPr>
            <w:tcW w:w="0" w:type="dxa"/>
            <w:vAlign w:val="bottom"/>
          </w:tcPr>
          <w:p>
            <w:pPr>
              <w:spacing w:after="0"/>
              <w:rPr>
                <w:sz w:val="1"/>
                <w:szCs w:val="1"/>
                <w:color w:val="auto"/>
              </w:rPr>
            </w:pPr>
          </w:p>
        </w:tc>
      </w:tr>
      <w:tr>
        <w:trPr>
          <w:trHeight w:val="288"/>
        </w:trPr>
        <w:tc>
          <w:tcPr>
            <w:tcW w:w="1780" w:type="dxa"/>
            <w:vAlign w:val="bottom"/>
            <w:tcBorders>
              <w:left w:val="single" w:sz="8" w:color="auto"/>
              <w:right w:val="single" w:sz="8" w:color="auto"/>
            </w:tcBorders>
          </w:tcPr>
          <w:p>
            <w:pPr>
              <w:spacing w:after="0"/>
              <w:rPr>
                <w:sz w:val="24"/>
                <w:szCs w:val="24"/>
                <w:color w:val="auto"/>
              </w:rPr>
            </w:pPr>
          </w:p>
        </w:tc>
        <w:tc>
          <w:tcPr>
            <w:tcW w:w="4780" w:type="dxa"/>
            <w:vAlign w:val="bottom"/>
            <w:tcBorders>
              <w:right w:val="single" w:sz="8" w:color="auto"/>
            </w:tcBorders>
          </w:tcPr>
          <w:p>
            <w:pPr>
              <w:spacing w:after="0"/>
              <w:rPr>
                <w:sz w:val="24"/>
                <w:szCs w:val="24"/>
                <w:color w:val="auto"/>
              </w:rPr>
            </w:pP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company’s non-IFRS measure is aligned with the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calculation of its internal target and is more</w:t>
            </w:r>
          </w:p>
        </w:tc>
        <w:tc>
          <w:tcPr>
            <w:tcW w:w="0" w:type="dxa"/>
            <w:vAlign w:val="bottom"/>
          </w:tcPr>
          <w:p>
            <w:pPr>
              <w:spacing w:after="0"/>
              <w:rPr>
                <w:sz w:val="1"/>
                <w:szCs w:val="1"/>
                <w:color w:val="auto"/>
              </w:rPr>
            </w:pPr>
          </w:p>
        </w:tc>
      </w:tr>
      <w:tr>
        <w:trPr>
          <w:trHeight w:val="203"/>
        </w:trPr>
        <w:tc>
          <w:tcPr>
            <w:tcW w:w="1780" w:type="dxa"/>
            <w:vAlign w:val="bottom"/>
            <w:tcBorders>
              <w:left w:val="single" w:sz="8" w:color="auto"/>
              <w:right w:val="single" w:sz="8" w:color="auto"/>
            </w:tcBorders>
          </w:tcPr>
          <w:p>
            <w:pPr>
              <w:spacing w:after="0"/>
              <w:rPr>
                <w:sz w:val="17"/>
                <w:szCs w:val="17"/>
                <w:color w:val="auto"/>
              </w:rPr>
            </w:pPr>
          </w:p>
        </w:tc>
        <w:tc>
          <w:tcPr>
            <w:tcW w:w="478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conservative than the maximum ratio allowed under</w:t>
            </w:r>
          </w:p>
        </w:tc>
        <w:tc>
          <w:tcPr>
            <w:tcW w:w="0" w:type="dxa"/>
            <w:vAlign w:val="bottom"/>
          </w:tcPr>
          <w:p>
            <w:pPr>
              <w:spacing w:after="0"/>
              <w:rPr>
                <w:sz w:val="1"/>
                <w:szCs w:val="1"/>
                <w:color w:val="auto"/>
              </w:rPr>
            </w:pPr>
          </w:p>
        </w:tc>
      </w:tr>
      <w:tr>
        <w:trPr>
          <w:trHeight w:val="239"/>
        </w:trPr>
        <w:tc>
          <w:tcPr>
            <w:tcW w:w="1780" w:type="dxa"/>
            <w:vAlign w:val="bottom"/>
            <w:tcBorders>
              <w:left w:val="single" w:sz="8" w:color="auto"/>
              <w:right w:val="single" w:sz="8" w:color="auto"/>
            </w:tcBorders>
          </w:tcPr>
          <w:p>
            <w:pPr>
              <w:spacing w:after="0"/>
              <w:rPr>
                <w:sz w:val="20"/>
                <w:szCs w:val="20"/>
                <w:color w:val="auto"/>
              </w:rPr>
            </w:pPr>
          </w:p>
        </w:tc>
        <w:tc>
          <w:tcPr>
            <w:tcW w:w="478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contractual covenants in its credit facility.</w:t>
            </w:r>
          </w:p>
        </w:tc>
        <w:tc>
          <w:tcPr>
            <w:tcW w:w="0" w:type="dxa"/>
            <w:vAlign w:val="bottom"/>
          </w:tcPr>
          <w:p>
            <w:pPr>
              <w:spacing w:after="0"/>
              <w:rPr>
                <w:sz w:val="1"/>
                <w:szCs w:val="1"/>
                <w:color w:val="auto"/>
              </w:rPr>
            </w:pPr>
          </w:p>
        </w:tc>
      </w:tr>
      <w:tr>
        <w:trPr>
          <w:trHeight w:val="50"/>
        </w:trPr>
        <w:tc>
          <w:tcPr>
            <w:tcW w:w="1780" w:type="dxa"/>
            <w:vAlign w:val="bottom"/>
            <w:tcBorders>
              <w:left w:val="single" w:sz="8" w:color="auto"/>
              <w:bottom w:val="single" w:sz="8" w:color="auto"/>
              <w:right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c>
          <w:tcPr>
            <w:tcW w:w="4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Please refer to reconciliations for the most directly comparable IFRS financial measures.</w:t>
      </w:r>
    </w:p>
    <w:sectPr>
      <w:pgSz w:w="11900" w:h="16838" w:orient="portrait"/>
      <w:cols w:equalWidth="0" w:num="1">
        <w:col w:w="11020"/>
      </w:cols>
      <w:pgMar w:left="440" w:top="11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lvl w:ilvl="1">
      <w:lvlJc w:val="left"/>
      <w:lvlText w:val="•"/>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o"/>
      <w:numFmt w:val="bullet"/>
      <w:start w:val="1"/>
    </w:lvl>
  </w:abstractNum>
  <w:abstractNum w:abstractNumId="3">
    <w:nsid w:val="25E45D32"/>
    <w:multiLevelType w:val="hybridMultilevel"/>
    <w:lvl w:ilvl="0">
      <w:lvlJc w:val="left"/>
      <w:lvlText w:val="o"/>
      <w:numFmt w:val="bullet"/>
      <w:start w:val="1"/>
    </w:lvl>
  </w:abstractNum>
  <w:abstractNum w:abstractNumId="4">
    <w:nsid w:val="519B500D"/>
    <w:multiLevelType w:val="hybridMultilevel"/>
    <w:lvl w:ilvl="0">
      <w:lvlJc w:val="left"/>
      <w:lvlText w:val="o"/>
      <w:numFmt w:val="bullet"/>
      <w:start w:val="1"/>
    </w:lvl>
  </w:abstractNum>
  <w:abstractNum w:abstractNumId="5">
    <w:nsid w:val="431BD7B7"/>
    <w:multiLevelType w:val="hybridMultilevel"/>
    <w:lvl w:ilvl="0">
      <w:lvlJc w:val="left"/>
      <w:lvlText w:val=" "/>
      <w:numFmt w:val="bullet"/>
      <w:start w:val="1"/>
    </w:lvl>
  </w:abstractNum>
  <w:abstractNum w:abstractNumId="6">
    <w:nsid w:val="3F2DBA31"/>
    <w:multiLevelType w:val="hybridMultilevel"/>
    <w:lvl w:ilvl="0">
      <w:lvlJc w:val="left"/>
      <w:lvlText w:val="o"/>
      <w:numFmt w:val="bullet"/>
      <w:start w:val="1"/>
    </w:lvl>
  </w:abstractNum>
  <w:abstractNum w:abstractNumId="7">
    <w:nsid w:val="7C83E458"/>
    <w:multiLevelType w:val="hybridMultilevel"/>
    <w:lvl w:ilvl="0">
      <w:lvlJc w:val="left"/>
      <w:lvlText w:val="o"/>
      <w:numFmt w:val="bullet"/>
      <w:start w:val="1"/>
    </w:lvl>
  </w:abstractNum>
  <w:abstractNum w:abstractNumId="8">
    <w:nsid w:val="257130A3"/>
    <w:multiLevelType w:val="hybridMultilevel"/>
    <w:lvl w:ilvl="0">
      <w:lvlJc w:val="left"/>
      <w:lvlText w:val="o"/>
      <w:numFmt w:val="bullet"/>
      <w:start w:val="1"/>
    </w:lvl>
  </w:abstractNum>
  <w:abstractNum w:abstractNumId="9">
    <w:nsid w:val="62BBD95A"/>
    <w:multiLevelType w:val="hybridMultilevel"/>
    <w:lvl w:ilvl="0">
      <w:lvlJc w:val="left"/>
      <w:lvlText w:val="o"/>
      <w:numFmt w:val="bullet"/>
      <w:start w:val="1"/>
    </w:lvl>
  </w:abstractNum>
  <w:abstractNum w:abstractNumId="10">
    <w:nsid w:val="436C6125"/>
    <w:multiLevelType w:val="hybridMultilevel"/>
    <w:lvl w:ilvl="0">
      <w:lvlJc w:val="left"/>
      <w:lvlText w:val="o"/>
      <w:numFmt w:val="bullet"/>
      <w:start w:val="1"/>
    </w:lvl>
  </w:abstractNum>
  <w:abstractNum w:abstractNumId="11">
    <w:nsid w:val="628C895D"/>
    <w:multiLevelType w:val="hybridMultilevel"/>
    <w:lvl w:ilvl="0">
      <w:lvlJc w:val="left"/>
      <w:lvlText w:val="o"/>
      <w:numFmt w:val="bullet"/>
      <w:start w:val="1"/>
    </w:lvl>
  </w:abstractNum>
  <w:abstractNum w:abstractNumId="12">
    <w:nsid w:val="333AB105"/>
    <w:multiLevelType w:val="hybridMultilevel"/>
    <w:lvl w:ilvl="0">
      <w:lvlJc w:val="left"/>
      <w:lvlText w:val="o"/>
      <w:numFmt w:val="bullet"/>
      <w:start w:val="1"/>
    </w:lvl>
  </w:abstractNum>
  <w:abstractNum w:abstractNumId="13">
    <w:nsid w:val="721DA317"/>
    <w:multiLevelType w:val="hybridMultilevel"/>
    <w:lvl w:ilvl="0">
      <w:lvlJc w:val="left"/>
      <w:lvlText w:val="o"/>
      <w:numFmt w:val="bullet"/>
      <w:start w:val="1"/>
    </w:lvl>
  </w:abstractNum>
  <w:abstractNum w:abstractNumId="14">
    <w:nsid w:val="2443A858"/>
    <w:multiLevelType w:val="hybridMultilevel"/>
    <w:lvl w:ilvl="0">
      <w:lvlJc w:val="left"/>
      <w:lvlText w:val="o"/>
      <w:numFmt w:val="bullet"/>
      <w:start w:val="1"/>
    </w:lvl>
  </w:abstractNum>
  <w:abstractNum w:abstractNumId="15">
    <w:nsid w:val="2D1D5AE9"/>
    <w:multiLevelType w:val="hybridMultilevel"/>
    <w:lvl w:ilvl="0">
      <w:lvlJc w:val="left"/>
      <w:lvlText w:val="o"/>
      <w:numFmt w:val="bullet"/>
      <w:start w:val="1"/>
    </w:lvl>
  </w:abstractNum>
  <w:abstractNum w:abstractNumId="16">
    <w:nsid w:val="6763845E"/>
    <w:multiLevelType w:val="hybridMultilevel"/>
    <w:lvl w:ilvl="0">
      <w:lvlJc w:val="left"/>
      <w:lvlText w:val="o"/>
      <w:numFmt w:val="bullet"/>
      <w:start w:val="1"/>
    </w:lvl>
  </w:abstractNum>
  <w:abstractNum w:abstractNumId="17">
    <w:nsid w:val="75A2A8D4"/>
    <w:multiLevelType w:val="hybridMultilevel"/>
    <w:lvl w:ilvl="0">
      <w:lvlJc w:val="left"/>
      <w:lvlText w:val=" "/>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2025-08-06T06:12:08Z</dcterms:created>
  <dcterms:modified xsi:type="dcterms:W3CDTF">2025-08-06T06:12:08Z</dcterms:modified>
</cp:coreProperties>
</file>