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left="2024" w:right="2040"/>
        <w:spacing w:after="0" w:line="246" w:lineRule="auto"/>
        <w:rPr>
          <w:sz w:val="20"/>
          <w:szCs w:val="20"/>
          <w:color w:val="auto"/>
        </w:rPr>
      </w:pPr>
      <w:r>
        <w:rPr>
          <w:rFonts w:ascii="Times New Roman" w:cs="Times New Roman" w:eastAsia="Times New Roman" w:hAnsi="Times New Roman"/>
          <w:sz w:val="22"/>
          <w:szCs w:val="22"/>
          <w:b w:val="1"/>
          <w:bCs w:val="1"/>
          <w:color w:val="auto"/>
        </w:rPr>
        <w:t>FOR REGISTRATION OF CERTAIN CLASSES OF SECURITIES PURSUANT TO SECTION 12(b) OR (g)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220345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TR FINANCE LLC**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76" w:right="439"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3" w:lineRule="exact"/>
        <w:rPr>
          <w:sz w:val="24"/>
          <w:szCs w:val="24"/>
          <w:color w:val="auto"/>
        </w:rPr>
      </w:pPr>
    </w:p>
    <w:p>
      <w:pPr>
        <w:ind w:left="2424"/>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84-3786645</w:t>
      </w:r>
    </w:p>
    <w:p>
      <w:pPr>
        <w:spacing w:after="0" w:line="31" w:lineRule="exact"/>
        <w:rPr>
          <w:sz w:val="24"/>
          <w:szCs w:val="24"/>
          <w:color w:val="auto"/>
        </w:rPr>
      </w:pPr>
    </w:p>
    <w:p>
      <w:pPr>
        <w:sectPr>
          <w:pgSz w:w="11900" w:h="16838" w:orient="portrait"/>
          <w:cols w:equalWidth="0" w:num="2">
            <w:col w:w="7184" w:space="720"/>
            <w:col w:w="3120"/>
          </w:cols>
          <w:pgMar w:left="436" w:top="376" w:right="439" w:bottom="0" w:gutter="0" w:footer="0" w:header="0"/>
          <w:type w:val="continuous"/>
        </w:sectPr>
      </w:pPr>
    </w:p>
    <w:p>
      <w:pPr>
        <w:ind w:left="1564"/>
        <w:spacing w:after="0"/>
        <w:rPr>
          <w:sz w:val="20"/>
          <w:szCs w:val="20"/>
          <w:color w:val="auto"/>
        </w:rPr>
      </w:pPr>
      <w:r>
        <w:rPr>
          <w:rFonts w:ascii="Times New Roman" w:cs="Times New Roman" w:eastAsia="Times New Roman" w:hAnsi="Times New Roman"/>
          <w:sz w:val="14"/>
          <w:szCs w:val="14"/>
          <w:b w:val="1"/>
          <w:bCs w:val="1"/>
          <w:color w:val="auto"/>
        </w:rPr>
        <w:t>(State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(I.R.S. Employer Identification No.)</w:t>
      </w:r>
    </w:p>
    <w:p>
      <w:pPr>
        <w:spacing w:after="0" w:line="181" w:lineRule="exact"/>
        <w:rPr>
          <w:sz w:val="24"/>
          <w:szCs w:val="24"/>
          <w:color w:val="auto"/>
        </w:rPr>
      </w:pPr>
    </w:p>
    <w:p>
      <w:pPr>
        <w:sectPr>
          <w:pgSz w:w="11900" w:h="16838" w:orient="portrait"/>
          <w:cols w:equalWidth="0" w:num="2">
            <w:col w:w="6524" w:space="720"/>
            <w:col w:w="3780"/>
          </w:cols>
          <w:pgMar w:left="436" w:top="376" w:right="439" w:bottom="0" w:gutter="0" w:footer="0" w:header="0"/>
          <w:type w:val="continuous"/>
        </w:sect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2900 Ames Crossing Road</w:t>
      </w:r>
    </w:p>
    <w:p>
      <w:pPr>
        <w:spacing w:after="0" w:line="3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Suite 100</w:t>
      </w:r>
    </w:p>
    <w:p>
      <w:pPr>
        <w:spacing w:after="0" w:line="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Eagan, Minnesota</w:t>
      </w:r>
    </w:p>
    <w:p>
      <w:pPr>
        <w:spacing w:after="0" w:line="2"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18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55121</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(Zip Code)</w:t>
      </w:r>
    </w:p>
    <w:p>
      <w:pPr>
        <w:sectPr>
          <w:pgSz w:w="11900" w:h="16838" w:orient="portrait"/>
          <w:cols w:equalWidth="0" w:num="1">
            <w:col w:w="11024"/>
          </w:cols>
          <w:pgMar w:left="436" w:top="376" w:right="439" w:bottom="0" w:gutter="0" w:footer="0" w:header="0"/>
          <w:type w:val="continuous"/>
        </w:sectPr>
      </w:pPr>
    </w:p>
    <w:p>
      <w:pPr>
        <w:spacing w:after="0" w:line="188" w:lineRule="exact"/>
        <w:rPr>
          <w:sz w:val="24"/>
          <w:szCs w:val="24"/>
          <w:color w:val="auto"/>
        </w:rPr>
      </w:pPr>
    </w:p>
    <w:p>
      <w:pPr>
        <w:ind w:left="3104" w:right="3100" w:firstLine="428"/>
        <w:spacing w:after="0" w:line="545" w:lineRule="auto"/>
        <w:tabs>
          <w:tab w:leader="none" w:pos="3763" w:val="left"/>
        </w:tabs>
        <w:numPr>
          <w:ilvl w:val="0"/>
          <w:numId w:val="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See Table of Additional Registrants on next page Securities to be registered pursuant to Section 12(b) of the Act:</w:t>
      </w:r>
    </w:p>
    <w:tbl>
      <w:tblPr>
        <w:tblLayout w:type="fixed"/>
        <w:tblInd w:w="1664" w:type="dxa"/>
        <w:tblCellMar>
          <w:top w:w="0" w:type="dxa"/>
          <w:left w:w="0" w:type="dxa"/>
          <w:bottom w:w="0" w:type="dxa"/>
          <w:right w:w="0" w:type="dxa"/>
        </w:tblCellMar>
      </w:tblPr>
      <w:tr>
        <w:trPr>
          <w:trHeight w:val="149"/>
        </w:trPr>
        <w:tc>
          <w:tcPr>
            <w:tcW w:w="500" w:type="dxa"/>
            <w:vAlign w:val="bottom"/>
          </w:tcPr>
          <w:p>
            <w:pPr>
              <w:spacing w:after="0"/>
              <w:rPr>
                <w:sz w:val="12"/>
                <w:szCs w:val="12"/>
                <w:color w:val="auto"/>
              </w:rPr>
            </w:pPr>
          </w:p>
        </w:tc>
        <w:tc>
          <w:tcPr>
            <w:tcW w:w="3340" w:type="dxa"/>
            <w:vAlign w:val="bottom"/>
            <w:gridSpan w:val="2"/>
          </w:tcPr>
          <w:p>
            <w:pPr>
              <w:jc w:val="center"/>
              <w:ind w:right="2010"/>
              <w:spacing w:after="0" w:line="149" w:lineRule="exact"/>
              <w:rPr>
                <w:sz w:val="20"/>
                <w:szCs w:val="20"/>
                <w:color w:val="auto"/>
              </w:rPr>
            </w:pPr>
            <w:r>
              <w:rPr>
                <w:rFonts w:ascii="Times New Roman" w:cs="Times New Roman" w:eastAsia="Times New Roman" w:hAnsi="Times New Roman"/>
                <w:sz w:val="14"/>
                <w:szCs w:val="14"/>
                <w:b w:val="1"/>
                <w:bCs w:val="1"/>
                <w:color w:val="auto"/>
              </w:rPr>
              <w:t>Title of each class</w:t>
            </w:r>
          </w:p>
        </w:tc>
        <w:tc>
          <w:tcPr>
            <w:tcW w:w="4060" w:type="dxa"/>
            <w:vAlign w:val="bottom"/>
            <w:gridSpan w:val="3"/>
          </w:tcPr>
          <w:p>
            <w:pPr>
              <w:jc w:val="center"/>
              <w:ind w:left="1533"/>
              <w:spacing w:after="0" w:line="149" w:lineRule="exact"/>
              <w:rPr>
                <w:sz w:val="20"/>
                <w:szCs w:val="20"/>
                <w:color w:val="auto"/>
              </w:rPr>
            </w:pPr>
            <w:r>
              <w:rPr>
                <w:rFonts w:ascii="Times New Roman" w:cs="Times New Roman" w:eastAsia="Times New Roman" w:hAnsi="Times New Roman"/>
                <w:sz w:val="14"/>
                <w:szCs w:val="14"/>
                <w:b w:val="1"/>
                <w:bCs w:val="1"/>
                <w:color w:val="auto"/>
              </w:rPr>
              <w:t>Name of each exchange on which</w:t>
            </w:r>
          </w:p>
        </w:tc>
      </w:tr>
      <w:tr>
        <w:trPr>
          <w:trHeight w:val="173"/>
        </w:trPr>
        <w:tc>
          <w:tcPr>
            <w:tcW w:w="500" w:type="dxa"/>
            <w:vAlign w:val="bottom"/>
          </w:tcPr>
          <w:p>
            <w:pPr>
              <w:spacing w:after="0"/>
              <w:rPr>
                <w:sz w:val="15"/>
                <w:szCs w:val="15"/>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to be so registered</w:t>
            </w:r>
            <w:r>
              <w:rPr>
                <w:rFonts w:ascii="Times New Roman" w:cs="Times New Roman" w:eastAsia="Times New Roman" w:hAnsi="Times New Roman"/>
                <w:sz w:val="10"/>
                <w:szCs w:val="10"/>
                <w:b w:val="1"/>
                <w:bCs w:val="1"/>
                <w:color w:val="auto"/>
              </w:rPr>
              <w:t>(1)</w:t>
            </w:r>
          </w:p>
        </w:tc>
        <w:tc>
          <w:tcPr>
            <w:tcW w:w="210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1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each class is to be registered</w:t>
            </w:r>
          </w:p>
        </w:tc>
        <w:tc>
          <w:tcPr>
            <w:tcW w:w="360" w:type="dxa"/>
            <w:vAlign w:val="bottom"/>
          </w:tcPr>
          <w:p>
            <w:pPr>
              <w:spacing w:after="0"/>
              <w:rPr>
                <w:sz w:val="15"/>
                <w:szCs w:val="15"/>
                <w:color w:val="auto"/>
              </w:rPr>
            </w:pPr>
          </w:p>
        </w:tc>
      </w:tr>
      <w:tr>
        <w:trPr>
          <w:trHeight w:val="187"/>
        </w:trPr>
        <w:tc>
          <w:tcPr>
            <w:tcW w:w="1740" w:type="dxa"/>
            <w:vAlign w:val="bottom"/>
            <w:gridSpan w:val="2"/>
          </w:tcPr>
          <w:p>
            <w:pPr>
              <w:ind w:left="220"/>
              <w:spacing w:after="0" w:line="188" w:lineRule="exact"/>
              <w:rPr>
                <w:sz w:val="20"/>
                <w:szCs w:val="20"/>
                <w:color w:val="auto"/>
              </w:rPr>
            </w:pPr>
            <w:r>
              <w:rPr>
                <w:rFonts w:ascii="Times New Roman" w:cs="Times New Roman" w:eastAsia="Times New Roman" w:hAnsi="Times New Roman"/>
                <w:sz w:val="18"/>
                <w:szCs w:val="18"/>
                <w:b w:val="1"/>
                <w:bCs w:val="1"/>
                <w:color w:val="auto"/>
              </w:rPr>
              <w:t>3.350% Notes due</w:t>
            </w:r>
          </w:p>
        </w:tc>
        <w:tc>
          <w:tcPr>
            <w:tcW w:w="2100" w:type="dxa"/>
            <w:vAlign w:val="bottom"/>
          </w:tcPr>
          <w:p>
            <w:pPr>
              <w:jc w:val="right"/>
              <w:ind w:right="1730"/>
              <w:spacing w:after="0" w:line="188" w:lineRule="exact"/>
              <w:rPr>
                <w:sz w:val="20"/>
                <w:szCs w:val="20"/>
                <w:color w:val="auto"/>
              </w:rPr>
            </w:pPr>
            <w:r>
              <w:rPr>
                <w:rFonts w:ascii="Times New Roman" w:cs="Times New Roman" w:eastAsia="Times New Roman" w:hAnsi="Times New Roman"/>
                <w:sz w:val="18"/>
                <w:szCs w:val="18"/>
                <w:b w:val="1"/>
                <w:bCs w:val="1"/>
                <w:color w:val="auto"/>
                <w:w w:val="72"/>
              </w:rPr>
              <w:t>2026</w:t>
            </w:r>
          </w:p>
        </w:tc>
        <w:tc>
          <w:tcPr>
            <w:tcW w:w="4060" w:type="dxa"/>
            <w:vAlign w:val="bottom"/>
            <w:gridSpan w:val="3"/>
          </w:tcPr>
          <w:p>
            <w:pPr>
              <w:jc w:val="center"/>
              <w:ind w:left="1533"/>
              <w:spacing w:after="0" w:line="188" w:lineRule="exact"/>
              <w:rPr>
                <w:sz w:val="20"/>
                <w:szCs w:val="20"/>
                <w:color w:val="auto"/>
              </w:rPr>
            </w:pPr>
            <w:r>
              <w:rPr>
                <w:rFonts w:ascii="Times New Roman" w:cs="Times New Roman" w:eastAsia="Times New Roman" w:hAnsi="Times New Roman"/>
                <w:sz w:val="18"/>
                <w:szCs w:val="18"/>
                <w:b w:val="1"/>
                <w:bCs w:val="1"/>
                <w:color w:val="auto"/>
                <w:w w:val="99"/>
              </w:rPr>
              <w:t>The Nasdaq Stock Market LLC</w:t>
            </w:r>
          </w:p>
        </w:tc>
      </w:tr>
      <w:tr>
        <w:trPr>
          <w:trHeight w:val="216"/>
        </w:trPr>
        <w:tc>
          <w:tcPr>
            <w:tcW w:w="3840" w:type="dxa"/>
            <w:vAlign w:val="bottom"/>
            <w:gridSpan w:val="3"/>
          </w:tcPr>
          <w:p>
            <w:pPr>
              <w:jc w:val="center"/>
              <w:ind w:right="1510"/>
              <w:spacing w:after="0"/>
              <w:rPr>
                <w:sz w:val="20"/>
                <w:szCs w:val="20"/>
                <w:color w:val="auto"/>
              </w:rPr>
            </w:pPr>
            <w:r>
              <w:rPr>
                <w:rFonts w:ascii="Times New Roman" w:cs="Times New Roman" w:eastAsia="Times New Roman" w:hAnsi="Times New Roman"/>
                <w:sz w:val="18"/>
                <w:szCs w:val="18"/>
                <w:b w:val="1"/>
                <w:bCs w:val="1"/>
                <w:color w:val="auto"/>
              </w:rPr>
              <w:t>5.850% Notes due 2040</w:t>
            </w:r>
          </w:p>
        </w:tc>
        <w:tc>
          <w:tcPr>
            <w:tcW w:w="4060" w:type="dxa"/>
            <w:vAlign w:val="bottom"/>
            <w:gridSpan w:val="3"/>
          </w:tcPr>
          <w:p>
            <w:pPr>
              <w:jc w:val="center"/>
              <w:ind w:left="1533"/>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w:t>
            </w:r>
          </w:p>
        </w:tc>
      </w:tr>
      <w:tr>
        <w:trPr>
          <w:trHeight w:val="216"/>
        </w:trPr>
        <w:tc>
          <w:tcPr>
            <w:tcW w:w="3840" w:type="dxa"/>
            <w:vAlign w:val="bottom"/>
            <w:gridSpan w:val="3"/>
          </w:tcPr>
          <w:p>
            <w:pPr>
              <w:jc w:val="center"/>
              <w:ind w:right="1510"/>
              <w:spacing w:after="0"/>
              <w:rPr>
                <w:sz w:val="20"/>
                <w:szCs w:val="20"/>
                <w:color w:val="auto"/>
              </w:rPr>
            </w:pPr>
            <w:r>
              <w:rPr>
                <w:rFonts w:ascii="Times New Roman" w:cs="Times New Roman" w:eastAsia="Times New Roman" w:hAnsi="Times New Roman"/>
                <w:sz w:val="18"/>
                <w:szCs w:val="18"/>
                <w:b w:val="1"/>
                <w:bCs w:val="1"/>
                <w:color w:val="auto"/>
              </w:rPr>
              <w:t>4.500% Notes due 2043</w:t>
            </w:r>
          </w:p>
        </w:tc>
        <w:tc>
          <w:tcPr>
            <w:tcW w:w="4060" w:type="dxa"/>
            <w:vAlign w:val="bottom"/>
            <w:gridSpan w:val="3"/>
          </w:tcPr>
          <w:p>
            <w:pPr>
              <w:jc w:val="center"/>
              <w:ind w:left="1533"/>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w:t>
            </w:r>
          </w:p>
        </w:tc>
      </w:tr>
      <w:tr>
        <w:trPr>
          <w:trHeight w:val="216"/>
        </w:trPr>
        <w:tc>
          <w:tcPr>
            <w:tcW w:w="3840" w:type="dxa"/>
            <w:vAlign w:val="bottom"/>
            <w:gridSpan w:val="3"/>
          </w:tcPr>
          <w:p>
            <w:pPr>
              <w:jc w:val="center"/>
              <w:ind w:right="1510"/>
              <w:spacing w:after="0"/>
              <w:rPr>
                <w:sz w:val="20"/>
                <w:szCs w:val="20"/>
                <w:color w:val="auto"/>
              </w:rPr>
            </w:pPr>
            <w:r>
              <w:rPr>
                <w:rFonts w:ascii="Times New Roman" w:cs="Times New Roman" w:eastAsia="Times New Roman" w:hAnsi="Times New Roman"/>
                <w:sz w:val="18"/>
                <w:szCs w:val="18"/>
                <w:b w:val="1"/>
                <w:bCs w:val="1"/>
                <w:color w:val="auto"/>
              </w:rPr>
              <w:t>5.650% Notes due 2043</w:t>
            </w:r>
          </w:p>
        </w:tc>
        <w:tc>
          <w:tcPr>
            <w:tcW w:w="4060" w:type="dxa"/>
            <w:vAlign w:val="bottom"/>
            <w:gridSpan w:val="3"/>
          </w:tcPr>
          <w:p>
            <w:pPr>
              <w:jc w:val="center"/>
              <w:ind w:left="1533"/>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w:t>
            </w:r>
          </w:p>
        </w:tc>
      </w:tr>
      <w:tr>
        <w:trPr>
          <w:trHeight w:val="238"/>
        </w:trPr>
        <w:tc>
          <w:tcPr>
            <w:tcW w:w="3840" w:type="dxa"/>
            <w:vAlign w:val="bottom"/>
            <w:gridSpan w:val="3"/>
          </w:tcPr>
          <w:p>
            <w:pPr>
              <w:jc w:val="center"/>
              <w:ind w:right="1510"/>
              <w:spacing w:after="0"/>
              <w:rPr>
                <w:sz w:val="20"/>
                <w:szCs w:val="20"/>
                <w:color w:val="auto"/>
              </w:rPr>
            </w:pPr>
            <w:r>
              <w:rPr>
                <w:rFonts w:ascii="Times New Roman" w:cs="Times New Roman" w:eastAsia="Times New Roman" w:hAnsi="Times New Roman"/>
                <w:sz w:val="18"/>
                <w:szCs w:val="18"/>
                <w:b w:val="1"/>
                <w:bCs w:val="1"/>
                <w:color w:val="auto"/>
                <w:w w:val="99"/>
              </w:rPr>
              <w:t>5.500% Debentures due 2035</w:t>
            </w:r>
          </w:p>
        </w:tc>
        <w:tc>
          <w:tcPr>
            <w:tcW w:w="4060" w:type="dxa"/>
            <w:vAlign w:val="bottom"/>
            <w:gridSpan w:val="3"/>
          </w:tcPr>
          <w:p>
            <w:pPr>
              <w:jc w:val="center"/>
              <w:ind w:left="1533"/>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222885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0" w:lineRule="exact"/>
        <w:rPr>
          <w:sz w:val="24"/>
          <w:szCs w:val="24"/>
          <w:color w:val="auto"/>
        </w:rPr>
      </w:pPr>
    </w:p>
    <w:p>
      <w:pPr>
        <w:ind w:left="424" w:hanging="424"/>
        <w:spacing w:after="0"/>
        <w:tabs>
          <w:tab w:leader="none" w:pos="42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the guarantees by Thomson Reuters Corporation and the other subsidiary registrants named herein.</w:t>
      </w:r>
    </w:p>
    <w:p>
      <w:pPr>
        <w:spacing w:after="0" w:line="225" w:lineRule="exact"/>
        <w:rPr>
          <w:sz w:val="24"/>
          <w:szCs w:val="24"/>
          <w:color w:val="auto"/>
        </w:rPr>
      </w:pPr>
    </w:p>
    <w:p>
      <w:pPr>
        <w:ind w:left="4" w:right="740"/>
        <w:spacing w:after="0" w:line="239" w:lineRule="exact"/>
        <w:rPr>
          <w:sz w:val="20"/>
          <w:szCs w:val="20"/>
          <w:color w:val="auto"/>
        </w:rPr>
      </w:pPr>
      <w:r>
        <w:rPr>
          <w:rFonts w:ascii="Times New Roman" w:cs="Times New Roman" w:eastAsia="Times New Roman" w:hAnsi="Times New Roman"/>
          <w:sz w:val="18"/>
          <w:szCs w:val="18"/>
          <w:color w:val="auto"/>
        </w:rPr>
        <w:t xml:space="preserve">If this form relates to the registration of a class of securities pursuant to Section 12(b) of the Exchange Act and is effective pursuant to General Instruction A.(c) or (e), check the following box.  </w:t>
      </w:r>
      <w:r>
        <w:rPr>
          <w:rFonts w:ascii="MS PGothic" w:cs="MS PGothic" w:eastAsia="MS PGothic" w:hAnsi="MS PGothic"/>
          <w:sz w:val="18"/>
          <w:szCs w:val="18"/>
          <w:color w:val="auto"/>
        </w:rPr>
        <w:t>☒</w:t>
      </w:r>
    </w:p>
    <w:p>
      <w:pPr>
        <w:spacing w:after="0" w:line="170" w:lineRule="exact"/>
        <w:rPr>
          <w:sz w:val="24"/>
          <w:szCs w:val="24"/>
          <w:color w:val="auto"/>
        </w:rPr>
      </w:pPr>
    </w:p>
    <w:p>
      <w:pPr>
        <w:ind w:left="4" w:right="740"/>
        <w:spacing w:after="0" w:line="239" w:lineRule="exact"/>
        <w:rPr>
          <w:sz w:val="20"/>
          <w:szCs w:val="20"/>
          <w:color w:val="auto"/>
        </w:rPr>
      </w:pPr>
      <w:r>
        <w:rPr>
          <w:rFonts w:ascii="Times New Roman" w:cs="Times New Roman" w:eastAsia="Times New Roman" w:hAnsi="Times New Roman"/>
          <w:sz w:val="18"/>
          <w:szCs w:val="18"/>
          <w:color w:val="auto"/>
        </w:rPr>
        <w:t xml:space="preserve">If this form relates to the registration of a class of securities pursuant to Section 12(g) of the Exchange Act and is effective pursuant to General Instruction A.(d) or (e), check the following box.  </w:t>
      </w:r>
      <w:r>
        <w:rPr>
          <w:rFonts w:ascii="MS PGothic" w:cs="MS PGothic" w:eastAsia="MS PGothic" w:hAnsi="MS PGothic"/>
          <w:sz w:val="18"/>
          <w:szCs w:val="18"/>
          <w:color w:val="auto"/>
        </w:rPr>
        <w:t>☐</w:t>
      </w:r>
    </w:p>
    <w:p>
      <w:pPr>
        <w:spacing w:after="0" w:line="130"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If this form relates to the registration of a class of securities concurrently with a Regulation A offering, check the following box. </w:t>
      </w:r>
      <w:r>
        <w:rPr>
          <w:rFonts w:ascii="MS PGothic" w:cs="MS PGothic" w:eastAsia="MS PGothic" w:hAnsi="MS PGothic"/>
          <w:sz w:val="18"/>
          <w:szCs w:val="18"/>
          <w:color w:val="auto"/>
        </w:rPr>
        <w:t>☐</w:t>
      </w:r>
    </w:p>
    <w:p>
      <w:pPr>
        <w:spacing w:after="0" w:line="262"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Securities Act registration statement or Regulation A offering statement file number to which this form relates:</w:t>
      </w:r>
    </w:p>
    <w:p>
      <w:pPr>
        <w:spacing w:after="0" w:line="3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333-284827, 333-284840, 333-284840-01, 333-284840-02 and 333-284840-03.</w:t>
      </w:r>
    </w:p>
    <w:p>
      <w:pPr>
        <w:spacing w:after="0" w:line="203"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Securities to be registered pursuant to Section 12(g) of the Act:</w:t>
      </w:r>
    </w:p>
    <w:p>
      <w:pPr>
        <w:spacing w:after="0" w:line="3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None</w:t>
      </w:r>
    </w:p>
    <w:p>
      <w:pPr>
        <w:spacing w:after="0" w:line="203"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TABLE OF ADDITIONAL REGISTRANTS</w:t>
      </w:r>
    </w:p>
    <w:p>
      <w:pPr>
        <w:spacing w:after="0" w:line="237"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19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7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I.R.S. Employer</w:t>
            </w:r>
          </w:p>
        </w:tc>
        <w:tc>
          <w:tcPr>
            <w:tcW w:w="28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State or Other</w:t>
            </w:r>
          </w:p>
        </w:tc>
        <w:tc>
          <w:tcPr>
            <w:tcW w:w="2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7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Exact Name of Co-Registrant as</w:t>
            </w:r>
          </w:p>
        </w:tc>
        <w:tc>
          <w:tcPr>
            <w:tcW w:w="2740" w:type="dxa"/>
            <w:vAlign w:val="bottom"/>
            <w:gridSpan w:val="2"/>
            <w:vMerge w:val="continue"/>
          </w:tcPr>
          <w:p>
            <w:pPr>
              <w:spacing w:after="0"/>
              <w:rPr>
                <w:sz w:val="12"/>
                <w:szCs w:val="12"/>
                <w:color w:val="auto"/>
              </w:rPr>
            </w:pPr>
          </w:p>
        </w:tc>
        <w:tc>
          <w:tcPr>
            <w:tcW w:w="286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Jurisdiction of</w:t>
            </w:r>
          </w:p>
        </w:tc>
        <w:tc>
          <w:tcPr>
            <w:tcW w:w="26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Address of Principal</w:t>
            </w:r>
          </w:p>
        </w:tc>
        <w:tc>
          <w:tcPr>
            <w:tcW w:w="0" w:type="dxa"/>
            <w:vAlign w:val="bottom"/>
          </w:tcPr>
          <w:p>
            <w:pPr>
              <w:spacing w:after="0"/>
              <w:rPr>
                <w:sz w:val="1"/>
                <w:szCs w:val="1"/>
                <w:color w:val="auto"/>
              </w:rPr>
            </w:pPr>
          </w:p>
        </w:tc>
      </w:tr>
      <w:tr>
        <w:trPr>
          <w:trHeight w:val="149"/>
        </w:trPr>
        <w:tc>
          <w:tcPr>
            <w:tcW w:w="2780" w:type="dxa"/>
            <w:vAlign w:val="bottom"/>
            <w:gridSpan w:val="2"/>
            <w:vMerge w:val="continue"/>
          </w:tcPr>
          <w:p>
            <w:pPr>
              <w:spacing w:after="0"/>
              <w:rPr>
                <w:sz w:val="12"/>
                <w:szCs w:val="12"/>
                <w:color w:val="auto"/>
              </w:rPr>
            </w:pPr>
          </w:p>
        </w:tc>
        <w:tc>
          <w:tcPr>
            <w:tcW w:w="274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Identification</w:t>
            </w:r>
          </w:p>
        </w:tc>
        <w:tc>
          <w:tcPr>
            <w:tcW w:w="286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Incorporation or</w:t>
            </w:r>
          </w:p>
        </w:tc>
        <w:tc>
          <w:tcPr>
            <w:tcW w:w="26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27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Specified in its Charter</w:t>
            </w:r>
          </w:p>
        </w:tc>
        <w:tc>
          <w:tcPr>
            <w:tcW w:w="27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No.</w:t>
            </w:r>
          </w:p>
        </w:tc>
        <w:tc>
          <w:tcPr>
            <w:tcW w:w="28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Organization</w:t>
            </w:r>
          </w:p>
        </w:tc>
        <w:tc>
          <w:tcPr>
            <w:tcW w:w="26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Executive Offices</w:t>
            </w:r>
          </w:p>
        </w:tc>
        <w:tc>
          <w:tcPr>
            <w:tcW w:w="0" w:type="dxa"/>
            <w:vAlign w:val="bottom"/>
          </w:tcPr>
          <w:p>
            <w:pPr>
              <w:spacing w:after="0"/>
              <w:rPr>
                <w:sz w:val="1"/>
                <w:szCs w:val="1"/>
                <w:color w:val="auto"/>
              </w:rPr>
            </w:pPr>
          </w:p>
        </w:tc>
      </w:tr>
      <w:tr>
        <w:trPr>
          <w:trHeight w:val="185"/>
        </w:trPr>
        <w:tc>
          <w:tcPr>
            <w:tcW w:w="1980" w:type="dxa"/>
            <w:vAlign w:val="bottom"/>
            <w:tcBorders>
              <w:top w:val="single" w:sz="8" w:color="auto"/>
            </w:tcBorders>
          </w:tcPr>
          <w:p>
            <w:pPr>
              <w:spacing w:after="0" w:line="185" w:lineRule="exact"/>
              <w:rPr>
                <w:sz w:val="20"/>
                <w:szCs w:val="20"/>
                <w:color w:val="auto"/>
              </w:rPr>
            </w:pPr>
            <w:r>
              <w:rPr>
                <w:rFonts w:ascii="Times New Roman" w:cs="Times New Roman" w:eastAsia="Times New Roman" w:hAnsi="Times New Roman"/>
                <w:sz w:val="18"/>
                <w:szCs w:val="18"/>
                <w:color w:val="auto"/>
                <w:w w:val="89"/>
              </w:rPr>
              <w:t>Thomson Reuters Corporation</w:t>
            </w:r>
          </w:p>
        </w:tc>
        <w:tc>
          <w:tcPr>
            <w:tcW w:w="800" w:type="dxa"/>
            <w:vAlign w:val="bottom"/>
          </w:tcPr>
          <w:p>
            <w:pPr>
              <w:spacing w:after="0"/>
              <w:rPr>
                <w:sz w:val="16"/>
                <w:szCs w:val="16"/>
                <w:color w:val="auto"/>
              </w:rPr>
            </w:pPr>
          </w:p>
        </w:tc>
        <w:tc>
          <w:tcPr>
            <w:tcW w:w="2620" w:type="dxa"/>
            <w:vAlign w:val="bottom"/>
            <w:tcBorders>
              <w:top w:val="single" w:sz="8" w:color="auto"/>
            </w:tcBorders>
          </w:tcPr>
          <w:p>
            <w:pPr>
              <w:jc w:val="center"/>
              <w:spacing w:after="0" w:line="185" w:lineRule="exact"/>
              <w:rPr>
                <w:sz w:val="20"/>
                <w:szCs w:val="20"/>
                <w:color w:val="auto"/>
              </w:rPr>
            </w:pPr>
            <w:r>
              <w:rPr>
                <w:rFonts w:ascii="Times New Roman" w:cs="Times New Roman" w:eastAsia="Times New Roman" w:hAnsi="Times New Roman"/>
                <w:sz w:val="18"/>
                <w:szCs w:val="18"/>
                <w:color w:val="auto"/>
                <w:w w:val="98"/>
              </w:rPr>
              <w:t>98-0176673</w:t>
            </w:r>
          </w:p>
        </w:tc>
        <w:tc>
          <w:tcPr>
            <w:tcW w:w="120" w:type="dxa"/>
            <w:vAlign w:val="bottom"/>
          </w:tcPr>
          <w:p>
            <w:pPr>
              <w:spacing w:after="0"/>
              <w:rPr>
                <w:sz w:val="16"/>
                <w:szCs w:val="16"/>
                <w:color w:val="auto"/>
              </w:rPr>
            </w:pPr>
          </w:p>
        </w:tc>
        <w:tc>
          <w:tcPr>
            <w:tcW w:w="2760" w:type="dxa"/>
            <w:vAlign w:val="bottom"/>
            <w:tcBorders>
              <w:top w:val="single" w:sz="8" w:color="auto"/>
            </w:tcBorders>
          </w:tcPr>
          <w:p>
            <w:pPr>
              <w:jc w:val="center"/>
              <w:spacing w:after="0" w:line="185" w:lineRule="exact"/>
              <w:rPr>
                <w:sz w:val="20"/>
                <w:szCs w:val="20"/>
                <w:color w:val="auto"/>
              </w:rPr>
            </w:pPr>
            <w:r>
              <w:rPr>
                <w:rFonts w:ascii="Times New Roman" w:cs="Times New Roman" w:eastAsia="Times New Roman" w:hAnsi="Times New Roman"/>
                <w:sz w:val="18"/>
                <w:szCs w:val="18"/>
                <w:color w:val="auto"/>
                <w:w w:val="99"/>
              </w:rPr>
              <w:t>Ontario, Canada</w:t>
            </w:r>
          </w:p>
        </w:tc>
        <w:tc>
          <w:tcPr>
            <w:tcW w:w="100" w:type="dxa"/>
            <w:vAlign w:val="bottom"/>
          </w:tcPr>
          <w:p>
            <w:pPr>
              <w:spacing w:after="0"/>
              <w:rPr>
                <w:sz w:val="16"/>
                <w:szCs w:val="16"/>
                <w:color w:val="auto"/>
              </w:rPr>
            </w:pPr>
          </w:p>
        </w:tc>
        <w:tc>
          <w:tcPr>
            <w:tcW w:w="2640" w:type="dxa"/>
            <w:vAlign w:val="bottom"/>
            <w:tcBorders>
              <w:top w:val="single" w:sz="8" w:color="auto"/>
            </w:tcBorders>
          </w:tcPr>
          <w:p>
            <w:pPr>
              <w:jc w:val="center"/>
              <w:spacing w:after="0" w:line="185" w:lineRule="exact"/>
              <w:rPr>
                <w:sz w:val="20"/>
                <w:szCs w:val="20"/>
                <w:color w:val="auto"/>
              </w:rPr>
            </w:pPr>
            <w:r>
              <w:rPr>
                <w:rFonts w:ascii="Times New Roman" w:cs="Times New Roman" w:eastAsia="Times New Roman" w:hAnsi="Times New Roman"/>
                <w:sz w:val="18"/>
                <w:szCs w:val="18"/>
                <w:color w:val="auto"/>
                <w:w w:val="99"/>
              </w:rPr>
              <w:t>19 Duncan Street</w:t>
            </w:r>
          </w:p>
        </w:tc>
        <w:tc>
          <w:tcPr>
            <w:tcW w:w="0" w:type="dxa"/>
            <w:vAlign w:val="bottom"/>
          </w:tcPr>
          <w:p>
            <w:pPr>
              <w:spacing w:after="0"/>
              <w:rPr>
                <w:sz w:val="1"/>
                <w:szCs w:val="1"/>
                <w:color w:val="auto"/>
              </w:rPr>
            </w:pPr>
          </w:p>
        </w:tc>
      </w:tr>
      <w:tr>
        <w:trPr>
          <w:trHeight w:val="234"/>
        </w:trPr>
        <w:tc>
          <w:tcPr>
            <w:tcW w:w="19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Toronto, Ontario M5H 3H1, Canada</w:t>
            </w:r>
          </w:p>
        </w:tc>
        <w:tc>
          <w:tcPr>
            <w:tcW w:w="0" w:type="dxa"/>
            <w:vAlign w:val="bottom"/>
          </w:tcPr>
          <w:p>
            <w:pPr>
              <w:spacing w:after="0"/>
              <w:rPr>
                <w:sz w:val="1"/>
                <w:szCs w:val="1"/>
                <w:color w:val="auto"/>
              </w:rPr>
            </w:pPr>
          </w:p>
        </w:tc>
      </w:tr>
      <w:tr>
        <w:trPr>
          <w:trHeight w:val="319"/>
        </w:trPr>
        <w:tc>
          <w:tcPr>
            <w:tcW w:w="2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Thomson Reuters Applications Inc.</w:t>
            </w:r>
          </w:p>
        </w:tc>
        <w:tc>
          <w:tcPr>
            <w:tcW w:w="2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74-3053016</w:t>
            </w:r>
          </w:p>
        </w:tc>
        <w:tc>
          <w:tcPr>
            <w:tcW w:w="120" w:type="dxa"/>
            <w:vAlign w:val="bottom"/>
          </w:tcPr>
          <w:p>
            <w:pPr>
              <w:spacing w:after="0"/>
              <w:rPr>
                <w:sz w:val="24"/>
                <w:szCs w:val="24"/>
                <w:color w:val="auto"/>
              </w:rPr>
            </w:pPr>
          </w:p>
        </w:tc>
        <w:tc>
          <w:tcPr>
            <w:tcW w:w="2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Delaware</w:t>
            </w:r>
          </w:p>
        </w:tc>
        <w:tc>
          <w:tcPr>
            <w:tcW w:w="2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2900 Ames Crossing Road</w:t>
            </w:r>
          </w:p>
        </w:tc>
        <w:tc>
          <w:tcPr>
            <w:tcW w:w="0" w:type="dxa"/>
            <w:vAlign w:val="bottom"/>
          </w:tcPr>
          <w:p>
            <w:pPr>
              <w:spacing w:after="0"/>
              <w:rPr>
                <w:sz w:val="1"/>
                <w:szCs w:val="1"/>
                <w:color w:val="auto"/>
              </w:rPr>
            </w:pPr>
          </w:p>
        </w:tc>
      </w:tr>
      <w:tr>
        <w:trPr>
          <w:trHeight w:val="216"/>
        </w:trPr>
        <w:tc>
          <w:tcPr>
            <w:tcW w:w="19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Suite 100</w:t>
            </w:r>
          </w:p>
        </w:tc>
        <w:tc>
          <w:tcPr>
            <w:tcW w:w="0" w:type="dxa"/>
            <w:vAlign w:val="bottom"/>
          </w:tcPr>
          <w:p>
            <w:pPr>
              <w:spacing w:after="0"/>
              <w:rPr>
                <w:sz w:val="1"/>
                <w:szCs w:val="1"/>
                <w:color w:val="auto"/>
              </w:rPr>
            </w:pPr>
          </w:p>
        </w:tc>
      </w:tr>
      <w:tr>
        <w:trPr>
          <w:trHeight w:val="234"/>
        </w:trPr>
        <w:tc>
          <w:tcPr>
            <w:tcW w:w="19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Eagan, Minnesota 55121</w:t>
            </w:r>
          </w:p>
        </w:tc>
        <w:tc>
          <w:tcPr>
            <w:tcW w:w="0" w:type="dxa"/>
            <w:vAlign w:val="bottom"/>
          </w:tcPr>
          <w:p>
            <w:pPr>
              <w:spacing w:after="0"/>
              <w:rPr>
                <w:sz w:val="1"/>
                <w:szCs w:val="1"/>
                <w:color w:val="auto"/>
              </w:rPr>
            </w:pPr>
          </w:p>
        </w:tc>
      </w:tr>
    </w:tbl>
    <w:p>
      <w:pPr>
        <w:sectPr>
          <w:pgSz w:w="11900" w:h="16838" w:orient="portrait"/>
          <w:cols w:equalWidth="0" w:num="1">
            <w:col w:w="11024"/>
          </w:cols>
          <w:pgMar w:left="436" w:top="376" w:right="439" w:bottom="0" w:gutter="0" w:footer="0" w:header="0"/>
          <w:type w:val="continuous"/>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860" w:type="dxa"/>
            <w:vAlign w:val="bottom"/>
          </w:tcPr>
          <w:p>
            <w:pPr>
              <w:spacing w:after="0"/>
              <w:rPr>
                <w:sz w:val="20"/>
                <w:szCs w:val="20"/>
                <w:color w:val="auto"/>
              </w:rPr>
            </w:pPr>
            <w:r>
              <w:rPr>
                <w:rFonts w:ascii="Times New Roman" w:cs="Times New Roman" w:eastAsia="Times New Roman" w:hAnsi="Times New Roman"/>
                <w:sz w:val="18"/>
                <w:szCs w:val="18"/>
                <w:color w:val="auto"/>
              </w:rPr>
              <w:t>Thomson Reuters (Tax &amp;</w:t>
            </w:r>
          </w:p>
        </w:tc>
        <w:tc>
          <w:tcPr>
            <w:tcW w:w="2660" w:type="dxa"/>
            <w:vAlign w:val="bottom"/>
          </w:tcPr>
          <w:p>
            <w:pPr>
              <w:jc w:val="right"/>
              <w:ind w:right="910"/>
              <w:spacing w:after="0"/>
              <w:rPr>
                <w:sz w:val="20"/>
                <w:szCs w:val="20"/>
                <w:color w:val="auto"/>
              </w:rPr>
            </w:pPr>
            <w:r>
              <w:rPr>
                <w:rFonts w:ascii="Times New Roman" w:cs="Times New Roman" w:eastAsia="Times New Roman" w:hAnsi="Times New Roman"/>
                <w:sz w:val="18"/>
                <w:szCs w:val="18"/>
                <w:color w:val="auto"/>
              </w:rPr>
              <w:t>75-1297386</w:t>
            </w:r>
          </w:p>
        </w:tc>
        <w:tc>
          <w:tcPr>
            <w:tcW w:w="2360" w:type="dxa"/>
            <w:vAlign w:val="bottom"/>
          </w:tcPr>
          <w:p>
            <w:pPr>
              <w:jc w:val="center"/>
              <w:ind w:left="290"/>
              <w:spacing w:after="0"/>
              <w:rPr>
                <w:sz w:val="20"/>
                <w:szCs w:val="20"/>
                <w:color w:val="auto"/>
              </w:rPr>
            </w:pPr>
            <w:r>
              <w:rPr>
                <w:rFonts w:ascii="Times New Roman" w:cs="Times New Roman" w:eastAsia="Times New Roman" w:hAnsi="Times New Roman"/>
                <w:sz w:val="18"/>
                <w:szCs w:val="18"/>
                <w:color w:val="auto"/>
                <w:w w:val="97"/>
              </w:rPr>
              <w:t>Texas</w:t>
            </w:r>
          </w:p>
        </w:tc>
        <w:tc>
          <w:tcPr>
            <w:tcW w:w="3140" w:type="dxa"/>
            <w:vAlign w:val="bottom"/>
          </w:tcPr>
          <w:p>
            <w:pPr>
              <w:jc w:val="center"/>
              <w:ind w:left="390"/>
              <w:spacing w:after="0"/>
              <w:rPr>
                <w:sz w:val="20"/>
                <w:szCs w:val="20"/>
                <w:color w:val="auto"/>
              </w:rPr>
            </w:pPr>
            <w:r>
              <w:rPr>
                <w:rFonts w:ascii="Times New Roman" w:cs="Times New Roman" w:eastAsia="Times New Roman" w:hAnsi="Times New Roman"/>
                <w:sz w:val="18"/>
                <w:szCs w:val="18"/>
                <w:color w:val="auto"/>
                <w:w w:val="99"/>
              </w:rPr>
              <w:t>6160 Warren Parkway, Suite 700,</w:t>
            </w:r>
          </w:p>
        </w:tc>
      </w:tr>
      <w:tr>
        <w:trPr>
          <w:trHeight w:val="234"/>
        </w:trPr>
        <w:tc>
          <w:tcPr>
            <w:tcW w:w="2860" w:type="dxa"/>
            <w:vAlign w:val="bottom"/>
          </w:tcPr>
          <w:p>
            <w:pPr>
              <w:spacing w:after="0"/>
              <w:rPr>
                <w:sz w:val="20"/>
                <w:szCs w:val="20"/>
                <w:color w:val="auto"/>
              </w:rPr>
            </w:pPr>
            <w:r>
              <w:rPr>
                <w:rFonts w:ascii="Times New Roman" w:cs="Times New Roman" w:eastAsia="Times New Roman" w:hAnsi="Times New Roman"/>
                <w:sz w:val="18"/>
                <w:szCs w:val="18"/>
                <w:color w:val="auto"/>
              </w:rPr>
              <w:t>Accounting) Inc.</w:t>
            </w:r>
          </w:p>
        </w:tc>
        <w:tc>
          <w:tcPr>
            <w:tcW w:w="266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3140" w:type="dxa"/>
            <w:vAlign w:val="bottom"/>
          </w:tcPr>
          <w:p>
            <w:pPr>
              <w:jc w:val="center"/>
              <w:ind w:left="410"/>
              <w:spacing w:after="0"/>
              <w:rPr>
                <w:sz w:val="20"/>
                <w:szCs w:val="20"/>
                <w:color w:val="auto"/>
              </w:rPr>
            </w:pPr>
            <w:r>
              <w:rPr>
                <w:rFonts w:ascii="Times New Roman" w:cs="Times New Roman" w:eastAsia="Times New Roman" w:hAnsi="Times New Roman"/>
                <w:sz w:val="18"/>
                <w:szCs w:val="18"/>
                <w:color w:val="auto"/>
                <w:w w:val="98"/>
              </w:rPr>
              <w:t>Frisco, Texas 75034</w:t>
            </w:r>
          </w:p>
        </w:tc>
      </w:tr>
      <w:tr>
        <w:trPr>
          <w:trHeight w:val="306"/>
        </w:trPr>
        <w:tc>
          <w:tcPr>
            <w:tcW w:w="2860" w:type="dxa"/>
            <w:vAlign w:val="bottom"/>
          </w:tcPr>
          <w:p>
            <w:pPr>
              <w:spacing w:after="0"/>
              <w:rPr>
                <w:sz w:val="20"/>
                <w:szCs w:val="20"/>
                <w:color w:val="auto"/>
              </w:rPr>
            </w:pPr>
            <w:r>
              <w:rPr>
                <w:rFonts w:ascii="Times New Roman" w:cs="Times New Roman" w:eastAsia="Times New Roman" w:hAnsi="Times New Roman"/>
                <w:sz w:val="18"/>
                <w:szCs w:val="18"/>
                <w:color w:val="auto"/>
              </w:rPr>
              <w:t>West Publishing Corporation</w:t>
            </w:r>
          </w:p>
        </w:tc>
        <w:tc>
          <w:tcPr>
            <w:tcW w:w="2660" w:type="dxa"/>
            <w:vAlign w:val="bottom"/>
          </w:tcPr>
          <w:p>
            <w:pPr>
              <w:jc w:val="right"/>
              <w:ind w:right="910"/>
              <w:spacing w:after="0"/>
              <w:rPr>
                <w:sz w:val="20"/>
                <w:szCs w:val="20"/>
                <w:color w:val="auto"/>
              </w:rPr>
            </w:pPr>
            <w:r>
              <w:rPr>
                <w:rFonts w:ascii="Times New Roman" w:cs="Times New Roman" w:eastAsia="Times New Roman" w:hAnsi="Times New Roman"/>
                <w:sz w:val="18"/>
                <w:szCs w:val="18"/>
                <w:color w:val="auto"/>
              </w:rPr>
              <w:t>41-1426973</w:t>
            </w:r>
          </w:p>
        </w:tc>
        <w:tc>
          <w:tcPr>
            <w:tcW w:w="2360" w:type="dxa"/>
            <w:vAlign w:val="bottom"/>
          </w:tcPr>
          <w:p>
            <w:pPr>
              <w:jc w:val="center"/>
              <w:ind w:left="310"/>
              <w:spacing w:after="0"/>
              <w:rPr>
                <w:sz w:val="20"/>
                <w:szCs w:val="20"/>
                <w:color w:val="auto"/>
              </w:rPr>
            </w:pPr>
            <w:r>
              <w:rPr>
                <w:rFonts w:ascii="Times New Roman" w:cs="Times New Roman" w:eastAsia="Times New Roman" w:hAnsi="Times New Roman"/>
                <w:sz w:val="18"/>
                <w:szCs w:val="18"/>
                <w:color w:val="auto"/>
                <w:w w:val="99"/>
              </w:rPr>
              <w:t>Minnesota</w:t>
            </w:r>
          </w:p>
        </w:tc>
        <w:tc>
          <w:tcPr>
            <w:tcW w:w="3140" w:type="dxa"/>
            <w:vAlign w:val="bottom"/>
          </w:tcPr>
          <w:p>
            <w:pPr>
              <w:jc w:val="center"/>
              <w:ind w:left="390"/>
              <w:spacing w:after="0"/>
              <w:rPr>
                <w:sz w:val="20"/>
                <w:szCs w:val="20"/>
                <w:color w:val="auto"/>
              </w:rPr>
            </w:pPr>
            <w:r>
              <w:rPr>
                <w:rFonts w:ascii="Times New Roman" w:cs="Times New Roman" w:eastAsia="Times New Roman" w:hAnsi="Times New Roman"/>
                <w:sz w:val="18"/>
                <w:szCs w:val="18"/>
                <w:color w:val="auto"/>
              </w:rPr>
              <w:t>2900 Ames Crossing Road</w:t>
            </w:r>
          </w:p>
        </w:tc>
      </w:tr>
      <w:tr>
        <w:trPr>
          <w:trHeight w:val="216"/>
        </w:trPr>
        <w:tc>
          <w:tcPr>
            <w:tcW w:w="28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3140" w:type="dxa"/>
            <w:vAlign w:val="bottom"/>
          </w:tcPr>
          <w:p>
            <w:pPr>
              <w:jc w:val="center"/>
              <w:ind w:left="410"/>
              <w:spacing w:after="0"/>
              <w:rPr>
                <w:sz w:val="20"/>
                <w:szCs w:val="20"/>
                <w:color w:val="auto"/>
              </w:rPr>
            </w:pPr>
            <w:r>
              <w:rPr>
                <w:rFonts w:ascii="Times New Roman" w:cs="Times New Roman" w:eastAsia="Times New Roman" w:hAnsi="Times New Roman"/>
                <w:sz w:val="18"/>
                <w:szCs w:val="18"/>
                <w:color w:val="auto"/>
                <w:w w:val="99"/>
              </w:rPr>
              <w:t>Suite 100</w:t>
            </w:r>
          </w:p>
        </w:tc>
      </w:tr>
      <w:tr>
        <w:trPr>
          <w:trHeight w:val="234"/>
        </w:trPr>
        <w:tc>
          <w:tcPr>
            <w:tcW w:w="286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3140" w:type="dxa"/>
            <w:vAlign w:val="bottom"/>
          </w:tcPr>
          <w:p>
            <w:pPr>
              <w:jc w:val="center"/>
              <w:ind w:left="410"/>
              <w:spacing w:after="0"/>
              <w:rPr>
                <w:sz w:val="20"/>
                <w:szCs w:val="20"/>
                <w:color w:val="auto"/>
              </w:rPr>
            </w:pPr>
            <w:r>
              <w:rPr>
                <w:rFonts w:ascii="Times New Roman" w:cs="Times New Roman" w:eastAsia="Times New Roman" w:hAnsi="Times New Roman"/>
                <w:sz w:val="18"/>
                <w:szCs w:val="18"/>
                <w:color w:val="auto"/>
              </w:rPr>
              <w:t>Eagan, Minnesota 55121</w:t>
            </w:r>
          </w:p>
        </w:tc>
      </w:tr>
      <w:tr>
        <w:trPr>
          <w:trHeight w:val="243"/>
        </w:trPr>
        <w:tc>
          <w:tcPr>
            <w:tcW w:w="2860" w:type="dxa"/>
            <w:vAlign w:val="bottom"/>
            <w:tcBorders>
              <w:bottom w:val="single" w:sz="8" w:color="auto"/>
            </w:tcBorders>
          </w:tcPr>
          <w:p>
            <w:pPr>
              <w:spacing w:after="0"/>
              <w:rPr>
                <w:sz w:val="21"/>
                <w:szCs w:val="21"/>
                <w:color w:val="auto"/>
              </w:rPr>
            </w:pPr>
          </w:p>
        </w:tc>
        <w:tc>
          <w:tcPr>
            <w:tcW w:w="2660" w:type="dxa"/>
            <w:vAlign w:val="bottom"/>
            <w:tcBorders>
              <w:bottom w:val="single" w:sz="8" w:color="auto"/>
            </w:tcBorders>
          </w:tcPr>
          <w:p>
            <w:pPr>
              <w:spacing w:after="0"/>
              <w:rPr>
                <w:sz w:val="21"/>
                <w:szCs w:val="21"/>
                <w:color w:val="auto"/>
              </w:rPr>
            </w:pPr>
          </w:p>
        </w:tc>
        <w:tc>
          <w:tcPr>
            <w:tcW w:w="2360" w:type="dxa"/>
            <w:vAlign w:val="bottom"/>
            <w:tcBorders>
              <w:bottom w:val="single" w:sz="8" w:color="auto"/>
            </w:tcBorders>
          </w:tcPr>
          <w:p>
            <w:pPr>
              <w:spacing w:after="0"/>
              <w:rPr>
                <w:sz w:val="21"/>
                <w:szCs w:val="21"/>
                <w:color w:val="auto"/>
              </w:rPr>
            </w:pPr>
          </w:p>
        </w:tc>
        <w:tc>
          <w:tcPr>
            <w:tcW w:w="3140" w:type="dxa"/>
            <w:vAlign w:val="bottom"/>
            <w:tcBorders>
              <w:bottom w:val="single" w:sz="8" w:color="auto"/>
            </w:tcBorders>
          </w:tcPr>
          <w:p>
            <w:pPr>
              <w:spacing w:after="0"/>
              <w:rPr>
                <w:sz w:val="21"/>
                <w:szCs w:val="21"/>
                <w:color w:val="auto"/>
              </w:rPr>
            </w:pPr>
          </w:p>
        </w:tc>
      </w:tr>
      <w:tr>
        <w:trPr>
          <w:trHeight w:val="48"/>
        </w:trPr>
        <w:tc>
          <w:tcPr>
            <w:tcW w:w="2860" w:type="dxa"/>
            <w:vAlign w:val="bottom"/>
            <w:tcBorders>
              <w:bottom w:val="single" w:sz="8" w:color="auto"/>
            </w:tcBorders>
          </w:tcPr>
          <w:p>
            <w:pPr>
              <w:spacing w:after="0"/>
              <w:rPr>
                <w:sz w:val="4"/>
                <w:szCs w:val="4"/>
                <w:color w:val="auto"/>
              </w:rPr>
            </w:pPr>
          </w:p>
        </w:tc>
        <w:tc>
          <w:tcPr>
            <w:tcW w:w="2660" w:type="dxa"/>
            <w:vAlign w:val="bottom"/>
            <w:tcBorders>
              <w:bottom w:val="single" w:sz="8" w:color="auto"/>
            </w:tcBorders>
          </w:tcPr>
          <w:p>
            <w:pPr>
              <w:spacing w:after="0"/>
              <w:rPr>
                <w:sz w:val="4"/>
                <w:szCs w:val="4"/>
                <w:color w:val="auto"/>
              </w:rPr>
            </w:pPr>
          </w:p>
        </w:tc>
        <w:tc>
          <w:tcPr>
            <w:tcW w:w="2360" w:type="dxa"/>
            <w:vAlign w:val="bottom"/>
            <w:tcBorders>
              <w:bottom w:val="single" w:sz="8" w:color="auto"/>
            </w:tcBorders>
          </w:tcPr>
          <w:p>
            <w:pPr>
              <w:spacing w:after="0"/>
              <w:rPr>
                <w:sz w:val="4"/>
                <w:szCs w:val="4"/>
                <w:color w:val="auto"/>
              </w:rPr>
            </w:pPr>
          </w:p>
        </w:tc>
        <w:tc>
          <w:tcPr>
            <w:tcW w:w="3140" w:type="dxa"/>
            <w:vAlign w:val="bottom"/>
            <w:tcBorders>
              <w:bottom w:val="single" w:sz="8" w:color="auto"/>
            </w:tcBorders>
          </w:tcPr>
          <w:p>
            <w:pPr>
              <w:spacing w:after="0"/>
              <w:rPr>
                <w:sz w:val="4"/>
                <w:szCs w:val="4"/>
                <w:color w:val="auto"/>
              </w:rPr>
            </w:pPr>
          </w:p>
        </w:tc>
      </w:tr>
    </w:tbl>
    <w:p>
      <w:pPr>
        <w:sectPr>
          <w:pgSz w:w="11900" w:h="16838" w:orient="portrait"/>
          <w:cols w:equalWidth="0" w:num="1">
            <w:col w:w="11020"/>
          </w:cols>
          <w:pgMar w:left="440" w:top="135" w:right="439" w:bottom="1440" w:gutter="0" w:footer="0" w:header="0"/>
        </w:sectPr>
      </w:pPr>
    </w:p>
    <w:bookmarkStart w:id="2" w:name="page3"/>
    <w:bookmarkEnd w:id="2"/>
    <w:p>
      <w:pPr>
        <w:ind w:left="29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INFORMATION REQUIRED IN REGISTRATION STATEMENT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Description of Registrant’s Securities to be Registered.</w:t>
      </w:r>
    </w:p>
    <w:p>
      <w:pPr>
        <w:spacing w:after="0" w:line="121" w:lineRule="exact"/>
        <w:rPr>
          <w:sz w:val="20"/>
          <w:szCs w:val="20"/>
          <w:color w:val="auto"/>
        </w:rPr>
      </w:pPr>
    </w:p>
    <w:p>
      <w:pPr>
        <w:ind w:right="60" w:firstLine="440"/>
        <w:spacing w:after="0" w:line="266" w:lineRule="auto"/>
        <w:rPr>
          <w:sz w:val="20"/>
          <w:szCs w:val="20"/>
          <w:color w:val="auto"/>
        </w:rPr>
      </w:pPr>
      <w:r>
        <w:rPr>
          <w:rFonts w:ascii="Times New Roman" w:cs="Times New Roman" w:eastAsia="Times New Roman" w:hAnsi="Times New Roman"/>
          <w:sz w:val="18"/>
          <w:szCs w:val="18"/>
          <w:color w:val="auto"/>
        </w:rPr>
        <w:t>TR Finance LLC (“TR Finance”), as the issuer, is registering the following series of its debt securities (collectively, the “TR Finance Notes”) under Section 12(b) of the Securities Exchange Act of 1934, as amended, in connection with the listing of such series on the Nasdaq Stock Market LLC (“Nasdaq”) under the following Nasdaq symbols:</w:t>
      </w:r>
    </w:p>
    <w:p>
      <w:pPr>
        <w:spacing w:after="0" w:line="81" w:lineRule="exact"/>
        <w:rPr>
          <w:sz w:val="20"/>
          <w:szCs w:val="20"/>
          <w:color w:val="auto"/>
        </w:rPr>
      </w:pPr>
    </w:p>
    <w:p>
      <w:pPr>
        <w:ind w:left="1420" w:hanging="331"/>
        <w:spacing w:after="0"/>
        <w:tabs>
          <w:tab w:leader="none" w:pos="14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3.350% Notes due 2026 (Nasdaq: TRI26)</w:t>
      </w:r>
    </w:p>
    <w:p>
      <w:pPr>
        <w:spacing w:after="0" w:line="130" w:lineRule="exact"/>
        <w:rPr>
          <w:rFonts w:ascii="Times New Roman" w:cs="Times New Roman" w:eastAsia="Times New Roman" w:hAnsi="Times New Roman"/>
          <w:sz w:val="18"/>
          <w:szCs w:val="18"/>
          <w:color w:val="auto"/>
        </w:rPr>
      </w:pPr>
    </w:p>
    <w:p>
      <w:pPr>
        <w:ind w:left="1420" w:hanging="331"/>
        <w:spacing w:after="0"/>
        <w:tabs>
          <w:tab w:leader="none" w:pos="14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5.850% Notes due 2040 (Nasdaq: TRI40)</w:t>
      </w:r>
    </w:p>
    <w:p>
      <w:pPr>
        <w:spacing w:after="0" w:line="130" w:lineRule="exact"/>
        <w:rPr>
          <w:rFonts w:ascii="Times New Roman" w:cs="Times New Roman" w:eastAsia="Times New Roman" w:hAnsi="Times New Roman"/>
          <w:sz w:val="18"/>
          <w:szCs w:val="18"/>
          <w:color w:val="auto"/>
        </w:rPr>
      </w:pPr>
    </w:p>
    <w:p>
      <w:pPr>
        <w:ind w:left="1420" w:hanging="331"/>
        <w:spacing w:after="0"/>
        <w:tabs>
          <w:tab w:leader="none" w:pos="14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4.500% Notes due 2043 (Nasdaq: TRI43A)</w:t>
      </w:r>
    </w:p>
    <w:p>
      <w:pPr>
        <w:spacing w:after="0" w:line="130" w:lineRule="exact"/>
        <w:rPr>
          <w:rFonts w:ascii="Times New Roman" w:cs="Times New Roman" w:eastAsia="Times New Roman" w:hAnsi="Times New Roman"/>
          <w:sz w:val="18"/>
          <w:szCs w:val="18"/>
          <w:color w:val="auto"/>
        </w:rPr>
      </w:pPr>
    </w:p>
    <w:p>
      <w:pPr>
        <w:ind w:left="1420" w:hanging="331"/>
        <w:spacing w:after="0"/>
        <w:tabs>
          <w:tab w:leader="none" w:pos="14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5.650% Notes due 2043 (Nasdaq: TRI43B)</w:t>
      </w:r>
    </w:p>
    <w:p>
      <w:pPr>
        <w:spacing w:after="0" w:line="130" w:lineRule="exact"/>
        <w:rPr>
          <w:rFonts w:ascii="Times New Roman" w:cs="Times New Roman" w:eastAsia="Times New Roman" w:hAnsi="Times New Roman"/>
          <w:sz w:val="18"/>
          <w:szCs w:val="18"/>
          <w:color w:val="auto"/>
        </w:rPr>
      </w:pPr>
    </w:p>
    <w:p>
      <w:pPr>
        <w:ind w:left="1420" w:hanging="331"/>
        <w:spacing w:after="0"/>
        <w:tabs>
          <w:tab w:leader="none" w:pos="14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5.500% Debentures due 2035 (Nasdaq: TRI35)</w:t>
      </w:r>
    </w:p>
    <w:p>
      <w:pPr>
        <w:spacing w:after="0" w:line="225" w:lineRule="exact"/>
        <w:rPr>
          <w:sz w:val="20"/>
          <w:szCs w:val="20"/>
          <w:color w:val="auto"/>
        </w:rPr>
      </w:pPr>
    </w:p>
    <w:p>
      <w:pPr>
        <w:ind w:right="20" w:firstLine="440"/>
        <w:spacing w:after="0" w:line="258" w:lineRule="auto"/>
        <w:rPr>
          <w:sz w:val="20"/>
          <w:szCs w:val="20"/>
          <w:color w:val="auto"/>
        </w:rPr>
      </w:pPr>
      <w:r>
        <w:rPr>
          <w:rFonts w:ascii="Times New Roman" w:cs="Times New Roman" w:eastAsia="Times New Roman" w:hAnsi="Times New Roman"/>
          <w:sz w:val="18"/>
          <w:szCs w:val="18"/>
          <w:color w:val="auto"/>
        </w:rPr>
        <w:t>Trading of the TR Finance Notes on Nasdaq is expected to commence on or about March 21, 2025. Each of the foregoing series of TR Finance Notes will be fully and unconditionally guaranteed by Thomson Reuters Corporation (“TRC”), and will also be guaranteed by each of Thomson Reuters Applications Inc., Thomson Reuters (Tax &amp; Accounting) Inc. and West Publishing Corporation (collectively, the “Subsidiary Guarantors” and together with TR Finance and TRC, the “Registrants”). The TR Finance Notes are expected to be issued on or about March 20, 2025 in connection with the closing of the previously-announced exchange offers of TRC debt securities, which expired on March 17, 2025.</w:t>
      </w:r>
    </w:p>
    <w:p>
      <w:pPr>
        <w:spacing w:after="0" w:line="183" w:lineRule="exact"/>
        <w:rPr>
          <w:sz w:val="20"/>
          <w:szCs w:val="20"/>
          <w:color w:val="auto"/>
        </w:rPr>
      </w:pPr>
    </w:p>
    <w:p>
      <w:pPr>
        <w:ind w:right="120" w:firstLine="440"/>
        <w:spacing w:after="0" w:line="266" w:lineRule="auto"/>
        <w:rPr>
          <w:sz w:val="20"/>
          <w:szCs w:val="20"/>
          <w:color w:val="auto"/>
        </w:rPr>
      </w:pPr>
      <w:r>
        <w:rPr>
          <w:rFonts w:ascii="Times New Roman" w:cs="Times New Roman" w:eastAsia="Times New Roman" w:hAnsi="Times New Roman"/>
          <w:sz w:val="18"/>
          <w:szCs w:val="18"/>
          <w:color w:val="auto"/>
        </w:rPr>
        <w:t>A description of the TR Finance Notes is contained in the Prospectus dated March 10, 2025, which forms a part of the Registrants’ joint Registration Statements on Form F-10 and Form F-4 (File Nos. 333-284827, 333-284840, 333-284840-01, 333-284840-02 and 333-284840-03), and is incorporated herein by reference.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Exhibits.</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exhibits are filed herewith and are incorporated herein by reference:</w:t>
      </w:r>
    </w:p>
    <w:p>
      <w:pPr>
        <w:spacing w:after="0" w:line="252" w:lineRule="exact"/>
        <w:rPr>
          <w:sz w:val="20"/>
          <w:szCs w:val="20"/>
          <w:color w:val="auto"/>
        </w:rPr>
      </w:pPr>
    </w:p>
    <w:p>
      <w:pPr>
        <w:jc w:val="both"/>
        <w:ind w:left="660" w:hanging="660"/>
        <w:spacing w:after="0" w:line="257" w:lineRule="auto"/>
        <w:tabs>
          <w:tab w:leader="none" w:pos="6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99.1</w:t>
      </w:r>
      <w:r>
        <w:rPr>
          <w:sz w:val="20"/>
          <w:szCs w:val="20"/>
          <w:color w:val="auto"/>
        </w:rPr>
        <w:tab/>
      </w:r>
      <w:hyperlink r:id="rId16">
        <w:r>
          <w:rPr>
            <w:rFonts w:ascii="Times New Roman" w:cs="Times New Roman" w:eastAsia="Times New Roman" w:hAnsi="Times New Roman"/>
            <w:sz w:val="18"/>
            <w:szCs w:val="18"/>
            <w:u w:val="single" w:color="auto"/>
            <w:color w:val="0000EE"/>
          </w:rPr>
          <w:t>Form of Indenture among TR Finance LLC, as issuer, Thomson Reuters Corporation, as Guarantor, the Subsidiary Guarantors, Computershare</w:t>
        </w:r>
      </w:hyperlink>
      <w:r>
        <w:rPr>
          <w:rFonts w:ascii="Times New Roman" w:cs="Times New Roman" w:eastAsia="Times New Roman" w:hAnsi="Times New Roman"/>
          <w:sz w:val="18"/>
          <w:szCs w:val="18"/>
          <w:u w:val="single" w:color="auto"/>
          <w:color w:val="0000EE"/>
        </w:rPr>
        <w:t xml:space="preserve"> </w:t>
      </w:r>
      <w:hyperlink r:id="rId16">
        <w:r>
          <w:rPr>
            <w:rFonts w:ascii="Times New Roman" w:cs="Times New Roman" w:eastAsia="Times New Roman" w:hAnsi="Times New Roman"/>
            <w:sz w:val="18"/>
            <w:szCs w:val="18"/>
            <w:u w:val="single" w:color="auto"/>
            <w:color w:val="0000EE"/>
          </w:rPr>
          <w:t>Trust Company of Canada, as Trustee, and Deutsche Bank Trust Company Americas, as Trustee (the “TR Finance Indenture”) (incorporated by</w:t>
        </w:r>
      </w:hyperlink>
      <w:r>
        <w:rPr>
          <w:rFonts w:ascii="Times New Roman" w:cs="Times New Roman" w:eastAsia="Times New Roman" w:hAnsi="Times New Roman"/>
          <w:sz w:val="18"/>
          <w:szCs w:val="18"/>
          <w:u w:val="single" w:color="auto"/>
          <w:color w:val="0000EE"/>
        </w:rPr>
        <w:t xml:space="preserve"> </w:t>
      </w:r>
      <w:hyperlink r:id="rId16">
        <w:r>
          <w:rPr>
            <w:rFonts w:ascii="Times New Roman" w:cs="Times New Roman" w:eastAsia="Times New Roman" w:hAnsi="Times New Roman"/>
            <w:sz w:val="18"/>
            <w:szCs w:val="18"/>
            <w:u w:val="single" w:color="auto"/>
            <w:color w:val="0000EE"/>
          </w:rPr>
          <w:t>reference to Exhibit 7.1 to the Registration Statement on Form F-10 of Thomson Reuters Corporation (File No. 333-284827) filed on</w:t>
        </w:r>
      </w:hyperlink>
    </w:p>
    <w:p>
      <w:pPr>
        <w:spacing w:after="0" w:line="1" w:lineRule="exact"/>
        <w:rPr>
          <w:rFonts w:ascii="Times New Roman" w:cs="Times New Roman" w:eastAsia="Times New Roman" w:hAnsi="Times New Roman"/>
          <w:sz w:val="18"/>
          <w:szCs w:val="18"/>
          <w:u w:val="single" w:color="auto"/>
          <w:color w:val="0000EE"/>
        </w:rPr>
      </w:pPr>
    </w:p>
    <w:p>
      <w:pPr>
        <w:ind w:left="660"/>
        <w:spacing w:after="0"/>
        <w:rPr>
          <w:rFonts w:ascii="Times New Roman" w:cs="Times New Roman" w:eastAsia="Times New Roman" w:hAnsi="Times New Roman"/>
          <w:sz w:val="18"/>
          <w:szCs w:val="18"/>
          <w:u w:val="single" w:color="auto"/>
          <w:color w:val="0000EE"/>
        </w:rPr>
      </w:pPr>
      <w:hyperlink r:id="rId16">
        <w:r>
          <w:rPr>
            <w:rFonts w:ascii="Times New Roman" w:cs="Times New Roman" w:eastAsia="Times New Roman" w:hAnsi="Times New Roman"/>
            <w:sz w:val="18"/>
            <w:szCs w:val="18"/>
            <w:u w:val="single" w:color="auto"/>
            <w:color w:val="0000EE"/>
          </w:rPr>
          <w:t>March 10, 2025).</w:t>
        </w:r>
      </w:hyperlink>
    </w:p>
    <w:p>
      <w:pPr>
        <w:spacing w:after="0" w:line="99" w:lineRule="exact"/>
        <w:rPr>
          <w:rFonts w:ascii="Times New Roman" w:cs="Times New Roman" w:eastAsia="Times New Roman" w:hAnsi="Times New Roman"/>
          <w:sz w:val="18"/>
          <w:szCs w:val="18"/>
          <w:u w:val="single" w:color="auto"/>
          <w:color w:val="0000EE"/>
        </w:rPr>
      </w:pPr>
    </w:p>
    <w:p>
      <w:pPr>
        <w:ind w:left="660" w:right="40" w:hanging="660"/>
        <w:spacing w:after="0" w:line="261" w:lineRule="auto"/>
        <w:tabs>
          <w:tab w:leader="none" w:pos="6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99.2</w:t>
      </w:r>
      <w:r>
        <w:rPr>
          <w:sz w:val="20"/>
          <w:szCs w:val="20"/>
          <w:color w:val="auto"/>
        </w:rPr>
        <w:tab/>
      </w:r>
      <w:hyperlink r:id="rId17">
        <w:r>
          <w:rPr>
            <w:rFonts w:ascii="Times New Roman" w:cs="Times New Roman" w:eastAsia="Times New Roman" w:hAnsi="Times New Roman"/>
            <w:sz w:val="18"/>
            <w:szCs w:val="18"/>
            <w:u w:val="single" w:color="auto"/>
            <w:color w:val="0000EE"/>
          </w:rPr>
          <w:t>Form of Supplemental Indenture to the TR Finance Indenture among TR Finance LLC, as Issuer, Thomson Reuters Corporation, as Guarantor,</w:t>
        </w:r>
      </w:hyperlink>
      <w:r>
        <w:rPr>
          <w:rFonts w:ascii="Times New Roman" w:cs="Times New Roman" w:eastAsia="Times New Roman" w:hAnsi="Times New Roman"/>
          <w:sz w:val="18"/>
          <w:szCs w:val="18"/>
          <w:u w:val="single" w:color="auto"/>
          <w:color w:val="0000EE"/>
        </w:rPr>
        <w:t xml:space="preserve"> </w:t>
      </w:r>
      <w:hyperlink r:id="rId17">
        <w:r>
          <w:rPr>
            <w:rFonts w:ascii="Times New Roman" w:cs="Times New Roman" w:eastAsia="Times New Roman" w:hAnsi="Times New Roman"/>
            <w:sz w:val="18"/>
            <w:szCs w:val="18"/>
            <w:u w:val="single" w:color="auto"/>
            <w:color w:val="0000EE"/>
          </w:rPr>
          <w:t>the Subsidiary Guarantors, Computershare Trust Company of Canada, as Trustee, and Deutsche Bank Trust Company Americas, as Trustee</w:t>
        </w:r>
      </w:hyperlink>
      <w:r>
        <w:rPr>
          <w:rFonts w:ascii="Times New Roman" w:cs="Times New Roman" w:eastAsia="Times New Roman" w:hAnsi="Times New Roman"/>
          <w:sz w:val="18"/>
          <w:szCs w:val="18"/>
          <w:u w:val="single" w:color="auto"/>
          <w:color w:val="0000EE"/>
        </w:rPr>
        <w:t xml:space="preserve"> </w:t>
      </w:r>
      <w:hyperlink r:id="rId17">
        <w:r>
          <w:rPr>
            <w:rFonts w:ascii="Times New Roman" w:cs="Times New Roman" w:eastAsia="Times New Roman" w:hAnsi="Times New Roman"/>
            <w:sz w:val="18"/>
            <w:szCs w:val="18"/>
            <w:u w:val="single" w:color="auto"/>
            <w:color w:val="0000EE"/>
          </w:rPr>
          <w:t>(incorporated by reference to Exhibit 7.2 to the Registration Statement on Form F-10 of Thomson Reuters Corporation (File No. 333-284827)</w:t>
        </w:r>
      </w:hyperlink>
      <w:r>
        <w:rPr>
          <w:rFonts w:ascii="Times New Roman" w:cs="Times New Roman" w:eastAsia="Times New Roman" w:hAnsi="Times New Roman"/>
          <w:sz w:val="18"/>
          <w:szCs w:val="18"/>
          <w:u w:val="single" w:color="auto"/>
          <w:color w:val="0000EE"/>
        </w:rPr>
        <w:t xml:space="preserve"> </w:t>
      </w:r>
      <w:hyperlink r:id="rId17">
        <w:r>
          <w:rPr>
            <w:rFonts w:ascii="Times New Roman" w:cs="Times New Roman" w:eastAsia="Times New Roman" w:hAnsi="Times New Roman"/>
            <w:sz w:val="18"/>
            <w:szCs w:val="18"/>
            <w:u w:val="single" w:color="auto"/>
            <w:color w:val="0000EE"/>
          </w:rPr>
          <w:t>filed on March 10, 2025).</w:t>
        </w:r>
      </w:hyperlink>
    </w:p>
    <w:p>
      <w:pPr>
        <w:spacing w:after="0" w:line="72" w:lineRule="exact"/>
        <w:rPr>
          <w:rFonts w:ascii="Times New Roman" w:cs="Times New Roman" w:eastAsia="Times New Roman" w:hAnsi="Times New Roman"/>
          <w:sz w:val="18"/>
          <w:szCs w:val="18"/>
          <w:u w:val="single" w:color="auto"/>
          <w:color w:val="0000EE"/>
        </w:rPr>
      </w:pPr>
    </w:p>
    <w:p>
      <w:pPr>
        <w:spacing w:after="0"/>
        <w:tabs>
          <w:tab w:leader="none" w:pos="64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99.3</w:t>
      </w:r>
      <w:r>
        <w:rPr>
          <w:sz w:val="20"/>
          <w:szCs w:val="20"/>
          <w:color w:val="auto"/>
        </w:rPr>
        <w:tab/>
      </w:r>
      <w:hyperlink r:id="rId17">
        <w:r>
          <w:rPr>
            <w:rFonts w:ascii="Times New Roman" w:cs="Times New Roman" w:eastAsia="Times New Roman" w:hAnsi="Times New Roman"/>
            <w:sz w:val="17"/>
            <w:szCs w:val="17"/>
            <w:u w:val="single" w:color="auto"/>
            <w:color w:val="0000EE"/>
          </w:rPr>
          <w:t>Form of TR Finance Notes (included in Exhibit 99.2).</w:t>
        </w:r>
      </w:hyperlink>
    </w:p>
    <w:p>
      <w:pPr>
        <w:sectPr>
          <w:pgSz w:w="11900" w:h="16838" w:orient="portrait"/>
          <w:cols w:equalWidth="0" w:num="1">
            <w:col w:w="10980"/>
          </w:cols>
          <w:pgMar w:left="440" w:top="266" w:right="479" w:bottom="1440" w:gutter="0" w:footer="0" w:header="0"/>
        </w:sectPr>
      </w:pPr>
    </w:p>
    <w:bookmarkStart w:id="3" w:name="page4"/>
    <w:bookmarkEnd w:id="3"/>
    <w:p>
      <w:pPr>
        <w:jc w:val="center"/>
        <w:ind w:right="-45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SIGNATURES</w:t>
      </w:r>
    </w:p>
    <w:p>
      <w:pPr>
        <w:spacing w:after="0" w:line="229" w:lineRule="exact"/>
        <w:rPr>
          <w:sz w:val="20"/>
          <w:szCs w:val="20"/>
          <w:color w:val="auto"/>
        </w:rPr>
      </w:pPr>
    </w:p>
    <w:p>
      <w:pPr>
        <w:ind w:firstLine="991"/>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12 of the Securities Exchange Act of 1934, as amended, each Registrant has duly caused this registration statement to be signed on its behalf by the undersigned, thereto duly authorized.</w:t>
      </w:r>
    </w:p>
    <w:p>
      <w:pPr>
        <w:spacing w:after="0" w:line="18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THOMSON REUTERS CORPORATION</w:t>
      </w:r>
    </w:p>
    <w:p>
      <w:pPr>
        <w:spacing w:after="0" w:line="229" w:lineRule="exact"/>
        <w:rPr>
          <w:sz w:val="20"/>
          <w:szCs w:val="20"/>
          <w:color w:val="auto"/>
        </w:rPr>
      </w:pPr>
    </w:p>
    <w:p>
      <w:pPr>
        <w:spacing w:after="0"/>
        <w:tabs>
          <w:tab w:leader="none" w:pos="5600" w:val="left"/>
          <w:tab w:leader="none" w:pos="6040" w:val="left"/>
        </w:tabs>
        <w:rPr>
          <w:sz w:val="20"/>
          <w:szCs w:val="20"/>
          <w:color w:val="auto"/>
        </w:rPr>
      </w:pPr>
      <w:r>
        <w:rPr>
          <w:rFonts w:ascii="Times New Roman" w:cs="Times New Roman" w:eastAsia="Times New Roman" w:hAnsi="Times New Roman"/>
          <w:sz w:val="18"/>
          <w:szCs w:val="18"/>
          <w:color w:val="auto"/>
        </w:rPr>
        <w:t>Date: March 19,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Jennifer Ruddick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17145</wp:posOffset>
            </wp:positionV>
            <wp:extent cx="314579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3145790" cy="8890"/>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Name: Jennifer Ruddick</w:t>
      </w:r>
    </w:p>
    <w:p>
      <w:pPr>
        <w:spacing w:after="0" w:line="27"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Title: Deputy Company Secretary</w:t>
      </w:r>
    </w:p>
    <w:p>
      <w:pPr>
        <w:spacing w:after="0" w:line="2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TR FINANCE LLC</w:t>
      </w:r>
    </w:p>
    <w:p>
      <w:pPr>
        <w:spacing w:after="0" w:line="229" w:lineRule="exact"/>
        <w:rPr>
          <w:sz w:val="20"/>
          <w:szCs w:val="20"/>
          <w:color w:val="auto"/>
        </w:rPr>
      </w:pPr>
    </w:p>
    <w:p>
      <w:pPr>
        <w:ind w:left="5620"/>
        <w:spacing w:after="0"/>
        <w:tabs>
          <w:tab w:leader="none" w:pos="60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Richard Napolitano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17145</wp:posOffset>
            </wp:positionV>
            <wp:extent cx="314579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Name: Richard Napolitano</w:t>
      </w:r>
    </w:p>
    <w:p>
      <w:pPr>
        <w:spacing w:after="0" w:line="27"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Title: Chief Financial Officer</w:t>
      </w:r>
    </w:p>
    <w:p>
      <w:pPr>
        <w:spacing w:after="0" w:line="2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THOMSON REUTERS APPLICATIONS INC.</w:t>
      </w:r>
    </w:p>
    <w:p>
      <w:pPr>
        <w:spacing w:after="0" w:line="229" w:lineRule="exact"/>
        <w:rPr>
          <w:sz w:val="20"/>
          <w:szCs w:val="20"/>
          <w:color w:val="auto"/>
        </w:rPr>
      </w:pPr>
    </w:p>
    <w:p>
      <w:pPr>
        <w:ind w:left="5620"/>
        <w:spacing w:after="0"/>
        <w:tabs>
          <w:tab w:leader="none" w:pos="60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Richard Napolitano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17145</wp:posOffset>
            </wp:positionV>
            <wp:extent cx="314579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1">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Name: Richard Napolitano</w:t>
      </w:r>
    </w:p>
    <w:p>
      <w:pPr>
        <w:spacing w:after="0" w:line="27"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Title: Vice President &amp; Assistant Secretary</w:t>
      </w:r>
    </w:p>
    <w:p>
      <w:pPr>
        <w:spacing w:after="0" w:line="2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THOMSON REUTERS (TAX &amp; ACCOUNTING) INC.</w:t>
      </w:r>
    </w:p>
    <w:p>
      <w:pPr>
        <w:spacing w:after="0" w:line="229" w:lineRule="exact"/>
        <w:rPr>
          <w:sz w:val="20"/>
          <w:szCs w:val="20"/>
          <w:color w:val="auto"/>
        </w:rPr>
      </w:pPr>
    </w:p>
    <w:p>
      <w:pPr>
        <w:ind w:left="5620"/>
        <w:spacing w:after="0"/>
        <w:tabs>
          <w:tab w:leader="none" w:pos="60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Richard Napolitano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17145</wp:posOffset>
            </wp:positionV>
            <wp:extent cx="314579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2">
                      <a:extLst>
                        <a:ext uri="{28A0092B-C50C-407E-A947-70E740481C1C}"/>
                      </a:extLst>
                    </a:blip>
                    <a:srcRect/>
                    <a:stretch>
                      <a:fillRect/>
                    </a:stretch>
                  </pic:blipFill>
                  <pic:spPr bwMode="auto">
                    <a:xfrm>
                      <a:off x="0" y="0"/>
                      <a:ext cx="3145790" cy="8890"/>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Name: Richard Napolitano</w:t>
      </w:r>
    </w:p>
    <w:p>
      <w:pPr>
        <w:spacing w:after="0" w:line="27"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Title: Vice President &amp; Assistant Secretary</w:t>
      </w:r>
    </w:p>
    <w:p>
      <w:pPr>
        <w:spacing w:after="0" w:line="2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WEST PUBLISHING CORPORATION</w:t>
      </w:r>
    </w:p>
    <w:p>
      <w:pPr>
        <w:spacing w:after="0" w:line="229" w:lineRule="exact"/>
        <w:rPr>
          <w:sz w:val="20"/>
          <w:szCs w:val="20"/>
          <w:color w:val="auto"/>
        </w:rPr>
      </w:pPr>
    </w:p>
    <w:p>
      <w:pPr>
        <w:ind w:left="5620"/>
        <w:spacing w:after="0"/>
        <w:tabs>
          <w:tab w:leader="none" w:pos="60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Richard Napolitano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17145</wp:posOffset>
            </wp:positionV>
            <wp:extent cx="314579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3">
                      <a:extLst>
                        <a:ext uri="{28A0092B-C50C-407E-A947-70E740481C1C}"/>
                      </a:extLst>
                    </a:blip>
                    <a:srcRect/>
                    <a:stretch>
                      <a:fillRect/>
                    </a:stretch>
                  </pic:blipFill>
                  <pic:spPr bwMode="auto">
                    <a:xfrm>
                      <a:off x="0" y="0"/>
                      <a:ext cx="3145790" cy="8890"/>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Name: Richard Napolitano</w:t>
      </w:r>
    </w:p>
    <w:p>
      <w:pPr>
        <w:spacing w:after="0" w:line="27"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Title: Vice President &amp; Assistant Secretary</w:t>
      </w:r>
    </w:p>
    <w:sectPr>
      <w:pgSz w:w="11900" w:h="16838" w:orient="portrait"/>
      <w:cols w:equalWidth="0" w:num="1">
        <w:col w:w="10560"/>
      </w:cols>
      <w:pgMar w:left="440" w:top="266" w:right="8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png"/><Relationship Id="rId21" Type="http://schemas.openxmlformats.org/officeDocument/2006/relationships/image" Target="media/image12.png"/><Relationship Id="rId22" Type="http://schemas.openxmlformats.org/officeDocument/2006/relationships/image" Target="media/image13.png"/><Relationship Id="rId23" Type="http://schemas.openxmlformats.org/officeDocument/2006/relationships/image" Target="media/image14.png"/><Relationship Id="rId16" Type="http://schemas.openxmlformats.org/officeDocument/2006/relationships/hyperlink" Target="http://www.sec.gov/Archives/edgar/data/1075124/000119312525024302/d671995dex71.htm" TargetMode="External"/><Relationship Id="rId17" Type="http://schemas.openxmlformats.org/officeDocument/2006/relationships/hyperlink" Target="http://www.sec.gov/Archives/edgar/data/1075124/000119312525024302/d671995dex7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2025-03-19T16:12:23Z</dcterms:created>
  <dcterms:modified xsi:type="dcterms:W3CDTF">2025-03-19T16:12:23Z</dcterms:modified>
</cp:coreProperties>
</file>