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327660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left="2080" w:right="12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28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3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320040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2"/>
          <w:szCs w:val="42"/>
          <w:b w:val="1"/>
          <w:bCs w:val="1"/>
          <w:color w:val="auto"/>
        </w:rPr>
        <w:t>THOMSON REUTERS CORPORATION</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313055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19 Duncan Street, Toronto,</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Ontario M5H 3H1, Canada</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566420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943"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Jennifer Ruddick</w:t>
      </w:r>
    </w:p>
    <w:p>
      <w:pPr>
        <w:spacing w:after="0" w:line="27"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 xml:space="preserve">Title:   </w:t>
      </w:r>
      <w:r>
        <w:rPr>
          <w:sz w:val="20"/>
          <w:szCs w:val="20"/>
          <w:color w:val="auto"/>
        </w:rPr>
        <w:tab/>
      </w:r>
      <w:r>
        <w:rPr>
          <w:rFonts w:ascii="Times New Roman" w:cs="Times New Roman" w:eastAsia="Times New Roman" w:hAnsi="Times New Roman"/>
          <w:sz w:val="17"/>
          <w:szCs w:val="17"/>
          <w:color w:val="auto"/>
        </w:rPr>
        <w:t>Deputy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0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4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5700" w:type="dxa"/>
            <w:vAlign w:val="bottom"/>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dated May 5, 2026 – Thomson Reuters Reports First-Quarter 2026 Results</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20840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840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Reports First-Quarter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TORONTO, May 5, 2026 </w:t>
      </w:r>
      <w:r>
        <w:rPr>
          <w:rFonts w:ascii="Arial" w:cs="Arial" w:eastAsia="Arial" w:hAnsi="Arial"/>
          <w:sz w:val="18"/>
          <w:szCs w:val="18"/>
          <w:color w:val="auto"/>
        </w:rPr>
        <w:t>- Thomson Reuters (TSX/Nasdaq: TRI) today reported results for the first quarter ended March 31, 2026:</w:t>
      </w:r>
    </w:p>
    <w:p>
      <w:pPr>
        <w:spacing w:after="0" w:line="239"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Strong revenue growth in the first quarter</w:t>
      </w:r>
    </w:p>
    <w:p>
      <w:pPr>
        <w:spacing w:after="0" w:line="26" w:lineRule="exact"/>
        <w:rPr>
          <w:rFonts w:ascii="Times New Roman" w:cs="Times New Roman" w:eastAsia="Times New Roman" w:hAnsi="Times New Roman"/>
          <w:sz w:val="18"/>
          <w:szCs w:val="18"/>
          <w:color w:val="auto"/>
        </w:rPr>
      </w:pPr>
    </w:p>
    <w:p>
      <w:pPr>
        <w:ind w:left="142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Total company revenues up 10% / organic revenues up 8%</w:t>
      </w:r>
    </w:p>
    <w:p>
      <w:pPr>
        <w:ind w:left="1420" w:right="700" w:hanging="439"/>
        <w:spacing w:after="0" w:line="234" w:lineRule="auto"/>
        <w:tabs>
          <w:tab w:leader="none" w:pos="1420" w:val="left"/>
        </w:tabs>
        <w:numPr>
          <w:ilvl w:val="1"/>
          <w:numId w:val="1"/>
        </w:numPr>
        <w:rPr>
          <w:rFonts w:ascii="Wingdings" w:cs="Wingdings" w:eastAsia="Wingdings" w:hAnsi="Wingdings"/>
          <w:sz w:val="13"/>
          <w:szCs w:val="13"/>
          <w:b w:val="1"/>
          <w:bCs w:val="1"/>
          <w:color w:val="auto"/>
        </w:rPr>
      </w:pPr>
      <w:r>
        <w:rPr>
          <w:rFonts w:ascii="Arial" w:cs="Arial" w:eastAsia="Arial" w:hAnsi="Arial"/>
          <w:sz w:val="18"/>
          <w:szCs w:val="18"/>
          <w:color w:val="auto"/>
        </w:rPr>
        <w:t>Organic revenues up 9% for the “Big 3” segments (Legal Professionals, Corporates and Tax, Audit &amp; Accounting Professionals)</w:t>
      </w:r>
    </w:p>
    <w:p>
      <w:pPr>
        <w:spacing w:after="0" w:line="1" w:lineRule="exact"/>
        <w:rPr>
          <w:rFonts w:ascii="Wingdings" w:cs="Wingdings" w:eastAsia="Wingdings" w:hAnsi="Wingdings"/>
          <w:sz w:val="13"/>
          <w:szCs w:val="13"/>
          <w:b w:val="1"/>
          <w:bCs w:val="1"/>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Maintained full-year 2026 outlook for organic revenue growth, adjusted EBITDA margin and free cash flow</w:t>
      </w:r>
    </w:p>
    <w:p>
      <w:pPr>
        <w:spacing w:after="0" w:line="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annualized common share dividend by 10% to $2.62, announced February 2026</w:t>
      </w:r>
    </w:p>
    <w:p>
      <w:pPr>
        <w:spacing w:after="0" w:line="8" w:lineRule="exact"/>
        <w:rPr>
          <w:rFonts w:ascii="Times New Roman" w:cs="Times New Roman" w:eastAsia="Times New Roman" w:hAnsi="Times New Roman"/>
          <w:sz w:val="18"/>
          <w:szCs w:val="18"/>
          <w:color w:val="auto"/>
        </w:rPr>
      </w:pPr>
    </w:p>
    <w:p>
      <w:pPr>
        <w:ind w:left="960" w:right="220" w:hanging="532"/>
        <w:spacing w:after="0" w:line="234" w:lineRule="auto"/>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Completed $605 million return of capital transaction on May 4; and reduced share count by approximately 6.5 million shares by way of share consolidation transaction</w:t>
      </w:r>
    </w:p>
    <w:p>
      <w:pPr>
        <w:ind w:left="960" w:right="340" w:hanging="532"/>
        <w:spacing w:after="0" w:line="249" w:lineRule="auto"/>
        <w:tabs>
          <w:tab w:leader="none" w:pos="9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Repurchased $262 million, or 2.5 million common shares under the $600 million share repurchase program announced on February 25, 2026</w:t>
      </w:r>
    </w:p>
    <w:p>
      <w:pPr>
        <w:spacing w:after="0" w:line="17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delivered an encouraging start to 2026,” said Steve Hasker, President and CEO of Thomson Reuters. “Our positive momentum reflects the trust professionals place in Thomson Reuters in the moments that matter most. Across law, tax, audit and compliance, professionals accountable for high-stakes outcomes are choosing our AI products, built to the standards their work demands - grounded in authoritative content, designed and tested by our domain experts, and created to produce results that can be verified and audited under real-world scrutiny. We call this ‘fiduciary-grade AI.’ “</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2880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288036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color w:val="auto"/>
              </w:rPr>
              <w:t>(Millions of U.S. dollars, except for EPS)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color w:val="auto"/>
              </w:rPr>
              <w:t>(unaudited)</w:t>
            </w: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6"/>
                <w:szCs w:val="16"/>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Borders>
              <w:top w:val="single" w:sz="8" w:color="CCEEFF"/>
            </w:tcBorders>
            <w:shd w:val="clear" w:color="auto" w:fill="CCEEFF"/>
          </w:tcPr>
          <w:p>
            <w:pPr>
              <w:spacing w:after="0"/>
              <w:rPr>
                <w:sz w:val="14"/>
                <w:szCs w:val="14"/>
                <w:color w:val="auto"/>
              </w:rPr>
            </w:pPr>
          </w:p>
        </w:tc>
        <w:tc>
          <w:tcPr>
            <w:tcW w:w="3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IFRS Financial Measures</w:t>
            </w:r>
            <w:r>
              <w:rPr>
                <w:rFonts w:ascii="Arial" w:cs="Arial" w:eastAsia="Arial" w:hAnsi="Arial"/>
                <w:sz w:val="18"/>
                <w:szCs w:val="18"/>
                <w:color w:val="auto"/>
                <w:vertAlign w:val="superscript"/>
              </w:rPr>
              <w:t>(1)</w:t>
            </w:r>
          </w:p>
        </w:tc>
        <w:tc>
          <w:tcPr>
            <w:tcW w:w="3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tcBorders>
          </w:tcPr>
          <w:p>
            <w:pPr>
              <w:spacing w:after="0"/>
              <w:rPr>
                <w:sz w:val="17"/>
                <w:szCs w:val="17"/>
                <w:color w:val="auto"/>
              </w:rPr>
            </w:pPr>
          </w:p>
        </w:tc>
        <w:tc>
          <w:tcPr>
            <w:tcW w:w="2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CCEEFF"/>
            </w:tcBorders>
            <w:gridSpan w:val="2"/>
          </w:tcPr>
          <w:p>
            <w:pPr>
              <w:spacing w:after="0"/>
              <w:rPr>
                <w:sz w:val="17"/>
                <w:szCs w:val="17"/>
                <w:color w:val="auto"/>
              </w:rPr>
            </w:pPr>
          </w:p>
        </w:tc>
        <w:tc>
          <w:tcPr>
            <w:tcW w:w="320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320"/>
              <w:spacing w:after="0" w:line="202" w:lineRule="exact"/>
              <w:rPr>
                <w:sz w:val="20"/>
                <w:szCs w:val="20"/>
                <w:color w:val="auto"/>
              </w:rPr>
            </w:pPr>
            <w:r>
              <w:rPr>
                <w:rFonts w:ascii="Arial" w:cs="Arial" w:eastAsia="Arial" w:hAnsi="Arial"/>
                <w:sz w:val="18"/>
                <w:szCs w:val="18"/>
                <w:color w:val="auto"/>
                <w:w w:val="97"/>
              </w:rPr>
              <w:t>2,087</w:t>
            </w:r>
          </w:p>
        </w:tc>
        <w:tc>
          <w:tcPr>
            <w:tcW w:w="260" w:type="dxa"/>
            <w:vAlign w:val="bottom"/>
            <w:tcBorders>
              <w:top w:val="single" w:sz="8" w:color="CCEEFF"/>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460"/>
              <w:spacing w:after="0" w:line="202" w:lineRule="exact"/>
              <w:rPr>
                <w:sz w:val="20"/>
                <w:szCs w:val="20"/>
                <w:color w:val="auto"/>
              </w:rPr>
            </w:pPr>
            <w:r>
              <w:rPr>
                <w:rFonts w:ascii="Arial" w:cs="Arial" w:eastAsia="Arial" w:hAnsi="Arial"/>
                <w:sz w:val="18"/>
                <w:szCs w:val="18"/>
                <w:color w:val="auto"/>
                <w:w w:val="97"/>
              </w:rPr>
              <w:t>1,900</w:t>
            </w:r>
          </w:p>
        </w:tc>
        <w:tc>
          <w:tcPr>
            <w:tcW w:w="10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7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563</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Diluted earnings per share (EPS)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1.03</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0.96</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505</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445</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tcBorders>
            <w:shd w:val="clear" w:color="auto" w:fill="CCEEFF"/>
          </w:tcPr>
          <w:p>
            <w:pPr>
              <w:spacing w:after="0"/>
              <w:rPr>
                <w:sz w:val="13"/>
                <w:szCs w:val="13"/>
                <w:color w:val="auto"/>
              </w:rPr>
            </w:pPr>
          </w:p>
        </w:tc>
        <w:tc>
          <w:tcPr>
            <w:tcW w:w="3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Non-IFRS Financial Measures</w:t>
            </w:r>
            <w:r>
              <w:rPr>
                <w:rFonts w:ascii="Arial" w:cs="Arial" w:eastAsia="Arial" w:hAnsi="Arial"/>
                <w:sz w:val="18"/>
                <w:szCs w:val="18"/>
                <w:color w:val="auto"/>
                <w:vertAlign w:val="superscript"/>
              </w:rPr>
              <w:t>(1)</w:t>
            </w:r>
          </w:p>
        </w:tc>
        <w:tc>
          <w:tcPr>
            <w:tcW w:w="3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Revenue growth in constant currency</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Organic revenue growth</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Adjusted EBITDA</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881</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809</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42.3%</w:t>
            </w: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-10bp</w:t>
            </w: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40bp</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Adjusted EPS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1.23</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1.12</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332</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277</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40" w:right="280" w:hanging="287"/>
        <w:spacing w:after="0" w:line="256" w:lineRule="auto"/>
        <w:rPr>
          <w:sz w:val="20"/>
          <w:szCs w:val="20"/>
          <w:color w:val="auto"/>
        </w:rPr>
      </w:pPr>
      <w:r>
        <w:rPr>
          <w:rFonts w:ascii="Arial" w:cs="Arial" w:eastAsia="Arial" w:hAnsi="Arial"/>
          <w:sz w:val="14"/>
          <w:szCs w:val="14"/>
          <w:i w:val="1"/>
          <w:iCs w:val="1"/>
          <w:color w:val="auto"/>
        </w:rPr>
        <w:t>(1)   In addition to results reported in accordance with International Financial Reporting Standards (IFRS), the company uses certain non-IFRS financial measures</w:t>
      </w:r>
      <w:r>
        <w:rPr>
          <w:sz w:val="20"/>
          <w:szCs w:val="20"/>
          <w:color w:val="auto"/>
        </w:rPr>
        <w:t xml:space="preserve"> </w:t>
      </w:r>
      <w:r>
        <w:rPr>
          <w:rFonts w:ascii="Arial" w:cs="Arial" w:eastAsia="Arial" w:hAnsi="Arial"/>
          <w:sz w:val="14"/>
          <w:szCs w:val="14"/>
          <w:i w:val="1"/>
          <w:iCs w:val="1"/>
          <w:color w:val="auto"/>
        </w:rPr>
        <w:t>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measures. </w:t>
      </w:r>
    </w:p>
    <w:p>
      <w:pPr>
        <w:sectPr>
          <w:pgSz w:w="11900" w:h="16838" w:orient="portrait"/>
          <w:cols w:equalWidth="0" w:num="1">
            <w:col w:w="11020"/>
          </w:cols>
          <w:pgMar w:left="440"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 of 18</w:t>
      </w:r>
    </w:p>
    <w:p>
      <w:pPr>
        <w:spacing w:after="0" w:line="221"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10% due to 10% growth in recurring revenues (77% of total revenues) and 15% growth in transactions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partly offset by a 4% decline in Global Print. Total company revenue growth benefited approximately 1% from foreign currency and 1% from net acquisitions and disposals.</w:t>
      </w:r>
    </w:p>
    <w:p>
      <w:pPr>
        <w:spacing w:after="0" w:line="74" w:lineRule="exact"/>
        <w:rPr>
          <w:sz w:val="20"/>
          <w:szCs w:val="20"/>
          <w:color w:val="auto"/>
        </w:rPr>
      </w:pPr>
    </w:p>
    <w:p>
      <w:pPr>
        <w:ind w:left="960" w:right="160" w:hanging="532"/>
        <w:spacing w:after="0" w:line="244" w:lineRule="auto"/>
        <w:tabs>
          <w:tab w:leader="none" w:pos="9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Organic revenues increased 8% reflecting 8% growth in recurring revenues, 10% growth in transactions revenues and a 5% decline in Global Print.</w:t>
      </w:r>
    </w:p>
    <w:p>
      <w:pPr>
        <w:spacing w:after="0" w:line="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“Big 3” segments reported organic revenue growth of 9% and collectively comprised 85% of total revenues.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14% primarily due to net impact of higher revenues and operating expenses.</w:t>
      </w:r>
    </w:p>
    <w:p>
      <w:pPr>
        <w:spacing w:after="0" w:line="117" w:lineRule="exact"/>
        <w:rPr>
          <w:sz w:val="20"/>
          <w:szCs w:val="20"/>
          <w:color w:val="auto"/>
        </w:rPr>
      </w:pPr>
    </w:p>
    <w:p>
      <w:pPr>
        <w:ind w:left="960" w:right="120" w:hanging="532"/>
        <w:spacing w:after="0" w:line="252" w:lineRule="auto"/>
        <w:tabs>
          <w:tab w:leader="none" w:pos="9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increased 9% primarily due to the same factors that impacted operating profit. The related margin decreased to 42.2% from 42.3% in the prior-year period. Foreign currency negatively impacted the year-over-year change in adjusted EBITDA margin by 50 basis points.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increased to $1.03 per share compared to $ 0.96 per share in the prior-year period as higher operating profit was partly offset</w:t>
      </w:r>
      <w:r>
        <w:rPr>
          <w:rFonts w:ascii="Arial" w:cs="Arial" w:eastAsia="Arial" w:hAnsi="Arial"/>
          <w:sz w:val="18"/>
          <w:szCs w:val="18"/>
          <w:b w:val="1"/>
          <w:bCs w:val="1"/>
          <w:color w:val="auto"/>
        </w:rPr>
        <w:t xml:space="preserve"> </w:t>
      </w:r>
      <w:r>
        <w:rPr>
          <w:rFonts w:ascii="Arial" w:cs="Arial" w:eastAsia="Arial" w:hAnsi="Arial"/>
          <w:sz w:val="18"/>
          <w:szCs w:val="18"/>
          <w:color w:val="auto"/>
        </w:rPr>
        <w:t>by lower results from discontinued operations and higher net interest expense. Diluted EPS also benefited from a reduction in weighted-average common shares outstanding due to share repurchases.</w:t>
      </w:r>
    </w:p>
    <w:p>
      <w:pPr>
        <w:spacing w:after="0" w:line="74" w:lineRule="exact"/>
        <w:rPr>
          <w:sz w:val="20"/>
          <w:szCs w:val="20"/>
          <w:color w:val="auto"/>
        </w:rPr>
      </w:pPr>
    </w:p>
    <w:p>
      <w:pPr>
        <w:ind w:left="960" w:hanging="532"/>
        <w:spacing w:after="0" w:line="252" w:lineRule="auto"/>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EPS, which excludes discontinued operations, as well as other adjustments, increased to $1.23 per share compared to $1.12 per share in the prior-year period, primarily due to higher adjusted EBITDA partly offset by higher net interest expense. Adjusted EPS also benefited from a reduction in weighted-average common shares.</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increased by $60 million primarily due to higher cash benefits from the net impact of higher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and operating expenses.</w:t>
      </w:r>
    </w:p>
    <w:p>
      <w:pPr>
        <w:spacing w:after="0" w:line="59"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Free cash flow increased by $55 million primarily due to the increase in net cash provided by operating activities. </w:t>
      </w:r>
    </w:p>
    <w:p>
      <w:pPr>
        <w:sectPr>
          <w:pgSz w:w="11900" w:h="16838" w:orient="portrait"/>
          <w:cols w:equalWidth="0" w:num="1">
            <w:col w:w="10960"/>
          </w:cols>
          <w:pgMar w:left="440" w:top="1106"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3 of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 –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4989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4989195"/>
                    </a:xfrm>
                    <a:prstGeom prst="rect">
                      <a:avLst/>
                    </a:prstGeom>
                    <a:noFill/>
                  </pic:spPr>
                </pic:pic>
              </a:graphicData>
            </a:graphic>
          </wp:anchor>
        </w:drawing>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(Millions of U.S. dollars)</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4"/>
          <w:szCs w:val="14"/>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Constant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2026</w:t>
            </w:r>
          </w:p>
        </w:tc>
        <w:tc>
          <w:tcPr>
            <w:tcW w:w="280" w:type="dxa"/>
            <w:vAlign w:val="bottom"/>
          </w:tcPr>
          <w:p>
            <w:pPr>
              <w:spacing w:after="0"/>
              <w:rPr>
                <w:sz w:val="15"/>
                <w:szCs w:val="15"/>
                <w:color w:val="auto"/>
              </w:rPr>
            </w:pPr>
          </w:p>
        </w:tc>
        <w:tc>
          <w:tcPr>
            <w:tcW w:w="720" w:type="dxa"/>
            <w:vAlign w:val="bottom"/>
            <w:gridSpan w:val="3"/>
          </w:tcPr>
          <w:p>
            <w:pPr>
              <w:jc w:val="right"/>
              <w:spacing w:after="0" w:line="175" w:lineRule="exact"/>
              <w:rPr>
                <w:sz w:val="20"/>
                <w:szCs w:val="20"/>
                <w:color w:val="auto"/>
              </w:rPr>
            </w:pPr>
            <w:r>
              <w:rPr>
                <w:rFonts w:ascii="Arial" w:cs="Arial" w:eastAsia="Arial" w:hAnsi="Arial"/>
                <w:sz w:val="14"/>
                <w:szCs w:val="14"/>
                <w:b w:val="1"/>
                <w:bCs w:val="1"/>
                <w:color w:val="auto"/>
              </w:rPr>
              <w:t>2025</w:t>
            </w:r>
            <w:r>
              <w:rPr>
                <w:rFonts w:ascii="Arial" w:cs="Arial" w:eastAsia="Arial" w:hAnsi="Arial"/>
                <w:sz w:val="20"/>
                <w:szCs w:val="20"/>
                <w:b w:val="1"/>
                <w:bCs w:val="1"/>
                <w:color w:val="auto"/>
                <w:vertAlign w:val="superscript"/>
              </w:rPr>
              <w:t>(2)</w:t>
            </w:r>
          </w:p>
        </w:tc>
        <w:tc>
          <w:tcPr>
            <w:tcW w:w="4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2"/>
          </w:tcPr>
          <w:p>
            <w:pPr>
              <w:jc w:val="right"/>
              <w:ind w:right="56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8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20"/>
                <w:szCs w:val="20"/>
                <w:b w:val="1"/>
                <w:bCs w:val="1"/>
                <w:color w:val="auto"/>
                <w:w w:val="93"/>
                <w:vertAlign w:val="superscript"/>
              </w:rPr>
              <w:t>(1)(3)</w:t>
            </w:r>
          </w:p>
        </w:tc>
        <w:tc>
          <w:tcPr>
            <w:tcW w:w="0" w:type="dxa"/>
            <w:vAlign w:val="bottom"/>
          </w:tcPr>
          <w:p>
            <w:pPr>
              <w:spacing w:after="0"/>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4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Revenues</w:t>
            </w:r>
          </w:p>
        </w:tc>
        <w:tc>
          <w:tcPr>
            <w:tcW w:w="11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Legal Professionals</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688</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548</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358</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1,774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3"/>
              </w:rPr>
              <w:t>1,594</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196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Global Print</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Eliminations/Rounding</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2,087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w w:val="93"/>
              </w:rPr>
              <w:t>1,900</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10%</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8%</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200" w:type="dxa"/>
            <w:vAlign w:val="bottom"/>
            <w:gridSpan w:val="4"/>
            <w:vMerge w:val="restart"/>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color w:val="auto"/>
                <w:vertAlign w:val="superscript"/>
              </w:rPr>
              <w:t>(1)</w:t>
            </w: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0" w:type="dxa"/>
            <w:vAlign w:val="bottom"/>
          </w:tcPr>
          <w:p>
            <w:pPr>
              <w:spacing w:after="0"/>
              <w:rPr>
                <w:sz w:val="14"/>
                <w:szCs w:val="14"/>
                <w:color w:val="auto"/>
              </w:rPr>
            </w:pPr>
          </w:p>
        </w:tc>
        <w:tc>
          <w:tcPr>
            <w:tcW w:w="4200" w:type="dxa"/>
            <w:vAlign w:val="bottom"/>
            <w:gridSpan w:val="4"/>
            <w:vMerge w:val="continue"/>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Legal Professionals</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365</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336</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Corporates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215</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208</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4200" w:type="dxa"/>
            <w:vAlign w:val="bottom"/>
            <w:gridSpan w:val="4"/>
          </w:tcPr>
          <w:p>
            <w:pPr>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1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Global Print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 costs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(33)</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Total Adjusted EBITDA</w:t>
            </w:r>
          </w:p>
        </w:tc>
        <w:tc>
          <w:tcPr>
            <w:tcW w:w="1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9%</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0" w:type="dxa"/>
            <w:vAlign w:val="bottom"/>
            <w:shd w:val="clear" w:color="auto" w:fill="CCEEFF"/>
          </w:tcPr>
          <w:p>
            <w:pPr>
              <w:spacing w:after="0"/>
              <w:rPr>
                <w:sz w:val="15"/>
                <w:szCs w:val="15"/>
                <w:color w:val="auto"/>
              </w:rPr>
            </w:pPr>
          </w:p>
        </w:tc>
        <w:tc>
          <w:tcPr>
            <w:tcW w:w="4200" w:type="dxa"/>
            <w:vAlign w:val="bottom"/>
            <w:gridSpan w:val="4"/>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Adjusted EBITDA Margin</w:t>
            </w:r>
            <w:r>
              <w:rPr>
                <w:rFonts w:ascii="Arial" w:cs="Arial" w:eastAsia="Arial" w:hAnsi="Arial"/>
                <w:sz w:val="19"/>
                <w:szCs w:val="19"/>
                <w:color w:val="auto"/>
                <w:vertAlign w:val="superscript"/>
              </w:rPr>
              <w:t>(1)</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tcBorders>
          </w:tcPr>
          <w:p>
            <w:pPr>
              <w:spacing w:after="0"/>
              <w:rPr>
                <w:sz w:val="17"/>
                <w:szCs w:val="17"/>
                <w:color w:val="auto"/>
              </w:rPr>
            </w:pPr>
          </w:p>
        </w:tc>
        <w:tc>
          <w:tcPr>
            <w:tcW w:w="212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Legal Professionals</w:t>
            </w:r>
          </w:p>
        </w:tc>
        <w:tc>
          <w:tcPr>
            <w:tcW w:w="20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gridSpan w:val="2"/>
          </w:tcPr>
          <w:p>
            <w:pPr>
              <w:jc w:val="right"/>
              <w:ind w:right="120"/>
              <w:spacing w:after="0" w:line="202" w:lineRule="exact"/>
              <w:rPr>
                <w:sz w:val="20"/>
                <w:szCs w:val="20"/>
                <w:color w:val="auto"/>
              </w:rPr>
            </w:pPr>
            <w:r>
              <w:rPr>
                <w:rFonts w:ascii="Arial" w:cs="Arial" w:eastAsia="Arial" w:hAnsi="Arial"/>
                <w:sz w:val="18"/>
                <w:szCs w:val="18"/>
                <w:color w:val="auto"/>
              </w:rPr>
              <w:t>48.3%</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gridSpan w:val="2"/>
          </w:tcPr>
          <w:p>
            <w:pPr>
              <w:jc w:val="right"/>
              <w:ind w:right="280"/>
              <w:spacing w:after="0" w:line="202" w:lineRule="exact"/>
              <w:rPr>
                <w:sz w:val="20"/>
                <w:szCs w:val="20"/>
                <w:color w:val="auto"/>
              </w:rPr>
            </w:pPr>
            <w:r>
              <w:rPr>
                <w:rFonts w:ascii="Arial" w:cs="Arial" w:eastAsia="Arial" w:hAnsi="Arial"/>
                <w:sz w:val="18"/>
                <w:szCs w:val="18"/>
                <w:color w:val="auto"/>
              </w:rPr>
              <w:t>48.7%</w:t>
            </w:r>
          </w:p>
        </w:tc>
        <w:tc>
          <w:tcPr>
            <w:tcW w:w="1040" w:type="dxa"/>
            <w:vAlign w:val="bottom"/>
            <w:tcBorders>
              <w:top w:val="single" w:sz="8" w:color="CCEEFF"/>
            </w:tcBorders>
            <w:gridSpan w:val="2"/>
          </w:tcPr>
          <w:p>
            <w:pPr>
              <w:jc w:val="right"/>
              <w:ind w:right="420"/>
              <w:spacing w:after="0" w:line="202" w:lineRule="exact"/>
              <w:rPr>
                <w:sz w:val="20"/>
                <w:szCs w:val="20"/>
                <w:color w:val="auto"/>
              </w:rPr>
            </w:pPr>
            <w:r>
              <w:rPr>
                <w:rFonts w:ascii="Arial" w:cs="Arial" w:eastAsia="Arial" w:hAnsi="Arial"/>
                <w:sz w:val="18"/>
                <w:szCs w:val="18"/>
                <w:color w:val="auto"/>
              </w:rPr>
              <w:t>-40bp</w:t>
            </w:r>
          </w:p>
        </w:tc>
        <w:tc>
          <w:tcPr>
            <w:tcW w:w="1340" w:type="dxa"/>
            <w:vAlign w:val="bottom"/>
            <w:tcBorders>
              <w:top w:val="single" w:sz="8" w:color="CCEEFF"/>
            </w:tcBorders>
            <w:gridSpan w:val="2"/>
          </w:tcPr>
          <w:p>
            <w:pPr>
              <w:jc w:val="right"/>
              <w:ind w:right="560"/>
              <w:spacing w:after="0" w:line="202" w:lineRule="exact"/>
              <w:rPr>
                <w:sz w:val="20"/>
                <w:szCs w:val="20"/>
                <w:color w:val="auto"/>
              </w:rPr>
            </w:pPr>
            <w:r>
              <w:rPr>
                <w:rFonts w:ascii="Arial" w:cs="Arial" w:eastAsia="Arial" w:hAnsi="Arial"/>
                <w:sz w:val="18"/>
                <w:szCs w:val="18"/>
                <w:color w:val="auto"/>
              </w:rPr>
              <w:t>-30bp</w:t>
            </w:r>
          </w:p>
        </w:tc>
        <w:tc>
          <w:tcPr>
            <w:tcW w:w="8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39.3%</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70bp</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130bp</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56.6%</w:t>
            </w:r>
          </w:p>
        </w:tc>
        <w:tc>
          <w:tcPr>
            <w:tcW w:w="10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-280bp</w:t>
            </w: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-240bp</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47.3%</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-60bp</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-20bp</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420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20.0%</w:t>
            </w:r>
          </w:p>
        </w:tc>
        <w:tc>
          <w:tcPr>
            <w:tcW w:w="10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-390bp</w:t>
            </w: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-190bp</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Global Print</w:t>
            </w: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37.8%</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80bp</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80bp</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4200" w:type="dxa"/>
            <w:vAlign w:val="bottom"/>
            <w:gridSpan w:val="4"/>
          </w:tcPr>
          <w:p>
            <w:pPr>
              <w:spacing w:after="0"/>
              <w:rPr>
                <w:sz w:val="20"/>
                <w:szCs w:val="20"/>
                <w:color w:val="auto"/>
              </w:rPr>
            </w:pPr>
            <w:r>
              <w:rPr>
                <w:rFonts w:ascii="Arial" w:cs="Arial" w:eastAsia="Arial" w:hAnsi="Arial"/>
                <w:sz w:val="18"/>
                <w:szCs w:val="18"/>
                <w:b w:val="1"/>
                <w:bCs w:val="1"/>
                <w:color w:val="auto"/>
              </w:rPr>
              <w:t>Total Adjusted EBITDA Margin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42.3%</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-10bp</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40bp</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440" w:top="1106" w:right="439" w:bottom="1440" w:gutter="0" w:footer="0" w:header="0"/>
        </w:sectPr>
      </w:pPr>
    </w:p>
    <w:p>
      <w:pPr>
        <w:spacing w:after="0" w:line="108" w:lineRule="exact"/>
        <w:rPr>
          <w:sz w:val="20"/>
          <w:szCs w:val="20"/>
          <w:color w:val="auto"/>
        </w:rPr>
      </w:pPr>
    </w:p>
    <w:p>
      <w:pPr>
        <w:ind w:left="440" w:hanging="287"/>
        <w:spacing w:after="0" w:line="250" w:lineRule="auto"/>
        <w:rPr>
          <w:sz w:val="20"/>
          <w:szCs w:val="20"/>
          <w:color w:val="auto"/>
        </w:rPr>
      </w:pPr>
      <w:r>
        <w:rPr>
          <w:rFonts w:ascii="Arial" w:cs="Arial" w:eastAsia="Arial" w:hAnsi="Arial"/>
          <w:sz w:val="14"/>
          <w:szCs w:val="14"/>
          <w:i w:val="1"/>
          <w:iCs w:val="1"/>
          <w:color w:val="auto"/>
        </w:rPr>
        <w:t>(1)   See the “Non-IFRS Financial Measures” section and the tables appended to this news release for additional information on these and other non-IFRS financial measures. To compute segment and consolidated adjusted EBITDA margin, the company excludes fair value adjustments related to acquired deferred revenue. </w:t>
      </w:r>
    </w:p>
    <w:p>
      <w:pPr>
        <w:spacing w:after="0" w:line="1" w:lineRule="exact"/>
        <w:rPr>
          <w:sz w:val="20"/>
          <w:szCs w:val="20"/>
          <w:color w:val="auto"/>
        </w:rPr>
      </w:pPr>
    </w:p>
    <w:p>
      <w:pPr>
        <w:ind w:left="440" w:right="20" w:hanging="287"/>
        <w:spacing w:after="0" w:line="241" w:lineRule="auto"/>
        <w:rPr>
          <w:sz w:val="20"/>
          <w:szCs w:val="20"/>
          <w:color w:val="auto"/>
        </w:rPr>
      </w:pPr>
      <w:r>
        <w:rPr>
          <w:rFonts w:ascii="Arial" w:cs="Arial" w:eastAsia="Arial" w:hAnsi="Arial"/>
          <w:sz w:val="14"/>
          <w:szCs w:val="14"/>
          <w:i w:val="1"/>
          <w:iCs w:val="1"/>
          <w:color w:val="auto"/>
        </w:rPr>
        <w:t>(2)   For comparative purposes, 2025 segment results have been revised to reflect the current period presentation. For additional information, including a summary of how the changes impacted results for the first-quarter of 2025, see the “Revision to Prior-Year Segment Results” section of this news release. 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(3)   Computed for revenue growth only. 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n/a:  not applicable</w:t>
      </w:r>
    </w:p>
    <w:p>
      <w:pPr>
        <w:spacing w:after="0" w:line="20" w:lineRule="exact"/>
        <w:rPr>
          <w:sz w:val="20"/>
          <w:szCs w:val="20"/>
          <w:color w:val="auto"/>
        </w:rPr>
      </w:pPr>
      <w:r>
        <w:rPr>
          <w:sz w:val="20"/>
          <w:szCs w:val="20"/>
          <w:color w:val="auto"/>
        </w:rPr>
        <w:br w:type="column"/>
      </w: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5"/>
        <w:spacing w:after="0"/>
        <w:rPr>
          <w:rFonts w:ascii="Arial" w:cs="Arial" w:eastAsia="Arial" w:hAnsi="Arial"/>
          <w:sz w:val="12"/>
          <w:szCs w:val="12"/>
          <w:i w:val="1"/>
          <w:iCs w:val="1"/>
          <w:color w:val="auto"/>
        </w:rPr>
      </w:pPr>
      <w:r>
        <w:rPr>
          <w:rFonts w:ascii="Arial" w:cs="Arial" w:eastAsia="Arial" w:hAnsi="Arial"/>
          <w:sz w:val="14"/>
          <w:szCs w:val="14"/>
          <w:i w:val="1"/>
          <w:iCs w:val="1"/>
          <w:color w:val="auto"/>
        </w:rPr>
        <w:t>   </w:t>
      </w:r>
    </w:p>
    <w:p>
      <w:pPr>
        <w:sectPr>
          <w:pgSz w:w="11900" w:h="16838" w:orient="portrait"/>
          <w:cols w:equalWidth="0" w:num="2">
            <w:col w:w="10640" w:space="115"/>
            <w:col w:w="265"/>
          </w:cols>
          <w:pgMar w:left="440" w:top="1106"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4 of 18</w:t>
      </w:r>
    </w:p>
    <w:p>
      <w:pPr>
        <w:spacing w:after="0" w:line="223"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i w:val="1"/>
          <w:iCs w:val="1"/>
          <w:color w:val="auto"/>
        </w:rPr>
        <w:t xml:space="preserve">Unless otherwise noted, all revenue growth comparisons by customer segment in this news release are at </w:t>
      </w:r>
      <w:r>
        <w:rPr>
          <w:rFonts w:ascii="Arial" w:cs="Arial" w:eastAsia="Arial" w:hAnsi="Arial"/>
          <w:sz w:val="18"/>
          <w:szCs w:val="18"/>
          <w:b w:val="1"/>
          <w:bCs w:val="1"/>
          <w:i w:val="1"/>
          <w:iCs w:val="1"/>
          <w:u w:val="single" w:color="auto"/>
          <w:color w:val="auto"/>
        </w:rPr>
        <w:t>constant currency</w:t>
      </w:r>
      <w:r>
        <w:rPr>
          <w:rFonts w:ascii="Arial" w:cs="Arial" w:eastAsia="Arial" w:hAnsi="Arial"/>
          <w:sz w:val="18"/>
          <w:szCs w:val="18"/>
          <w:i w:val="1"/>
          <w:iCs w:val="1"/>
          <w:color w:val="auto"/>
        </w:rPr>
        <w:t xml:space="preserve"> (which excludes the impact of foreign currency) as the company believes this provides the best basis to measure performance.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Professionals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8% at constant currency. Organic revenue growth was 9%.</w:t>
      </w:r>
    </w:p>
    <w:p>
      <w:pPr>
        <w:spacing w:after="0" w:line="117" w:lineRule="exact"/>
        <w:rPr>
          <w:sz w:val="20"/>
          <w:szCs w:val="20"/>
          <w:color w:val="auto"/>
        </w:rPr>
      </w:pPr>
    </w:p>
    <w:p>
      <w:pPr>
        <w:ind w:left="960" w:right="260" w:hanging="532"/>
        <w:spacing w:after="0" w:line="244" w:lineRule="auto"/>
        <w:tabs>
          <w:tab w:leader="none" w:pos="9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revenues increased 9% (98% of total, all organic). Organic revenue growth was primarily driven by Westlaw and CoCounsel.</w:t>
      </w:r>
    </w:p>
    <w:p>
      <w:pPr>
        <w:spacing w:after="0" w:line="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revenues decreased 2% (2% of total, all organic).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9% to $365 million.</w:t>
      </w:r>
    </w:p>
    <w:p>
      <w:pPr>
        <w:spacing w:after="0" w:line="117" w:lineRule="exact"/>
        <w:rPr>
          <w:sz w:val="20"/>
          <w:szCs w:val="20"/>
          <w:color w:val="auto"/>
        </w:rPr>
      </w:pPr>
    </w:p>
    <w:p>
      <w:pPr>
        <w:ind w:left="960" w:right="40" w:hanging="532"/>
        <w:spacing w:after="0" w:line="270" w:lineRule="auto"/>
        <w:tabs>
          <w:tab w:leader="none" w:pos="9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margin decreased to 48.3% from 48.7%, primarily driven by higher revenues offset by higher technology and other costs, and to a lesser extent, a negative impact from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9% at constant currency, all organic.</w:t>
      </w:r>
    </w:p>
    <w:p>
      <w:pPr>
        <w:spacing w:after="0" w:line="117" w:lineRule="exact"/>
        <w:rPr>
          <w:sz w:val="20"/>
          <w:szCs w:val="20"/>
          <w:color w:val="auto"/>
        </w:rPr>
      </w:pPr>
    </w:p>
    <w:p>
      <w:pPr>
        <w:ind w:left="960" w:right="580" w:hanging="532"/>
        <w:spacing w:after="0" w:line="244" w:lineRule="auto"/>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revenues increased 8% (74% of total, all organic). Organic revenue growth was primarily driven by Westlaw, CoCounsel, Practical Law, Pagero, CLEAR and the segment’s international businesses.</w:t>
      </w:r>
    </w:p>
    <w:p>
      <w:pPr>
        <w:spacing w:after="0" w:line="1" w:lineRule="exact"/>
        <w:rPr>
          <w:rFonts w:ascii="Times New Roman" w:cs="Times New Roman" w:eastAsia="Times New Roman" w:hAnsi="Times New Roman"/>
          <w:sz w:val="18"/>
          <w:szCs w:val="18"/>
          <w:color w:val="auto"/>
        </w:rPr>
      </w:pPr>
    </w:p>
    <w:p>
      <w:pPr>
        <w:ind w:left="960" w:right="1000" w:hanging="532"/>
        <w:spacing w:after="0" w:line="249" w:lineRule="auto"/>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revenues increased 12% (26% of total, all organic). Organic revenue growth was primarily driven by Confirmation, Pagero, Indirect Tax and the segment’s international businesses.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13% to $243 million.</w:t>
      </w:r>
    </w:p>
    <w:p>
      <w:pPr>
        <w:spacing w:after="0" w:line="117" w:lineRule="exact"/>
        <w:rPr>
          <w:sz w:val="20"/>
          <w:szCs w:val="20"/>
          <w:color w:val="auto"/>
        </w:rPr>
      </w:pPr>
    </w:p>
    <w:p>
      <w:pPr>
        <w:ind w:left="960" w:right="260" w:hanging="532"/>
        <w:spacing w:after="0" w:line="270" w:lineRule="auto"/>
        <w:tabs>
          <w:tab w:leader="none" w:pos="9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margin increased to 40.0% from 39.3% driven by higher operating leverage. Foreign currency negatively impacted the year-over-year change in adjusted EBITDA margin by 60 basis points.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Audit &amp; Accounting Professionals</w:t>
      </w:r>
    </w:p>
    <w:p>
      <w:pPr>
        <w:spacing w:after="0" w:line="104"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14% at constant currency, including the acquisition impact of SafeSend which was reflected 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Organic revenue growth was 10%.</w:t>
      </w:r>
    </w:p>
    <w:p>
      <w:pPr>
        <w:spacing w:after="0" w:line="59" w:lineRule="exact"/>
        <w:rPr>
          <w:sz w:val="20"/>
          <w:szCs w:val="20"/>
          <w:color w:val="auto"/>
        </w:rPr>
      </w:pPr>
    </w:p>
    <w:p>
      <w:pPr>
        <w:ind w:left="960" w:right="160" w:hanging="532"/>
        <w:spacing w:after="0" w:line="244" w:lineRule="auto"/>
        <w:tabs>
          <w:tab w:leader="none" w:pos="9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Recurring revenues increased 10% (56% of total, all organic). Organic revenue growth was primarily driven by tax and audit products, including CoCounsel, as well as the segment’s Latin America business.</w:t>
      </w:r>
    </w:p>
    <w:p>
      <w:pPr>
        <w:spacing w:after="0" w:line="1" w:lineRule="exact"/>
        <w:rPr>
          <w:rFonts w:ascii="Times New Roman" w:cs="Times New Roman" w:eastAsia="Times New Roman" w:hAnsi="Times New Roman"/>
          <w:sz w:val="18"/>
          <w:szCs w:val="18"/>
          <w:color w:val="auto"/>
        </w:rPr>
      </w:pPr>
    </w:p>
    <w:p>
      <w:pPr>
        <w:ind w:left="960" w:hanging="532"/>
        <w:spacing w:after="0" w:line="249" w:lineRule="auto"/>
        <w:tabs>
          <w:tab w:leader="none" w:pos="9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revenues increased 18% (44% of total, increased 11% organic). Organic revenue growth was primarily driven by SafeSend, SurePrep, UltraTax and Confirmation.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6% to $221 million.</w:t>
      </w:r>
    </w:p>
    <w:p>
      <w:pPr>
        <w:spacing w:after="0" w:line="117" w:lineRule="exact"/>
        <w:rPr>
          <w:sz w:val="20"/>
          <w:szCs w:val="20"/>
          <w:color w:val="auto"/>
        </w:rPr>
      </w:pPr>
    </w:p>
    <w:p>
      <w:pPr>
        <w:ind w:left="960" w:right="120" w:hanging="532"/>
        <w:spacing w:after="0" w:line="270" w:lineRule="auto"/>
        <w:tabs>
          <w:tab w:leader="none" w:pos="9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margin decreased to 53.8% from 56.6% primarily due to higher technology and other costs. Foreign currency negatively impacted the year-over-year change in adjusted EBITDA margin by 40 basis points.</w:t>
      </w:r>
    </w:p>
    <w:p>
      <w:pPr>
        <w:spacing w:after="0" w:line="154"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The Tax, Audit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p>
    <w:p>
      <w:pPr>
        <w:sectPr>
          <w:pgSz w:w="11900" w:h="16838" w:orient="portrait"/>
          <w:cols w:equalWidth="0" w:num="1">
            <w:col w:w="10960"/>
          </w:cols>
          <w:pgMar w:left="440" w:top="1106"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5 of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Reuters</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7% at constant currency (increased 6% organic), primarily due to higher Agency revenues and a contractual price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from the company’s news agreement with the Data &amp; Analytics business of London Stock Exchange Group.</w:t>
      </w:r>
    </w:p>
    <w:p>
      <w:pPr>
        <w:spacing w:after="0" w:line="15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decreased 13% to $ 34 million and the margin decreased to 16.1% from 20.0%, primarily due to foreign currency, which</w:t>
      </w:r>
      <w:r>
        <w:rPr>
          <w:rFonts w:ascii="Arial" w:cs="Arial" w:eastAsia="Arial" w:hAnsi="Arial"/>
          <w:sz w:val="17"/>
          <w:szCs w:val="17"/>
          <w:b w:val="1"/>
          <w:bCs w:val="1"/>
          <w:color w:val="auto"/>
        </w:rPr>
        <w:t xml:space="preserve"> </w:t>
      </w:r>
      <w:r>
        <w:rPr>
          <w:rFonts w:ascii="Arial" w:cs="Arial" w:eastAsia="Arial" w:hAnsi="Arial"/>
          <w:sz w:val="17"/>
          <w:szCs w:val="17"/>
          <w:color w:val="auto"/>
        </w:rPr>
        <w:t>negatively impacted the year-over-year change in adjusted EBITDA margin by 200 basis points, as well as higher editorial and other costs.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Print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decreased 5% at constant currency, all organic, driven by lower shipment volumes.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decreased 2% to $43 million, and the margin increased to 38.6% from 37.8% reflecting lower expenses.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costs </w:t>
      </w:r>
      <w:r>
        <w:rPr>
          <w:rFonts w:ascii="Arial" w:cs="Arial" w:eastAsia="Arial" w:hAnsi="Arial"/>
          <w:sz w:val="18"/>
          <w:szCs w:val="18"/>
          <w:color w:val="auto"/>
        </w:rPr>
        <w:t>were $25 million compared to $33 million in the prior-year period, which included a corporate charge that did not repeat.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2026 Outlook</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maintained its 2026 full-year outlook announced on February 5, 2026 for all metrics, except for net interest expense which is expected to be in the $180 - $190 million range compared to the $150 - $ 160 million range in the company’s February 2026 outlook. The increase reflects the impact of the $1.2 billion share repurchase program and return of capital and share consolidation transactions, as announced on February 25, 2026, on the company’s net debt position.</w:t>
      </w:r>
    </w:p>
    <w:p>
      <w:pPr>
        <w:spacing w:after="0" w:line="17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company’s outlook for 2026 in the table below assumes constant currency rates and incorporates the recent Noetica acquisition, but excludes the impact of any future acquisitions or dispositions that may occur during the remainder of the year. Thomson Reuters believes that this type of guidance provides useful insight into the anticipated performance of its businesses.</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expects its second-quarter 2026 organic revenue growth to be in a range of 7% - 8% and its adjusted EBITDA margin to be approximately 38%.</w:t>
      </w:r>
    </w:p>
    <w:p>
      <w:pPr>
        <w:spacing w:after="0" w:line="15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company’s 2026 outlook is forward-looking information that is subject to risks and uncertainties (see “Special Note Regarding Forward-Looking Statements, Material Risks and Material Assumptions”). In particular, the company continues to operate in an uncertain macroeconomic environment, reflecting ongoing geopolitical risk, uneven economic growth, and an evolving interest rate and inflationary backdrop. Any worsening of the global economic or business environment, among other factors, could impact the company’s ability to achieve its outlook.</w:t>
      </w:r>
    </w:p>
    <w:p>
      <w:pPr>
        <w:sectPr>
          <w:pgSz w:w="11900" w:h="16838" w:orient="portrait"/>
          <w:cols w:equalWidth="0" w:num="1">
            <w:col w:w="11000"/>
          </w:cols>
          <w:pgMar w:left="440" w:top="1106" w:right="45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6 of 18</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Reported Full-Year 2025 Results and Full-Year 2026 Outlook</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6580" w:type="dxa"/>
            <w:vAlign w:val="bottom"/>
            <w:tcBorders>
              <w:top w:val="single" w:sz="8" w:color="A6A6A6"/>
              <w:left w:val="single" w:sz="8" w:color="A6A6A6"/>
              <w:right w:val="single" w:sz="8" w:color="A6A6A6"/>
            </w:tcBorders>
          </w:tcPr>
          <w:p>
            <w:pPr>
              <w:spacing w:after="0"/>
              <w:rPr>
                <w:sz w:val="23"/>
                <w:szCs w:val="23"/>
                <w:color w:val="auto"/>
              </w:rPr>
            </w:pPr>
          </w:p>
        </w:tc>
        <w:tc>
          <w:tcPr>
            <w:tcW w:w="1160" w:type="dxa"/>
            <w:vAlign w:val="bottom"/>
            <w:tcBorders>
              <w:top w:val="single" w:sz="8" w:color="A6A6A6"/>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FY 2025</w:t>
            </w:r>
          </w:p>
        </w:tc>
        <w:tc>
          <w:tcPr>
            <w:tcW w:w="164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20"/>
                <w:szCs w:val="20"/>
                <w:b w:val="1"/>
                <w:bCs w:val="1"/>
                <w:color w:val="D64000"/>
                <w:w w:val="97"/>
              </w:rPr>
              <w:t>FY 2026</w:t>
            </w:r>
          </w:p>
        </w:tc>
        <w:tc>
          <w:tcPr>
            <w:tcW w:w="1660" w:type="dxa"/>
            <w:vAlign w:val="bottom"/>
            <w:tcBorders>
              <w:top w:val="single" w:sz="8" w:color="A6A6A6"/>
              <w:right w:val="single" w:sz="8" w:color="A6A6A6"/>
            </w:tcBorders>
            <w:shd w:val="clear" w:color="auto" w:fill="F8EADD"/>
          </w:tcPr>
          <w:p>
            <w:pPr>
              <w:ind w:left="480"/>
              <w:spacing w:after="0"/>
              <w:rPr>
                <w:sz w:val="20"/>
                <w:szCs w:val="20"/>
                <w:color w:val="auto"/>
              </w:rPr>
            </w:pPr>
            <w:r>
              <w:rPr>
                <w:rFonts w:ascii="Arial" w:cs="Arial" w:eastAsia="Arial" w:hAnsi="Arial"/>
                <w:sz w:val="20"/>
                <w:szCs w:val="20"/>
                <w:b w:val="1"/>
                <w:bCs w:val="1"/>
                <w:color w:val="0070C0"/>
              </w:rPr>
              <w:t>FY 2026</w:t>
            </w:r>
          </w:p>
        </w:tc>
        <w:tc>
          <w:tcPr>
            <w:tcW w:w="0" w:type="dxa"/>
            <w:vAlign w:val="bottom"/>
          </w:tcPr>
          <w:p>
            <w:pPr>
              <w:spacing w:after="0"/>
              <w:rPr>
                <w:sz w:val="1"/>
                <w:szCs w:val="1"/>
                <w:color w:val="auto"/>
              </w:rPr>
            </w:pPr>
          </w:p>
        </w:tc>
      </w:tr>
      <w:tr>
        <w:trPr>
          <w:trHeight w:val="108"/>
        </w:trPr>
        <w:tc>
          <w:tcPr>
            <w:tcW w:w="6580" w:type="dxa"/>
            <w:vAlign w:val="bottom"/>
            <w:tcBorders>
              <w:left w:val="single" w:sz="8" w:color="A6A6A6"/>
              <w:right w:val="single" w:sz="8" w:color="A6A6A6"/>
            </w:tcBorders>
            <w:vMerge w:val="restart"/>
          </w:tcPr>
          <w:p>
            <w:pPr>
              <w:ind w:left="180"/>
              <w:spacing w:after="0" w:line="216" w:lineRule="exact"/>
              <w:rPr>
                <w:sz w:val="20"/>
                <w:szCs w:val="20"/>
                <w:color w:val="auto"/>
              </w:rPr>
            </w:pPr>
            <w:r>
              <w:rPr>
                <w:rFonts w:ascii="Arial" w:cs="Arial" w:eastAsia="Arial" w:hAnsi="Arial"/>
                <w:sz w:val="20"/>
                <w:szCs w:val="20"/>
                <w:b w:val="1"/>
                <w:bCs w:val="1"/>
                <w:color w:val="D64000"/>
              </w:rPr>
              <w:t>Total Thomson Reuters</w:t>
            </w:r>
          </w:p>
        </w:tc>
        <w:tc>
          <w:tcPr>
            <w:tcW w:w="1160" w:type="dxa"/>
            <w:vAlign w:val="bottom"/>
            <w:tcBorders>
              <w:right w:val="single" w:sz="8" w:color="A6A6A6"/>
            </w:tcBorders>
            <w:vMerge w:val="continue"/>
          </w:tcPr>
          <w:p>
            <w:pPr>
              <w:spacing w:after="0"/>
              <w:rPr>
                <w:sz w:val="9"/>
                <w:szCs w:val="9"/>
                <w:color w:val="auto"/>
              </w:rPr>
            </w:pPr>
          </w:p>
        </w:tc>
        <w:tc>
          <w:tcPr>
            <w:tcW w:w="1640" w:type="dxa"/>
            <w:vAlign w:val="bottom"/>
            <w:tcBorders>
              <w:right w:val="single" w:sz="8" w:color="A6A6A6"/>
            </w:tcBorders>
            <w:vMerge w:val="restart"/>
          </w:tcPr>
          <w:p>
            <w:pPr>
              <w:jc w:val="center"/>
              <w:spacing w:after="0" w:line="216" w:lineRule="exact"/>
              <w:rPr>
                <w:sz w:val="20"/>
                <w:szCs w:val="20"/>
                <w:color w:val="auto"/>
              </w:rPr>
            </w:pPr>
            <w:r>
              <w:rPr>
                <w:rFonts w:ascii="Arial" w:cs="Arial" w:eastAsia="Arial" w:hAnsi="Arial"/>
                <w:sz w:val="20"/>
                <w:szCs w:val="20"/>
                <w:b w:val="1"/>
                <w:bCs w:val="1"/>
                <w:color w:val="D64000"/>
                <w:w w:val="97"/>
              </w:rPr>
              <w:t>Outlook</w:t>
            </w:r>
          </w:p>
        </w:tc>
        <w:tc>
          <w:tcPr>
            <w:tcW w:w="1660" w:type="dxa"/>
            <w:vAlign w:val="bottom"/>
            <w:tcBorders>
              <w:right w:val="single" w:sz="8" w:color="A6A6A6"/>
            </w:tcBorders>
            <w:vMerge w:val="restart"/>
            <w:shd w:val="clear" w:color="auto" w:fill="F8EADD"/>
          </w:tcPr>
          <w:p>
            <w:pPr>
              <w:ind w:left="480"/>
              <w:spacing w:after="0" w:line="216"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108"/>
        </w:trPr>
        <w:tc>
          <w:tcPr>
            <w:tcW w:w="6580" w:type="dxa"/>
            <w:vAlign w:val="bottom"/>
            <w:tcBorders>
              <w:left w:val="single" w:sz="8" w:color="A6A6A6"/>
              <w:right w:val="single" w:sz="8" w:color="A6A6A6"/>
            </w:tcBorders>
            <w:vMerge w:val="continue"/>
          </w:tcPr>
          <w:p>
            <w:pPr>
              <w:spacing w:after="0"/>
              <w:rPr>
                <w:sz w:val="9"/>
                <w:szCs w:val="9"/>
                <w:color w:val="auto"/>
              </w:rPr>
            </w:pPr>
          </w:p>
        </w:tc>
        <w:tc>
          <w:tcPr>
            <w:tcW w:w="1160" w:type="dxa"/>
            <w:vAlign w:val="bottom"/>
            <w:tcBorders>
              <w:right w:val="single" w:sz="8" w:color="A6A6A6"/>
            </w:tcBorders>
            <w:vMerge w:val="restart"/>
          </w:tcPr>
          <w:p>
            <w:pPr>
              <w:ind w:left="160"/>
              <w:spacing w:after="0"/>
              <w:rPr>
                <w:sz w:val="20"/>
                <w:szCs w:val="20"/>
                <w:color w:val="auto"/>
              </w:rPr>
            </w:pPr>
            <w:r>
              <w:rPr>
                <w:rFonts w:ascii="Arial" w:cs="Arial" w:eastAsia="Arial" w:hAnsi="Arial"/>
                <w:sz w:val="20"/>
                <w:szCs w:val="20"/>
                <w:b w:val="1"/>
                <w:bCs w:val="1"/>
                <w:color w:val="404040"/>
              </w:rPr>
              <w:t>Reported </w:t>
            </w:r>
          </w:p>
        </w:tc>
        <w:tc>
          <w:tcPr>
            <w:tcW w:w="1640" w:type="dxa"/>
            <w:vAlign w:val="bottom"/>
            <w:tcBorders>
              <w:right w:val="single" w:sz="8" w:color="A6A6A6"/>
            </w:tcBorders>
            <w:vMerge w:val="continue"/>
          </w:tcPr>
          <w:p>
            <w:pPr>
              <w:spacing w:after="0"/>
              <w:rPr>
                <w:sz w:val="9"/>
                <w:szCs w:val="9"/>
                <w:color w:val="auto"/>
              </w:rPr>
            </w:pPr>
          </w:p>
        </w:tc>
        <w:tc>
          <w:tcPr>
            <w:tcW w:w="1660" w:type="dxa"/>
            <w:vAlign w:val="bottom"/>
            <w:tcBorders>
              <w:right w:val="single" w:sz="8" w:color="A6A6A6"/>
            </w:tcBorders>
            <w:vMerge w:val="continue"/>
            <w:shd w:val="clear" w:color="auto" w:fill="F8EADD"/>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580" w:type="dxa"/>
            <w:vAlign w:val="bottom"/>
            <w:tcBorders>
              <w:left w:val="single" w:sz="8" w:color="A6A6A6"/>
              <w:right w:val="single" w:sz="8" w:color="A6A6A6"/>
            </w:tcBorders>
          </w:tcPr>
          <w:p>
            <w:pPr>
              <w:spacing w:after="0"/>
              <w:rPr>
                <w:sz w:val="14"/>
                <w:szCs w:val="14"/>
                <w:color w:val="auto"/>
              </w:rPr>
            </w:pPr>
          </w:p>
        </w:tc>
        <w:tc>
          <w:tcPr>
            <w:tcW w:w="1160" w:type="dxa"/>
            <w:vAlign w:val="bottom"/>
            <w:tcBorders>
              <w:right w:val="single" w:sz="8" w:color="A6A6A6"/>
            </w:tcBorders>
            <w:vMerge w:val="continue"/>
          </w:tcPr>
          <w:p>
            <w:pPr>
              <w:spacing w:after="0"/>
              <w:rPr>
                <w:sz w:val="14"/>
                <w:szCs w:val="14"/>
                <w:color w:val="auto"/>
              </w:rPr>
            </w:pPr>
          </w:p>
        </w:tc>
        <w:tc>
          <w:tcPr>
            <w:tcW w:w="164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D64000"/>
              </w:rPr>
              <w:t>2/5/2026</w:t>
            </w:r>
          </w:p>
        </w:tc>
        <w:tc>
          <w:tcPr>
            <w:tcW w:w="1660" w:type="dxa"/>
            <w:vAlign w:val="bottom"/>
            <w:tcBorders>
              <w:right w:val="single" w:sz="8" w:color="A6A6A6"/>
            </w:tcBorders>
            <w:vMerge w:val="restart"/>
            <w:shd w:val="clear" w:color="auto" w:fill="F8EADD"/>
          </w:tcPr>
          <w:p>
            <w:pPr>
              <w:ind w:left="460"/>
              <w:spacing w:after="0"/>
              <w:rPr>
                <w:sz w:val="20"/>
                <w:szCs w:val="20"/>
                <w:color w:val="auto"/>
              </w:rPr>
            </w:pPr>
            <w:r>
              <w:rPr>
                <w:rFonts w:ascii="Arial" w:cs="Arial" w:eastAsia="Arial" w:hAnsi="Arial"/>
                <w:sz w:val="20"/>
                <w:szCs w:val="20"/>
                <w:b w:val="1"/>
                <w:bCs w:val="1"/>
                <w:color w:val="0070C0"/>
              </w:rPr>
              <w:t>5/5/2026</w:t>
            </w:r>
          </w:p>
        </w:tc>
        <w:tc>
          <w:tcPr>
            <w:tcW w:w="0" w:type="dxa"/>
            <w:vAlign w:val="bottom"/>
          </w:tcPr>
          <w:p>
            <w:pPr>
              <w:spacing w:after="0"/>
              <w:rPr>
                <w:sz w:val="1"/>
                <w:szCs w:val="1"/>
                <w:color w:val="auto"/>
              </w:rPr>
            </w:pPr>
          </w:p>
        </w:tc>
      </w:tr>
      <w:tr>
        <w:trPr>
          <w:trHeight w:val="149"/>
        </w:trPr>
        <w:tc>
          <w:tcPr>
            <w:tcW w:w="6580" w:type="dxa"/>
            <w:vAlign w:val="bottom"/>
            <w:tcBorders>
              <w:left w:val="single" w:sz="8" w:color="A6A6A6"/>
              <w:right w:val="single" w:sz="8" w:color="A6A6A6"/>
            </w:tcBorders>
          </w:tcPr>
          <w:p>
            <w:pPr>
              <w:spacing w:after="0"/>
              <w:rPr>
                <w:sz w:val="12"/>
                <w:szCs w:val="12"/>
                <w:color w:val="auto"/>
              </w:rPr>
            </w:pPr>
          </w:p>
        </w:tc>
        <w:tc>
          <w:tcPr>
            <w:tcW w:w="1160" w:type="dxa"/>
            <w:vAlign w:val="bottom"/>
            <w:tcBorders>
              <w:right w:val="single" w:sz="8" w:color="A6A6A6"/>
            </w:tcBorders>
          </w:tcPr>
          <w:p>
            <w:pPr>
              <w:spacing w:after="0"/>
              <w:rPr>
                <w:sz w:val="12"/>
                <w:szCs w:val="12"/>
                <w:color w:val="auto"/>
              </w:rPr>
            </w:pPr>
          </w:p>
        </w:tc>
        <w:tc>
          <w:tcPr>
            <w:tcW w:w="1640" w:type="dxa"/>
            <w:vAlign w:val="bottom"/>
            <w:tcBorders>
              <w:right w:val="single" w:sz="8" w:color="A6A6A6"/>
            </w:tcBorders>
            <w:vMerge w:val="continue"/>
          </w:tcPr>
          <w:p>
            <w:pPr>
              <w:spacing w:after="0"/>
              <w:rPr>
                <w:sz w:val="12"/>
                <w:szCs w:val="12"/>
                <w:color w:val="auto"/>
              </w:rPr>
            </w:pPr>
          </w:p>
        </w:tc>
        <w:tc>
          <w:tcPr>
            <w:tcW w:w="1660" w:type="dxa"/>
            <w:vAlign w:val="bottom"/>
            <w:tcBorders>
              <w:bottom w:val="single" w:sz="8" w:color="F8EADD"/>
              <w:right w:val="single" w:sz="8" w:color="A6A6A6"/>
            </w:tcBorders>
            <w:vMerge w:val="continue"/>
            <w:shd w:val="clear" w:color="auto" w:fill="F8EADD"/>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65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Total Revenue Growth</w:t>
            </w:r>
          </w:p>
        </w:tc>
        <w:tc>
          <w:tcPr>
            <w:tcW w:w="1160" w:type="dxa"/>
            <w:vAlign w:val="bottom"/>
            <w:tcBorders>
              <w:top w:val="single" w:sz="8" w:color="A6A6A6"/>
              <w:bottom w:val="single" w:sz="8" w:color="A6A6A6"/>
              <w:right w:val="single" w:sz="8" w:color="A6A6A6"/>
            </w:tcBorders>
            <w:shd w:val="clear" w:color="auto" w:fill="F2F2F2"/>
          </w:tcPr>
          <w:p>
            <w:pPr>
              <w:jc w:val="center"/>
              <w:spacing w:after="0" w:line="296" w:lineRule="exact"/>
              <w:rPr>
                <w:sz w:val="20"/>
                <w:szCs w:val="20"/>
                <w:color w:val="auto"/>
              </w:rPr>
            </w:pPr>
            <w:r>
              <w:rPr>
                <w:rFonts w:ascii="Arial" w:cs="Arial" w:eastAsia="Arial" w:hAnsi="Arial"/>
                <w:sz w:val="32"/>
                <w:szCs w:val="32"/>
                <w:color w:val="auto"/>
                <w:w w:val="83"/>
                <w:vertAlign w:val="subscript"/>
              </w:rPr>
              <w:t>3%</w:t>
            </w:r>
            <w:r>
              <w:rPr>
                <w:rFonts w:ascii="Arial" w:cs="Arial" w:eastAsia="Arial" w:hAnsi="Arial"/>
                <w:sz w:val="12"/>
                <w:szCs w:val="12"/>
                <w:color w:val="auto"/>
                <w:w w:val="83"/>
              </w:rPr>
              <w:t>(2)</w:t>
            </w:r>
          </w:p>
        </w:tc>
        <w:tc>
          <w:tcPr>
            <w:tcW w:w="164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7.5% - 8.0%</w:t>
            </w:r>
          </w:p>
        </w:tc>
        <w:tc>
          <w:tcPr>
            <w:tcW w:w="166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Organic Revenue Growth</w:t>
            </w:r>
            <w:r>
              <w:rPr>
                <w:rFonts w:ascii="Arial" w:cs="Arial" w:eastAsia="Arial" w:hAnsi="Arial"/>
                <w:sz w:val="24"/>
                <w:szCs w:val="24"/>
                <w:color w:val="auto"/>
                <w:vertAlign w:val="superscript"/>
              </w:rPr>
              <w:t>(1)</w:t>
            </w:r>
          </w:p>
        </w:tc>
        <w:tc>
          <w:tcPr>
            <w:tcW w:w="11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4"/>
              </w:rPr>
              <w:t>7%</w:t>
            </w:r>
          </w:p>
        </w:tc>
        <w:tc>
          <w:tcPr>
            <w:tcW w:w="16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7.5% - 8.0%</w:t>
            </w:r>
          </w:p>
        </w:tc>
        <w:tc>
          <w:tcPr>
            <w:tcW w:w="1660" w:type="dxa"/>
            <w:vAlign w:val="bottom"/>
            <w:tcBorders>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4"/>
                <w:szCs w:val="24"/>
                <w:color w:val="auto"/>
                <w:vertAlign w:val="superscript"/>
              </w:rPr>
              <w:t>(1)</w:t>
            </w:r>
          </w:p>
        </w:tc>
        <w:tc>
          <w:tcPr>
            <w:tcW w:w="116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39.2%</w:t>
            </w:r>
          </w:p>
        </w:tc>
        <w:tc>
          <w:tcPr>
            <w:tcW w:w="164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+100bps vs 2025</w:t>
            </w:r>
          </w:p>
        </w:tc>
        <w:tc>
          <w:tcPr>
            <w:tcW w:w="1660" w:type="dxa"/>
            <w:vAlign w:val="bottom"/>
            <w:tcBorders>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Corporate Costs</w:t>
            </w:r>
          </w:p>
        </w:tc>
        <w:tc>
          <w:tcPr>
            <w:tcW w:w="116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rPr>
              <w:t>$118 million</w:t>
            </w:r>
          </w:p>
        </w:tc>
        <w:tc>
          <w:tcPr>
            <w:tcW w:w="16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rPr>
              <w:t>$115 - $125 million</w:t>
            </w:r>
          </w:p>
        </w:tc>
        <w:tc>
          <w:tcPr>
            <w:tcW w:w="1660" w:type="dxa"/>
            <w:vAlign w:val="bottom"/>
            <w:tcBorders>
              <w:bottom w:val="single" w:sz="8" w:color="F8EADD"/>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w:t>
            </w:r>
          </w:p>
        </w:tc>
        <w:tc>
          <w:tcPr>
            <w:tcW w:w="116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$1.95 billion</w:t>
            </w:r>
          </w:p>
        </w:tc>
        <w:tc>
          <w:tcPr>
            <w:tcW w:w="164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~$2.1 billion</w:t>
            </w:r>
          </w:p>
        </w:tc>
        <w:tc>
          <w:tcPr>
            <w:tcW w:w="166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Accrued Capex as % of Revenues</w:t>
            </w:r>
            <w:r>
              <w:rPr>
                <w:rFonts w:ascii="Arial" w:cs="Arial" w:eastAsia="Arial" w:hAnsi="Arial"/>
                <w:sz w:val="24"/>
                <w:szCs w:val="24"/>
                <w:color w:val="auto"/>
                <w:vertAlign w:val="superscript"/>
              </w:rPr>
              <w:t>(1)</w:t>
            </w:r>
          </w:p>
        </w:tc>
        <w:tc>
          <w:tcPr>
            <w:tcW w:w="11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8.2%</w:t>
            </w:r>
          </w:p>
        </w:tc>
        <w:tc>
          <w:tcPr>
            <w:tcW w:w="16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~8.0%</w:t>
            </w:r>
          </w:p>
        </w:tc>
        <w:tc>
          <w:tcPr>
            <w:tcW w:w="1660" w:type="dxa"/>
            <w:vAlign w:val="bottom"/>
            <w:tcBorders>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34"/>
        </w:trPr>
        <w:tc>
          <w:tcPr>
            <w:tcW w:w="6580" w:type="dxa"/>
            <w:vAlign w:val="bottom"/>
            <w:tcBorders>
              <w:left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Depreciation &amp; Amortization of Software</w:t>
            </w:r>
          </w:p>
        </w:tc>
        <w:tc>
          <w:tcPr>
            <w:tcW w:w="116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$832 million</w:t>
            </w:r>
          </w:p>
        </w:tc>
        <w:tc>
          <w:tcPr>
            <w:tcW w:w="164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$890- $910 million</w:t>
            </w:r>
          </w:p>
        </w:tc>
        <w:tc>
          <w:tcPr>
            <w:tcW w:w="1660" w:type="dxa"/>
            <w:vAlign w:val="bottom"/>
            <w:tcBorders>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162"/>
        </w:trPr>
        <w:tc>
          <w:tcPr>
            <w:tcW w:w="6580" w:type="dxa"/>
            <w:vAlign w:val="bottom"/>
            <w:tcBorders>
              <w:left w:val="single" w:sz="8" w:color="A6A6A6"/>
              <w:right w:val="single" w:sz="8" w:color="A6A6A6"/>
            </w:tcBorders>
            <w:shd w:val="clear" w:color="auto" w:fill="F2F2F2"/>
          </w:tcPr>
          <w:p>
            <w:pPr>
              <w:ind w:left="380"/>
              <w:spacing w:after="0"/>
              <w:rPr>
                <w:sz w:val="20"/>
                <w:szCs w:val="20"/>
                <w:color w:val="auto"/>
              </w:rPr>
            </w:pPr>
            <w:r>
              <w:rPr>
                <w:rFonts w:ascii="Arial" w:cs="Arial" w:eastAsia="Arial" w:hAnsi="Arial"/>
                <w:sz w:val="14"/>
                <w:szCs w:val="14"/>
                <w:color w:val="auto"/>
              </w:rPr>
              <w:t>Depreciation &amp; Amortization of Internally Developed Software</w:t>
            </w:r>
          </w:p>
        </w:tc>
        <w:tc>
          <w:tcPr>
            <w:tcW w:w="116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$626 million</w:t>
            </w:r>
          </w:p>
        </w:tc>
        <w:tc>
          <w:tcPr>
            <w:tcW w:w="164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$680 - $690 million</w:t>
            </w:r>
          </w:p>
        </w:tc>
        <w:tc>
          <w:tcPr>
            <w:tcW w:w="1660" w:type="dxa"/>
            <w:vAlign w:val="bottom"/>
            <w:tcBorders>
              <w:right w:val="single" w:sz="8" w:color="A6A6A6"/>
            </w:tcBorders>
            <w:shd w:val="clear" w:color="auto" w:fill="F8EADD"/>
          </w:tcPr>
          <w:p>
            <w:pPr>
              <w:ind w:left="500"/>
              <w:spacing w:after="0"/>
              <w:rPr>
                <w:sz w:val="20"/>
                <w:szCs w:val="20"/>
                <w:color w:val="auto"/>
              </w:rPr>
            </w:pPr>
            <w:r>
              <w:rPr>
                <w:rFonts w:ascii="Arial" w:cs="Arial" w:eastAsia="Arial" w:hAnsi="Arial"/>
                <w:sz w:val="14"/>
                <w:szCs w:val="14"/>
                <w:color w:val="auto"/>
              </w:rPr>
              <w:t>Unchanged</w:t>
            </w:r>
          </w:p>
        </w:tc>
        <w:tc>
          <w:tcPr>
            <w:tcW w:w="0" w:type="dxa"/>
            <w:vAlign w:val="bottom"/>
          </w:tcPr>
          <w:p>
            <w:pPr>
              <w:spacing w:after="0"/>
              <w:rPr>
                <w:sz w:val="1"/>
                <w:szCs w:val="1"/>
                <w:color w:val="auto"/>
              </w:rPr>
            </w:pPr>
          </w:p>
        </w:tc>
      </w:tr>
      <w:tr>
        <w:trPr>
          <w:trHeight w:val="251"/>
        </w:trPr>
        <w:tc>
          <w:tcPr>
            <w:tcW w:w="6580" w:type="dxa"/>
            <w:vAlign w:val="bottom"/>
            <w:tcBorders>
              <w:left w:val="single" w:sz="8" w:color="A6A6A6"/>
              <w:bottom w:val="single" w:sz="8" w:color="F2F2F2"/>
              <w:right w:val="single" w:sz="8" w:color="A6A6A6"/>
            </w:tcBorders>
            <w:shd w:val="clear" w:color="auto" w:fill="F2F2F2"/>
          </w:tcPr>
          <w:p>
            <w:pPr>
              <w:ind w:left="380"/>
              <w:spacing w:after="0"/>
              <w:rPr>
                <w:sz w:val="20"/>
                <w:szCs w:val="20"/>
                <w:color w:val="auto"/>
              </w:rPr>
            </w:pPr>
            <w:r>
              <w:rPr>
                <w:rFonts w:ascii="Arial" w:cs="Arial" w:eastAsia="Arial" w:hAnsi="Arial"/>
                <w:sz w:val="14"/>
                <w:szCs w:val="14"/>
                <w:color w:val="auto"/>
              </w:rPr>
              <w:t>Amortization of Acquired Software</w:t>
            </w:r>
          </w:p>
        </w:tc>
        <w:tc>
          <w:tcPr>
            <w:tcW w:w="116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$206 million</w:t>
            </w:r>
          </w:p>
        </w:tc>
        <w:tc>
          <w:tcPr>
            <w:tcW w:w="164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$210 - $220 million</w:t>
            </w:r>
          </w:p>
        </w:tc>
        <w:tc>
          <w:tcPr>
            <w:tcW w:w="1660" w:type="dxa"/>
            <w:vAlign w:val="bottom"/>
            <w:tcBorders>
              <w:bottom w:val="single" w:sz="8" w:color="F8EADD"/>
              <w:right w:val="single" w:sz="8" w:color="A6A6A6"/>
            </w:tcBorders>
            <w:shd w:val="clear" w:color="auto" w:fill="F8EADD"/>
          </w:tcPr>
          <w:p>
            <w:pPr>
              <w:ind w:left="500"/>
              <w:spacing w:after="0"/>
              <w:rPr>
                <w:sz w:val="20"/>
                <w:szCs w:val="20"/>
                <w:color w:val="auto"/>
              </w:rPr>
            </w:pPr>
            <w:r>
              <w:rPr>
                <w:rFonts w:ascii="Arial" w:cs="Arial" w:eastAsia="Arial" w:hAnsi="Arial"/>
                <w:sz w:val="14"/>
                <w:szCs w:val="14"/>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top w:val="single" w:sz="8" w:color="A6A6A6"/>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Net Interest Expense</w:t>
            </w:r>
          </w:p>
        </w:tc>
        <w:tc>
          <w:tcPr>
            <w:tcW w:w="116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2"/>
              </w:rPr>
              <w:t>  $143 million </w:t>
            </w:r>
          </w:p>
        </w:tc>
        <w:tc>
          <w:tcPr>
            <w:tcW w:w="164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4"/>
              </w:rPr>
              <w:t>  $150 - $160 million </w:t>
            </w:r>
          </w:p>
        </w:tc>
        <w:tc>
          <w:tcPr>
            <w:tcW w:w="1660" w:type="dxa"/>
            <w:vAlign w:val="bottom"/>
            <w:tcBorders>
              <w:top w:val="single" w:sz="8" w:color="A6A6A6"/>
              <w:bottom w:val="single" w:sz="8" w:color="F8EADD"/>
              <w:right w:val="single" w:sz="8" w:color="A6A6A6"/>
            </w:tcBorders>
            <w:shd w:val="clear" w:color="auto" w:fill="F8EADD"/>
          </w:tcPr>
          <w:p>
            <w:pPr>
              <w:ind w:left="80"/>
              <w:spacing w:after="0"/>
              <w:rPr>
                <w:sz w:val="20"/>
                <w:szCs w:val="20"/>
                <w:color w:val="auto"/>
              </w:rPr>
            </w:pPr>
            <w:r>
              <w:rPr>
                <w:rFonts w:ascii="Arial" w:cs="Arial" w:eastAsia="Arial" w:hAnsi="Arial"/>
                <w:sz w:val="16"/>
                <w:szCs w:val="16"/>
                <w:color w:val="auto"/>
              </w:rPr>
              <w:t>  $180 - $190 million</w:t>
            </w:r>
          </w:p>
        </w:tc>
        <w:tc>
          <w:tcPr>
            <w:tcW w:w="0" w:type="dxa"/>
            <w:vAlign w:val="bottom"/>
          </w:tcPr>
          <w:p>
            <w:pPr>
              <w:spacing w:after="0"/>
              <w:rPr>
                <w:sz w:val="1"/>
                <w:szCs w:val="1"/>
                <w:color w:val="auto"/>
              </w:rPr>
            </w:pPr>
          </w:p>
        </w:tc>
      </w:tr>
      <w:tr>
        <w:trPr>
          <w:trHeight w:val="304"/>
        </w:trPr>
        <w:tc>
          <w:tcPr>
            <w:tcW w:w="65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Effective Tax Rate on Adjusted Earnings</w:t>
            </w:r>
            <w:r>
              <w:rPr>
                <w:rFonts w:ascii="Arial" w:cs="Arial" w:eastAsia="Arial" w:hAnsi="Arial"/>
                <w:sz w:val="24"/>
                <w:szCs w:val="24"/>
                <w:color w:val="auto"/>
                <w:vertAlign w:val="superscript"/>
              </w:rPr>
              <w:t>(1)</w:t>
            </w:r>
          </w:p>
        </w:tc>
        <w:tc>
          <w:tcPr>
            <w:tcW w:w="116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18.5%</w:t>
            </w:r>
          </w:p>
        </w:tc>
        <w:tc>
          <w:tcPr>
            <w:tcW w:w="164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w:t>
            </w:r>
          </w:p>
        </w:tc>
        <w:tc>
          <w:tcPr>
            <w:tcW w:w="166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46"/>
        </w:trPr>
        <w:tc>
          <w:tcPr>
            <w:tcW w:w="6580" w:type="dxa"/>
            <w:vAlign w:val="bottom"/>
            <w:tcBorders>
              <w:left w:val="single" w:sz="8" w:color="A6A6A6"/>
              <w:right w:val="single" w:sz="8" w:color="A6A6A6"/>
            </w:tcBorders>
          </w:tcPr>
          <w:p>
            <w:pPr>
              <w:spacing w:after="0"/>
              <w:rPr>
                <w:sz w:val="21"/>
                <w:szCs w:val="21"/>
                <w:color w:val="auto"/>
              </w:rPr>
            </w:pPr>
          </w:p>
        </w:tc>
        <w:tc>
          <w:tcPr>
            <w:tcW w:w="116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FY 2025</w:t>
            </w:r>
          </w:p>
        </w:tc>
        <w:tc>
          <w:tcPr>
            <w:tcW w:w="1640" w:type="dxa"/>
            <w:vAlign w:val="bottom"/>
            <w:tcBorders>
              <w:right w:val="single" w:sz="8" w:color="A6A6A6"/>
            </w:tcBorders>
          </w:tcPr>
          <w:p>
            <w:pPr>
              <w:jc w:val="center"/>
              <w:spacing w:after="0"/>
              <w:rPr>
                <w:sz w:val="20"/>
                <w:szCs w:val="20"/>
                <w:color w:val="auto"/>
              </w:rPr>
            </w:pPr>
            <w:r>
              <w:rPr>
                <w:rFonts w:ascii="Arial" w:cs="Arial" w:eastAsia="Arial" w:hAnsi="Arial"/>
                <w:sz w:val="20"/>
                <w:szCs w:val="20"/>
                <w:b w:val="1"/>
                <w:bCs w:val="1"/>
                <w:color w:val="D64000"/>
                <w:w w:val="97"/>
              </w:rPr>
              <w:t>FY 2026</w:t>
            </w:r>
          </w:p>
        </w:tc>
        <w:tc>
          <w:tcPr>
            <w:tcW w:w="1660" w:type="dxa"/>
            <w:vAlign w:val="bottom"/>
            <w:tcBorders>
              <w:right w:val="single" w:sz="8" w:color="A6A6A6"/>
            </w:tcBorders>
            <w:shd w:val="clear" w:color="auto" w:fill="F8EADD"/>
          </w:tcPr>
          <w:p>
            <w:pPr>
              <w:ind w:left="480"/>
              <w:spacing w:after="0"/>
              <w:rPr>
                <w:sz w:val="20"/>
                <w:szCs w:val="20"/>
                <w:color w:val="auto"/>
              </w:rPr>
            </w:pPr>
            <w:r>
              <w:rPr>
                <w:rFonts w:ascii="Arial" w:cs="Arial" w:eastAsia="Arial" w:hAnsi="Arial"/>
                <w:sz w:val="20"/>
                <w:szCs w:val="20"/>
                <w:b w:val="1"/>
                <w:bCs w:val="1"/>
                <w:color w:val="0070C0"/>
              </w:rPr>
              <w:t>FY 2026</w:t>
            </w:r>
          </w:p>
        </w:tc>
        <w:tc>
          <w:tcPr>
            <w:tcW w:w="0" w:type="dxa"/>
            <w:vAlign w:val="bottom"/>
          </w:tcPr>
          <w:p>
            <w:pPr>
              <w:spacing w:after="0"/>
              <w:rPr>
                <w:sz w:val="1"/>
                <w:szCs w:val="1"/>
                <w:color w:val="auto"/>
              </w:rPr>
            </w:pPr>
          </w:p>
        </w:tc>
      </w:tr>
      <w:tr>
        <w:trPr>
          <w:trHeight w:val="108"/>
        </w:trPr>
        <w:tc>
          <w:tcPr>
            <w:tcW w:w="6580" w:type="dxa"/>
            <w:vAlign w:val="bottom"/>
            <w:tcBorders>
              <w:left w:val="single" w:sz="8" w:color="A6A6A6"/>
              <w:right w:val="single" w:sz="8" w:color="A6A6A6"/>
            </w:tcBorders>
            <w:vMerge w:val="restart"/>
          </w:tcPr>
          <w:p>
            <w:pPr>
              <w:ind w:left="180"/>
              <w:spacing w:after="0" w:line="216" w:lineRule="exact"/>
              <w:rPr>
                <w:sz w:val="20"/>
                <w:szCs w:val="20"/>
                <w:color w:val="auto"/>
              </w:rPr>
            </w:pPr>
            <w:r>
              <w:rPr>
                <w:rFonts w:ascii="Arial" w:cs="Arial" w:eastAsia="Arial" w:hAnsi="Arial"/>
                <w:sz w:val="17"/>
                <w:szCs w:val="17"/>
                <w:b w:val="1"/>
                <w:bCs w:val="1"/>
                <w:color w:val="D64000"/>
              </w:rPr>
              <w:t>“Big 3” Segments</w:t>
            </w:r>
            <w:r>
              <w:rPr>
                <w:rFonts w:ascii="Arial" w:cs="Arial" w:eastAsia="Arial" w:hAnsi="Arial"/>
                <w:sz w:val="25"/>
                <w:szCs w:val="25"/>
                <w:b w:val="1"/>
                <w:bCs w:val="1"/>
                <w:color w:val="D64000"/>
                <w:vertAlign w:val="superscript"/>
              </w:rPr>
              <w:t>(1)</w:t>
            </w:r>
          </w:p>
        </w:tc>
        <w:tc>
          <w:tcPr>
            <w:tcW w:w="1160" w:type="dxa"/>
            <w:vAlign w:val="bottom"/>
            <w:tcBorders>
              <w:right w:val="single" w:sz="8" w:color="A6A6A6"/>
            </w:tcBorders>
            <w:vMerge w:val="continue"/>
          </w:tcPr>
          <w:p>
            <w:pPr>
              <w:spacing w:after="0"/>
              <w:rPr>
                <w:sz w:val="9"/>
                <w:szCs w:val="9"/>
                <w:color w:val="auto"/>
              </w:rPr>
            </w:pPr>
          </w:p>
        </w:tc>
        <w:tc>
          <w:tcPr>
            <w:tcW w:w="1640" w:type="dxa"/>
            <w:vAlign w:val="bottom"/>
            <w:tcBorders>
              <w:right w:val="single" w:sz="8" w:color="A6A6A6"/>
            </w:tcBorders>
            <w:vMerge w:val="restart"/>
          </w:tcPr>
          <w:p>
            <w:pPr>
              <w:jc w:val="center"/>
              <w:spacing w:after="0" w:line="216" w:lineRule="exact"/>
              <w:rPr>
                <w:sz w:val="20"/>
                <w:szCs w:val="20"/>
                <w:color w:val="auto"/>
              </w:rPr>
            </w:pPr>
            <w:r>
              <w:rPr>
                <w:rFonts w:ascii="Arial" w:cs="Arial" w:eastAsia="Arial" w:hAnsi="Arial"/>
                <w:sz w:val="20"/>
                <w:szCs w:val="20"/>
                <w:b w:val="1"/>
                <w:bCs w:val="1"/>
                <w:color w:val="D64000"/>
                <w:w w:val="97"/>
              </w:rPr>
              <w:t>Outlook</w:t>
            </w:r>
          </w:p>
        </w:tc>
        <w:tc>
          <w:tcPr>
            <w:tcW w:w="1660" w:type="dxa"/>
            <w:vAlign w:val="bottom"/>
            <w:tcBorders>
              <w:right w:val="single" w:sz="8" w:color="A6A6A6"/>
            </w:tcBorders>
            <w:vMerge w:val="restart"/>
            <w:shd w:val="clear" w:color="auto" w:fill="F8EADD"/>
          </w:tcPr>
          <w:p>
            <w:pPr>
              <w:ind w:left="480"/>
              <w:spacing w:after="0" w:line="216"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108"/>
        </w:trPr>
        <w:tc>
          <w:tcPr>
            <w:tcW w:w="6580" w:type="dxa"/>
            <w:vAlign w:val="bottom"/>
            <w:tcBorders>
              <w:left w:val="single" w:sz="8" w:color="A6A6A6"/>
              <w:right w:val="single" w:sz="8" w:color="A6A6A6"/>
            </w:tcBorders>
            <w:vMerge w:val="continue"/>
          </w:tcPr>
          <w:p>
            <w:pPr>
              <w:spacing w:after="0"/>
              <w:rPr>
                <w:sz w:val="9"/>
                <w:szCs w:val="9"/>
                <w:color w:val="auto"/>
              </w:rPr>
            </w:pPr>
          </w:p>
        </w:tc>
        <w:tc>
          <w:tcPr>
            <w:tcW w:w="116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w w:val="97"/>
              </w:rPr>
              <w:t>Reported</w:t>
            </w:r>
          </w:p>
        </w:tc>
        <w:tc>
          <w:tcPr>
            <w:tcW w:w="1640" w:type="dxa"/>
            <w:vAlign w:val="bottom"/>
            <w:tcBorders>
              <w:right w:val="single" w:sz="8" w:color="A6A6A6"/>
            </w:tcBorders>
            <w:vMerge w:val="continue"/>
          </w:tcPr>
          <w:p>
            <w:pPr>
              <w:spacing w:after="0"/>
              <w:rPr>
                <w:sz w:val="9"/>
                <w:szCs w:val="9"/>
                <w:color w:val="auto"/>
              </w:rPr>
            </w:pPr>
          </w:p>
        </w:tc>
        <w:tc>
          <w:tcPr>
            <w:tcW w:w="1660" w:type="dxa"/>
            <w:vAlign w:val="bottom"/>
            <w:tcBorders>
              <w:right w:val="single" w:sz="8" w:color="A6A6A6"/>
            </w:tcBorders>
            <w:vMerge w:val="continue"/>
            <w:shd w:val="clear" w:color="auto" w:fill="F8EADD"/>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580" w:type="dxa"/>
            <w:vAlign w:val="bottom"/>
            <w:tcBorders>
              <w:left w:val="single" w:sz="8" w:color="A6A6A6"/>
              <w:right w:val="single" w:sz="8" w:color="A6A6A6"/>
            </w:tcBorders>
          </w:tcPr>
          <w:p>
            <w:pPr>
              <w:spacing w:after="0"/>
              <w:rPr>
                <w:sz w:val="14"/>
                <w:szCs w:val="14"/>
                <w:color w:val="auto"/>
              </w:rPr>
            </w:pPr>
          </w:p>
        </w:tc>
        <w:tc>
          <w:tcPr>
            <w:tcW w:w="1160" w:type="dxa"/>
            <w:vAlign w:val="bottom"/>
            <w:tcBorders>
              <w:right w:val="single" w:sz="8" w:color="A6A6A6"/>
            </w:tcBorders>
            <w:vMerge w:val="continue"/>
          </w:tcPr>
          <w:p>
            <w:pPr>
              <w:spacing w:after="0"/>
              <w:rPr>
                <w:sz w:val="14"/>
                <w:szCs w:val="14"/>
                <w:color w:val="auto"/>
              </w:rPr>
            </w:pPr>
          </w:p>
        </w:tc>
        <w:tc>
          <w:tcPr>
            <w:tcW w:w="164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D64000"/>
              </w:rPr>
              <w:t>2/5/2026</w:t>
            </w:r>
          </w:p>
        </w:tc>
        <w:tc>
          <w:tcPr>
            <w:tcW w:w="1660" w:type="dxa"/>
            <w:vAlign w:val="bottom"/>
            <w:tcBorders>
              <w:right w:val="single" w:sz="8" w:color="A6A6A6"/>
            </w:tcBorders>
            <w:vMerge w:val="restart"/>
            <w:shd w:val="clear" w:color="auto" w:fill="F8EADD"/>
          </w:tcPr>
          <w:p>
            <w:pPr>
              <w:ind w:left="460"/>
              <w:spacing w:after="0"/>
              <w:rPr>
                <w:sz w:val="20"/>
                <w:szCs w:val="20"/>
                <w:color w:val="auto"/>
              </w:rPr>
            </w:pPr>
            <w:r>
              <w:rPr>
                <w:rFonts w:ascii="Arial" w:cs="Arial" w:eastAsia="Arial" w:hAnsi="Arial"/>
                <w:sz w:val="20"/>
                <w:szCs w:val="20"/>
                <w:b w:val="1"/>
                <w:bCs w:val="1"/>
                <w:color w:val="0070C0"/>
              </w:rPr>
              <w:t>5/5/2026</w:t>
            </w:r>
          </w:p>
        </w:tc>
        <w:tc>
          <w:tcPr>
            <w:tcW w:w="0" w:type="dxa"/>
            <w:vAlign w:val="bottom"/>
          </w:tcPr>
          <w:p>
            <w:pPr>
              <w:spacing w:after="0"/>
              <w:rPr>
                <w:sz w:val="1"/>
                <w:szCs w:val="1"/>
                <w:color w:val="auto"/>
              </w:rPr>
            </w:pPr>
          </w:p>
        </w:tc>
      </w:tr>
      <w:tr>
        <w:trPr>
          <w:trHeight w:val="135"/>
        </w:trPr>
        <w:tc>
          <w:tcPr>
            <w:tcW w:w="6580" w:type="dxa"/>
            <w:vAlign w:val="bottom"/>
            <w:tcBorders>
              <w:left w:val="single" w:sz="8" w:color="A6A6A6"/>
              <w:right w:val="single" w:sz="8" w:color="A6A6A6"/>
            </w:tcBorders>
          </w:tcPr>
          <w:p>
            <w:pPr>
              <w:spacing w:after="0"/>
              <w:rPr>
                <w:sz w:val="11"/>
                <w:szCs w:val="11"/>
                <w:color w:val="auto"/>
              </w:rPr>
            </w:pPr>
          </w:p>
        </w:tc>
        <w:tc>
          <w:tcPr>
            <w:tcW w:w="1160" w:type="dxa"/>
            <w:vAlign w:val="bottom"/>
            <w:tcBorders>
              <w:right w:val="single" w:sz="8" w:color="A6A6A6"/>
            </w:tcBorders>
          </w:tcPr>
          <w:p>
            <w:pPr>
              <w:spacing w:after="0"/>
              <w:rPr>
                <w:sz w:val="11"/>
                <w:szCs w:val="11"/>
                <w:color w:val="auto"/>
              </w:rPr>
            </w:pPr>
          </w:p>
        </w:tc>
        <w:tc>
          <w:tcPr>
            <w:tcW w:w="1640" w:type="dxa"/>
            <w:vAlign w:val="bottom"/>
            <w:tcBorders>
              <w:right w:val="single" w:sz="8" w:color="A6A6A6"/>
            </w:tcBorders>
            <w:vMerge w:val="continue"/>
          </w:tcPr>
          <w:p>
            <w:pPr>
              <w:spacing w:after="0"/>
              <w:rPr>
                <w:sz w:val="11"/>
                <w:szCs w:val="11"/>
                <w:color w:val="auto"/>
              </w:rPr>
            </w:pPr>
          </w:p>
        </w:tc>
        <w:tc>
          <w:tcPr>
            <w:tcW w:w="1660" w:type="dxa"/>
            <w:vAlign w:val="bottom"/>
            <w:tcBorders>
              <w:bottom w:val="single" w:sz="8" w:color="F8EADD"/>
              <w:right w:val="single" w:sz="8" w:color="A6A6A6"/>
            </w:tcBorders>
            <w:vMerge w:val="continue"/>
            <w:shd w:val="clear" w:color="auto" w:fill="F8EADD"/>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65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Total Revenue Growth</w:t>
            </w:r>
          </w:p>
        </w:tc>
        <w:tc>
          <w:tcPr>
            <w:tcW w:w="1160" w:type="dxa"/>
            <w:vAlign w:val="bottom"/>
            <w:tcBorders>
              <w:top w:val="single" w:sz="8" w:color="A6A6A6"/>
              <w:bottom w:val="single" w:sz="8" w:color="A6A6A6"/>
              <w:right w:val="single" w:sz="8" w:color="A6A6A6"/>
            </w:tcBorders>
            <w:shd w:val="clear" w:color="auto" w:fill="F2F2F2"/>
          </w:tcPr>
          <w:p>
            <w:pPr>
              <w:jc w:val="center"/>
              <w:spacing w:after="0" w:line="296" w:lineRule="exact"/>
              <w:rPr>
                <w:sz w:val="20"/>
                <w:szCs w:val="20"/>
                <w:color w:val="auto"/>
              </w:rPr>
            </w:pPr>
            <w:r>
              <w:rPr>
                <w:rFonts w:ascii="Arial" w:cs="Arial" w:eastAsia="Arial" w:hAnsi="Arial"/>
                <w:sz w:val="32"/>
                <w:szCs w:val="32"/>
                <w:color w:val="auto"/>
                <w:w w:val="83"/>
                <w:vertAlign w:val="subscript"/>
              </w:rPr>
              <w:t>4%</w:t>
            </w:r>
            <w:r>
              <w:rPr>
                <w:rFonts w:ascii="Arial" w:cs="Arial" w:eastAsia="Arial" w:hAnsi="Arial"/>
                <w:sz w:val="12"/>
                <w:szCs w:val="12"/>
                <w:color w:val="auto"/>
                <w:w w:val="83"/>
              </w:rPr>
              <w:t>(2)</w:t>
            </w:r>
          </w:p>
        </w:tc>
        <w:tc>
          <w:tcPr>
            <w:tcW w:w="164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~9.5%</w:t>
            </w:r>
          </w:p>
        </w:tc>
        <w:tc>
          <w:tcPr>
            <w:tcW w:w="166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580" w:type="dxa"/>
            <w:vAlign w:val="bottom"/>
            <w:tcBorders>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Organic Revenue Growth</w:t>
            </w:r>
          </w:p>
        </w:tc>
        <w:tc>
          <w:tcPr>
            <w:tcW w:w="116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94"/>
              </w:rPr>
              <w:t>9%</w:t>
            </w:r>
          </w:p>
        </w:tc>
        <w:tc>
          <w:tcPr>
            <w:tcW w:w="164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rPr>
              <w:t>~9.5%</w:t>
            </w:r>
          </w:p>
        </w:tc>
        <w:tc>
          <w:tcPr>
            <w:tcW w:w="1660" w:type="dxa"/>
            <w:vAlign w:val="bottom"/>
            <w:tcBorders>
              <w:bottom w:val="single" w:sz="8" w:color="F8EADD"/>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77"/>
        </w:trPr>
        <w:tc>
          <w:tcPr>
            <w:tcW w:w="6580" w:type="dxa"/>
            <w:vAlign w:val="bottom"/>
            <w:tcBorders>
              <w:top w:val="single" w:sz="8" w:color="A6A6A6"/>
              <w:left w:val="single" w:sz="8" w:color="A6A6A6"/>
              <w:bottom w:val="single" w:sz="8" w:color="F2F2F2"/>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Adjusted EBITDA Margin</w:t>
            </w:r>
          </w:p>
        </w:tc>
        <w:tc>
          <w:tcPr>
            <w:tcW w:w="1160" w:type="dxa"/>
            <w:vAlign w:val="bottom"/>
            <w:tcBorders>
              <w:top w:val="single" w:sz="8" w:color="A6A6A6"/>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43.6%</w:t>
            </w:r>
          </w:p>
        </w:tc>
        <w:tc>
          <w:tcPr>
            <w:tcW w:w="1640" w:type="dxa"/>
            <w:vAlign w:val="bottom"/>
            <w:tcBorders>
              <w:top w:val="single" w:sz="8" w:color="A6A6A6"/>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+100bps vs 2025</w:t>
            </w:r>
          </w:p>
        </w:tc>
        <w:tc>
          <w:tcPr>
            <w:tcW w:w="1660" w:type="dxa"/>
            <w:vAlign w:val="bottom"/>
            <w:tcBorders>
              <w:top w:val="single" w:sz="8" w:color="A6A6A6"/>
              <w:bottom w:val="single" w:sz="8" w:color="F8EADD"/>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7"/>
        </w:trPr>
        <w:tc>
          <w:tcPr>
            <w:tcW w:w="6580" w:type="dxa"/>
            <w:vAlign w:val="bottom"/>
            <w:tcBorders>
              <w:left w:val="single" w:sz="8" w:color="A6A6A6"/>
              <w:right w:val="single" w:sz="8" w:color="A6A6A6"/>
            </w:tcBorders>
            <w:shd w:val="clear" w:color="auto" w:fill="A6A6A6"/>
          </w:tcPr>
          <w:p>
            <w:pPr>
              <w:spacing w:after="0"/>
              <w:rPr>
                <w:sz w:val="2"/>
                <w:szCs w:val="2"/>
                <w:color w:val="auto"/>
              </w:rPr>
            </w:pPr>
          </w:p>
        </w:tc>
        <w:tc>
          <w:tcPr>
            <w:tcW w:w="1160" w:type="dxa"/>
            <w:vAlign w:val="bottom"/>
            <w:tcBorders>
              <w:right w:val="single" w:sz="8" w:color="A6A6A6"/>
            </w:tcBorders>
            <w:shd w:val="clear" w:color="auto" w:fill="A6A6A6"/>
          </w:tcPr>
          <w:p>
            <w:pPr>
              <w:spacing w:after="0"/>
              <w:rPr>
                <w:sz w:val="2"/>
                <w:szCs w:val="2"/>
                <w:color w:val="auto"/>
              </w:rPr>
            </w:pPr>
          </w:p>
        </w:tc>
        <w:tc>
          <w:tcPr>
            <w:tcW w:w="1640" w:type="dxa"/>
            <w:vAlign w:val="bottom"/>
            <w:tcBorders>
              <w:right w:val="single" w:sz="8" w:color="A6A6A6"/>
            </w:tcBorders>
            <w:shd w:val="clear" w:color="auto" w:fill="A6A6A6"/>
          </w:tcPr>
          <w:p>
            <w:pPr>
              <w:spacing w:after="0"/>
              <w:rPr>
                <w:sz w:val="2"/>
                <w:szCs w:val="2"/>
                <w:color w:val="auto"/>
              </w:rPr>
            </w:pPr>
          </w:p>
        </w:tc>
        <w:tc>
          <w:tcPr>
            <w:tcW w:w="1660" w:type="dxa"/>
            <w:vAlign w:val="bottom"/>
            <w:tcBorders>
              <w:right w:val="single" w:sz="8" w:color="A6A6A6"/>
            </w:tcBorders>
            <w:shd w:val="clear" w:color="auto" w:fill="A6A6A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40" w:hanging="424"/>
        <w:spacing w:after="0"/>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Non-IFRS financial measures. See the “Non-IFRS Financial Measures” section below as well as the tables appended to this news release for more information.</w:t>
      </w:r>
    </w:p>
    <w:p>
      <w:pPr>
        <w:spacing w:after="0" w:line="15" w:lineRule="exact"/>
        <w:rPr>
          <w:rFonts w:ascii="Arial" w:cs="Arial" w:eastAsia="Arial" w:hAnsi="Arial"/>
          <w:sz w:val="14"/>
          <w:szCs w:val="14"/>
          <w:color w:val="auto"/>
        </w:rPr>
      </w:pPr>
    </w:p>
    <w:p>
      <w:pPr>
        <w:ind w:left="440" w:hanging="424"/>
        <w:spacing w:after="0"/>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revenue growth reflects the impact of the disposals of FindLaw and other non-core businesses in December 2024.</w:t>
      </w:r>
    </w:p>
    <w:p>
      <w:pPr>
        <w:spacing w:after="0" w:line="195" w:lineRule="exact"/>
        <w:rPr>
          <w:sz w:val="20"/>
          <w:szCs w:val="20"/>
          <w:color w:val="auto"/>
        </w:rPr>
      </w:pPr>
    </w:p>
    <w:p>
      <w:pPr>
        <w:ind w:left="20" w:right="200"/>
        <w:spacing w:after="0" w:line="249" w:lineRule="auto"/>
        <w:rPr>
          <w:sz w:val="20"/>
          <w:szCs w:val="20"/>
          <w:color w:val="auto"/>
        </w:rPr>
      </w:pPr>
      <w:r>
        <w:rPr>
          <w:rFonts w:ascii="Arial" w:cs="Arial" w:eastAsia="Arial" w:hAnsi="Arial"/>
          <w:sz w:val="18"/>
          <w:szCs w:val="18"/>
          <w:b w:val="1"/>
          <w:bCs w:val="1"/>
          <w:i w:val="1"/>
          <w:iCs w:val="1"/>
          <w:color w:val="auto"/>
        </w:rPr>
        <w:t>The information in this section is forward-looking. Actual results, which will include the impact of currency, future acquisitions and dispositions completed during 2026, and macroeconomic events outside of the company’s control may differ materially from the company’s 2026 outlook. The information in this section should also be read in conjunction with the section below entitled “Special Note Regarding Forward-Looking Statements, Material Risks and Material Assumptions.”</w:t>
      </w:r>
    </w:p>
    <w:p>
      <w:pPr>
        <w:sectPr>
          <w:pgSz w:w="11900" w:h="16838" w:orient="portrait"/>
          <w:cols w:equalWidth="0" w:num="1">
            <w:col w:w="11040"/>
          </w:cols>
          <w:pgMar w:left="420" w:top="1106"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7 of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Return of Capital and Share Consolidation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May 4, 2026, the company returned $605 million to its shareholders and reduced its common shares outstanding by approximately</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6.5 million, in accordance with its previously announced return of capital and share consolidation transactions. The transactions consisted of a special cash distribution of $1.435518 per participating common share and a share consolidation, or “reverse stock split”, which reduced the number of outstanding common shares at a ratio of 1 pre-consolidated share for 0.984560 post-consolidated shares, which was proportional to the special cash distribution.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 - Update on $600 Million Share Repurchase Program</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February 2026, the company announced its plan to repurchase up to $600 million of additional common shares under an amended Normal Course Issuer Bid that was approved by the TSX. The company repurchased 2.5 million of its common shares for a total spend of $262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May 4, 2026, Thomson Reuters had approximately 436.5 million common shares outstanding.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w:t>
      </w:r>
    </w:p>
    <w:p>
      <w:pPr>
        <w:spacing w:after="0" w:line="10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 February 2026, the company acquired Noetica, Inc., a New York-based AI-native start-up that transforms transaction-deal data into structured market intelligence for deal professionals. This business will be primarily reported in the Legal Professionals segment.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February 2026, the company announced a 10% or $0.24 per share annualized increase in the dividend to $2.62 per common share, representing the 33rd consecutive year of dividend increases and the fifth consecutive 10% increase. A quarterly dividend of $0.655 per share is payable on June 10, 2026 to common shareholders of record as of May 20, 2026.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04"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cs="Arial" w:eastAsia="Arial" w:hAnsi="Arial"/>
          <w:sz w:val="18"/>
          <w:szCs w:val="18"/>
          <w:u w:val="single" w:color="auto"/>
          <w:color w:val="auto"/>
        </w:rPr>
        <w:t>thomsonreuters.com</w:t>
      </w:r>
      <w:r>
        <w:rPr>
          <w:rFonts w:ascii="Arial" w:cs="Arial" w:eastAsia="Arial" w:hAnsi="Arial"/>
          <w:sz w:val="18"/>
          <w:szCs w:val="18"/>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106"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i w:val="1"/>
          <w:iCs w:val="1"/>
          <w:color w:val="auto"/>
        </w:rPr>
        <w:t>Thomson Reuters prepares its financial statements in accordance with International Financial Reporting Standards (IFRS), as issued by the International Accounting Standards Board (IASB).</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This news release includes certain non-IFRS financial measures, which include ratios that incorporate one or more non-IFRS financial measures, such as adjusted EBITDA (other than at the customer segment level) and the related margin, free cash flow, adjusted earnings and the effective tax rate on adjusted earnings, adjusted EPS, accrued capital expenditures expressed as a percentage of revenues, net debt and leverage ratio of net debt to adjusted EBITDA, selected measures excluding the impact of foreign currency, changes in revenues computed on an organic basis as well as all financial measures for the “Big 3” segments.</w:t>
      </w:r>
    </w:p>
    <w:p>
      <w:pPr>
        <w:spacing w:after="0" w:line="18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Thomson Reuters uses these non-IFRS financial measures as supplemental indicators of its operating performance and financial position as well as for internal planning purposes and the company’s business outlook. Additionally, Thomson Reuters uses non-IFRS measures as the basis for management incentive programs.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Non-IFRS financial measures are defined and reconciled to the most directly comparable IFRS measures in the appended tables.</w:t>
      </w:r>
    </w:p>
    <w:p>
      <w:pPr>
        <w:sectPr>
          <w:pgSz w:w="11900" w:h="16838" w:orient="portrait"/>
          <w:cols w:equalWidth="0" w:num="1">
            <w:col w:w="10960"/>
          </w:cols>
          <w:pgMar w:left="440" w:top="1093"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8 of 18</w:t>
      </w:r>
    </w:p>
    <w:p>
      <w:pPr>
        <w:spacing w:after="0" w:line="2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The company’s outlook contains various non-IFRS financial measures. The company believes that providing reconciliations of forward-looking non-IFRS financial measures in its outlook would be potentially misleading and not practical due to the difficulty of projecting items that are not reflective of ongoing operations in any future period. The magnitude of these items may be significant. Consequently, for purposes of its outlook only, the company is unable to reconcile these non-IFRS measures to the most directly comparable IFRS measures because it cannot predict, with reasonable certainty, the impacts of changes in foreign exchange rates which impact (i) the translation of its results reported at average foreign currency rates for the year, and (ii) other finance income or expense related to intercompany financing arrangements. Additionally, the company cannot reasonably predict the occurrence or amount of other operating gains and losses that generally arise from business transactions that the company does not currently anticipate.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auto"/>
        </w:rPr>
        <w:t>Other than EPS, the company reports its results in millions of U.S. dollars, but computes percentage changes and margins using whole dollars to be more precise. As a result, percentages and margins calculated from reported amounts may differ from those presented, and growth components may not total due to rounding.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TO PRIOR-YEAR SEGMENT RESULTS</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Effective January 1, 2026, the company made changes to its segment reporting to reflect how it currently manages its segments. The changes reflect the transfer of certain customers and their related revenues and expenses among the company’s Legal Professionals, Corporates and Tax, Audit &amp; Accounting Professionals segments. These changes impact the financial results of the company’s segments, but do not change its consolidated financial results. The following summarizes the changes to the applicable segment’s first-quarter 2025 reported amounts:</w:t>
      </w:r>
    </w:p>
    <w:p>
      <w:pPr>
        <w:spacing w:after="0" w:line="82" w:lineRule="exact"/>
        <w:rPr>
          <w:sz w:val="20"/>
          <w:szCs w:val="20"/>
          <w:color w:val="auto"/>
        </w:rPr>
      </w:pPr>
    </w:p>
    <w:p>
      <w:pPr>
        <w:ind w:left="960" w:right="400" w:hanging="532"/>
        <w:spacing w:after="0" w:line="244" w:lineRule="auto"/>
        <w:tabs>
          <w:tab w:leader="none" w:pos="9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Legal Professionals revenues decreased $5 million to $688 million, adjusted EBITDA was unchanged at $336 million and adjusted EBITDA margin increased 30 basis points to 48.7%;</w:t>
      </w:r>
    </w:p>
    <w:p>
      <w:pPr>
        <w:spacing w:after="0" w:line="1" w:lineRule="exact"/>
        <w:rPr>
          <w:rFonts w:ascii="Times New Roman" w:cs="Times New Roman" w:eastAsia="Times New Roman" w:hAnsi="Times New Roman"/>
          <w:sz w:val="18"/>
          <w:szCs w:val="18"/>
          <w:color w:val="auto"/>
        </w:rPr>
      </w:pPr>
    </w:p>
    <w:p>
      <w:pPr>
        <w:ind w:left="960" w:right="100" w:hanging="532"/>
        <w:spacing w:after="0" w:line="234" w:lineRule="auto"/>
        <w:tabs>
          <w:tab w:leader="none" w:pos="9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Corporates revenues increased $7 million to $548 million, adjusted EBITDA increased $2 million to $215 million and adjusted EBITDA margin decreased 10 basis points to 39.3%; and</w:t>
      </w:r>
    </w:p>
    <w:p>
      <w:pPr>
        <w:ind w:left="960" w:right="140" w:hanging="532"/>
        <w:spacing w:after="0" w:line="249" w:lineRule="auto"/>
        <w:tabs>
          <w:tab w:leader="none" w:pos="9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Tax, Audit &amp; Accounting Professionals revenues decreased $2 million to $358 million, adjusted EBITDA decreased $2 million to $208 million and adjusted EBITDA margin decreased 10 basis points to 56.6%.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MATERIAL RISKS AND MATERIAL ASSUMPTIONS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statements in this news release, including, but not limited to, statements in Mr. Hasker’s comments and the “2026 Outlook” section, are forward-looking.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w:t>
      </w:r>
    </w:p>
    <w:p>
      <w:pPr>
        <w:spacing w:after="0" w:line="185"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i w:val="1"/>
          <w:iCs w:val="1"/>
          <w:color w:val="auto"/>
        </w:rPr>
        <w:t xml:space="preserve">Some of the material risk factors that could cause actual results or events to differ materially from those expressed in or implied by forward-looking statements in this news release include, but are not limited to, those discussed on pages 19-32 in the “Risk Factors” section of the company’s 2025 annual report. These and other risk factors are discussed in materials that Thomson Reuters from time-to-time files with, or furnishes to, the Canadian securities regulatory authorities and the U.S. Securities and Exchange Commission (SEC). Thomson Reuters’ annual and quarterly reports are also available in the “Investor Relations” section of </w:t>
      </w:r>
      <w:r>
        <w:rPr>
          <w:rFonts w:ascii="Arial" w:cs="Arial" w:eastAsia="Arial" w:hAnsi="Arial"/>
          <w:sz w:val="18"/>
          <w:szCs w:val="18"/>
          <w:u w:val="single" w:color="auto"/>
          <w:color w:val="auto"/>
        </w:rPr>
        <w:t>thomsonreuters.com</w:t>
      </w:r>
      <w:r>
        <w:rPr>
          <w:rFonts w:ascii="Arial" w:cs="Arial" w:eastAsia="Arial" w:hAnsi="Arial"/>
          <w:sz w:val="18"/>
          <w:szCs w:val="18"/>
          <w:i w:val="1"/>
          <w:iCs w:val="1"/>
          <w:color w:val="auto"/>
        </w:rPr>
        <w:t>.</w:t>
      </w:r>
    </w:p>
    <w:p>
      <w:pPr>
        <w:spacing w:after="0" w:line="18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 xml:space="preserve">The company’s 2026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Material assumptions and material risks may cause actual performance to differ from the company’s expectations underlying its 2026 business outlook. In particular, the global economy has experienced substantial disruption due to concerns regarding economic effects associated with the macroeconomic backdrop and ongoing geopolitical risks. The company’s 2026 business outlook assumes that uncertain macroeconomic and geopolitical conditions will continue to disrupt the economy and cause periods of volatility, however, these conditions may last substantially longer than expected and any worsening of the global economic or business environment could impact the company’s ability to achieve its outlook and affect its results and other expectations. For a discussion of material assumptions and material risks related to the company’s 2026 outlook see pages 61-62 of the company’s 2025 annual report. The company’s annual report was filed with, or furnished to, the Canadian securities regulatory authorities and the U.S. SEC and are also available in the “Investor Relations” section of </w:t>
      </w:r>
      <w:r>
        <w:rPr>
          <w:rFonts w:ascii="Arial" w:cs="Arial" w:eastAsia="Arial" w:hAnsi="Arial"/>
          <w:sz w:val="18"/>
          <w:szCs w:val="18"/>
          <w:u w:val="single" w:color="auto"/>
          <w:color w:val="auto"/>
        </w:rPr>
        <w:t>thomsonreuters.com</w:t>
      </w:r>
      <w:r>
        <w:rPr>
          <w:rFonts w:ascii="Arial" w:cs="Arial" w:eastAsia="Arial" w:hAnsi="Arial"/>
          <w:sz w:val="18"/>
          <w:szCs w:val="18"/>
          <w:i w:val="1"/>
          <w:iCs w:val="1"/>
          <w:color w:val="auto"/>
        </w:rPr>
        <w:t>.</w:t>
      </w:r>
    </w:p>
    <w:p>
      <w:pPr>
        <w:sectPr>
          <w:pgSz w:w="11900" w:h="16838" w:orient="portrait"/>
          <w:cols w:equalWidth="0" w:num="1">
            <w:col w:w="11000"/>
          </w:cols>
          <w:pgMar w:left="440" w:top="110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9 of 18</w:t>
      </w:r>
    </w:p>
    <w:p>
      <w:pPr>
        <w:spacing w:after="0" w:line="2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The company has provided an outlook for the purpose of presenting information about current expectations for the period presented. This information may not be appropriate for other purposes. You are cautioned not to place undue reliance on forward-looking statements which reflect expectations only as of the date of this news release.</w:t>
      </w:r>
    </w:p>
    <w:p>
      <w:pPr>
        <w:spacing w:after="0" w:line="172"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i w:val="1"/>
          <w:iCs w:val="1"/>
          <w:color w:val="auto"/>
        </w:rPr>
        <w:t>Except as may be required by applicable law, Thomson Reuters disclaims any obligation to update or revise any forward-looking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9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8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401"/>
        </w:trPr>
        <w:tc>
          <w:tcPr>
            <w:tcW w:w="2940" w:type="dxa"/>
            <w:vAlign w:val="bottom"/>
          </w:tcPr>
          <w:p>
            <w:pPr>
              <w:spacing w:after="0"/>
              <w:rPr>
                <w:sz w:val="20"/>
                <w:szCs w:val="20"/>
                <w:color w:val="auto"/>
              </w:rPr>
            </w:pPr>
            <w:r>
              <w:rPr>
                <w:rFonts w:ascii="Arial" w:cs="Arial" w:eastAsia="Arial" w:hAnsi="Arial"/>
                <w:sz w:val="18"/>
                <w:szCs w:val="18"/>
                <w:color w:val="auto"/>
              </w:rPr>
              <w:t>MEDIA</w:t>
            </w:r>
          </w:p>
        </w:tc>
        <w:tc>
          <w:tcPr>
            <w:tcW w:w="5540" w:type="dxa"/>
            <w:vAlign w:val="bottom"/>
            <w:gridSpan w:val="2"/>
          </w:tcPr>
          <w:p>
            <w:pPr>
              <w:ind w:left="2800"/>
              <w:spacing w:after="0"/>
              <w:rPr>
                <w:sz w:val="20"/>
                <w:szCs w:val="20"/>
                <w:color w:val="auto"/>
              </w:rPr>
            </w:pPr>
            <w:r>
              <w:rPr>
                <w:rFonts w:ascii="Arial" w:cs="Arial" w:eastAsia="Arial" w:hAnsi="Arial"/>
                <w:sz w:val="18"/>
                <w:szCs w:val="18"/>
                <w:color w:val="auto"/>
              </w:rPr>
              <w:t>INVESTORS</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Samina Ansari</w:t>
            </w:r>
          </w:p>
        </w:tc>
        <w:tc>
          <w:tcPr>
            <w:tcW w:w="5540" w:type="dxa"/>
            <w:vAlign w:val="bottom"/>
            <w:gridSpan w:val="2"/>
          </w:tcPr>
          <w:p>
            <w:pPr>
              <w:ind w:left="2800"/>
              <w:spacing w:after="0" w:line="202" w:lineRule="exact"/>
              <w:rPr>
                <w:sz w:val="20"/>
                <w:szCs w:val="20"/>
                <w:color w:val="auto"/>
              </w:rPr>
            </w:pPr>
            <w:r>
              <w:rPr>
                <w:rFonts w:ascii="Arial" w:cs="Arial" w:eastAsia="Arial" w:hAnsi="Arial"/>
                <w:sz w:val="18"/>
                <w:szCs w:val="18"/>
                <w:color w:val="auto"/>
              </w:rPr>
              <w:t>Gary Bisbee, CFA</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Director, Corporate Affairs</w:t>
            </w:r>
          </w:p>
        </w:tc>
        <w:tc>
          <w:tcPr>
            <w:tcW w:w="5540" w:type="dxa"/>
            <w:vAlign w:val="bottom"/>
            <w:gridSpan w:val="2"/>
          </w:tcPr>
          <w:p>
            <w:pPr>
              <w:ind w:left="2800"/>
              <w:spacing w:after="0" w:line="202" w:lineRule="exact"/>
              <w:rPr>
                <w:sz w:val="20"/>
                <w:szCs w:val="20"/>
                <w:color w:val="auto"/>
              </w:rPr>
            </w:pPr>
            <w:r>
              <w:rPr>
                <w:rFonts w:ascii="Arial" w:cs="Arial" w:eastAsia="Arial" w:hAnsi="Arial"/>
                <w:sz w:val="18"/>
                <w:szCs w:val="18"/>
                <w:color w:val="auto"/>
              </w:rPr>
              <w:t>Head of Investor Relations</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+1 44 778 852 9542</w:t>
            </w:r>
          </w:p>
        </w:tc>
        <w:tc>
          <w:tcPr>
            <w:tcW w:w="5540" w:type="dxa"/>
            <w:vAlign w:val="bottom"/>
            <w:gridSpan w:val="2"/>
          </w:tcPr>
          <w:p>
            <w:pPr>
              <w:ind w:left="2800"/>
              <w:spacing w:after="0" w:line="202" w:lineRule="exact"/>
              <w:rPr>
                <w:sz w:val="20"/>
                <w:szCs w:val="20"/>
                <w:color w:val="auto"/>
              </w:rPr>
            </w:pPr>
            <w:r>
              <w:rPr>
                <w:rFonts w:ascii="Arial" w:cs="Arial" w:eastAsia="Arial" w:hAnsi="Arial"/>
                <w:sz w:val="18"/>
                <w:szCs w:val="18"/>
                <w:color w:val="auto"/>
              </w:rPr>
              <w:t>+1 646 540 3249</w:t>
            </w:r>
          </w:p>
        </w:tc>
      </w:tr>
      <w:tr>
        <w:trPr>
          <w:trHeight w:val="194"/>
        </w:trPr>
        <w:tc>
          <w:tcPr>
            <w:tcW w:w="2940" w:type="dxa"/>
            <w:vAlign w:val="bottom"/>
          </w:tcPr>
          <w:p>
            <w:pPr>
              <w:spacing w:after="0" w:line="195" w:lineRule="exact"/>
              <w:rPr>
                <w:sz w:val="20"/>
                <w:szCs w:val="20"/>
                <w:color w:val="auto"/>
              </w:rPr>
            </w:pPr>
            <w:r>
              <w:rPr>
                <w:rFonts w:ascii="Arial" w:cs="Arial" w:eastAsia="Arial" w:hAnsi="Arial"/>
                <w:sz w:val="18"/>
                <w:szCs w:val="18"/>
                <w:color w:val="auto"/>
                <w:w w:val="99"/>
              </w:rPr>
              <w:t>samina.ansari@thomsonreuters.com</w:t>
            </w:r>
          </w:p>
        </w:tc>
        <w:tc>
          <w:tcPr>
            <w:tcW w:w="5540" w:type="dxa"/>
            <w:vAlign w:val="bottom"/>
            <w:gridSpan w:val="2"/>
          </w:tcPr>
          <w:p>
            <w:pPr>
              <w:ind w:left="2800"/>
              <w:spacing w:after="0" w:line="195" w:lineRule="exact"/>
              <w:rPr>
                <w:sz w:val="20"/>
                <w:szCs w:val="20"/>
                <w:color w:val="auto"/>
              </w:rPr>
            </w:pPr>
            <w:r>
              <w:rPr>
                <w:rFonts w:ascii="Arial" w:cs="Arial" w:eastAsia="Arial" w:hAnsi="Arial"/>
                <w:sz w:val="18"/>
                <w:szCs w:val="18"/>
                <w:color w:val="auto"/>
                <w:w w:val="98"/>
              </w:rPr>
              <w:t>gary.bisbee@thomsonreuters.com</w:t>
            </w:r>
          </w:p>
        </w:tc>
      </w:tr>
      <w:tr>
        <w:trPr>
          <w:trHeight w:val="20"/>
        </w:trPr>
        <w:tc>
          <w:tcPr>
            <w:tcW w:w="29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 will webcast a discussion of its first-quarter 2026 results and its 2026 business outlook today beginning at</w:t>
      </w:r>
    </w:p>
    <w:p>
      <w:pPr>
        <w:spacing w:after="0" w:line="1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9:00 a.m. Eastern Daylight Time (EDT). You can access the webcast by visiting </w:t>
      </w:r>
      <w:r>
        <w:rPr>
          <w:rFonts w:ascii="Arial" w:cs="Arial" w:eastAsia="Arial" w:hAnsi="Arial"/>
          <w:sz w:val="18"/>
          <w:szCs w:val="18"/>
          <w:b w:val="1"/>
          <w:bCs w:val="1"/>
          <w:u w:val="single" w:color="auto"/>
          <w:color w:val="auto"/>
        </w:rPr>
        <w:t>ir.thomsonreuters.com</w:t>
      </w:r>
      <w:r>
        <w:rPr>
          <w:rFonts w:ascii="Arial" w:cs="Arial" w:eastAsia="Arial" w:hAnsi="Arial"/>
          <w:sz w:val="18"/>
          <w:szCs w:val="18"/>
          <w:b w:val="1"/>
          <w:bCs w:val="1"/>
          <w:color w:val="auto"/>
        </w:rPr>
        <w:t>. An archive of the webcast will be available following the presentation.</w:t>
      </w:r>
    </w:p>
    <w:p>
      <w:pPr>
        <w:sectPr>
          <w:pgSz w:w="11900" w:h="16838" w:orient="portrait"/>
          <w:cols w:equalWidth="0" w:num="1">
            <w:col w:w="11000"/>
          </w:cols>
          <w:pgMar w:left="440" w:top="1106"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10 of 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60" w:type="dxa"/>
            <w:vAlign w:val="bottom"/>
            <w:tcBorders>
              <w:bottom w:val="single" w:sz="8" w:color="CCEEFF"/>
            </w:tcBorders>
          </w:tcPr>
          <w:p>
            <w:pPr>
              <w:spacing w:after="0"/>
              <w:rPr>
                <w:sz w:val="13"/>
                <w:szCs w:val="13"/>
                <w:color w:val="auto"/>
              </w:rPr>
            </w:pPr>
          </w:p>
        </w:tc>
        <w:tc>
          <w:tcPr>
            <w:tcW w:w="1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CONTINUING OPERATIONS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2,087</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software</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losses, net</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Operating profit</w:t>
            </w:r>
          </w:p>
        </w:tc>
        <w:tc>
          <w:tcPr>
            <w:tcW w:w="1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costs, net:</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Income before tax and equity method investments</w:t>
            </w:r>
          </w:p>
        </w:tc>
        <w:tc>
          <w:tcPr>
            <w:tcW w:w="1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Tax expense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from continuing operations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477</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459</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Earnings attributable to common shareholders</w:t>
            </w: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459</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Basic and diluted earnings (loss) per share: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From continuing operations</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line="202" w:lineRule="exact"/>
              <w:rPr>
                <w:sz w:val="20"/>
                <w:szCs w:val="20"/>
                <w:color w:val="auto"/>
              </w:rPr>
            </w:pPr>
            <w:r>
              <w:rPr>
                <w:rFonts w:ascii="Arial" w:cs="Arial" w:eastAsia="Arial" w:hAnsi="Arial"/>
                <w:sz w:val="18"/>
                <w:szCs w:val="18"/>
                <w:color w:val="auto"/>
              </w:rPr>
              <w:t>From discontinued operations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(0.04)</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earnings per share</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Basic weighted-average common shares</w:t>
            </w: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444,561,933</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450,289,884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weighted-average common shares</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7"/>
              </w:rPr>
              <w:t>444,657,277</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450,829,350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106"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11 of 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7"/>
                <w:szCs w:val="17"/>
                <w:color w:val="auto"/>
              </w:rPr>
            </w:pP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receivables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0"/>
        </w:trPr>
        <w:tc>
          <w:tcPr>
            <w:tcW w:w="8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Software,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9"/>
        </w:trPr>
        <w:tc>
          <w:tcPr>
            <w:tcW w:w="8840" w:type="dxa"/>
            <w:vAlign w:val="bottom"/>
          </w:tcPr>
          <w:p>
            <w:pPr>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17,944</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17,940</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Current indebtedness</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1,120</w:t>
            </w:r>
          </w:p>
        </w:tc>
        <w:tc>
          <w:tcPr>
            <w:tcW w:w="220" w:type="dxa"/>
            <w:vAlign w:val="bottom"/>
          </w:tcPr>
          <w:p>
            <w:pPr>
              <w:spacing w:after="0"/>
              <w:rPr>
                <w:sz w:val="17"/>
                <w:szCs w:val="17"/>
                <w:color w:val="auto"/>
              </w:rPr>
            </w:pP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Payables, accruals and provisions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Current tax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9"/>
        </w:trPr>
        <w:tc>
          <w:tcPr>
            <w:tcW w:w="884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Long-term indebtedness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 and other non-current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7"/>
        </w:trPr>
        <w:tc>
          <w:tcPr>
            <w:tcW w:w="88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9,150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09"/>
        </w:trPr>
        <w:tc>
          <w:tcPr>
            <w:tcW w:w="884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11,812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4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17,944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106"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12 of 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9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9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6"/>
              </w:rPr>
              <w:t>2026</w:t>
            </w: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3"/>
                <w:szCs w:val="13"/>
                <w:color w:val="auto"/>
              </w:rPr>
            </w:pPr>
          </w:p>
        </w:tc>
      </w:tr>
      <w:tr>
        <w:trPr>
          <w:trHeight w:val="183"/>
        </w:trPr>
        <w:tc>
          <w:tcPr>
            <w:tcW w:w="93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provided by (used in):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color w:val="auto"/>
              </w:rPr>
              <w:t>Adjustments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r>
      <w:tr>
        <w:trPr>
          <w:trHeight w:val="203"/>
        </w:trPr>
        <w:tc>
          <w:tcPr>
            <w:tcW w:w="93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software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w:t>
            </w:r>
          </w:p>
        </w:tc>
      </w:tr>
      <w:tr>
        <w:trPr>
          <w:trHeight w:val="203"/>
        </w:trPr>
        <w:tc>
          <w:tcPr>
            <w:tcW w:w="9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r>
      <w:tr>
        <w:trPr>
          <w:trHeight w:val="203"/>
        </w:trPr>
        <w:tc>
          <w:tcPr>
            <w:tcW w:w="9300" w:type="dxa"/>
            <w:vAlign w:val="bottom"/>
          </w:tcPr>
          <w:p>
            <w:pPr>
              <w:ind w:left="36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r>
      <w:tr>
        <w:trPr>
          <w:trHeight w:val="203"/>
        </w:trPr>
        <w:tc>
          <w:tcPr>
            <w:tcW w:w="93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w:t>
            </w:r>
          </w:p>
        </w:tc>
      </w:tr>
      <w:tr>
        <w:trPr>
          <w:trHeight w:val="203"/>
        </w:trPr>
        <w:tc>
          <w:tcPr>
            <w:tcW w:w="93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working capital and other items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(293)</w:t>
            </w:r>
          </w:p>
        </w:tc>
      </w:tr>
      <w:tr>
        <w:trPr>
          <w:trHeight w:val="209"/>
        </w:trPr>
        <w:tc>
          <w:tcPr>
            <w:tcW w:w="9300" w:type="dxa"/>
            <w:vAlign w:val="bottom"/>
          </w:tcPr>
          <w:p>
            <w:pPr>
              <w:spacing w:after="0"/>
              <w:rPr>
                <w:sz w:val="20"/>
                <w:szCs w:val="20"/>
                <w:color w:val="auto"/>
              </w:rPr>
            </w:pPr>
            <w:r>
              <w:rPr>
                <w:rFonts w:ascii="Arial" w:cs="Arial" w:eastAsia="Arial" w:hAnsi="Arial"/>
                <w:sz w:val="18"/>
                <w:szCs w:val="18"/>
                <w:color w:val="auto"/>
              </w:rPr>
              <w:t>Operating cash flows from continuing operations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flows from discontinued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17"/>
        </w:trPr>
        <w:tc>
          <w:tcPr>
            <w:tcW w:w="9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color w:val="auto"/>
              </w:rPr>
              <w:t>Acquisitions, net of cash acquired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(606)</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related to disposals of businesses and investments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17"/>
        </w:trPr>
        <w:tc>
          <w:tcPr>
            <w:tcW w:w="9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color w:val="auto"/>
              </w:rPr>
              <w:t>Net borrowings under short-term loan facilities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of lease principal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w:t>
            </w:r>
          </w:p>
        </w:tc>
      </w:tr>
      <w:tr>
        <w:trPr>
          <w:trHeight w:val="202"/>
        </w:trPr>
        <w:tc>
          <w:tcPr>
            <w:tcW w:w="9300" w:type="dxa"/>
            <w:vAlign w:val="bottom"/>
          </w:tcPr>
          <w:p>
            <w:pPr>
              <w:spacing w:after="0" w:line="202" w:lineRule="exact"/>
              <w:rPr>
                <w:sz w:val="20"/>
                <w:szCs w:val="20"/>
                <w:color w:val="auto"/>
              </w:rPr>
            </w:pPr>
            <w:r>
              <w:rPr>
                <w:rFonts w:ascii="Arial" w:cs="Arial" w:eastAsia="Arial" w:hAnsi="Arial"/>
                <w:sz w:val="18"/>
                <w:szCs w:val="18"/>
                <w:color w:val="auto"/>
              </w:rPr>
              <w:t>Repurchases of common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9300" w:type="dxa"/>
            <w:vAlign w:val="bottom"/>
          </w:tcPr>
          <w:p>
            <w:pPr>
              <w:spacing w:after="0" w:line="202" w:lineRule="exact"/>
              <w:rPr>
                <w:sz w:val="20"/>
                <w:szCs w:val="20"/>
                <w:color w:val="auto"/>
              </w:rPr>
            </w:pPr>
            <w:r>
              <w:rPr>
                <w:rFonts w:ascii="Arial" w:cs="Arial" w:eastAsia="Arial" w:hAnsi="Arial"/>
                <w:sz w:val="18"/>
                <w:szCs w:val="18"/>
                <w:color w:val="auto"/>
              </w:rPr>
              <w:t>Dividends paid on common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(280)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17"/>
        </w:trPr>
        <w:tc>
          <w:tcPr>
            <w:tcW w:w="93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10"/>
        </w:trPr>
        <w:tc>
          <w:tcPr>
            <w:tcW w:w="93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r>
      <w:tr>
        <w:trPr>
          <w:trHeight w:val="203"/>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1,968</w:t>
            </w:r>
          </w:p>
        </w:tc>
      </w:tr>
      <w:tr>
        <w:trPr>
          <w:trHeight w:val="209"/>
        </w:trPr>
        <w:tc>
          <w:tcPr>
            <w:tcW w:w="9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1106" w:right="4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13 of 18</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Earnings from Continuing Operations to Adjusted EBITDA</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12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6"/>
              </w:rPr>
              <w:t>2026</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from continuing operations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ind w:left="33"/>
              <w:spacing w:after="0" w:line="196" w:lineRule="exact"/>
              <w:rPr>
                <w:sz w:val="20"/>
                <w:szCs w:val="20"/>
                <w:color w:val="auto"/>
              </w:rPr>
            </w:pPr>
            <w:r>
              <w:rPr>
                <w:rFonts w:ascii="Arial" w:cs="Arial" w:eastAsia="Arial" w:hAnsi="Arial"/>
                <w:sz w:val="18"/>
                <w:szCs w:val="18"/>
                <w:color w:val="auto"/>
                <w:w w:val="99"/>
              </w:rPr>
              <w:t>477</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1,483</w:t>
            </w:r>
          </w:p>
        </w:tc>
        <w:tc>
          <w:tcPr>
            <w:tcW w:w="22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remove:</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expense</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423</w:t>
            </w:r>
          </w:p>
        </w:tc>
      </w:tr>
      <w:tr>
        <w:trPr>
          <w:trHeight w:val="203"/>
        </w:trPr>
        <w:tc>
          <w:tcPr>
            <w:tcW w:w="6120" w:type="dxa"/>
            <w:vAlign w:val="bottom"/>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w:t>
            </w:r>
          </w:p>
        </w:tc>
      </w:tr>
      <w:tr>
        <w:trPr>
          <w:trHeight w:val="203"/>
        </w:trPr>
        <w:tc>
          <w:tcPr>
            <w:tcW w:w="6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61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w:t>
            </w:r>
          </w:p>
        </w:tc>
      </w:tr>
      <w:tr>
        <w:trPr>
          <w:trHeight w:val="203"/>
        </w:trPr>
        <w:tc>
          <w:tcPr>
            <w:tcW w:w="6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software</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721</w:t>
            </w:r>
          </w:p>
        </w:tc>
      </w:tr>
      <w:tr>
        <w:trPr>
          <w:trHeight w:val="203"/>
        </w:trPr>
        <w:tc>
          <w:tcPr>
            <w:tcW w:w="612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w:t>
            </w:r>
          </w:p>
        </w:tc>
      </w:tr>
      <w:tr>
        <w:trPr>
          <w:trHeight w:val="27"/>
        </w:trPr>
        <w:tc>
          <w:tcPr>
            <w:tcW w:w="6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3,034</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remove:</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w:t>
            </w:r>
          </w:p>
        </w:tc>
      </w:tr>
      <w:tr>
        <w:trPr>
          <w:trHeight w:val="203"/>
        </w:trPr>
        <w:tc>
          <w:tcPr>
            <w:tcW w:w="612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losses (gains), net</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500"/>
              <w:spacing w:after="0" w:line="202" w:lineRule="exact"/>
              <w:rPr>
                <w:sz w:val="20"/>
                <w:szCs w:val="20"/>
                <w:color w:val="auto"/>
              </w:rPr>
            </w:pPr>
            <w:r>
              <w:rPr>
                <w:rFonts w:ascii="Arial" w:cs="Arial" w:eastAsia="Arial" w:hAnsi="Arial"/>
                <w:sz w:val="18"/>
                <w:szCs w:val="18"/>
                <w:color w:val="auto"/>
                <w:w w:val="81"/>
              </w:rPr>
              <w:t>— </w:t>
            </w: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w:t>
            </w:r>
          </w:p>
        </w:tc>
      </w:tr>
      <w:tr>
        <w:trPr>
          <w:trHeight w:val="203"/>
        </w:trPr>
        <w:tc>
          <w:tcPr>
            <w:tcW w:w="6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r>
      <w:tr>
        <w:trPr>
          <w:trHeight w:val="216"/>
        </w:trPr>
        <w:tc>
          <w:tcPr>
            <w:tcW w:w="612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b w:val="1"/>
                <w:bCs w:val="1"/>
                <w:color w:val="auto"/>
                <w:vertAlign w:val="superscript"/>
              </w:rPr>
              <w:t>(1)</w:t>
            </w:r>
          </w:p>
        </w:tc>
        <w:tc>
          <w:tcPr>
            <w:tcW w:w="1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881</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w:t>
            </w:r>
          </w:p>
        </w:tc>
        <w:tc>
          <w:tcPr>
            <w:tcW w:w="220" w:type="dxa"/>
            <w:vAlign w:val="bottom"/>
          </w:tcPr>
          <w:p>
            <w:pPr>
              <w:spacing w:after="0"/>
              <w:rPr>
                <w:sz w:val="18"/>
                <w:szCs w:val="18"/>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3"/>
                <w:szCs w:val="23"/>
                <w:b w:val="1"/>
                <w:bCs w:val="1"/>
                <w:color w:val="auto"/>
                <w:vertAlign w:val="superscript"/>
              </w:rPr>
              <w:t>(1)</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42.3%</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39.2%</w:t>
            </w:r>
          </w:p>
        </w:tc>
      </w:tr>
      <w:tr>
        <w:trPr>
          <w:trHeight w:val="20"/>
        </w:trPr>
        <w:tc>
          <w:tcPr>
            <w:tcW w:w="6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9" w:lineRule="exact"/>
        <w:rPr>
          <w:sz w:val="20"/>
          <w:szCs w:val="20"/>
          <w:color w:val="auto"/>
        </w:rPr>
      </w:pPr>
    </w:p>
    <w:p>
      <w:pPr>
        <w:ind w:left="424" w:right="340" w:hanging="424"/>
        <w:spacing w:after="0" w:line="282" w:lineRule="auto"/>
        <w:tabs>
          <w:tab w:leader="none" w:pos="424"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Net Cash Provided By Operating Activities to Free Cash Flow</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3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96"/>
              <w:spacing w:after="0" w:line="196" w:lineRule="exact"/>
              <w:rPr>
                <w:sz w:val="20"/>
                <w:szCs w:val="20"/>
                <w:color w:val="auto"/>
              </w:rPr>
            </w:pPr>
            <w:r>
              <w:rPr>
                <w:rFonts w:ascii="Arial" w:cs="Arial" w:eastAsia="Arial" w:hAnsi="Arial"/>
                <w:sz w:val="18"/>
                <w:szCs w:val="18"/>
                <w:color w:val="auto"/>
                <w:w w:val="99"/>
              </w:rPr>
              <w:t>505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(156)</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w w:val="81"/>
              </w:rPr>
              <w:t>— </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Payments of lease principal</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360" w:type="dxa"/>
            <w:vAlign w:val="bottom"/>
          </w:tcPr>
          <w:p>
            <w:pPr>
              <w:spacing w:after="0" w:line="210" w:lineRule="exact"/>
              <w:rPr>
                <w:sz w:val="20"/>
                <w:szCs w:val="20"/>
                <w:color w:val="auto"/>
              </w:rPr>
            </w:pPr>
            <w:r>
              <w:rPr>
                <w:rFonts w:ascii="Arial" w:cs="Arial" w:eastAsia="Arial" w:hAnsi="Arial"/>
                <w:sz w:val="17"/>
                <w:szCs w:val="17"/>
                <w:b w:val="1"/>
                <w:bCs w:val="1"/>
                <w:color w:val="auto"/>
              </w:rPr>
              <w:t>Free cash flow</w:t>
            </w:r>
            <w:r>
              <w:rPr>
                <w:rFonts w:ascii="Arial" w:cs="Arial" w:eastAsia="Arial" w:hAnsi="Arial"/>
                <w:sz w:val="24"/>
                <w:szCs w:val="24"/>
                <w:b w:val="1"/>
                <w:bCs w:val="1"/>
                <w:color w:val="auto"/>
                <w:vertAlign w:val="superscript"/>
              </w:rPr>
              <w:t>(1)</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center"/>
              <w:ind w:left="96"/>
              <w:spacing w:after="0"/>
              <w:rPr>
                <w:sz w:val="20"/>
                <w:szCs w:val="20"/>
                <w:color w:val="auto"/>
              </w:rPr>
            </w:pPr>
            <w:r>
              <w:rPr>
                <w:rFonts w:ascii="Arial" w:cs="Arial" w:eastAsia="Arial" w:hAnsi="Arial"/>
                <w:sz w:val="18"/>
                <w:szCs w:val="18"/>
                <w:b w:val="1"/>
                <w:bCs w:val="1"/>
                <w:color w:val="auto"/>
                <w:w w:val="99"/>
              </w:rPr>
              <w:t>332</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jc w:val="center"/>
              <w:ind w:left="3555"/>
              <w:spacing w:after="0"/>
              <w:rPr>
                <w:sz w:val="20"/>
                <w:szCs w:val="20"/>
                <w:color w:val="auto"/>
              </w:rPr>
            </w:pPr>
            <w:r>
              <w:rPr>
                <w:rFonts w:ascii="Arial" w:cs="Arial" w:eastAsia="Arial" w:hAnsi="Arial"/>
                <w:sz w:val="18"/>
                <w:szCs w:val="18"/>
                <w:b w:val="1"/>
                <w:bCs w:val="1"/>
                <w:color w:val="auto"/>
                <w:w w:val="99"/>
              </w:rPr>
              <w:t>Thomson Reuters Corporation</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3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940" w:type="dxa"/>
            <w:vAlign w:val="bottom"/>
            <w:gridSpan w:val="5"/>
          </w:tcPr>
          <w:p>
            <w:pPr>
              <w:jc w:val="center"/>
              <w:ind w:left="1975"/>
              <w:spacing w:after="0" w:line="212" w:lineRule="exact"/>
              <w:rPr>
                <w:sz w:val="20"/>
                <w:szCs w:val="20"/>
                <w:color w:val="auto"/>
              </w:rPr>
            </w:pPr>
            <w:r>
              <w:rPr>
                <w:rFonts w:ascii="Arial" w:cs="Arial" w:eastAsia="Arial" w:hAnsi="Arial"/>
                <w:sz w:val="17"/>
                <w:szCs w:val="17"/>
                <w:b w:val="1"/>
                <w:bCs w:val="1"/>
                <w:color w:val="auto"/>
              </w:rPr>
              <w:t>Reconciliation of Capital Expenditures to Accrued Capital Expenditures</w:t>
            </w:r>
            <w:r>
              <w:rPr>
                <w:rFonts w:ascii="Arial" w:cs="Arial" w:eastAsia="Arial" w:hAnsi="Arial"/>
                <w:sz w:val="24"/>
                <w:szCs w:val="24"/>
                <w:b w:val="1"/>
                <w:bCs w:val="1"/>
                <w:color w:val="auto"/>
                <w:vertAlign w:val="superscript"/>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60" w:type="dxa"/>
            <w:vAlign w:val="bottom"/>
          </w:tcPr>
          <w:p>
            <w:pPr>
              <w:jc w:val="center"/>
              <w:ind w:left="3555"/>
              <w:spacing w:after="0"/>
              <w:rPr>
                <w:sz w:val="20"/>
                <w:szCs w:val="20"/>
                <w:color w:val="auto"/>
              </w:rPr>
            </w:pPr>
            <w:r>
              <w:rPr>
                <w:rFonts w:ascii="Arial" w:cs="Arial" w:eastAsia="Arial" w:hAnsi="Arial"/>
                <w:sz w:val="14"/>
                <w:szCs w:val="14"/>
                <w:color w:val="auto"/>
              </w:rPr>
              <w:t>(millions of U.S. dollars)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60" w:type="dxa"/>
            <w:vAlign w:val="bottom"/>
          </w:tcPr>
          <w:p>
            <w:pPr>
              <w:jc w:val="center"/>
              <w:ind w:left="3555"/>
              <w:spacing w:after="0"/>
              <w:rPr>
                <w:sz w:val="20"/>
                <w:szCs w:val="20"/>
                <w:color w:val="auto"/>
              </w:rPr>
            </w:pPr>
            <w:r>
              <w:rPr>
                <w:rFonts w:ascii="Arial" w:cs="Arial" w:eastAsia="Arial" w:hAnsi="Arial"/>
                <w:sz w:val="14"/>
                <w:szCs w:val="14"/>
                <w:color w:val="auto"/>
              </w:rPr>
              <w:t>(unaudited)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7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3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line="202" w:lineRule="exact"/>
              <w:rPr>
                <w:sz w:val="20"/>
                <w:szCs w:val="20"/>
                <w:color w:val="auto"/>
              </w:rPr>
            </w:pPr>
            <w:r>
              <w:rPr>
                <w:rFonts w:ascii="Arial" w:cs="Arial" w:eastAsia="Arial" w:hAnsi="Arial"/>
                <w:sz w:val="18"/>
                <w:szCs w:val="18"/>
                <w:color w:val="auto"/>
              </w:rPr>
              <w:t>Remove: IFRS adjustment to cash basis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Accrued capital expenditures</w:t>
            </w:r>
            <w:r>
              <w:rPr>
                <w:rFonts w:ascii="Arial" w:cs="Arial" w:eastAsia="Arial" w:hAnsi="Arial"/>
                <w:sz w:val="23"/>
                <w:szCs w:val="23"/>
                <w:b w:val="1"/>
                <w:bCs w:val="1"/>
                <w:color w:val="auto"/>
                <w:vertAlign w:val="superscript"/>
              </w:rPr>
              <w:t>(1)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line="210" w:lineRule="exact"/>
              <w:rPr>
                <w:sz w:val="20"/>
                <w:szCs w:val="20"/>
                <w:color w:val="auto"/>
              </w:rPr>
            </w:pPr>
            <w:r>
              <w:rPr>
                <w:rFonts w:ascii="Arial" w:cs="Arial" w:eastAsia="Arial" w:hAnsi="Arial"/>
                <w:sz w:val="17"/>
                <w:szCs w:val="17"/>
                <w:b w:val="1"/>
                <w:bCs w:val="1"/>
                <w:color w:val="auto"/>
              </w:rPr>
              <w:t>Accrued capital expenditures as a percentage of revenues</w:t>
            </w:r>
            <w:r>
              <w:rPr>
                <w:rFonts w:ascii="Arial" w:cs="Arial" w:eastAsia="Arial" w:hAnsi="Arial"/>
                <w:sz w:val="24"/>
                <w:szCs w:val="24"/>
                <w:b w:val="1"/>
                <w:bCs w:val="1"/>
                <w:color w:val="auto"/>
                <w:vertAlign w:val="superscript"/>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Refer to page 18 for additional information on non-IFRS financial measures.</w:t>
      </w:r>
    </w:p>
    <w:p>
      <w:pPr>
        <w:sectPr>
          <w:pgSz w:w="11900" w:h="16838" w:orient="portrait"/>
          <w:cols w:equalWidth="0" w:num="1">
            <w:col w:w="11024"/>
          </w:cols>
          <w:pgMar w:left="436" w:top="1106" w:right="43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34440" cy="462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14 of 18</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0" w:lineRule="auto"/>
        <w:rPr>
          <w:sz w:val="20"/>
          <w:szCs w:val="20"/>
          <w:color w:val="auto"/>
        </w:rPr>
      </w:pPr>
      <w:r>
        <w:rPr>
          <w:rFonts w:ascii="Arial" w:cs="Arial" w:eastAsia="Arial" w:hAnsi="Arial"/>
          <w:sz w:val="17"/>
          <w:szCs w:val="17"/>
          <w:b w:val="1"/>
          <w:bCs w:val="1"/>
          <w:color w:val="auto"/>
        </w:rPr>
        <w:t>Reconciliation of Net Earnings to Adjusted Earnings</w:t>
      </w:r>
      <w:r>
        <w:rPr>
          <w:rFonts w:ascii="Arial" w:cs="Arial" w:eastAsia="Arial" w:hAnsi="Arial"/>
          <w:sz w:val="25"/>
          <w:szCs w:val="25"/>
          <w:b w:val="1"/>
          <w:bCs w:val="1"/>
          <w:color w:val="auto"/>
          <w:vertAlign w:val="superscript"/>
        </w:rPr>
        <w:t>(1)</w:t>
      </w:r>
    </w:p>
    <w:p>
      <w:pPr>
        <w:jc w:val="center"/>
        <w:ind w:right="-3"/>
        <w:spacing w:after="0" w:line="181" w:lineRule="auto"/>
        <w:rPr>
          <w:sz w:val="20"/>
          <w:szCs w:val="20"/>
          <w:color w:val="auto"/>
        </w:rPr>
      </w:pPr>
      <w:r>
        <w:rPr>
          <w:rFonts w:ascii="Arial" w:cs="Arial" w:eastAsia="Arial" w:hAnsi="Arial"/>
          <w:sz w:val="17"/>
          <w:szCs w:val="17"/>
          <w:b w:val="1"/>
          <w:bCs w:val="1"/>
          <w:color w:val="auto"/>
        </w:rPr>
        <w:t>Reconciliation of Total Change in Adjusted EPS to Change in Constant Currency</w:t>
      </w:r>
      <w:r>
        <w:rPr>
          <w:rFonts w:ascii="Arial" w:cs="Arial" w:eastAsia="Arial" w:hAnsi="Arial"/>
          <w:sz w:val="24"/>
          <w:szCs w:val="24"/>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 except for share and per share data)</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04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6"/>
              </w:rPr>
              <w:t>2026</w:t>
            </w:r>
          </w:p>
        </w:tc>
        <w:tc>
          <w:tcPr>
            <w:tcW w:w="3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b w:val="1"/>
                <w:bCs w:val="1"/>
                <w:color w:val="auto"/>
              </w:rPr>
              <w:t>Adjustments to remove: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acquired software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losses (gains), net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Tax on above items</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6"/>
                <w:szCs w:val="16"/>
                <w:color w:val="auto"/>
              </w:rPr>
              <w:t>Tax items impacting comparability</w:t>
            </w:r>
            <w:r>
              <w:rPr>
                <w:rFonts w:ascii="Arial" w:cs="Arial" w:eastAsia="Arial" w:hAnsi="Arial"/>
                <w:sz w:val="23"/>
                <w:szCs w:val="23"/>
                <w:color w:val="auto"/>
                <w:vertAlign w:val="superscript"/>
              </w:rPr>
              <w:t>(1)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6"/>
                <w:szCs w:val="16"/>
                <w:color w:val="auto"/>
              </w:rPr>
              <w:t>Interim period effective tax rate normalization</w:t>
            </w:r>
            <w:r>
              <w:rPr>
                <w:rFonts w:ascii="Arial" w:cs="Arial" w:eastAsia="Arial" w:hAnsi="Arial"/>
                <w:sz w:val="23"/>
                <w:szCs w:val="23"/>
                <w:color w:val="auto"/>
                <w:vertAlign w:val="superscript"/>
              </w:rPr>
              <w:t>(1)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on preference shares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04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earnings</w:t>
            </w:r>
            <w:r>
              <w:rPr>
                <w:rFonts w:ascii="Arial" w:cs="Arial" w:eastAsia="Arial" w:hAnsi="Arial"/>
                <w:sz w:val="24"/>
                <w:szCs w:val="24"/>
                <w:b w:val="1"/>
                <w:bCs w:val="1"/>
                <w:color w:val="auto"/>
                <w:vertAlign w:val="superscript"/>
              </w:rPr>
              <w:t>(1)</w:t>
            </w:r>
          </w:p>
        </w:tc>
        <w:tc>
          <w:tcPr>
            <w:tcW w:w="6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Adjusted EPS</w:t>
            </w:r>
            <w:r>
              <w:rPr>
                <w:rFonts w:ascii="Arial" w:cs="Arial" w:eastAsia="Arial" w:hAnsi="Arial"/>
                <w:sz w:val="22"/>
                <w:szCs w:val="22"/>
                <w:b w:val="1"/>
                <w:bCs w:val="1"/>
                <w:color w:val="auto"/>
                <w:vertAlign w:val="superscript"/>
              </w:rPr>
              <w:t>(1)</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Total change</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Constant currency</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weighted-average common shares (millions)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444.7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7"/>
              </w:rPr>
              <w:t>450.8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Full-Year Effective Tax Rate on Adjusted Earnings</w:t>
            </w:r>
            <w:r>
              <w:rPr>
                <w:rFonts w:ascii="Arial" w:cs="Arial" w:eastAsia="Arial" w:hAnsi="Arial"/>
                <w:sz w:val="26"/>
                <w:szCs w:val="26"/>
                <w:b w:val="1"/>
                <w:bCs w:val="1"/>
                <w:color w:val="auto"/>
                <w:vertAlign w:val="superscript"/>
              </w:rPr>
              <w:t>(1)</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390"/>
        </w:trPr>
        <w:tc>
          <w:tcPr>
            <w:tcW w:w="70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704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earnings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Plus: Dividends declared on preference shares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Plus: Tax expense on adjusted earnings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b w:val="1"/>
                <w:bCs w:val="1"/>
                <w:color w:val="auto"/>
              </w:rPr>
              <w:t>Pre-tax adjusted earnings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tax expense</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423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Remove tax related to: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acquired software</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post-tax losses in equity method investments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Other finance costs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gains, net</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ind w:left="360"/>
              <w:spacing w:after="0" w:line="202" w:lineRule="exact"/>
              <w:rPr>
                <w:sz w:val="20"/>
                <w:szCs w:val="20"/>
                <w:color w:val="auto"/>
              </w:rPr>
            </w:pPr>
            <w:r>
              <w:rPr>
                <w:rFonts w:ascii="Arial" w:cs="Arial" w:eastAsia="Arial" w:hAnsi="Arial"/>
                <w:sz w:val="18"/>
                <w:szCs w:val="18"/>
                <w:color w:val="auto"/>
              </w:rPr>
              <w:t>Other items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Subtotal – Remove tax benefit on pre-tax items removed from adjusted earnings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Remove: Tax items impacting comparability</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 Remove all items impacting comparability</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40" w:type="dxa"/>
            <w:vAlign w:val="bottom"/>
          </w:tcPr>
          <w:p>
            <w:pPr>
              <w:spacing w:after="0"/>
              <w:rPr>
                <w:sz w:val="20"/>
                <w:szCs w:val="20"/>
                <w:color w:val="auto"/>
              </w:rPr>
            </w:pPr>
            <w:r>
              <w:rPr>
                <w:rFonts w:ascii="Arial" w:cs="Arial" w:eastAsia="Arial" w:hAnsi="Arial"/>
                <w:sz w:val="18"/>
                <w:szCs w:val="18"/>
                <w:b w:val="1"/>
                <w:bCs w:val="1"/>
                <w:color w:val="auto"/>
              </w:rPr>
              <w:t>Tax expense on adjusted earnings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Effective tax rate on adjusted earnings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18.5%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Fair value adjustments primarily represent gains or losses due to changes in foreign currency exchange rates on intercompany balances that arise in the ordinary</w:t>
      </w:r>
    </w:p>
    <w:p>
      <w:pPr>
        <w:spacing w:after="0" w:line="13" w:lineRule="exact"/>
        <w:rPr>
          <w:sz w:val="20"/>
          <w:szCs w:val="20"/>
          <w:color w:val="auto"/>
        </w:rPr>
      </w:pPr>
    </w:p>
    <w:p>
      <w:pPr>
        <w:ind w:left="424"/>
        <w:spacing w:after="0"/>
        <w:rPr>
          <w:sz w:val="20"/>
          <w:szCs w:val="20"/>
          <w:color w:val="auto"/>
        </w:rPr>
      </w:pPr>
      <w:r>
        <w:rPr>
          <w:rFonts w:ascii="Arial" w:cs="Arial" w:eastAsia="Arial" w:hAnsi="Arial"/>
          <w:sz w:val="14"/>
          <w:szCs w:val="14"/>
          <w:i w:val="1"/>
          <w:iCs w:val="1"/>
          <w:color w:val="auto"/>
        </w:rPr>
        <w:t>course of business, which are a component of operating expenses, as well as adjustments related to acquired deferred revenue.</w:t>
      </w:r>
    </w:p>
    <w:p>
      <w:pPr>
        <w:spacing w:after="0" w:line="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page 18 for additional information on non-IFRS financial measures.</w:t>
      </w:r>
    </w:p>
    <w:p>
      <w:pPr>
        <w:sectPr>
          <w:pgSz w:w="11900" w:h="16838" w:orient="portrait"/>
          <w:cols w:equalWidth="0" w:num="1">
            <w:col w:w="11024"/>
          </w:cols>
          <w:pgMar w:left="436" w:top="1106"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15 of 18</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36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Net</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Foreign</w:t>
            </w:r>
          </w:p>
        </w:tc>
        <w:tc>
          <w:tcPr>
            <w:tcW w:w="8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4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756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688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548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410</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1,594</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212</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196</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Global Print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116</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2,087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1,900</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10%</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8%</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Recurring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Professionals</w:t>
            </w:r>
          </w:p>
        </w:tc>
        <w:tc>
          <w:tcPr>
            <w:tcW w:w="20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670</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449</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407</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205</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1,417</w:t>
            </w:r>
          </w:p>
        </w:tc>
        <w:tc>
          <w:tcPr>
            <w:tcW w:w="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1,282</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175</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Recurring Revenues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1,595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1,451</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10%</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8%</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Transactions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Legal Professionals</w:t>
            </w: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159</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153</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357</w:t>
            </w:r>
          </w:p>
        </w:tc>
        <w:tc>
          <w:tcPr>
            <w:tcW w:w="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Transactions Revenues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380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333</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15%</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14%</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36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7"/>
              </w:rPr>
              <w:t>Net</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Foreign</w:t>
            </w:r>
          </w:p>
        </w:tc>
        <w:tc>
          <w:tcPr>
            <w:tcW w:w="8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4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2,843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2,902</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1,875</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1,291</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1,154</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6,157</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5,931</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Reuters</w:t>
            </w:r>
          </w:p>
        </w:tc>
        <w:tc>
          <w:tcPr>
            <w:tcW w:w="120" w:type="dxa"/>
            <w:vAlign w:val="bottom"/>
          </w:tcPr>
          <w:p>
            <w:pPr>
              <w:spacing w:after="0"/>
              <w:rPr>
                <w:sz w:val="17"/>
                <w:szCs w:val="17"/>
                <w:color w:val="auto"/>
              </w:rPr>
            </w:pPr>
          </w:p>
        </w:tc>
        <w:tc>
          <w:tcPr>
            <w:tcW w:w="8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853</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832</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Global Print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519</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780" w:type="dxa"/>
            <w:vAlign w:val="bottom"/>
            <w:gridSpan w:val="4"/>
          </w:tcPr>
          <w:p>
            <w:pPr>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7,476</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7,258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w:t>
            </w: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 to page 18 for additional information on non-IFRS financial measures.</w:t>
      </w:r>
    </w:p>
    <w:p>
      <w:pPr>
        <w:sectPr>
          <w:pgSz w:w="11900" w:h="16838" w:orient="portrait"/>
          <w:cols w:equalWidth="0" w:num="1">
            <w:col w:w="11024"/>
          </w:cols>
          <w:pgMar w:left="436" w:top="1093"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17295" cy="454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16 of 18</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Adjusted EBITDA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Related Margin</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2025</w:t>
            </w:r>
          </w:p>
        </w:tc>
        <w:tc>
          <w:tcPr>
            <w:tcW w:w="48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5"/>
        </w:trPr>
        <w:tc>
          <w:tcPr>
            <w:tcW w:w="44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8"/>
                <w:szCs w:val="18"/>
                <w:b w:val="1"/>
                <w:bCs w:val="1"/>
                <w:color w:val="auto"/>
                <w:vertAlign w:val="superscript"/>
              </w:rPr>
              <w:t>(1)</w:t>
            </w: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Legal Professionals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365</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336</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Corporates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215</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208</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759</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Reuters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39</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Global Print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Corporate costs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(33)</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881</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809</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9%</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b w:val="1"/>
                <w:bCs w:val="1"/>
                <w:color w:val="auto"/>
                <w:vertAlign w:val="superscript"/>
              </w:rPr>
              <w:t>(1)</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40" w:type="dxa"/>
            <w:vAlign w:val="bottom"/>
            <w:gridSpan w:val="3"/>
            <w:vMerge w:val="continue"/>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Professionals</w:t>
            </w:r>
          </w:p>
        </w:tc>
        <w:tc>
          <w:tcPr>
            <w:tcW w:w="2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48.7%</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-30bp</w:t>
            </w:r>
          </w:p>
        </w:tc>
        <w:tc>
          <w:tcPr>
            <w:tcW w:w="0" w:type="dxa"/>
            <w:vAlign w:val="bottom"/>
          </w:tcPr>
          <w:p>
            <w:pPr>
              <w:spacing w:after="0"/>
              <w:rPr>
                <w:sz w:val="1"/>
                <w:szCs w:val="1"/>
                <w:color w:val="auto"/>
              </w:rPr>
            </w:pPr>
          </w:p>
        </w:tc>
      </w:tr>
      <w:tr>
        <w:trPr>
          <w:trHeight w:val="203"/>
        </w:trPr>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Corporates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39.3%</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70bp</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130bp</w:t>
            </w: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56.6%</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03"/>
        </w:trPr>
        <w:tc>
          <w:tcPr>
            <w:tcW w:w="4440" w:type="dxa"/>
            <w:vAlign w:val="bottom"/>
            <w:gridSpan w:val="3"/>
          </w:tcPr>
          <w:p>
            <w:pPr>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47.3%</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-60bp</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-20bp</w:t>
            </w: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20.0%</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-390bp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-200bp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-190bp</w:t>
            </w:r>
          </w:p>
        </w:tc>
        <w:tc>
          <w:tcPr>
            <w:tcW w:w="0" w:type="dxa"/>
            <w:vAlign w:val="bottom"/>
          </w:tcPr>
          <w:p>
            <w:pPr>
              <w:spacing w:after="0"/>
              <w:rPr>
                <w:sz w:val="1"/>
                <w:szCs w:val="1"/>
                <w:color w:val="auto"/>
              </w:rPr>
            </w:pPr>
          </w:p>
        </w:tc>
      </w:tr>
      <w:tr>
        <w:trPr>
          <w:trHeight w:val="203"/>
        </w:trPr>
        <w:tc>
          <w:tcPr>
            <w:tcW w:w="4440" w:type="dxa"/>
            <w:vAlign w:val="bottom"/>
            <w:gridSpan w:val="3"/>
          </w:tcPr>
          <w:p>
            <w:pPr>
              <w:spacing w:after="0" w:line="202" w:lineRule="exact"/>
              <w:rPr>
                <w:sz w:val="20"/>
                <w:szCs w:val="20"/>
                <w:color w:val="auto"/>
              </w:rPr>
            </w:pPr>
            <w:r>
              <w:rPr>
                <w:rFonts w:ascii="Arial" w:cs="Arial" w:eastAsia="Arial" w:hAnsi="Arial"/>
                <w:sz w:val="18"/>
                <w:szCs w:val="18"/>
                <w:color w:val="auto"/>
              </w:rPr>
              <w:t>Global Print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37.8%</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80bp</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80bp</w:t>
            </w:r>
          </w:p>
        </w:tc>
        <w:tc>
          <w:tcPr>
            <w:tcW w:w="0" w:type="dxa"/>
            <w:vAlign w:val="bottom"/>
          </w:tcPr>
          <w:p>
            <w:pPr>
              <w:spacing w:after="0"/>
              <w:rPr>
                <w:sz w:val="1"/>
                <w:szCs w:val="1"/>
                <w:color w:val="auto"/>
              </w:rPr>
            </w:pPr>
          </w:p>
        </w:tc>
      </w:tr>
      <w:tr>
        <w:trPr>
          <w:trHeight w:val="203"/>
        </w:trPr>
        <w:tc>
          <w:tcPr>
            <w:tcW w:w="4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 Margin</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42.3%</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-10bp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-50bp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40bp</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adjusted EBITDA margin</w:t>
      </w:r>
      <w:r>
        <w:rPr>
          <w:rFonts w:ascii="Arial" w:cs="Arial" w:eastAsia="Arial" w:hAnsi="Arial"/>
          <w:sz w:val="26"/>
          <w:szCs w:val="26"/>
          <w:b w:val="1"/>
          <w:bCs w:val="1"/>
          <w:color w:val="auto"/>
          <w:vertAlign w:val="superscript"/>
        </w:rPr>
        <w:t>(1)</w:t>
      </w:r>
    </w:p>
    <w:p>
      <w:pPr>
        <w:spacing w:after="0" w:line="30" w:lineRule="exact"/>
        <w:rPr>
          <w:sz w:val="20"/>
          <w:szCs w:val="20"/>
          <w:color w:val="auto"/>
        </w:rPr>
      </w:pPr>
    </w:p>
    <w:p>
      <w:pPr>
        <w:ind w:left="4" w:right="520"/>
        <w:spacing w:after="0" w:line="242" w:lineRule="auto"/>
        <w:rPr>
          <w:sz w:val="20"/>
          <w:szCs w:val="20"/>
          <w:color w:val="auto"/>
        </w:rPr>
      </w:pPr>
      <w:r>
        <w:rPr>
          <w:rFonts w:ascii="Arial" w:cs="Arial" w:eastAsia="Arial" w:hAnsi="Arial"/>
          <w:sz w:val="18"/>
          <w:szCs w:val="18"/>
          <w:color w:val="auto"/>
        </w:rPr>
        <w:t>To compute segment and consolidated adjusted EBITDA margin, the company excludes fair value adjustments related to acquired deferred revenue from its IFRS revenues. The charts below reconcile IFRS revenues to revenues used in the calculation of adjusted EBITDA margin, which excludes fair value adjustments related to acquired deferred revenue.</w:t>
      </w: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Revenues excluding</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spacing w:after="0"/>
              <w:rPr>
                <w:sz w:val="20"/>
                <w:szCs w:val="20"/>
                <w:color w:val="auto"/>
              </w:rPr>
            </w:pPr>
            <w:r>
              <w:rPr>
                <w:rFonts w:ascii="Arial" w:cs="Arial" w:eastAsia="Arial" w:hAnsi="Arial"/>
                <w:sz w:val="14"/>
                <w:szCs w:val="14"/>
                <w:color w:val="auto"/>
              </w:rPr>
              <w:t>(millions of U.S. dollars)</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Remove fair value</w:t>
            </w:r>
          </w:p>
        </w:tc>
        <w:tc>
          <w:tcPr>
            <w:tcW w:w="1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 value</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adjustments to</w:t>
            </w:r>
          </w:p>
        </w:tc>
        <w:tc>
          <w:tcPr>
            <w:tcW w:w="14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adjustments to</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(unaudited)</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acquired deferred</w:t>
            </w:r>
          </w:p>
        </w:tc>
        <w:tc>
          <w:tcPr>
            <w:tcW w:w="18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acquired deferred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2026</w:t>
            </w:r>
          </w:p>
        </w:tc>
        <w:tc>
          <w:tcPr>
            <w:tcW w:w="6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IFRS revenues</w:t>
            </w:r>
          </w:p>
        </w:tc>
        <w:tc>
          <w:tcPr>
            <w:tcW w:w="10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revenue</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EBITDA</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Legal Professionals</w:t>
            </w:r>
          </w:p>
        </w:tc>
        <w:tc>
          <w:tcPr>
            <w:tcW w:w="6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756</w:t>
            </w: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ind w:left="880"/>
              <w:spacing w:after="0" w:line="189" w:lineRule="exact"/>
              <w:rPr>
                <w:sz w:val="20"/>
                <w:szCs w:val="20"/>
                <w:color w:val="auto"/>
              </w:rPr>
            </w:pPr>
            <w:r>
              <w:rPr>
                <w:rFonts w:ascii="Arial" w:cs="Arial" w:eastAsia="Arial" w:hAnsi="Arial"/>
                <w:sz w:val="18"/>
                <w:szCs w:val="18"/>
                <w:color w:val="auto"/>
                <w:w w:val="88"/>
              </w:rPr>
              <w:t>— </w:t>
            </w:r>
          </w:p>
        </w:tc>
        <w:tc>
          <w:tcPr>
            <w:tcW w:w="3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756</w:t>
            </w:r>
          </w:p>
        </w:tc>
        <w:tc>
          <w:tcPr>
            <w:tcW w:w="40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310"/>
              <w:spacing w:after="0" w:line="189" w:lineRule="exact"/>
              <w:rPr>
                <w:sz w:val="20"/>
                <w:szCs w:val="20"/>
                <w:color w:val="auto"/>
              </w:rPr>
            </w:pPr>
            <w:r>
              <w:rPr>
                <w:rFonts w:ascii="Arial" w:cs="Arial" w:eastAsia="Arial" w:hAnsi="Arial"/>
                <w:sz w:val="18"/>
                <w:szCs w:val="18"/>
                <w:color w:val="auto"/>
                <w:w w:val="99"/>
              </w:rPr>
              <w:t>365</w:t>
            </w:r>
          </w:p>
        </w:tc>
        <w:tc>
          <w:tcPr>
            <w:tcW w:w="420" w:type="dxa"/>
            <w:vAlign w:val="bottom"/>
            <w:vMerge w:val="continue"/>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Corporates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608</w:t>
            </w:r>
          </w:p>
        </w:tc>
        <w:tc>
          <w:tcPr>
            <w:tcW w:w="100" w:type="dxa"/>
            <w:vAlign w:val="bottom"/>
          </w:tcPr>
          <w:p>
            <w:pPr>
              <w:spacing w:after="0"/>
              <w:rPr>
                <w:sz w:val="17"/>
                <w:szCs w:val="17"/>
                <w:color w:val="auto"/>
              </w:rPr>
            </w:pPr>
          </w:p>
        </w:tc>
        <w:tc>
          <w:tcPr>
            <w:tcW w:w="15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6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608</w:t>
            </w:r>
          </w:p>
        </w:tc>
        <w:tc>
          <w:tcPr>
            <w:tcW w:w="50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243</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Tax, Audit &amp; Accounting</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Professionals</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410</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230" w:lineRule="exact"/>
              <w:rPr>
                <w:sz w:val="20"/>
                <w:szCs w:val="20"/>
                <w:color w:val="auto"/>
              </w:rPr>
            </w:pPr>
            <w:r>
              <w:rPr>
                <w:rFonts w:ascii="Arial" w:cs="Arial" w:eastAsia="Arial" w:hAnsi="Arial"/>
                <w:sz w:val="18"/>
                <w:szCs w:val="18"/>
                <w:color w:val="auto"/>
                <w:w w:val="99"/>
              </w:rPr>
              <w:t>“Big 3” Segments Combined</w:t>
            </w:r>
            <w:r>
              <w:rPr>
                <w:rFonts w:ascii="Arial" w:cs="Arial" w:eastAsia="Arial" w:hAnsi="Arial"/>
                <w:sz w:val="26"/>
                <w:szCs w:val="26"/>
                <w:color w:val="auto"/>
                <w:w w:val="99"/>
                <w:vertAlign w:val="superscript"/>
              </w:rPr>
              <w:t>(1)</w:t>
            </w: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1,774</w:t>
            </w: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w w:val="88"/>
              </w:rPr>
              <w:t>— </w:t>
            </w:r>
          </w:p>
        </w:tc>
        <w:tc>
          <w:tcPr>
            <w:tcW w:w="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1,774</w:t>
            </w:r>
          </w:p>
        </w:tc>
        <w:tc>
          <w:tcPr>
            <w:tcW w:w="4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center"/>
              <w:ind w:left="310"/>
              <w:spacing w:after="0"/>
              <w:rPr>
                <w:sz w:val="20"/>
                <w:szCs w:val="20"/>
                <w:color w:val="auto"/>
              </w:rPr>
            </w:pPr>
            <w:r>
              <w:rPr>
                <w:rFonts w:ascii="Arial" w:cs="Arial" w:eastAsia="Arial" w:hAnsi="Arial"/>
                <w:sz w:val="18"/>
                <w:szCs w:val="18"/>
                <w:color w:val="auto"/>
                <w:w w:val="99"/>
              </w:rPr>
              <w:t>829</w:t>
            </w:r>
          </w:p>
        </w:tc>
        <w:tc>
          <w:tcPr>
            <w:tcW w:w="42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212</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34</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Global Print</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15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6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112</w:t>
            </w:r>
          </w:p>
        </w:tc>
        <w:tc>
          <w:tcPr>
            <w:tcW w:w="50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43</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81"/>
              </w:rPr>
              <w:t>— </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Corporate costs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880"/>
              <w:spacing w:after="0" w:line="202" w:lineRule="exact"/>
              <w:rPr>
                <w:sz w:val="20"/>
                <w:szCs w:val="20"/>
                <w:color w:val="auto"/>
              </w:rPr>
            </w:pPr>
            <w:r>
              <w:rPr>
                <w:rFonts w:ascii="Arial" w:cs="Arial" w:eastAsia="Arial" w:hAnsi="Arial"/>
                <w:sz w:val="18"/>
                <w:szCs w:val="18"/>
                <w:color w:val="auto"/>
                <w:w w:val="88"/>
              </w:rPr>
              <w:t>— </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totals</w:t>
            </w:r>
          </w:p>
        </w:tc>
        <w:tc>
          <w:tcPr>
            <w:tcW w:w="10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2,087</w:t>
            </w:r>
          </w:p>
        </w:tc>
        <w:tc>
          <w:tcPr>
            <w:tcW w:w="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881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2025</w:t>
            </w: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480" w:type="dxa"/>
            <w:vAlign w:val="bottom"/>
            <w:tcBorders>
              <w:bottom w:val="single" w:sz="8" w:color="auto"/>
            </w:tcBorders>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Legal Professionals</w:t>
            </w:r>
          </w:p>
        </w:tc>
        <w:tc>
          <w:tcPr>
            <w:tcW w:w="100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880"/>
              <w:spacing w:after="0" w:line="196"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688</w:t>
            </w:r>
          </w:p>
        </w:tc>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336</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Corporates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548</w:t>
            </w:r>
          </w:p>
        </w:tc>
        <w:tc>
          <w:tcPr>
            <w:tcW w:w="100" w:type="dxa"/>
            <w:vAlign w:val="bottom"/>
          </w:tcPr>
          <w:p>
            <w:pPr>
              <w:spacing w:after="0"/>
              <w:rPr>
                <w:sz w:val="17"/>
                <w:szCs w:val="17"/>
                <w:color w:val="auto"/>
              </w:rPr>
            </w:pPr>
          </w:p>
        </w:tc>
        <w:tc>
          <w:tcPr>
            <w:tcW w:w="15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6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548</w:t>
            </w:r>
          </w:p>
        </w:tc>
        <w:tc>
          <w:tcPr>
            <w:tcW w:w="50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215</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Tax, Audit &amp; Accounting</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Professionals</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230" w:lineRule="exact"/>
              <w:rPr>
                <w:sz w:val="20"/>
                <w:szCs w:val="20"/>
                <w:color w:val="auto"/>
              </w:rPr>
            </w:pPr>
            <w:r>
              <w:rPr>
                <w:rFonts w:ascii="Arial" w:cs="Arial" w:eastAsia="Arial" w:hAnsi="Arial"/>
                <w:sz w:val="18"/>
                <w:szCs w:val="18"/>
                <w:color w:val="auto"/>
                <w:w w:val="99"/>
              </w:rPr>
              <w:t>“Big 3” Segments Combined</w:t>
            </w:r>
            <w:r>
              <w:rPr>
                <w:rFonts w:ascii="Arial" w:cs="Arial" w:eastAsia="Arial" w:hAnsi="Arial"/>
                <w:sz w:val="26"/>
                <w:szCs w:val="26"/>
                <w:color w:val="auto"/>
                <w:w w:val="99"/>
                <w:vertAlign w:val="superscript"/>
              </w:rPr>
              <w:t>(1)</w:t>
            </w: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1,594</w:t>
            </w: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1,604</w:t>
            </w:r>
          </w:p>
        </w:tc>
        <w:tc>
          <w:tcPr>
            <w:tcW w:w="4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center"/>
              <w:ind w:left="310"/>
              <w:spacing w:after="0"/>
              <w:rPr>
                <w:sz w:val="20"/>
                <w:szCs w:val="20"/>
                <w:color w:val="auto"/>
              </w:rPr>
            </w:pPr>
            <w:r>
              <w:rPr>
                <w:rFonts w:ascii="Arial" w:cs="Arial" w:eastAsia="Arial" w:hAnsi="Arial"/>
                <w:sz w:val="18"/>
                <w:szCs w:val="18"/>
                <w:color w:val="auto"/>
                <w:w w:val="99"/>
              </w:rPr>
              <w:t>759</w:t>
            </w:r>
          </w:p>
        </w:tc>
        <w:tc>
          <w:tcPr>
            <w:tcW w:w="420" w:type="dxa"/>
            <w:vAlign w:val="bottom"/>
            <w:vMerge w:val="continue"/>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196</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39</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Global Print</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5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6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116</w:t>
            </w:r>
          </w:p>
        </w:tc>
        <w:tc>
          <w:tcPr>
            <w:tcW w:w="50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44</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Eliminations/Rounding</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81"/>
              </w:rPr>
              <w:t>— </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Corporate costs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880"/>
              <w:spacing w:after="0" w:line="202" w:lineRule="exact"/>
              <w:rPr>
                <w:sz w:val="20"/>
                <w:szCs w:val="20"/>
                <w:color w:val="auto"/>
              </w:rPr>
            </w:pPr>
            <w:r>
              <w:rPr>
                <w:rFonts w:ascii="Arial" w:cs="Arial" w:eastAsia="Arial" w:hAnsi="Arial"/>
                <w:sz w:val="18"/>
                <w:szCs w:val="18"/>
                <w:color w:val="auto"/>
                <w:w w:val="88"/>
              </w:rPr>
              <w:t>— </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totals</w:t>
            </w:r>
          </w:p>
        </w:tc>
        <w:tc>
          <w:tcPr>
            <w:tcW w:w="10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1,910</w:t>
            </w:r>
          </w:p>
        </w:tc>
        <w:tc>
          <w:tcPr>
            <w:tcW w:w="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809</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sectPr>
          <w:pgSz w:w="11900" w:h="16838" w:orient="portrait"/>
          <w:cols w:equalWidth="0" w:num="1">
            <w:col w:w="11024"/>
          </w:cols>
          <w:pgMar w:left="436" w:top="1093" w:right="439" w:bottom="1440" w:gutter="0" w:footer="0" w:header="0"/>
        </w:sectPr>
      </w:pPr>
    </w:p>
    <w:p>
      <w:pPr>
        <w:ind w:left="4"/>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Margins are computed using whole dollars, as a result, margins calculated from reported amounts may differ from those presented due to rounding.</w:t>
      </w:r>
    </w:p>
    <w:p>
      <w:pPr>
        <w:spacing w:after="0" w:line="121"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Refer to page 18 for additional information on non-IFRS financial measures.</w:t>
      </w:r>
    </w:p>
    <w:p>
      <w:pPr>
        <w:sectPr>
          <w:pgSz w:w="11900" w:h="16838" w:orient="portrait"/>
          <w:cols w:equalWidth="0" w:num="1">
            <w:col w:w="11024"/>
          </w:cols>
          <w:pgMar w:left="436" w:top="1093" w:right="4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34440" cy="462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17 of 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20" w:type="dxa"/>
            <w:vAlign w:val="bottom"/>
          </w:tcPr>
          <w:p>
            <w:pPr>
              <w:jc w:val="center"/>
              <w:ind w:right="282"/>
              <w:spacing w:after="0"/>
              <w:rPr>
                <w:sz w:val="20"/>
                <w:szCs w:val="20"/>
                <w:color w:val="auto"/>
              </w:rPr>
            </w:pPr>
            <w:r>
              <w:rPr>
                <w:rFonts w:ascii="Arial" w:cs="Arial" w:eastAsia="Arial" w:hAnsi="Arial"/>
                <w:sz w:val="18"/>
                <w:szCs w:val="18"/>
                <w:b w:val="1"/>
                <w:bCs w:val="1"/>
                <w:color w:val="auto"/>
                <w:w w:val="99"/>
              </w:rPr>
              <w:t>Thomson Reuters Corporation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6"/>
          </w:tcPr>
          <w:p>
            <w:pPr>
              <w:jc w:val="center"/>
              <w:ind w:right="340"/>
              <w:spacing w:after="0" w:line="212" w:lineRule="exact"/>
              <w:rPr>
                <w:sz w:val="20"/>
                <w:szCs w:val="20"/>
                <w:color w:val="auto"/>
              </w:rPr>
            </w:pPr>
            <w:r>
              <w:rPr>
                <w:rFonts w:ascii="Arial" w:cs="Arial" w:eastAsia="Arial" w:hAnsi="Arial"/>
                <w:sz w:val="17"/>
                <w:szCs w:val="17"/>
                <w:b w:val="1"/>
                <w:bCs w:val="1"/>
                <w:color w:val="auto"/>
              </w:rPr>
              <w:t>“Big 3” Segments and Consolidated Adjusted EBITDA</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 xml:space="preserve"> and the Related Margins</w:t>
            </w:r>
            <w:r>
              <w:rPr>
                <w:rFonts w:ascii="Arial" w:cs="Arial" w:eastAsia="Arial" w:hAnsi="Arial"/>
                <w:sz w:val="24"/>
                <w:szCs w:val="24"/>
                <w:b w:val="1"/>
                <w:bCs w:val="1"/>
                <w:color w:val="auto"/>
                <w:vertAlign w:val="superscript"/>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20" w:type="dxa"/>
            <w:vAlign w:val="bottom"/>
          </w:tcPr>
          <w:p>
            <w:pPr>
              <w:jc w:val="center"/>
              <w:ind w:right="282"/>
              <w:spacing w:after="0"/>
              <w:rPr>
                <w:sz w:val="20"/>
                <w:szCs w:val="20"/>
                <w:color w:val="auto"/>
              </w:rPr>
            </w:pPr>
            <w:r>
              <w:rPr>
                <w:rFonts w:ascii="Arial" w:cs="Arial" w:eastAsia="Arial" w:hAnsi="Arial"/>
                <w:sz w:val="14"/>
                <w:szCs w:val="14"/>
                <w:color w:val="auto"/>
              </w:rPr>
              <w:t>(millions of U.S. dollars)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20" w:type="dxa"/>
            <w:vAlign w:val="bottom"/>
          </w:tcPr>
          <w:p>
            <w:pPr>
              <w:jc w:val="center"/>
              <w:ind w:right="282"/>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1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40" w:type="dxa"/>
            <w:vAlign w:val="bottom"/>
            <w:gridSpan w:val="6"/>
          </w:tcPr>
          <w:p>
            <w:pPr>
              <w:spacing w:after="0" w:line="176"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Legal Professionals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Corporates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Tax, Audit &amp; Accounting Professionals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gridSpan w:val="6"/>
          </w:tcPr>
          <w:p>
            <w:pPr>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Reuters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Global Print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Corporate costs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40" w:type="dxa"/>
            <w:vAlign w:val="bottom"/>
            <w:gridSpan w:val="6"/>
          </w:tcPr>
          <w:p>
            <w:pPr>
              <w:spacing w:after="0"/>
              <w:rPr>
                <w:sz w:val="20"/>
                <w:szCs w:val="20"/>
                <w:color w:val="auto"/>
              </w:rPr>
            </w:pPr>
            <w:r>
              <w:rPr>
                <w:rFonts w:ascii="Arial" w:cs="Arial" w:eastAsia="Arial" w:hAnsi="Arial"/>
                <w:sz w:val="18"/>
                <w:szCs w:val="18"/>
                <w:b w:val="1"/>
                <w:bCs w:val="1"/>
                <w:color w:val="auto"/>
              </w:rPr>
              <w:t>Total Adjusted EBITDA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60" w:type="dxa"/>
            <w:vAlign w:val="bottom"/>
            <w:tcBorders>
              <w:bottom w:val="single" w:sz="8" w:color="CCEEFF"/>
            </w:tcBorders>
            <w:gridSpan w:val="4"/>
            <w:vMerge w:val="restart"/>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“Big 3” Segments Combined</w:t>
            </w:r>
          </w:p>
        </w:tc>
        <w:tc>
          <w:tcPr>
            <w:tcW w:w="1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b w:val="1"/>
                <w:bCs w:val="1"/>
                <w:color w:val="auto"/>
                <w:w w:val="87"/>
              </w:rPr>
              <w:t>(1)</w:t>
            </w:r>
          </w:p>
        </w:tc>
        <w:tc>
          <w:tcPr>
            <w:tcW w:w="6120" w:type="dxa"/>
            <w:vAlign w:val="bottom"/>
            <w:tcBorders>
              <w:bottom w:val="single" w:sz="8" w:color="CCEEFF"/>
            </w:tcBorders>
            <w:vMerge w:val="restart"/>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460" w:type="dxa"/>
            <w:vAlign w:val="bottom"/>
            <w:tcBorders>
              <w:bottom w:val="single" w:sz="8" w:color="auto"/>
            </w:tcBorders>
            <w:gridSpan w:val="4"/>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1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Revenues, excluding $20 million of fair value adjustments to acquired deferred revenue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Adjusted EBITDA margin</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35"/>
        </w:trPr>
        <w:tc>
          <w:tcPr>
            <w:tcW w:w="114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Consolidated</w:t>
            </w:r>
          </w:p>
        </w:tc>
        <w:tc>
          <w:tcPr>
            <w:tcW w:w="1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b w:val="1"/>
                <w:bCs w:val="1"/>
                <w:color w:val="auto"/>
                <w:w w:val="87"/>
              </w:rPr>
              <w:t>(1)</w:t>
            </w:r>
          </w:p>
        </w:tc>
        <w:tc>
          <w:tcPr>
            <w:tcW w:w="7440" w:type="dxa"/>
            <w:vAlign w:val="bottom"/>
            <w:tcBorders>
              <w:bottom w:val="single" w:sz="8" w:color="CCEEFF"/>
            </w:tcBorders>
            <w:gridSpan w:val="4"/>
            <w:vMerge w:val="restart"/>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140" w:type="dxa"/>
            <w:vAlign w:val="bottom"/>
            <w:tcBorders>
              <w:bottom w:val="single" w:sz="8" w:color="auto"/>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440" w:type="dxa"/>
            <w:vAlign w:val="bottom"/>
            <w:tcBorders>
              <w:bottom w:val="single" w:sz="8" w:color="CCEEFF"/>
            </w:tcBorders>
            <w:gridSpan w:val="4"/>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4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Revenues, excluding $20 million of fair value adjustments to acquired deferred revenue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740" w:type="dxa"/>
            <w:vAlign w:val="bottom"/>
            <w:gridSpan w:val="6"/>
          </w:tcPr>
          <w:p>
            <w:pPr>
              <w:spacing w:after="0"/>
              <w:rPr>
                <w:sz w:val="20"/>
                <w:szCs w:val="20"/>
                <w:color w:val="auto"/>
              </w:rPr>
            </w:pPr>
            <w:r>
              <w:rPr>
                <w:rFonts w:ascii="Arial" w:cs="Arial" w:eastAsia="Arial" w:hAnsi="Arial"/>
                <w:sz w:val="18"/>
                <w:szCs w:val="18"/>
                <w:color w:val="auto"/>
              </w:rPr>
              <w:t>Adjusted EBITDA margin</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47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jc w:val="center"/>
              <w:ind w:right="282"/>
              <w:spacing w:after="0"/>
              <w:rPr>
                <w:sz w:val="20"/>
                <w:szCs w:val="20"/>
                <w:color w:val="auto"/>
              </w:rPr>
            </w:pPr>
            <w:r>
              <w:rPr>
                <w:rFonts w:ascii="Arial" w:cs="Arial" w:eastAsia="Arial" w:hAnsi="Arial"/>
                <w:sz w:val="18"/>
                <w:szCs w:val="18"/>
                <w:b w:val="1"/>
                <w:bCs w:val="1"/>
                <w:color w:val="auto"/>
                <w:w w:val="99"/>
              </w:rPr>
              <w:t>Thomson Reuters Corporation</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380" w:type="dxa"/>
            <w:vAlign w:val="bottom"/>
            <w:gridSpan w:val="6"/>
          </w:tcPr>
          <w:p>
            <w:pPr>
              <w:jc w:val="center"/>
              <w:ind w:right="340"/>
              <w:spacing w:after="0" w:line="212" w:lineRule="exact"/>
              <w:rPr>
                <w:sz w:val="20"/>
                <w:szCs w:val="20"/>
                <w:color w:val="auto"/>
              </w:rPr>
            </w:pPr>
            <w:r>
              <w:rPr>
                <w:rFonts w:ascii="Arial" w:cs="Arial" w:eastAsia="Arial" w:hAnsi="Arial"/>
                <w:sz w:val="17"/>
                <w:szCs w:val="17"/>
                <w:b w:val="1"/>
                <w:bCs w:val="1"/>
                <w:color w:val="auto"/>
              </w:rPr>
              <w:t>Reconciliation of Net Debt</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 xml:space="preserve"> and Leverage Ratio of Net Debt to Adjusted EBITDA</w:t>
            </w:r>
            <w:r>
              <w:rPr>
                <w:rFonts w:ascii="Arial" w:cs="Arial" w:eastAsia="Arial" w:hAnsi="Arial"/>
                <w:sz w:val="24"/>
                <w:szCs w:val="24"/>
                <w:b w:val="1"/>
                <w:bCs w:val="1"/>
                <w:color w:val="auto"/>
                <w:vertAlign w:val="superscript"/>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20" w:type="dxa"/>
            <w:vAlign w:val="bottom"/>
          </w:tcPr>
          <w:p>
            <w:pPr>
              <w:jc w:val="center"/>
              <w:ind w:right="282"/>
              <w:spacing w:after="0"/>
              <w:rPr>
                <w:sz w:val="20"/>
                <w:szCs w:val="20"/>
                <w:color w:val="auto"/>
              </w:rPr>
            </w:pPr>
            <w:r>
              <w:rPr>
                <w:rFonts w:ascii="Arial" w:cs="Arial" w:eastAsia="Arial" w:hAnsi="Arial"/>
                <w:sz w:val="14"/>
                <w:szCs w:val="14"/>
                <w:color w:val="auto"/>
              </w:rPr>
              <w:t>(millions of U.S. dollars)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20" w:type="dxa"/>
            <w:vAlign w:val="bottom"/>
          </w:tcPr>
          <w:p>
            <w:pPr>
              <w:jc w:val="center"/>
              <w:ind w:right="282"/>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4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auto"/>
              </w:rPr>
              <w:t>Current indebtedness</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Long-term indebtedness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0"/>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Swaps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Total debt after swaps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0"/>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Remove fair value adjustments for hedges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Total debt after hedging arrangements</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2,462</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Collateral assets</w:t>
            </w:r>
          </w:p>
        </w:tc>
        <w:tc>
          <w:tcPr>
            <w:tcW w:w="14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Remove transaction costs, premiums or discounts, included in the carrying value of debt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Add: Lease liabilities (current and non-current)</w:t>
            </w:r>
          </w:p>
        </w:tc>
        <w:tc>
          <w:tcPr>
            <w:tcW w:w="14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Less: Cash and cash equivalents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0"/>
        </w:trPr>
        <w:tc>
          <w:tcPr>
            <w:tcW w:w="8740" w:type="dxa"/>
            <w:vAlign w:val="bottom"/>
            <w:gridSpan w:val="6"/>
          </w:tcPr>
          <w:p>
            <w:pPr>
              <w:spacing w:after="0"/>
              <w:rPr>
                <w:sz w:val="20"/>
                <w:szCs w:val="20"/>
                <w:color w:val="auto"/>
              </w:rPr>
            </w:pPr>
            <w:r>
              <w:rPr>
                <w:rFonts w:ascii="Arial" w:cs="Arial" w:eastAsia="Arial" w:hAnsi="Arial"/>
                <w:sz w:val="18"/>
                <w:szCs w:val="18"/>
                <w:color w:val="auto"/>
              </w:rPr>
              <w:t>Net debt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auto"/>
              </w:rPr>
              <w:t>Leverage ratio of net debt to adjusted EBITDA</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gridSpan w:val="6"/>
          </w:tcPr>
          <w:p>
            <w:pPr>
              <w:spacing w:after="0" w:line="202" w:lineRule="exact"/>
              <w:rPr>
                <w:sz w:val="20"/>
                <w:szCs w:val="20"/>
                <w:color w:val="auto"/>
              </w:rPr>
            </w:pPr>
            <w:r>
              <w:rPr>
                <w:rFonts w:ascii="Arial" w:cs="Arial" w:eastAsia="Arial" w:hAnsi="Arial"/>
                <w:sz w:val="18"/>
                <w:szCs w:val="18"/>
                <w:color w:val="auto"/>
              </w:rPr>
              <w:t>Adjusted EBITDA</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3,008</w:t>
            </w:r>
          </w:p>
        </w:tc>
        <w:tc>
          <w:tcPr>
            <w:tcW w:w="2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2"/>
        </w:trPr>
        <w:tc>
          <w:tcPr>
            <w:tcW w:w="874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Net debt/adjusted EBITDA</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Refer to page 18 for additional information on non-IFRS financial measures.</w:t>
      </w:r>
    </w:p>
    <w:p>
      <w:pPr>
        <w:sectPr>
          <w:pgSz w:w="11900" w:h="16838" w:orient="portrait"/>
          <w:cols w:equalWidth="0" w:num="1">
            <w:col w:w="11020"/>
          </w:cols>
          <w:pgMar w:left="440" w:top="1106" w:right="439" w:bottom="1440" w:gutter="0" w:footer="0" w:header="0"/>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54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Thomson Reuters Reports First-Quarter 2026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18 of 18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8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Non-IFRS Financial</w:t>
            </w:r>
          </w:p>
        </w:tc>
        <w:tc>
          <w:tcPr>
            <w:tcW w:w="4780" w:type="dxa"/>
            <w:vAlign w:val="bottom"/>
            <w:tcBorders>
              <w:top w:val="single" w:sz="8" w:color="auto"/>
              <w:right w:val="single" w:sz="8" w:color="auto"/>
            </w:tcBorders>
          </w:tcPr>
          <w:p>
            <w:pPr>
              <w:spacing w:after="0"/>
              <w:rPr>
                <w:sz w:val="14"/>
                <w:szCs w:val="14"/>
                <w:color w:val="auto"/>
              </w:rPr>
            </w:pPr>
          </w:p>
        </w:tc>
        <w:tc>
          <w:tcPr>
            <w:tcW w:w="44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Measures</w:t>
            </w:r>
          </w:p>
        </w:tc>
        <w:tc>
          <w:tcPr>
            <w:tcW w:w="4780" w:type="dxa"/>
            <w:vAlign w:val="bottom"/>
            <w:tcBorders>
              <w:bottom w:val="single" w:sz="8" w:color="auto"/>
              <w:right w:val="single" w:sz="8" w:color="auto"/>
            </w:tcBorders>
          </w:tcPr>
          <w:p>
            <w:pPr>
              <w:ind w:left="2160"/>
              <w:spacing w:after="0"/>
              <w:rPr>
                <w:sz w:val="20"/>
                <w:szCs w:val="20"/>
                <w:color w:val="auto"/>
              </w:rPr>
            </w:pPr>
            <w:r>
              <w:rPr>
                <w:rFonts w:ascii="Arial" w:cs="Arial" w:eastAsia="Arial" w:hAnsi="Arial"/>
                <w:sz w:val="14"/>
                <w:szCs w:val="14"/>
                <w:b w:val="1"/>
                <w:bCs w:val="1"/>
                <w:color w:val="auto"/>
              </w:rPr>
              <w:t>Definition</w:t>
            </w:r>
          </w:p>
        </w:tc>
        <w:tc>
          <w:tcPr>
            <w:tcW w:w="448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4"/>
                <w:szCs w:val="14"/>
                <w:b w:val="1"/>
                <w:bCs w:val="1"/>
                <w:color w:val="auto"/>
              </w:rPr>
              <w:t>Why Useful to the Company and Investors</w:t>
            </w: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EBITDA</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Represents earnings or losses from continuing</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consistent basis to evaluate operating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the related</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operations before tax expense or benefit, net interest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profitability and performance trends by excluding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margin</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expense, other finance costs or income, depreciation,</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items that the company does not consider to be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amortization of software and other identifiable intangible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controllable activities for this purpose. Also,</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assets, Thomson Reuters share of post-tax earnings or</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represents a measure commonly reported and widely</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losses in equity method investments, other operating</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used by investors as a valuation metric, as well as to</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gains and losses, certain asset impairment charges and</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assess the company’s ability to incur and service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fair value adjustments, including those related to</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debt.</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acquired deferred revenue. The related margin is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adjusted EBITDA expressed as a percentage of</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revenues. For purposes of this calculation, revenues are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before fair value adjustments to acquired deferred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revenue.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earnings</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earnings or loss including dividends declared on</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more comparable basis to analyze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adjusted EPS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preference shares but excluding the post-tax impacts of</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fair value adjustments, including those related to</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These measures are commonly used by shareholders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acquired deferred revenue, amortization of acquired</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measure performance.</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intangible assets (attributable to other identifiable</w:t>
            </w:r>
          </w:p>
        </w:tc>
        <w:tc>
          <w:tcPr>
            <w:tcW w:w="4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780" w:type="dxa"/>
            <w:vAlign w:val="bottom"/>
            <w:tcBorders>
              <w:left w:val="single" w:sz="8" w:color="auto"/>
              <w:right w:val="single" w:sz="8" w:color="auto"/>
            </w:tcBorders>
          </w:tcPr>
          <w:p>
            <w:pPr>
              <w:spacing w:after="0"/>
              <w:rPr>
                <w:sz w:val="3"/>
                <w:szCs w:val="3"/>
                <w:color w:val="auto"/>
              </w:rPr>
            </w:pPr>
          </w:p>
        </w:tc>
        <w:tc>
          <w:tcPr>
            <w:tcW w:w="4780" w:type="dxa"/>
            <w:vAlign w:val="bottom"/>
            <w:tcBorders>
              <w:right w:val="single" w:sz="8" w:color="auto"/>
            </w:tcBorders>
            <w:vMerge w:val="continue"/>
          </w:tcPr>
          <w:p>
            <w:pPr>
              <w:spacing w:after="0"/>
              <w:rPr>
                <w:sz w:val="3"/>
                <w:szCs w:val="3"/>
                <w:color w:val="auto"/>
              </w:rPr>
            </w:pPr>
          </w:p>
        </w:tc>
        <w:tc>
          <w:tcPr>
            <w:tcW w:w="44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intangible assets and acquired software), other operating</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gains and losses, certain asset impairment charges,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other finance costs or income, Thomson Reuters share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post-tax earnings or losses in equity method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investments, discontinued operations and other items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affecting comparability. Acquired intangible assets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contribute to the generation of revenues from acquired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companies, which are included in the company’s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computation of adjusted earnings.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post-tax amount of each item is excluded from</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adjusted earnings based on the specific tax rules and tax</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rates associated with the nature and jurisdiction of each</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item.</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Adjusted EPS is calculated from adjusted earnings using</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diluted weighted-average shares and does not represent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actual earnings or loss per share attributable to</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shareholders.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Effective tax rate</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Adjusted tax expense divided by pre-tax adjusted</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basis to analyze the effective tax rate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on adjusted</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earnings. Adjusted tax expense is computed as income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adjusted earnings.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earnings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tax expense or benefit plus or minus the income tax</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impacts of all items impacting adjusted earnings (as</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described above), and other tax items impacting</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comparability.</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 interim periods, the company also makes an</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company’s effective tax rate computed in</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adjustment to reflect income taxes based on the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accordance with IFRS may be more volatile by</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estimated full-year effective tax rate. Earnings or losses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quarter because the geographical mix of pre-tax</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for interim periods under IFRS reflect income taxes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profits and losses in interim periods may be different</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based on the estimated effective tax rates of each of the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from that for the full year. Therefore, the company</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jurisdictions in which Thomson Reuters operates. The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believes that using the expected full-year effective tax</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non-IFRS adjustment reallocates estimated full-year</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rate provides more comparability among interim</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income taxes between interim periods but has no effect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periods.</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on full-year income taxes.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Free cash flow</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cash provided by operating activities and other</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Helps assess the company’s ability, over the long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investing activities, less capital expenditures, payments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term, to create value for its shareholders as it</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lease principal and dividends paid on the company’s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represents cash available to repay debt, pay common</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preference shares.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dividends, fund share repurchases and acquisitions.</w:t>
            </w:r>
          </w:p>
        </w:tc>
        <w:tc>
          <w:tcPr>
            <w:tcW w:w="0" w:type="dxa"/>
            <w:vAlign w:val="bottom"/>
          </w:tcPr>
          <w:p>
            <w:pPr>
              <w:spacing w:after="0"/>
              <w:rPr>
                <w:sz w:val="1"/>
                <w:szCs w:val="1"/>
                <w:color w:val="auto"/>
              </w:rPr>
            </w:pPr>
          </w:p>
        </w:tc>
      </w:tr>
      <w:tr>
        <w:trPr>
          <w:trHeight w:val="37"/>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before</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changes in revenues, adjusted EBITDA and the</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better comparability of business trends from</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the impact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related margin, and adjusted EPS before currency (at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to period.</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foreign currency or</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constant currency or excluding the effects of currency)</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at constant</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are determined by converting the current and equivalent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currency</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prior period’s local currency results using the same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foreign currency exchange rate.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in</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Represent changes in revenues of the company’s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further insight into the performance of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existing businesses at constant currency. The metric</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existing businesses by excluding distortive</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computed on an</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excludes the distortive impacts of acquisitions and</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impacts and serves as a better measure of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organic basis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dispositions from not owning the business in both</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ability to grow its business over the long</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comparable periods.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1780" w:type="dxa"/>
            <w:vAlign w:val="bottom"/>
            <w:tcBorders>
              <w:left w:val="single" w:sz="8" w:color="auto"/>
              <w:right w:val="single" w:sz="8" w:color="auto"/>
            </w:tcBorders>
          </w:tcPr>
          <w:p>
            <w:pPr>
              <w:spacing w:after="0"/>
              <w:rPr>
                <w:sz w:val="4"/>
                <w:szCs w:val="4"/>
                <w:color w:val="auto"/>
              </w:rPr>
            </w:pPr>
          </w:p>
        </w:tc>
        <w:tc>
          <w:tcPr>
            <w:tcW w:w="4780" w:type="dxa"/>
            <w:vAlign w:val="bottom"/>
            <w:tcBorders>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020"/>
          </w:cols>
          <w:pgMar w:left="440" w:top="1093" w:right="439" w:bottom="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Accrued capital</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Accrued capital expenditures divided by revenues, where</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Reflects the basis on which the company manages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expenditures as a</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accrued capital expenditures include amounts that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capital expenditures for internal planning purposes.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percentage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remain unpaid at the end of the reporting period. For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purposes of this calculation, revenues are before fair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value adjustments to acquired deferred revenue.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“Big 3” segments</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company’s combined Legal Professionals,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“Big 3” segments comprised approximately 80%</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Corporates and Tax, Audit &amp; Accounting Professionals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revenues and represent the core of the company’s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segments. All measures reported for the “Big 3”</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business information service product offerings.</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segments are non-IFRS financial measures.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Net debt and</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debt is total debt, plus related hedging instruments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commonly used measure of a company’s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leverage ratio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and collateral balances, along with lease liabilities,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leverage and its ability to pay its debt. Given that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net debt to</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excluding unamortized transaction costs and any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hedges some of its debt to manage risk,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adjusted EBITDA</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premiums or discounts on debt, minus cash and cash</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includes hedging instruments as it believes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equivalents. We exclude specific hedging components to</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 provides a better measure of the total obligation</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reflect the net cash outflow upon debt maturity.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its outstanding debt. Since the</w:t>
            </w: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Net debt to adjusted EBITDA is net debt divided by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plans to hold its debt and related hedges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until maturity, the net debt calculation is adjusted to</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adjusted EBITDA for the previous twelve-month period</w:t>
            </w: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reflect the net cash outflow at maturity, after deducting</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ending with the current fiscal quarter.</w:t>
            </w: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continue"/>
          </w:tcPr>
          <w:p>
            <w:pPr>
              <w:spacing w:after="0"/>
              <w:rPr>
                <w:sz w:val="13"/>
                <w:szCs w:val="13"/>
                <w:color w:val="auto"/>
              </w:rPr>
            </w:pP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company’s non-IFRS measure is aligned with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calculation of its internal target leverage ratio and is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more conservative than the maximum ratio allowed</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under the contractual covenants in its credit facility.</w:t>
            </w: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Please refer to reconciliations for the most directly comparable IFRS financial measures.</w:t>
      </w:r>
    </w:p>
    <w:sectPr>
      <w:pgSz w:w="11900" w:h="16838" w:orient="portrait"/>
      <w:cols w:equalWidth="0" w:num="1">
        <w:col w:w="11020"/>
      </w:cols>
      <w:pgMar w:left="440" w:top="13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2026-05-05T06:09:21Z</dcterms:created>
  <dcterms:modified xsi:type="dcterms:W3CDTF">2026-05-05T06:09:21Z</dcterms:modified>
</cp:coreProperties>
</file>