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3450590</wp:posOffset>
            </wp:positionH>
            <wp:positionV relativeFrom="page">
              <wp:posOffset>311785</wp:posOffset>
            </wp:positionV>
            <wp:extent cx="20154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15490" cy="788670"/>
                    </a:xfrm>
                    <a:prstGeom prst="rect">
                      <a:avLst/>
                    </a:prstGeom>
                    <a:noFill/>
                  </pic:spPr>
                </pic:pic>
              </a:graphicData>
            </a:graphic>
          </wp:anchor>
        </w:drawing>
        <w:t>OMB APPROVAL</w:t>
      </w:r>
    </w:p>
    <w:p>
      <w:pPr>
        <w:spacing w:after="0" w:line="23" w:lineRule="exact"/>
        <w:rPr>
          <w:sz w:val="24"/>
          <w:szCs w:val="24"/>
          <w:color w:val="auto"/>
        </w:rPr>
      </w:pPr>
    </w:p>
    <w:tbl>
      <w:tblPr>
        <w:tblLayout w:type="fixed"/>
        <w:tblInd w:w="5300" w:type="dxa"/>
        <w:tblCellMar>
          <w:top w:w="0" w:type="dxa"/>
          <w:left w:w="0" w:type="dxa"/>
          <w:bottom w:w="0" w:type="dxa"/>
          <w:right w:w="0" w:type="dxa"/>
        </w:tblCellMar>
      </w:tblPr>
      <w:tr>
        <w:trPr>
          <w:trHeight w:val="222"/>
        </w:trPr>
        <w:tc>
          <w:tcPr>
            <w:tcW w:w="1520" w:type="dxa"/>
            <w:vAlign w:val="bottom"/>
          </w:tcPr>
          <w:p>
            <w:pPr>
              <w:spacing w:after="0"/>
              <w:rPr>
                <w:sz w:val="20"/>
                <w:szCs w:val="20"/>
                <w:color w:val="auto"/>
              </w:rPr>
            </w:pPr>
            <w:r>
              <w:rPr>
                <w:rFonts w:ascii="Arial" w:cs="Arial" w:eastAsia="Arial" w:hAnsi="Arial"/>
                <w:sz w:val="18"/>
                <w:szCs w:val="18"/>
                <w:color w:val="auto"/>
              </w:rPr>
              <w:t>OMB Number:</w:t>
            </w:r>
          </w:p>
        </w:tc>
        <w:tc>
          <w:tcPr>
            <w:tcW w:w="1440" w:type="dxa"/>
            <w:vAlign w:val="bottom"/>
          </w:tcPr>
          <w:p>
            <w:pPr>
              <w:jc w:val="right"/>
              <w:spacing w:after="0"/>
              <w:rPr>
                <w:sz w:val="20"/>
                <w:szCs w:val="20"/>
                <w:color w:val="auto"/>
              </w:rPr>
            </w:pPr>
            <w:r>
              <w:rPr>
                <w:rFonts w:ascii="Arial" w:cs="Arial" w:eastAsia="Arial" w:hAnsi="Arial"/>
                <w:sz w:val="18"/>
                <w:szCs w:val="18"/>
                <w:color w:val="auto"/>
              </w:rPr>
              <w:t>3235-0145</w:t>
            </w:r>
          </w:p>
        </w:tc>
      </w:tr>
      <w:tr>
        <w:trPr>
          <w:trHeight w:val="243"/>
        </w:trPr>
        <w:tc>
          <w:tcPr>
            <w:tcW w:w="1520" w:type="dxa"/>
            <w:vAlign w:val="bottom"/>
          </w:tcPr>
          <w:p>
            <w:pPr>
              <w:spacing w:after="0"/>
              <w:rPr>
                <w:sz w:val="20"/>
                <w:szCs w:val="20"/>
                <w:color w:val="auto"/>
              </w:rPr>
            </w:pPr>
            <w:r>
              <w:rPr>
                <w:rFonts w:ascii="Arial" w:cs="Arial" w:eastAsia="Arial" w:hAnsi="Arial"/>
                <w:sz w:val="18"/>
                <w:szCs w:val="18"/>
                <w:color w:val="auto"/>
              </w:rPr>
              <w:t>Expires</w:t>
            </w:r>
          </w:p>
        </w:tc>
        <w:tc>
          <w:tcPr>
            <w:tcW w:w="1440" w:type="dxa"/>
            <w:vAlign w:val="bottom"/>
          </w:tcPr>
          <w:p>
            <w:pPr>
              <w:jc w:val="right"/>
              <w:spacing w:after="0"/>
              <w:rPr>
                <w:sz w:val="20"/>
                <w:szCs w:val="20"/>
                <w:color w:val="auto"/>
              </w:rPr>
            </w:pPr>
            <w:r>
              <w:rPr>
                <w:rFonts w:ascii="Arial" w:cs="Arial" w:eastAsia="Arial" w:hAnsi="Arial"/>
                <w:sz w:val="18"/>
                <w:szCs w:val="18"/>
                <w:color w:val="auto"/>
                <w:w w:val="96"/>
              </w:rPr>
              <w:t>February 28, 2009</w:t>
            </w:r>
          </w:p>
        </w:tc>
      </w:tr>
      <w:tr>
        <w:trPr>
          <w:trHeight w:val="243"/>
        </w:trPr>
        <w:tc>
          <w:tcPr>
            <w:tcW w:w="2960" w:type="dxa"/>
            <w:vAlign w:val="bottom"/>
            <w:gridSpan w:val="2"/>
          </w:tcPr>
          <w:p>
            <w:pPr>
              <w:spacing w:after="0"/>
              <w:rPr>
                <w:sz w:val="20"/>
                <w:szCs w:val="20"/>
                <w:color w:val="auto"/>
              </w:rPr>
            </w:pPr>
            <w:r>
              <w:rPr>
                <w:rFonts w:ascii="Arial" w:cs="Arial" w:eastAsia="Arial" w:hAnsi="Arial"/>
                <w:sz w:val="18"/>
                <w:szCs w:val="18"/>
                <w:color w:val="auto"/>
              </w:rPr>
              <w:t>Estimated average burden</w:t>
            </w:r>
          </w:p>
        </w:tc>
      </w:tr>
      <w:tr>
        <w:trPr>
          <w:trHeight w:val="243"/>
        </w:trPr>
        <w:tc>
          <w:tcPr>
            <w:tcW w:w="1520" w:type="dxa"/>
            <w:vAlign w:val="bottom"/>
          </w:tcPr>
          <w:p>
            <w:pPr>
              <w:spacing w:after="0"/>
              <w:rPr>
                <w:sz w:val="20"/>
                <w:szCs w:val="20"/>
                <w:color w:val="auto"/>
              </w:rPr>
            </w:pPr>
            <w:r>
              <w:rPr>
                <w:rFonts w:ascii="Arial" w:cs="Arial" w:eastAsia="Arial" w:hAnsi="Arial"/>
                <w:sz w:val="18"/>
                <w:szCs w:val="18"/>
                <w:color w:val="auto"/>
                <w:w w:val="94"/>
              </w:rPr>
              <w:t>Hours per response</w:t>
            </w:r>
          </w:p>
        </w:tc>
        <w:tc>
          <w:tcPr>
            <w:tcW w:w="144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200" w:lineRule="exact"/>
        <w:rPr>
          <w:sz w:val="24"/>
          <w:szCs w:val="24"/>
          <w:color w:val="auto"/>
        </w:rPr>
      </w:pPr>
    </w:p>
    <w:p>
      <w:pPr>
        <w:spacing w:after="0" w:line="328"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SECURTIES AND EXCHANGE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SCHEDULE 13G</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58"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Thomson Reuters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1454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11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11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B29MWZ9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982980</wp:posOffset>
            </wp:positionH>
            <wp:positionV relativeFrom="paragraph">
              <wp:posOffset>10795</wp:posOffset>
            </wp:positionV>
            <wp:extent cx="3190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1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11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2" w:lineRule="exact"/>
        <w:rPr>
          <w:sz w:val="24"/>
          <w:szCs w:val="24"/>
          <w:color w:val="auto"/>
        </w:rPr>
      </w:pPr>
    </w:p>
    <w:p>
      <w:pPr>
        <w:ind w:left="1480" w:hanging="630"/>
        <w:spacing w:after="0"/>
        <w:tabs>
          <w:tab w:leader="none" w:pos="148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13d-1(b)</w:t>
      </w:r>
    </w:p>
    <w:p>
      <w:pPr>
        <w:spacing w:after="0" w:line="233" w:lineRule="exact"/>
        <w:rPr>
          <w:sz w:val="24"/>
          <w:szCs w:val="24"/>
          <w:color w:val="auto"/>
        </w:rPr>
      </w:pPr>
    </w:p>
    <w:p>
      <w:pPr>
        <w:ind w:left="1480" w:hanging="630"/>
        <w:spacing w:after="0"/>
        <w:tabs>
          <w:tab w:leader="none" w:pos="1480" w:val="left"/>
        </w:tabs>
        <w:numPr>
          <w:ilvl w:val="0"/>
          <w:numId w:val="2"/>
        </w:numPr>
        <w:rPr>
          <w:rFonts w:ascii="Arial" w:cs="Arial" w:eastAsia="Arial" w:hAnsi="Arial"/>
          <w:sz w:val="22"/>
          <w:szCs w:val="22"/>
          <w:color w:val="auto"/>
        </w:rPr>
      </w:pPr>
      <w:r>
        <w:rPr>
          <w:rFonts w:ascii="Arial" w:cs="Arial" w:eastAsia="Arial" w:hAnsi="Arial"/>
          <w:sz w:val="18"/>
          <w:szCs w:val="18"/>
          <w:color w:val="auto"/>
        </w:rPr>
        <w:t>Rule 13d-1(c)</w:t>
      </w:r>
    </w:p>
    <w:p>
      <w:pPr>
        <w:spacing w:after="0" w:line="233" w:lineRule="exact"/>
        <w:rPr>
          <w:rFonts w:ascii="Arial" w:cs="Arial" w:eastAsia="Arial" w:hAnsi="Arial"/>
          <w:sz w:val="22"/>
          <w:szCs w:val="22"/>
          <w:color w:val="auto"/>
        </w:rPr>
      </w:pPr>
    </w:p>
    <w:p>
      <w:pPr>
        <w:ind w:left="1480" w:hanging="630"/>
        <w:spacing w:after="0"/>
        <w:tabs>
          <w:tab w:leader="none" w:pos="1480" w:val="left"/>
        </w:tabs>
        <w:numPr>
          <w:ilvl w:val="0"/>
          <w:numId w:val="2"/>
        </w:numPr>
        <w:rPr>
          <w:rFonts w:ascii="Arial" w:cs="Arial" w:eastAsia="Arial" w:hAnsi="Arial"/>
          <w:sz w:val="22"/>
          <w:szCs w:val="22"/>
          <w:color w:val="auto"/>
        </w:rPr>
      </w:pPr>
      <w:r>
        <w:rPr>
          <w:rFonts w:ascii="Arial" w:cs="Arial" w:eastAsia="Arial" w:hAnsi="Arial"/>
          <w:sz w:val="18"/>
          <w:szCs w:val="18"/>
          <w:color w:val="auto"/>
        </w:rPr>
        <w:t>Rule 13d-1(d)</w:t>
      </w:r>
    </w:p>
    <w:p>
      <w:pPr>
        <w:spacing w:after="0" w:line="264" w:lineRule="exact"/>
        <w:rPr>
          <w:sz w:val="24"/>
          <w:szCs w:val="24"/>
          <w:color w:val="auto"/>
        </w:rPr>
      </w:pPr>
    </w:p>
    <w:p>
      <w:pPr>
        <w:jc w:val="both"/>
        <w:ind w:right="2119"/>
        <w:spacing w:after="0" w:line="25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4" w:lineRule="exact"/>
        <w:rPr>
          <w:sz w:val="24"/>
          <w:szCs w:val="24"/>
          <w:color w:val="auto"/>
        </w:rPr>
      </w:pPr>
    </w:p>
    <w:p>
      <w:pPr>
        <w:jc w:val="both"/>
        <w:ind w:right="2119"/>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496"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B29MWZ9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59175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17565" cy="8890"/>
                    </a:xfrm>
                    <a:prstGeom prst="rect">
                      <a:avLst/>
                    </a:prstGeom>
                    <a:noFill/>
                  </pic:spPr>
                </pic:pic>
              </a:graphicData>
            </a:graphic>
          </wp:anchor>
        </w:drawing>
      </w:r>
    </w:p>
    <w:p>
      <w:pPr>
        <w:spacing w:after="0" w:line="246" w:lineRule="exact"/>
        <w:rPr>
          <w:sz w:val="20"/>
          <w:szCs w:val="20"/>
          <w:color w:val="auto"/>
        </w:rPr>
      </w:pPr>
    </w:p>
    <w:p>
      <w:pPr>
        <w:ind w:left="1100" w:hanging="65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36" w:lineRule="exact"/>
        <w:rPr>
          <w:rFonts w:ascii="Arial" w:cs="Arial" w:eastAsia="Arial" w:hAnsi="Arial"/>
          <w:sz w:val="18"/>
          <w:szCs w:val="18"/>
          <w:color w:val="auto"/>
        </w:rPr>
      </w:pPr>
    </w:p>
    <w:p>
      <w:pPr>
        <w:ind w:left="1100" w:right="4499"/>
        <w:spacing w:after="0" w:line="643" w:lineRule="auto"/>
        <w:rPr>
          <w:rFonts w:ascii="Arial" w:cs="Arial" w:eastAsia="Arial" w:hAnsi="Arial"/>
          <w:sz w:val="18"/>
          <w:szCs w:val="18"/>
          <w:color w:val="auto"/>
        </w:rPr>
      </w:pPr>
      <w:r>
        <w:rPr>
          <w:rFonts w:ascii="Arial" w:cs="Arial" w:eastAsia="Arial" w:hAnsi="Arial"/>
          <w:sz w:val="16"/>
          <w:szCs w:val="16"/>
          <w:color w:val="auto"/>
        </w:rPr>
        <w:t>I.R.S. Identification Nos. of above persons (entities only). Phillips, Hager &amp; North Investment Management Ltd. (“PH&amp;N”)</w:t>
      </w:r>
    </w:p>
    <w:p>
      <w:pPr>
        <w:ind w:left="1100" w:hanging="65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36" w:lineRule="exact"/>
        <w:rPr>
          <w:rFonts w:ascii="Arial" w:cs="Arial" w:eastAsia="Arial" w:hAnsi="Arial"/>
          <w:sz w:val="18"/>
          <w:szCs w:val="18"/>
          <w:color w:val="auto"/>
        </w:rPr>
      </w:pPr>
    </w:p>
    <w:p>
      <w:pPr>
        <w:ind w:left="1440" w:hanging="336"/>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color w:val="auto"/>
        </w:rPr>
      </w:pPr>
    </w:p>
    <w:p>
      <w:pPr>
        <w:ind w:left="1440" w:hanging="336"/>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92" w:lineRule="exact"/>
        <w:rPr>
          <w:rFonts w:ascii="Arial" w:cs="Arial" w:eastAsia="Arial" w:hAnsi="Arial"/>
          <w:sz w:val="18"/>
          <w:szCs w:val="18"/>
          <w:color w:val="auto"/>
        </w:rPr>
      </w:pPr>
    </w:p>
    <w:p>
      <w:pPr>
        <w:ind w:left="1100" w:hanging="65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2" w:lineRule="exact"/>
        <w:rPr>
          <w:rFonts w:ascii="Arial" w:cs="Arial" w:eastAsia="Arial" w:hAnsi="Arial"/>
          <w:sz w:val="18"/>
          <w:szCs w:val="18"/>
          <w:color w:val="auto"/>
        </w:rPr>
      </w:pPr>
    </w:p>
    <w:p>
      <w:pPr>
        <w:ind w:left="1100" w:right="6559" w:hanging="658"/>
        <w:spacing w:after="0" w:line="568"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-624840</wp:posOffset>
            </wp:positionV>
            <wp:extent cx="59175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175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59175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175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-1567815</wp:posOffset>
            </wp:positionV>
            <wp:extent cx="59175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175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1660" w:type="dxa"/>
            <w:vAlign w:val="bottom"/>
            <w:tcBorders>
              <w:top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Number of Shares</w:t>
            </w:r>
          </w:p>
        </w:tc>
        <w:tc>
          <w:tcPr>
            <w:tcW w:w="540" w:type="dxa"/>
            <w:vAlign w:val="bottom"/>
            <w:tcBorders>
              <w:top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5.</w:t>
            </w:r>
          </w:p>
        </w:tc>
        <w:tc>
          <w:tcPr>
            <w:tcW w:w="4840" w:type="dxa"/>
            <w:vAlign w:val="bottom"/>
            <w:tcBorders>
              <w:top w:val="single" w:sz="8" w:color="auto"/>
            </w:tcBorders>
          </w:tcPr>
          <w:p>
            <w:pPr>
              <w:ind w:left="160"/>
              <w:spacing w:after="0" w:line="202" w:lineRule="exact"/>
              <w:rPr>
                <w:sz w:val="20"/>
                <w:szCs w:val="20"/>
                <w:color w:val="auto"/>
              </w:rPr>
            </w:pPr>
            <w:r>
              <w:rPr>
                <w:rFonts w:ascii="Arial" w:cs="Arial" w:eastAsia="Arial" w:hAnsi="Arial"/>
                <w:sz w:val="18"/>
                <w:szCs w:val="18"/>
                <w:color w:val="auto"/>
              </w:rPr>
              <w:t>Sole Voting Power</w:t>
            </w:r>
          </w:p>
        </w:tc>
        <w:tc>
          <w:tcPr>
            <w:tcW w:w="2280" w:type="dxa"/>
            <w:vAlign w:val="bottom"/>
            <w:tcBorders>
              <w:top w:val="single" w:sz="8" w:color="auto"/>
            </w:tcBorders>
          </w:tcPr>
          <w:p>
            <w:pPr>
              <w:ind w:left="8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660" w:type="dxa"/>
            <w:vAlign w:val="bottom"/>
            <w:gridSpan w:val="2"/>
          </w:tcPr>
          <w:p>
            <w:pPr>
              <w:ind w:left="100"/>
              <w:spacing w:after="0"/>
              <w:rPr>
                <w:sz w:val="20"/>
                <w:szCs w:val="20"/>
                <w:color w:val="auto"/>
              </w:rPr>
            </w:pPr>
            <w:r>
              <w:rPr>
                <w:rFonts w:ascii="Arial" w:cs="Arial" w:eastAsia="Arial" w:hAnsi="Arial"/>
                <w:sz w:val="18"/>
                <w:szCs w:val="18"/>
                <w:color w:val="auto"/>
              </w:rPr>
              <w:t>Beneficially Owned</w:t>
            </w:r>
          </w:p>
        </w:tc>
        <w:tc>
          <w:tcPr>
            <w:tcW w:w="5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60" w:type="dxa"/>
            <w:vAlign w:val="bottom"/>
            <w:gridSpan w:val="2"/>
            <w:vMerge w:val="restart"/>
          </w:tcPr>
          <w:p>
            <w:pPr>
              <w:ind w:left="100"/>
              <w:spacing w:after="0"/>
              <w:rPr>
                <w:sz w:val="20"/>
                <w:szCs w:val="20"/>
                <w:color w:val="auto"/>
              </w:rPr>
            </w:pPr>
            <w:r>
              <w:rPr>
                <w:rFonts w:ascii="Arial" w:cs="Arial" w:eastAsia="Arial" w:hAnsi="Arial"/>
                <w:sz w:val="18"/>
                <w:szCs w:val="18"/>
                <w:color w:val="auto"/>
              </w:rPr>
              <w:t>By Each Reporting</w:t>
            </w:r>
          </w:p>
        </w:tc>
        <w:tc>
          <w:tcPr>
            <w:tcW w:w="540" w:type="dxa"/>
            <w:vAlign w:val="bottom"/>
            <w:tcBorders>
              <w:bottom w:val="single" w:sz="8" w:color="auto"/>
            </w:tcBorders>
          </w:tcPr>
          <w:p>
            <w:pPr>
              <w:spacing w:after="0"/>
              <w:rPr>
                <w:sz w:val="3"/>
                <w:szCs w:val="3"/>
                <w:color w:val="auto"/>
              </w:rPr>
            </w:pPr>
          </w:p>
        </w:tc>
        <w:tc>
          <w:tcPr>
            <w:tcW w:w="484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660" w:type="dxa"/>
            <w:vAlign w:val="bottom"/>
            <w:gridSpan w:val="2"/>
            <w:vMerge w:val="continue"/>
          </w:tcPr>
          <w:p>
            <w:pPr>
              <w:spacing w:after="0"/>
              <w:rPr>
                <w:sz w:val="17"/>
                <w:szCs w:val="17"/>
                <w:color w:val="auto"/>
              </w:rPr>
            </w:pPr>
          </w:p>
        </w:tc>
        <w:tc>
          <w:tcPr>
            <w:tcW w:w="540" w:type="dxa"/>
            <w:vAlign w:val="bottom"/>
          </w:tcPr>
          <w:p>
            <w:pPr>
              <w:jc w:val="right"/>
              <w:ind w:right="72"/>
              <w:spacing w:after="0" w:line="196" w:lineRule="exact"/>
              <w:rPr>
                <w:sz w:val="20"/>
                <w:szCs w:val="20"/>
                <w:color w:val="auto"/>
              </w:rPr>
            </w:pPr>
            <w:r>
              <w:rPr>
                <w:rFonts w:ascii="Arial" w:cs="Arial" w:eastAsia="Arial" w:hAnsi="Arial"/>
                <w:sz w:val="18"/>
                <w:szCs w:val="18"/>
                <w:color w:val="auto"/>
              </w:rPr>
              <w:t>6.</w:t>
            </w:r>
          </w:p>
        </w:tc>
        <w:tc>
          <w:tcPr>
            <w:tcW w:w="4840" w:type="dxa"/>
            <w:vAlign w:val="bottom"/>
          </w:tcPr>
          <w:p>
            <w:pPr>
              <w:ind w:left="160"/>
              <w:spacing w:after="0" w:line="196" w:lineRule="exact"/>
              <w:rPr>
                <w:sz w:val="20"/>
                <w:szCs w:val="20"/>
                <w:color w:val="auto"/>
              </w:rPr>
            </w:pPr>
            <w:r>
              <w:rPr>
                <w:rFonts w:ascii="Arial" w:cs="Arial" w:eastAsia="Arial" w:hAnsi="Arial"/>
                <w:sz w:val="18"/>
                <w:szCs w:val="18"/>
                <w:color w:val="auto"/>
              </w:rPr>
              <w:t>Shared Voting Power</w:t>
            </w:r>
          </w:p>
        </w:tc>
        <w:tc>
          <w:tcPr>
            <w:tcW w:w="2280" w:type="dxa"/>
            <w:vAlign w:val="bottom"/>
          </w:tcPr>
          <w:p>
            <w:pPr>
              <w:ind w:left="80"/>
              <w:spacing w:after="0" w:line="197" w:lineRule="exact"/>
              <w:rPr>
                <w:sz w:val="20"/>
                <w:szCs w:val="20"/>
                <w:color w:val="auto"/>
              </w:rPr>
            </w:pPr>
            <w:r>
              <w:rPr>
                <w:rFonts w:ascii="Arial" w:cs="Arial" w:eastAsia="Arial" w:hAnsi="Arial"/>
                <w:sz w:val="14"/>
                <w:szCs w:val="14"/>
                <w:color w:val="auto"/>
              </w:rPr>
              <w:t>14,305,537</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22"/>
        </w:trPr>
        <w:tc>
          <w:tcPr>
            <w:tcW w:w="1060" w:type="dxa"/>
            <w:vAlign w:val="bottom"/>
          </w:tcPr>
          <w:p>
            <w:pPr>
              <w:ind w:left="100"/>
              <w:spacing w:after="0"/>
              <w:rPr>
                <w:sz w:val="20"/>
                <w:szCs w:val="20"/>
                <w:color w:val="auto"/>
              </w:rPr>
            </w:pPr>
            <w:r>
              <w:rPr>
                <w:rFonts w:ascii="Arial" w:cs="Arial" w:eastAsia="Arial" w:hAnsi="Arial"/>
                <w:sz w:val="18"/>
                <w:szCs w:val="18"/>
                <w:color w:val="auto"/>
                <w:w w:val="91"/>
              </w:rPr>
              <w:t>Person With:</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484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228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48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2280" w:type="dxa"/>
            <w:vAlign w:val="bottom"/>
          </w:tcPr>
          <w:p>
            <w:pPr>
              <w:ind w:left="80"/>
              <w:spacing w:after="0"/>
              <w:rPr>
                <w:sz w:val="20"/>
                <w:szCs w:val="20"/>
                <w:color w:val="auto"/>
              </w:rPr>
            </w:pPr>
            <w:r>
              <w:rPr>
                <w:rFonts w:ascii="Arial" w:cs="Arial" w:eastAsia="Arial" w:hAnsi="Arial"/>
                <w:sz w:val="18"/>
                <w:szCs w:val="18"/>
                <w:color w:val="auto"/>
              </w:rPr>
              <w:t>14,305,537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118"/>
        </w:trPr>
        <w:tc>
          <w:tcPr>
            <w:tcW w:w="10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5380" w:type="dxa"/>
            <w:vAlign w:val="bottom"/>
            <w:tcBorders>
              <w:bottom w:val="single" w:sz="8" w:color="auto"/>
            </w:tcBorders>
            <w:gridSpan w:val="2"/>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598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280" w:type="dxa"/>
            <w:vAlign w:val="bottom"/>
          </w:tcPr>
          <w:p>
            <w:pPr>
              <w:ind w:left="80"/>
              <w:spacing w:after="0"/>
              <w:rPr>
                <w:sz w:val="20"/>
                <w:szCs w:val="20"/>
                <w:color w:val="auto"/>
              </w:rPr>
            </w:pPr>
            <w:r>
              <w:rPr>
                <w:rFonts w:ascii="Arial" w:cs="Arial" w:eastAsia="Arial" w:hAnsi="Arial"/>
                <w:sz w:val="18"/>
                <w:szCs w:val="18"/>
                <w:color w:val="auto"/>
              </w:rPr>
              <w:t>14,305,537</w:t>
            </w:r>
          </w:p>
        </w:tc>
        <w:tc>
          <w:tcPr>
            <w:tcW w:w="0" w:type="dxa"/>
            <w:vAlign w:val="bottom"/>
          </w:tcPr>
          <w:p>
            <w:pPr>
              <w:spacing w:after="0"/>
              <w:rPr>
                <w:sz w:val="1"/>
                <w:szCs w:val="1"/>
                <w:color w:val="auto"/>
              </w:rPr>
            </w:pPr>
          </w:p>
        </w:tc>
      </w:tr>
      <w:tr>
        <w:trPr>
          <w:trHeight w:val="237"/>
        </w:trPr>
        <w:tc>
          <w:tcPr>
            <w:tcW w:w="106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gridSpan w:val="3"/>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87"/>
              </w:rPr>
              <w:t>10.</w:t>
            </w:r>
          </w:p>
        </w:tc>
        <w:tc>
          <w:tcPr>
            <w:tcW w:w="598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Check if Aggregate Amount in Row (9) Excludes Certain Shares (See</w:t>
            </w:r>
          </w:p>
        </w:tc>
        <w:tc>
          <w:tcPr>
            <w:tcW w:w="2280" w:type="dxa"/>
            <w:vAlign w:val="bottom"/>
          </w:tcPr>
          <w:p>
            <w:pPr>
              <w:ind w:left="80"/>
              <w:spacing w:after="0" w:line="201"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Instructions)</w:t>
            </w:r>
          </w:p>
        </w:tc>
        <w:tc>
          <w:tcPr>
            <w:tcW w:w="4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06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gridSpan w:val="3"/>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598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280" w:type="dxa"/>
            <w:vAlign w:val="bottom"/>
          </w:tcPr>
          <w:p>
            <w:pPr>
              <w:ind w:lef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106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gridSpan w:val="3"/>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598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280" w:type="dxa"/>
            <w:vAlign w:val="bottom"/>
          </w:tcPr>
          <w:p>
            <w:pPr>
              <w:ind w:left="80"/>
              <w:spacing w:after="0"/>
              <w:rPr>
                <w:sz w:val="20"/>
                <w:szCs w:val="20"/>
                <w:color w:val="auto"/>
              </w:rPr>
            </w:pPr>
            <w:r>
              <w:rPr>
                <w:rFonts w:ascii="Arial" w:cs="Arial" w:eastAsia="Arial" w:hAnsi="Arial"/>
                <w:sz w:val="18"/>
                <w:szCs w:val="18"/>
                <w:color w:val="auto"/>
              </w:rPr>
              <w:t>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5917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175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270510</wp:posOffset>
            </wp:positionV>
            <wp:extent cx="1421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right="2119" w:firstLine="8"/>
        <w:spacing w:after="0" w:line="194" w:lineRule="auto"/>
        <w:tabs>
          <w:tab w:leader="none" w:pos="123"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Phillips, Hager &amp; North Investment Management Ltd. is an affiliate of RBC Asset Management Inc. with which joint beneficial ownership is deemed to be held.</w:t>
      </w:r>
    </w:p>
    <w:p>
      <w:pPr>
        <w:spacing w:after="0" w:line="1" w:lineRule="exact"/>
        <w:rPr>
          <w:rFonts w:ascii="Arial" w:cs="Arial" w:eastAsia="Arial" w:hAnsi="Arial"/>
          <w:sz w:val="29"/>
          <w:szCs w:val="29"/>
          <w:color w:val="auto"/>
          <w:vertAlign w:val="superscript"/>
        </w:rPr>
      </w:pPr>
    </w:p>
    <w:p>
      <w:pPr>
        <w:spacing w:after="0"/>
        <w:rPr>
          <w:rFonts w:ascii="Arial" w:cs="Arial" w:eastAsia="Arial" w:hAnsi="Arial"/>
          <w:sz w:val="29"/>
          <w:szCs w:val="29"/>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See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51669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B29MWZ9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59175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17565" cy="8890"/>
                    </a:xfrm>
                    <a:prstGeom prst="rect">
                      <a:avLst/>
                    </a:prstGeom>
                    <a:noFill/>
                  </pic:spPr>
                </pic:pic>
              </a:graphicData>
            </a:graphic>
          </wp:anchor>
        </w:drawing>
      </w:r>
    </w:p>
    <w:p>
      <w:pPr>
        <w:spacing w:after="0" w:line="246" w:lineRule="exact"/>
        <w:rPr>
          <w:sz w:val="20"/>
          <w:szCs w:val="20"/>
          <w:color w:val="auto"/>
        </w:rPr>
      </w:pPr>
    </w:p>
    <w:p>
      <w:pPr>
        <w:ind w:left="1100" w:hanging="658"/>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36" w:lineRule="exact"/>
        <w:rPr>
          <w:rFonts w:ascii="Arial" w:cs="Arial" w:eastAsia="Arial" w:hAnsi="Arial"/>
          <w:sz w:val="18"/>
          <w:szCs w:val="18"/>
          <w:color w:val="auto"/>
        </w:rPr>
      </w:pPr>
    </w:p>
    <w:p>
      <w:pPr>
        <w:ind w:left="1100" w:right="5039"/>
        <w:spacing w:after="0" w:line="57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RBC Asset Management Inc. ("RBC AM")</w:t>
      </w:r>
    </w:p>
    <w:p>
      <w:pPr>
        <w:ind w:left="1100" w:hanging="658"/>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36" w:lineRule="exact"/>
        <w:rPr>
          <w:rFonts w:ascii="Arial" w:cs="Arial" w:eastAsia="Arial" w:hAnsi="Arial"/>
          <w:sz w:val="18"/>
          <w:szCs w:val="18"/>
          <w:color w:val="auto"/>
        </w:rPr>
      </w:pPr>
    </w:p>
    <w:p>
      <w:pPr>
        <w:ind w:left="1440" w:hanging="336"/>
        <w:spacing w:after="0"/>
        <w:tabs>
          <w:tab w:leader="none" w:pos="1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color w:val="auto"/>
        </w:rPr>
      </w:pPr>
    </w:p>
    <w:p>
      <w:pPr>
        <w:ind w:left="1440" w:hanging="336"/>
        <w:spacing w:after="0"/>
        <w:tabs>
          <w:tab w:leader="none" w:pos="1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92" w:lineRule="exact"/>
        <w:rPr>
          <w:rFonts w:ascii="Arial" w:cs="Arial" w:eastAsia="Arial" w:hAnsi="Arial"/>
          <w:sz w:val="18"/>
          <w:szCs w:val="18"/>
          <w:color w:val="auto"/>
        </w:rPr>
      </w:pPr>
    </w:p>
    <w:p>
      <w:pPr>
        <w:ind w:left="1100" w:hanging="658"/>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2" w:lineRule="exact"/>
        <w:rPr>
          <w:rFonts w:ascii="Arial" w:cs="Arial" w:eastAsia="Arial" w:hAnsi="Arial"/>
          <w:sz w:val="18"/>
          <w:szCs w:val="18"/>
          <w:color w:val="auto"/>
        </w:rPr>
      </w:pPr>
    </w:p>
    <w:p>
      <w:pPr>
        <w:ind w:left="1100" w:right="6559" w:hanging="658"/>
        <w:spacing w:after="0" w:line="568"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-624840</wp:posOffset>
            </wp:positionV>
            <wp:extent cx="59175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175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5917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175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-1567815</wp:posOffset>
            </wp:positionV>
            <wp:extent cx="5917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175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1660" w:type="dxa"/>
            <w:vAlign w:val="bottom"/>
            <w:tcBorders>
              <w:top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Number of Shares</w:t>
            </w:r>
          </w:p>
        </w:tc>
        <w:tc>
          <w:tcPr>
            <w:tcW w:w="540" w:type="dxa"/>
            <w:vAlign w:val="bottom"/>
            <w:tcBorders>
              <w:top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5.</w:t>
            </w:r>
          </w:p>
        </w:tc>
        <w:tc>
          <w:tcPr>
            <w:tcW w:w="4880" w:type="dxa"/>
            <w:vAlign w:val="bottom"/>
            <w:tcBorders>
              <w:top w:val="single" w:sz="8" w:color="auto"/>
            </w:tcBorders>
          </w:tcPr>
          <w:p>
            <w:pPr>
              <w:ind w:left="180"/>
              <w:spacing w:after="0" w:line="202" w:lineRule="exact"/>
              <w:rPr>
                <w:sz w:val="20"/>
                <w:szCs w:val="20"/>
                <w:color w:val="auto"/>
              </w:rPr>
            </w:pPr>
            <w:r>
              <w:rPr>
                <w:rFonts w:ascii="Arial" w:cs="Arial" w:eastAsia="Arial" w:hAnsi="Arial"/>
                <w:sz w:val="18"/>
                <w:szCs w:val="18"/>
                <w:color w:val="auto"/>
              </w:rPr>
              <w:t>Sole Voting Power</w:t>
            </w:r>
          </w:p>
        </w:tc>
        <w:tc>
          <w:tcPr>
            <w:tcW w:w="2240" w:type="dxa"/>
            <w:vAlign w:val="bottom"/>
            <w:tcBorders>
              <w:top w:val="single" w:sz="8" w:color="auto"/>
            </w:tcBorders>
          </w:tcPr>
          <w:p>
            <w:pPr>
              <w:ind w:left="8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660" w:type="dxa"/>
            <w:vAlign w:val="bottom"/>
            <w:gridSpan w:val="2"/>
          </w:tcPr>
          <w:p>
            <w:pPr>
              <w:ind w:left="100"/>
              <w:spacing w:after="0"/>
              <w:rPr>
                <w:sz w:val="20"/>
                <w:szCs w:val="20"/>
                <w:color w:val="auto"/>
              </w:rPr>
            </w:pPr>
            <w:r>
              <w:rPr>
                <w:rFonts w:ascii="Arial" w:cs="Arial" w:eastAsia="Arial" w:hAnsi="Arial"/>
                <w:sz w:val="18"/>
                <w:szCs w:val="18"/>
                <w:color w:val="auto"/>
              </w:rPr>
              <w:t>Beneficially Owned</w:t>
            </w:r>
          </w:p>
        </w:tc>
        <w:tc>
          <w:tcPr>
            <w:tcW w:w="5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60" w:type="dxa"/>
            <w:vAlign w:val="bottom"/>
            <w:gridSpan w:val="2"/>
            <w:vMerge w:val="restart"/>
          </w:tcPr>
          <w:p>
            <w:pPr>
              <w:ind w:left="100"/>
              <w:spacing w:after="0"/>
              <w:rPr>
                <w:sz w:val="20"/>
                <w:szCs w:val="20"/>
                <w:color w:val="auto"/>
              </w:rPr>
            </w:pPr>
            <w:r>
              <w:rPr>
                <w:rFonts w:ascii="Arial" w:cs="Arial" w:eastAsia="Arial" w:hAnsi="Arial"/>
                <w:sz w:val="18"/>
                <w:szCs w:val="18"/>
                <w:color w:val="auto"/>
              </w:rPr>
              <w:t>By Each Reporting</w:t>
            </w:r>
          </w:p>
        </w:tc>
        <w:tc>
          <w:tcPr>
            <w:tcW w:w="540" w:type="dxa"/>
            <w:vAlign w:val="bottom"/>
            <w:tcBorders>
              <w:bottom w:val="single" w:sz="8" w:color="auto"/>
            </w:tcBorders>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660" w:type="dxa"/>
            <w:vAlign w:val="bottom"/>
            <w:gridSpan w:val="2"/>
            <w:vMerge w:val="continue"/>
          </w:tcPr>
          <w:p>
            <w:pPr>
              <w:spacing w:after="0"/>
              <w:rPr>
                <w:sz w:val="17"/>
                <w:szCs w:val="17"/>
                <w:color w:val="auto"/>
              </w:rPr>
            </w:pPr>
          </w:p>
        </w:tc>
        <w:tc>
          <w:tcPr>
            <w:tcW w:w="540" w:type="dxa"/>
            <w:vAlign w:val="bottom"/>
          </w:tcPr>
          <w:p>
            <w:pPr>
              <w:jc w:val="right"/>
              <w:ind w:right="72"/>
              <w:spacing w:after="0" w:line="196" w:lineRule="exact"/>
              <w:rPr>
                <w:sz w:val="20"/>
                <w:szCs w:val="20"/>
                <w:color w:val="auto"/>
              </w:rPr>
            </w:pPr>
            <w:r>
              <w:rPr>
                <w:rFonts w:ascii="Arial" w:cs="Arial" w:eastAsia="Arial" w:hAnsi="Arial"/>
                <w:sz w:val="18"/>
                <w:szCs w:val="18"/>
                <w:color w:val="auto"/>
              </w:rPr>
              <w:t>6.</w:t>
            </w:r>
          </w:p>
        </w:tc>
        <w:tc>
          <w:tcPr>
            <w:tcW w:w="4880" w:type="dxa"/>
            <w:vAlign w:val="bottom"/>
          </w:tcPr>
          <w:p>
            <w:pPr>
              <w:ind w:left="180"/>
              <w:spacing w:after="0" w:line="196" w:lineRule="exact"/>
              <w:rPr>
                <w:sz w:val="20"/>
                <w:szCs w:val="20"/>
                <w:color w:val="auto"/>
              </w:rPr>
            </w:pPr>
            <w:r>
              <w:rPr>
                <w:rFonts w:ascii="Arial" w:cs="Arial" w:eastAsia="Arial" w:hAnsi="Arial"/>
                <w:sz w:val="18"/>
                <w:szCs w:val="18"/>
                <w:color w:val="auto"/>
              </w:rPr>
              <w:t>Shared Voting Power</w:t>
            </w:r>
          </w:p>
        </w:tc>
        <w:tc>
          <w:tcPr>
            <w:tcW w:w="2240" w:type="dxa"/>
            <w:vAlign w:val="bottom"/>
          </w:tcPr>
          <w:p>
            <w:pPr>
              <w:ind w:left="80"/>
              <w:spacing w:after="0" w:line="197" w:lineRule="exact"/>
              <w:rPr>
                <w:sz w:val="20"/>
                <w:szCs w:val="20"/>
                <w:color w:val="auto"/>
              </w:rPr>
            </w:pPr>
            <w:r>
              <w:rPr>
                <w:rFonts w:ascii="Arial" w:cs="Arial" w:eastAsia="Arial" w:hAnsi="Arial"/>
                <w:sz w:val="14"/>
                <w:szCs w:val="14"/>
                <w:color w:val="auto"/>
              </w:rPr>
              <w:t>14,305,537</w:t>
            </w:r>
            <w:r>
              <w:rPr>
                <w:rFonts w:ascii="Arial" w:cs="Arial" w:eastAsia="Arial" w:hAnsi="Arial"/>
                <w:sz w:val="22"/>
                <w:szCs w:val="22"/>
                <w:color w:val="auto"/>
                <w:vertAlign w:val="superscript"/>
              </w:rPr>
              <w:t>3</w:t>
            </w:r>
          </w:p>
        </w:tc>
        <w:tc>
          <w:tcPr>
            <w:tcW w:w="0" w:type="dxa"/>
            <w:vAlign w:val="bottom"/>
          </w:tcPr>
          <w:p>
            <w:pPr>
              <w:spacing w:after="0"/>
              <w:rPr>
                <w:sz w:val="1"/>
                <w:szCs w:val="1"/>
                <w:color w:val="auto"/>
              </w:rPr>
            </w:pPr>
          </w:p>
        </w:tc>
      </w:tr>
      <w:tr>
        <w:trPr>
          <w:trHeight w:val="222"/>
        </w:trPr>
        <w:tc>
          <w:tcPr>
            <w:tcW w:w="1060" w:type="dxa"/>
            <w:vAlign w:val="bottom"/>
          </w:tcPr>
          <w:p>
            <w:pPr>
              <w:ind w:left="100"/>
              <w:spacing w:after="0"/>
              <w:rPr>
                <w:sz w:val="20"/>
                <w:szCs w:val="20"/>
                <w:color w:val="auto"/>
              </w:rPr>
            </w:pPr>
            <w:r>
              <w:rPr>
                <w:rFonts w:ascii="Arial" w:cs="Arial" w:eastAsia="Arial" w:hAnsi="Arial"/>
                <w:sz w:val="18"/>
                <w:szCs w:val="18"/>
                <w:color w:val="auto"/>
                <w:w w:val="91"/>
              </w:rPr>
              <w:t>Person With:</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88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4880" w:type="dxa"/>
            <w:vAlign w:val="bottom"/>
          </w:tcPr>
          <w:p>
            <w:pPr>
              <w:ind w:left="180"/>
              <w:spacing w:after="0"/>
              <w:rPr>
                <w:sz w:val="20"/>
                <w:szCs w:val="20"/>
                <w:color w:val="auto"/>
              </w:rPr>
            </w:pPr>
            <w:r>
              <w:rPr>
                <w:rFonts w:ascii="Arial" w:cs="Arial" w:eastAsia="Arial" w:hAnsi="Arial"/>
                <w:sz w:val="18"/>
                <w:szCs w:val="18"/>
                <w:color w:val="auto"/>
              </w:rPr>
              <w:t>Sole Dispositive Power</w:t>
            </w:r>
          </w:p>
        </w:tc>
        <w:tc>
          <w:tcPr>
            <w:tcW w:w="224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488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Pr>
          <w:p>
            <w:pPr>
              <w:ind w:left="80"/>
              <w:spacing w:after="0"/>
              <w:rPr>
                <w:sz w:val="20"/>
                <w:szCs w:val="20"/>
                <w:color w:val="auto"/>
              </w:rPr>
            </w:pPr>
            <w:r>
              <w:rPr>
                <w:rFonts w:ascii="Arial" w:cs="Arial" w:eastAsia="Arial" w:hAnsi="Arial"/>
                <w:sz w:val="18"/>
                <w:szCs w:val="18"/>
                <w:color w:val="auto"/>
              </w:rPr>
              <w:t>14,305,537</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118"/>
        </w:trPr>
        <w:tc>
          <w:tcPr>
            <w:tcW w:w="10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5420" w:type="dxa"/>
            <w:vAlign w:val="bottom"/>
            <w:tcBorders>
              <w:bottom w:val="single" w:sz="8" w:color="auto"/>
            </w:tcBorders>
            <w:gridSpan w:val="2"/>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60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240" w:type="dxa"/>
            <w:vAlign w:val="bottom"/>
          </w:tcPr>
          <w:p>
            <w:pPr>
              <w:ind w:left="80"/>
              <w:spacing w:after="0"/>
              <w:rPr>
                <w:sz w:val="20"/>
                <w:szCs w:val="20"/>
                <w:color w:val="auto"/>
              </w:rPr>
            </w:pPr>
            <w:r>
              <w:rPr>
                <w:rFonts w:ascii="Arial" w:cs="Arial" w:eastAsia="Arial" w:hAnsi="Arial"/>
                <w:sz w:val="18"/>
                <w:szCs w:val="18"/>
                <w:color w:val="auto"/>
              </w:rPr>
              <w:t>14,305,537</w:t>
            </w:r>
          </w:p>
        </w:tc>
        <w:tc>
          <w:tcPr>
            <w:tcW w:w="0" w:type="dxa"/>
            <w:vAlign w:val="bottom"/>
          </w:tcPr>
          <w:p>
            <w:pPr>
              <w:spacing w:after="0"/>
              <w:rPr>
                <w:sz w:val="1"/>
                <w:szCs w:val="1"/>
                <w:color w:val="auto"/>
              </w:rPr>
            </w:pPr>
          </w:p>
        </w:tc>
      </w:tr>
      <w:tr>
        <w:trPr>
          <w:trHeight w:val="237"/>
        </w:trPr>
        <w:tc>
          <w:tcPr>
            <w:tcW w:w="106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gridSpan w:val="3"/>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6020" w:type="dxa"/>
            <w:vAlign w:val="bottom"/>
            <w:gridSpan w:val="3"/>
          </w:tcPr>
          <w:p>
            <w:pPr>
              <w:ind w:left="40"/>
              <w:spacing w:after="0"/>
              <w:rPr>
                <w:sz w:val="20"/>
                <w:szCs w:val="20"/>
                <w:color w:val="auto"/>
              </w:rPr>
            </w:pPr>
            <w:r>
              <w:rPr>
                <w:rFonts w:ascii="Arial" w:cs="Arial" w:eastAsia="Arial" w:hAnsi="Arial"/>
                <w:sz w:val="18"/>
                <w:szCs w:val="18"/>
                <w:color w:val="auto"/>
                <w:w w:val="90"/>
              </w:rPr>
              <w:t>Check if Aggregate Amount in Row (9) Excludes Certain Shares (See Instructions)</w:t>
            </w:r>
          </w:p>
        </w:tc>
        <w:tc>
          <w:tcPr>
            <w:tcW w:w="2240" w:type="dxa"/>
            <w:vAlign w:val="bottom"/>
          </w:tcPr>
          <w:p>
            <w:pPr>
              <w:ind w:lef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106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gridSpan w:val="3"/>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60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Pr>
          <w:p>
            <w:pPr>
              <w:ind w:lef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106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gridSpan w:val="3"/>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60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240" w:type="dxa"/>
            <w:vAlign w:val="bottom"/>
          </w:tcPr>
          <w:p>
            <w:pPr>
              <w:ind w:left="80"/>
              <w:spacing w:after="0"/>
              <w:rPr>
                <w:sz w:val="20"/>
                <w:szCs w:val="20"/>
                <w:color w:val="auto"/>
              </w:rPr>
            </w:pPr>
            <w:r>
              <w:rPr>
                <w:rFonts w:ascii="Arial" w:cs="Arial" w:eastAsia="Arial" w:hAnsi="Arial"/>
                <w:sz w:val="18"/>
                <w:szCs w:val="18"/>
                <w:color w:val="auto"/>
              </w:rPr>
              <w:t>FI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59175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175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270510</wp:posOffset>
            </wp:positionV>
            <wp:extent cx="14211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right="2119" w:firstLine="8"/>
        <w:spacing w:after="0" w:line="194" w:lineRule="auto"/>
        <w:tabs>
          <w:tab w:leader="none" w:pos="12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RBC Asset Management Inc. is an affiliate of Phillips, Hager &amp; North Investment Management Ltd. with which joint beneficial ownership is deemed to be held.</w:t>
      </w:r>
    </w:p>
    <w:p>
      <w:pPr>
        <w:spacing w:after="0" w:line="1" w:lineRule="exact"/>
        <w:rPr>
          <w:rFonts w:ascii="Arial" w:cs="Arial" w:eastAsia="Arial" w:hAnsi="Arial"/>
          <w:sz w:val="29"/>
          <w:szCs w:val="29"/>
          <w:color w:val="auto"/>
          <w:vertAlign w:val="superscript"/>
        </w:rPr>
      </w:pPr>
    </w:p>
    <w:p>
      <w:pPr>
        <w:spacing w:after="0"/>
        <w:rPr>
          <w:rFonts w:ascii="Arial" w:cs="Arial" w:eastAsia="Arial" w:hAnsi="Arial"/>
          <w:sz w:val="29"/>
          <w:szCs w:val="29"/>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See footnote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327660</wp:posOffset>
            </wp:positionV>
            <wp:extent cx="516699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8" w:lineRule="exact"/>
        <w:rPr>
          <w:sz w:val="20"/>
          <w:szCs w:val="20"/>
          <w:color w:val="auto"/>
        </w:rPr>
      </w:pPr>
    </w:p>
    <w:p>
      <w:pPr>
        <w:ind w:left="1180" w:right="7439" w:hanging="654"/>
        <w:spacing w:after="0" w:line="370" w:lineRule="auto"/>
        <w:tabs>
          <w:tab w:leader="none" w:pos="1180" w:val="left"/>
        </w:tabs>
        <w:numPr>
          <w:ilvl w:val="0"/>
          <w:numId w:val="7"/>
        </w:numPr>
        <w:rPr>
          <w:rFonts w:ascii="Arial" w:cs="Arial" w:eastAsia="Arial" w:hAnsi="Arial"/>
          <w:sz w:val="15"/>
          <w:szCs w:val="15"/>
          <w:color w:val="auto"/>
        </w:rPr>
      </w:pPr>
      <w:r>
        <w:rPr>
          <w:rFonts w:ascii="Arial" w:cs="Arial" w:eastAsia="Arial" w:hAnsi="Arial"/>
          <w:sz w:val="15"/>
          <w:szCs w:val="15"/>
          <w:color w:val="auto"/>
        </w:rPr>
        <w:t>Name of Issuer Thomson Reuters PLC</w:t>
      </w:r>
    </w:p>
    <w:p>
      <w:pPr>
        <w:spacing w:after="0" w:line="143" w:lineRule="exact"/>
        <w:rPr>
          <w:rFonts w:ascii="Arial" w:cs="Arial" w:eastAsia="Arial" w:hAnsi="Arial"/>
          <w:sz w:val="15"/>
          <w:szCs w:val="15"/>
          <w:color w:val="auto"/>
        </w:rPr>
      </w:pPr>
    </w:p>
    <w:p>
      <w:pPr>
        <w:ind w:left="1180" w:right="5719" w:hanging="654"/>
        <w:spacing w:after="0" w:line="254"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 30 South Colonnade</w:t>
      </w:r>
    </w:p>
    <w:p>
      <w:pPr>
        <w:ind w:left="1180" w:right="6699"/>
        <w:spacing w:after="0" w:line="261" w:lineRule="auto"/>
        <w:rPr>
          <w:rFonts w:ascii="Arial" w:cs="Arial" w:eastAsia="Arial" w:hAnsi="Arial"/>
          <w:sz w:val="18"/>
          <w:szCs w:val="18"/>
          <w:color w:val="auto"/>
        </w:rPr>
      </w:pPr>
      <w:r>
        <w:rPr>
          <w:rFonts w:ascii="Arial" w:cs="Arial" w:eastAsia="Arial" w:hAnsi="Arial"/>
          <w:sz w:val="18"/>
          <w:szCs w:val="18"/>
          <w:color w:val="auto"/>
        </w:rPr>
        <w:t>Canary Wharf, London, E14 5EP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8" w:lineRule="exact"/>
        <w:rPr>
          <w:sz w:val="20"/>
          <w:szCs w:val="20"/>
          <w:color w:val="auto"/>
        </w:rPr>
      </w:pPr>
    </w:p>
    <w:p>
      <w:pPr>
        <w:ind w:left="1180" w:hanging="654"/>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5" w:lineRule="exact"/>
        <w:rPr>
          <w:rFonts w:ascii="Arial" w:cs="Arial" w:eastAsia="Arial" w:hAnsi="Arial"/>
          <w:sz w:val="18"/>
          <w:szCs w:val="18"/>
          <w:color w:val="auto"/>
        </w:rPr>
      </w:pPr>
    </w:p>
    <w:p>
      <w:pPr>
        <w:ind w:left="1400" w:hanging="225"/>
        <w:spacing w:after="0"/>
        <w:tabs>
          <w:tab w:leader="none" w:pos="14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Phillips, Hager &amp; North Investment Management Ltd.</w:t>
      </w:r>
    </w:p>
    <w:p>
      <w:pPr>
        <w:spacing w:after="0" w:line="218" w:lineRule="exact"/>
        <w:rPr>
          <w:rFonts w:ascii="Arial" w:cs="Arial" w:eastAsia="Arial" w:hAnsi="Arial"/>
          <w:sz w:val="18"/>
          <w:szCs w:val="18"/>
          <w:color w:val="auto"/>
        </w:rPr>
      </w:pPr>
    </w:p>
    <w:p>
      <w:pPr>
        <w:ind w:left="1400" w:hanging="225"/>
        <w:spacing w:after="0"/>
        <w:tabs>
          <w:tab w:leader="none" w:pos="1400" w:val="left"/>
        </w:tabs>
        <w:numPr>
          <w:ilvl w:val="1"/>
          <w:numId w:val="8"/>
        </w:numPr>
        <w:rPr>
          <w:rFonts w:ascii="Arial" w:cs="Arial" w:eastAsia="Arial" w:hAnsi="Arial"/>
          <w:sz w:val="18"/>
          <w:szCs w:val="18"/>
          <w:color w:val="auto"/>
        </w:rPr>
      </w:pPr>
      <w:r>
        <w:rPr>
          <w:rFonts w:ascii="Arial" w:cs="Arial" w:eastAsia="Arial" w:hAnsi="Arial"/>
          <w:sz w:val="18"/>
          <w:szCs w:val="18"/>
          <w:color w:val="auto"/>
        </w:rPr>
        <w:t>RBC Asset Management Inc.</w:t>
      </w:r>
    </w:p>
    <w:p>
      <w:pPr>
        <w:spacing w:after="0" w:line="252" w:lineRule="exact"/>
        <w:rPr>
          <w:rFonts w:ascii="Arial" w:cs="Arial" w:eastAsia="Arial" w:hAnsi="Arial"/>
          <w:sz w:val="18"/>
          <w:szCs w:val="18"/>
          <w:color w:val="auto"/>
        </w:rPr>
      </w:pPr>
    </w:p>
    <w:p>
      <w:pPr>
        <w:ind w:left="1180" w:hanging="654"/>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5" w:lineRule="exact"/>
        <w:rPr>
          <w:rFonts w:ascii="Arial" w:cs="Arial" w:eastAsia="Arial" w:hAnsi="Arial"/>
          <w:sz w:val="18"/>
          <w:szCs w:val="18"/>
          <w:color w:val="auto"/>
        </w:rPr>
      </w:pPr>
    </w:p>
    <w:p>
      <w:pPr>
        <w:ind w:left="1400" w:right="6479" w:hanging="225"/>
        <w:spacing w:after="0" w:line="231" w:lineRule="auto"/>
        <w:tabs>
          <w:tab w:leader="none" w:pos="1400" w:val="left"/>
        </w:tabs>
        <w:numPr>
          <w:ilvl w:val="1"/>
          <w:numId w:val="8"/>
        </w:numPr>
        <w:rPr>
          <w:rFonts w:ascii="Arial" w:cs="Arial" w:eastAsia="Arial" w:hAnsi="Arial"/>
          <w:sz w:val="17"/>
          <w:szCs w:val="17"/>
          <w:color w:val="auto"/>
        </w:rPr>
      </w:pPr>
      <w:r>
        <w:rPr>
          <w:rFonts w:ascii="Arial" w:cs="Arial" w:eastAsia="Arial" w:hAnsi="Arial"/>
          <w:sz w:val="17"/>
          <w:szCs w:val="17"/>
          <w:color w:val="auto"/>
        </w:rPr>
        <w:t>Waterfront Centre, 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200 Burrard Street Vancouver. BC Canada V6C 3N5</w:t>
      </w:r>
    </w:p>
    <w:p>
      <w:pPr>
        <w:spacing w:after="0" w:line="239" w:lineRule="exact"/>
        <w:rPr>
          <w:sz w:val="20"/>
          <w:szCs w:val="20"/>
          <w:color w:val="auto"/>
        </w:rPr>
      </w:pPr>
    </w:p>
    <w:p>
      <w:pPr>
        <w:ind w:left="1400" w:right="6679" w:hanging="225"/>
        <w:spacing w:after="0" w:line="306" w:lineRule="auto"/>
        <w:tabs>
          <w:tab w:leader="none" w:pos="1400" w:val="left"/>
        </w:tabs>
        <w:numPr>
          <w:ilvl w:val="1"/>
          <w:numId w:val="9"/>
        </w:numPr>
        <w:rPr>
          <w:rFonts w:ascii="Arial" w:cs="Arial" w:eastAsia="Arial" w:hAnsi="Arial"/>
          <w:sz w:val="16"/>
          <w:szCs w:val="16"/>
          <w:color w:val="auto"/>
        </w:rPr>
      </w:pPr>
      <w:r>
        <w:rPr>
          <w:rFonts w:ascii="Arial" w:cs="Arial" w:eastAsia="Arial" w:hAnsi="Arial"/>
          <w:sz w:val="16"/>
          <w:szCs w:val="16"/>
          <w:color w:val="auto"/>
        </w:rPr>
        <w:t>Royal Trust Tower, Suite 3800 77 King Street West Toronto, Ontario, M5K 1H1</w:t>
      </w:r>
    </w:p>
    <w:p>
      <w:pPr>
        <w:spacing w:after="0" w:line="187" w:lineRule="exact"/>
        <w:rPr>
          <w:rFonts w:ascii="Arial" w:cs="Arial" w:eastAsia="Arial" w:hAnsi="Arial"/>
          <w:sz w:val="16"/>
          <w:szCs w:val="16"/>
          <w:color w:val="auto"/>
        </w:rPr>
      </w:pPr>
    </w:p>
    <w:p>
      <w:pPr>
        <w:ind w:left="1180" w:hanging="65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5" w:lineRule="exact"/>
        <w:rPr>
          <w:rFonts w:ascii="Arial" w:cs="Arial" w:eastAsia="Arial" w:hAnsi="Arial"/>
          <w:sz w:val="18"/>
          <w:szCs w:val="18"/>
          <w:color w:val="auto"/>
        </w:rPr>
      </w:pPr>
    </w:p>
    <w:p>
      <w:pPr>
        <w:ind w:left="1400" w:hanging="225"/>
        <w:spacing w:after="0"/>
        <w:tabs>
          <w:tab w:leader="none" w:pos="14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Canada</w:t>
      </w:r>
    </w:p>
    <w:p>
      <w:pPr>
        <w:sectPr>
          <w:pgSz w:w="11900" w:h="16838" w:orient="portrait"/>
          <w:cols w:equalWidth="0" w:num="1">
            <w:col w:w="10219"/>
          </w:cols>
          <w:pgMar w:left="240" w:top="131" w:right="1440" w:bottom="0" w:gutter="0" w:footer="0" w:header="0"/>
        </w:sectPr>
      </w:pPr>
    </w:p>
    <w:bookmarkStart w:id="3" w:name="page4"/>
    <w:bookmarkEnd w:id="3"/>
    <w:p>
      <w:pPr>
        <w:ind w:left="1180"/>
        <w:spacing w:after="0"/>
        <w:rPr>
          <w:sz w:val="20"/>
          <w:szCs w:val="20"/>
          <w:color w:val="auto"/>
        </w:rPr>
      </w:pPr>
      <w:r>
        <w:rPr>
          <w:rFonts w:ascii="Arial" w:cs="Arial" w:eastAsia="Arial" w:hAnsi="Arial"/>
          <w:sz w:val="18"/>
          <w:szCs w:val="18"/>
          <w:color w:val="auto"/>
        </w:rPr>
        <w:t>2. Canada</w:t>
      </w:r>
    </w:p>
    <w:p>
      <w:pPr>
        <w:spacing w:after="0" w:line="252" w:lineRule="exact"/>
        <w:rPr>
          <w:sz w:val="20"/>
          <w:szCs w:val="20"/>
          <w:color w:val="auto"/>
        </w:rPr>
      </w:pPr>
    </w:p>
    <w:p>
      <w:pPr>
        <w:ind w:left="1180" w:right="7179" w:hanging="654"/>
        <w:spacing w:after="0" w:line="332" w:lineRule="auto"/>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66" w:lineRule="exact"/>
        <w:rPr>
          <w:rFonts w:ascii="Arial" w:cs="Arial" w:eastAsia="Arial" w:hAnsi="Arial"/>
          <w:sz w:val="16"/>
          <w:szCs w:val="16"/>
          <w:color w:val="auto"/>
        </w:rPr>
      </w:pPr>
    </w:p>
    <w:p>
      <w:pPr>
        <w:ind w:left="1180" w:right="7919" w:hanging="654"/>
        <w:spacing w:after="0" w:line="332" w:lineRule="auto"/>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B29MWZ9</w:t>
      </w:r>
    </w:p>
    <w:p>
      <w:pPr>
        <w:spacing w:after="0" w:line="133" w:lineRule="exact"/>
        <w:rPr>
          <w:sz w:val="20"/>
          <w:szCs w:val="20"/>
          <w:color w:val="auto"/>
        </w:rPr>
      </w:pPr>
    </w:p>
    <w:p>
      <w:pPr>
        <w:ind w:left="660" w:right="2119" w:hanging="647"/>
        <w:spacing w:after="0" w:line="275" w:lineRule="auto"/>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60" w:type="dxa"/>
            <w:vAlign w:val="bottom"/>
          </w:tcPr>
          <w:p>
            <w:pPr>
              <w:ind w:left="520"/>
              <w:spacing w:after="0"/>
              <w:rPr>
                <w:sz w:val="20"/>
                <w:szCs w:val="20"/>
                <w:color w:val="auto"/>
              </w:rPr>
            </w:pPr>
            <w:r>
              <w:rPr>
                <w:rFonts w:ascii="Arial" w:cs="Arial" w:eastAsia="Arial" w:hAnsi="Arial"/>
                <w:sz w:val="18"/>
                <w:szCs w:val="18"/>
                <w:color w:val="auto"/>
              </w:rPr>
              <w:t>(a)</w:t>
            </w:r>
          </w:p>
        </w:tc>
        <w:tc>
          <w:tcPr>
            <w:tcW w:w="580" w:type="dxa"/>
            <w:vAlign w:val="bottom"/>
          </w:tcPr>
          <w:p>
            <w:pPr>
              <w:ind w:left="220"/>
              <w:spacing w:after="0"/>
              <w:rPr>
                <w:sz w:val="20"/>
                <w:szCs w:val="20"/>
                <w:color w:val="auto"/>
              </w:rPr>
            </w:pPr>
            <w:r>
              <w:rPr>
                <w:rFonts w:ascii="Arial" w:cs="Arial" w:eastAsia="Arial" w:hAnsi="Arial"/>
                <w:sz w:val="22"/>
                <w:szCs w:val="22"/>
                <w:color w:val="auto"/>
              </w:rPr>
              <w:t>o</w:t>
            </w: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486"/>
        </w:trPr>
        <w:tc>
          <w:tcPr>
            <w:tcW w:w="960" w:type="dxa"/>
            <w:vAlign w:val="bottom"/>
          </w:tcPr>
          <w:p>
            <w:pPr>
              <w:ind w:left="520"/>
              <w:spacing w:after="0"/>
              <w:rPr>
                <w:sz w:val="20"/>
                <w:szCs w:val="20"/>
                <w:color w:val="auto"/>
              </w:rPr>
            </w:pPr>
            <w:r>
              <w:rPr>
                <w:rFonts w:ascii="Arial" w:cs="Arial" w:eastAsia="Arial" w:hAnsi="Arial"/>
                <w:sz w:val="18"/>
                <w:szCs w:val="18"/>
                <w:color w:val="auto"/>
              </w:rPr>
              <w:t>(b)</w:t>
            </w:r>
          </w:p>
        </w:tc>
        <w:tc>
          <w:tcPr>
            <w:tcW w:w="580" w:type="dxa"/>
            <w:vAlign w:val="bottom"/>
          </w:tcPr>
          <w:p>
            <w:pPr>
              <w:ind w:left="220"/>
              <w:spacing w:after="0"/>
              <w:rPr>
                <w:sz w:val="20"/>
                <w:szCs w:val="20"/>
                <w:color w:val="auto"/>
              </w:rPr>
            </w:pPr>
            <w:r>
              <w:rPr>
                <w:rFonts w:ascii="Arial" w:cs="Arial" w:eastAsia="Arial" w:hAnsi="Arial"/>
                <w:sz w:val="22"/>
                <w:szCs w:val="22"/>
                <w:color w:val="auto"/>
              </w:rPr>
              <w:t>o</w:t>
            </w: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rPr>
              <w:t>Bank as defined in section 3(a)(6) of the Act (15 U.S.C. 78c).</w:t>
            </w:r>
          </w:p>
        </w:tc>
      </w:tr>
      <w:tr>
        <w:trPr>
          <w:trHeight w:val="486"/>
        </w:trPr>
        <w:tc>
          <w:tcPr>
            <w:tcW w:w="960" w:type="dxa"/>
            <w:vAlign w:val="bottom"/>
          </w:tcPr>
          <w:p>
            <w:pPr>
              <w:ind w:left="520"/>
              <w:spacing w:after="0"/>
              <w:rPr>
                <w:sz w:val="20"/>
                <w:szCs w:val="20"/>
                <w:color w:val="auto"/>
              </w:rPr>
            </w:pPr>
            <w:r>
              <w:rPr>
                <w:rFonts w:ascii="Arial" w:cs="Arial" w:eastAsia="Arial" w:hAnsi="Arial"/>
                <w:sz w:val="18"/>
                <w:szCs w:val="18"/>
                <w:color w:val="auto"/>
              </w:rPr>
              <w:t>(c)</w:t>
            </w:r>
          </w:p>
        </w:tc>
        <w:tc>
          <w:tcPr>
            <w:tcW w:w="580" w:type="dxa"/>
            <w:vAlign w:val="bottom"/>
          </w:tcPr>
          <w:p>
            <w:pPr>
              <w:ind w:left="220"/>
              <w:spacing w:after="0"/>
              <w:rPr>
                <w:sz w:val="20"/>
                <w:szCs w:val="20"/>
                <w:color w:val="auto"/>
              </w:rPr>
            </w:pPr>
            <w:r>
              <w:rPr>
                <w:rFonts w:ascii="Arial" w:cs="Arial" w:eastAsia="Arial" w:hAnsi="Arial"/>
                <w:sz w:val="22"/>
                <w:szCs w:val="22"/>
                <w:color w:val="auto"/>
              </w:rPr>
              <w:t>o</w:t>
            </w: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441"/>
        </w:trPr>
        <w:tc>
          <w:tcPr>
            <w:tcW w:w="960" w:type="dxa"/>
            <w:vAlign w:val="bottom"/>
          </w:tcPr>
          <w:p>
            <w:pPr>
              <w:ind w:left="520"/>
              <w:spacing w:after="0"/>
              <w:rPr>
                <w:sz w:val="20"/>
                <w:szCs w:val="20"/>
                <w:color w:val="auto"/>
              </w:rPr>
            </w:pPr>
            <w:r>
              <w:rPr>
                <w:rFonts w:ascii="Arial" w:cs="Arial" w:eastAsia="Arial" w:hAnsi="Arial"/>
                <w:sz w:val="18"/>
                <w:szCs w:val="18"/>
                <w:color w:val="auto"/>
              </w:rPr>
              <w:t>(d)</w:t>
            </w:r>
          </w:p>
        </w:tc>
        <w:tc>
          <w:tcPr>
            <w:tcW w:w="580" w:type="dxa"/>
            <w:vAlign w:val="bottom"/>
          </w:tcPr>
          <w:p>
            <w:pPr>
              <w:ind w:left="220"/>
              <w:spacing w:after="0"/>
              <w:rPr>
                <w:sz w:val="20"/>
                <w:szCs w:val="20"/>
                <w:color w:val="auto"/>
              </w:rPr>
            </w:pPr>
            <w:r>
              <w:rPr>
                <w:rFonts w:ascii="Arial" w:cs="Arial" w:eastAsia="Arial" w:hAnsi="Arial"/>
                <w:sz w:val="22"/>
                <w:szCs w:val="22"/>
                <w:color w:val="auto"/>
              </w:rPr>
              <w:t>o</w:t>
            </w: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w w:val="91"/>
              </w:rPr>
              <w:t>Investment company registered under section 8 of the Investment Company Act of 1940</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rPr>
              <w:t>(15 U.S.C 80a-8).</w:t>
            </w:r>
          </w:p>
        </w:tc>
      </w:tr>
      <w:tr>
        <w:trPr>
          <w:trHeight w:val="498"/>
        </w:trPr>
        <w:tc>
          <w:tcPr>
            <w:tcW w:w="960" w:type="dxa"/>
            <w:vAlign w:val="bottom"/>
          </w:tcPr>
          <w:p>
            <w:pPr>
              <w:ind w:left="520"/>
              <w:spacing w:after="0"/>
              <w:rPr>
                <w:sz w:val="20"/>
                <w:szCs w:val="20"/>
                <w:color w:val="auto"/>
              </w:rPr>
            </w:pPr>
            <w:r>
              <w:rPr>
                <w:rFonts w:ascii="Arial" w:cs="Arial" w:eastAsia="Arial" w:hAnsi="Arial"/>
                <w:sz w:val="18"/>
                <w:szCs w:val="18"/>
                <w:color w:val="auto"/>
              </w:rPr>
              <w:t>(e)</w:t>
            </w:r>
          </w:p>
        </w:tc>
        <w:tc>
          <w:tcPr>
            <w:tcW w:w="580" w:type="dxa"/>
            <w:vAlign w:val="bottom"/>
          </w:tcPr>
          <w:p>
            <w:pPr>
              <w:ind w:left="220"/>
              <w:spacing w:after="0"/>
              <w:rPr>
                <w:sz w:val="20"/>
                <w:szCs w:val="20"/>
                <w:color w:val="auto"/>
              </w:rPr>
            </w:pPr>
            <w:r>
              <w:rPr>
                <w:rFonts w:ascii="Arial" w:cs="Arial" w:eastAsia="Arial" w:hAnsi="Arial"/>
                <w:sz w:val="22"/>
                <w:szCs w:val="22"/>
                <w:color w:val="auto"/>
              </w:rPr>
              <w:t>x</w:t>
            </w: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rPr>
              <w:t>An investment adviser in accordance with §240.13d-1(b)(1)(ii)(E);</w:t>
            </w:r>
          </w:p>
        </w:tc>
      </w:tr>
      <w:tr>
        <w:trPr>
          <w:trHeight w:val="486"/>
        </w:trPr>
        <w:tc>
          <w:tcPr>
            <w:tcW w:w="960" w:type="dxa"/>
            <w:vAlign w:val="bottom"/>
          </w:tcPr>
          <w:p>
            <w:pPr>
              <w:ind w:left="520"/>
              <w:spacing w:after="0"/>
              <w:rPr>
                <w:sz w:val="20"/>
                <w:szCs w:val="20"/>
                <w:color w:val="auto"/>
              </w:rPr>
            </w:pPr>
            <w:r>
              <w:rPr>
                <w:rFonts w:ascii="Arial" w:cs="Arial" w:eastAsia="Arial" w:hAnsi="Arial"/>
                <w:sz w:val="18"/>
                <w:szCs w:val="18"/>
                <w:color w:val="auto"/>
              </w:rPr>
              <w:t>(f)</w:t>
            </w:r>
          </w:p>
        </w:tc>
        <w:tc>
          <w:tcPr>
            <w:tcW w:w="580" w:type="dxa"/>
            <w:vAlign w:val="bottom"/>
          </w:tcPr>
          <w:p>
            <w:pPr>
              <w:ind w:left="220"/>
              <w:spacing w:after="0"/>
              <w:rPr>
                <w:sz w:val="20"/>
                <w:szCs w:val="20"/>
                <w:color w:val="auto"/>
              </w:rPr>
            </w:pPr>
            <w:r>
              <w:rPr>
                <w:rFonts w:ascii="Arial" w:cs="Arial" w:eastAsia="Arial" w:hAnsi="Arial"/>
                <w:sz w:val="22"/>
                <w:szCs w:val="22"/>
                <w:color w:val="auto"/>
              </w:rPr>
              <w:t>o</w:t>
            </w: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w w:val="90"/>
              </w:rPr>
              <w:t>An employee benefit plan or endowment fund in accordance with §240.13d-1(b)(1)(ii)(F);</w:t>
            </w:r>
          </w:p>
        </w:tc>
      </w:tr>
      <w:tr>
        <w:trPr>
          <w:trHeight w:val="486"/>
        </w:trPr>
        <w:tc>
          <w:tcPr>
            <w:tcW w:w="960" w:type="dxa"/>
            <w:vAlign w:val="bottom"/>
          </w:tcPr>
          <w:p>
            <w:pPr>
              <w:ind w:left="520"/>
              <w:spacing w:after="0"/>
              <w:rPr>
                <w:sz w:val="20"/>
                <w:szCs w:val="20"/>
                <w:color w:val="auto"/>
              </w:rPr>
            </w:pPr>
            <w:r>
              <w:rPr>
                <w:rFonts w:ascii="Arial" w:cs="Arial" w:eastAsia="Arial" w:hAnsi="Arial"/>
                <w:sz w:val="18"/>
                <w:szCs w:val="18"/>
                <w:color w:val="auto"/>
              </w:rPr>
              <w:t>(g)</w:t>
            </w:r>
          </w:p>
        </w:tc>
        <w:tc>
          <w:tcPr>
            <w:tcW w:w="580" w:type="dxa"/>
            <w:vAlign w:val="bottom"/>
          </w:tcPr>
          <w:p>
            <w:pPr>
              <w:ind w:left="220"/>
              <w:spacing w:after="0"/>
              <w:rPr>
                <w:sz w:val="20"/>
                <w:szCs w:val="20"/>
                <w:color w:val="auto"/>
              </w:rPr>
            </w:pPr>
            <w:r>
              <w:rPr>
                <w:rFonts w:ascii="Arial" w:cs="Arial" w:eastAsia="Arial" w:hAnsi="Arial"/>
                <w:sz w:val="22"/>
                <w:szCs w:val="22"/>
                <w:color w:val="auto"/>
              </w:rPr>
              <w:t>o</w:t>
            </w: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w w:val="91"/>
              </w:rPr>
              <w:t>A parent holding company or control person in accordance with § 240.13d-1(b)(1)(ii)(G);</w:t>
            </w:r>
          </w:p>
        </w:tc>
      </w:tr>
      <w:tr>
        <w:trPr>
          <w:trHeight w:val="441"/>
        </w:trPr>
        <w:tc>
          <w:tcPr>
            <w:tcW w:w="960" w:type="dxa"/>
            <w:vAlign w:val="bottom"/>
          </w:tcPr>
          <w:p>
            <w:pPr>
              <w:ind w:left="520"/>
              <w:spacing w:after="0"/>
              <w:rPr>
                <w:sz w:val="20"/>
                <w:szCs w:val="20"/>
                <w:color w:val="auto"/>
              </w:rPr>
            </w:pPr>
            <w:r>
              <w:rPr>
                <w:rFonts w:ascii="Arial" w:cs="Arial" w:eastAsia="Arial" w:hAnsi="Arial"/>
                <w:sz w:val="18"/>
                <w:szCs w:val="18"/>
                <w:color w:val="auto"/>
              </w:rPr>
              <w:t>(h)</w:t>
            </w:r>
          </w:p>
        </w:tc>
        <w:tc>
          <w:tcPr>
            <w:tcW w:w="580" w:type="dxa"/>
            <w:vAlign w:val="bottom"/>
          </w:tcPr>
          <w:p>
            <w:pPr>
              <w:ind w:left="220"/>
              <w:spacing w:after="0"/>
              <w:rPr>
                <w:sz w:val="20"/>
                <w:szCs w:val="20"/>
                <w:color w:val="auto"/>
              </w:rPr>
            </w:pPr>
            <w:r>
              <w:rPr>
                <w:rFonts w:ascii="Arial" w:cs="Arial" w:eastAsia="Arial" w:hAnsi="Arial"/>
                <w:sz w:val="22"/>
                <w:szCs w:val="22"/>
                <w:color w:val="auto"/>
              </w:rPr>
              <w:t>o</w:t>
            </w: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w w:val="92"/>
              </w:rPr>
              <w:t>A savings associations as defined in Section 3(b) of the Federal Deposit Insurance Act</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rPr>
              <w:t>(12 U.S.C. 1813);</w:t>
            </w:r>
          </w:p>
        </w:tc>
      </w:tr>
      <w:tr>
        <w:trPr>
          <w:trHeight w:val="453"/>
        </w:trPr>
        <w:tc>
          <w:tcPr>
            <w:tcW w:w="960" w:type="dxa"/>
            <w:vAlign w:val="bottom"/>
          </w:tcPr>
          <w:p>
            <w:pPr>
              <w:ind w:left="520"/>
              <w:spacing w:after="0"/>
              <w:rPr>
                <w:sz w:val="20"/>
                <w:szCs w:val="20"/>
                <w:color w:val="auto"/>
              </w:rPr>
            </w:pPr>
            <w:r>
              <w:rPr>
                <w:rFonts w:ascii="Arial" w:cs="Arial" w:eastAsia="Arial" w:hAnsi="Arial"/>
                <w:sz w:val="18"/>
                <w:szCs w:val="18"/>
                <w:color w:val="auto"/>
              </w:rPr>
              <w:t>(i)</w:t>
            </w:r>
          </w:p>
        </w:tc>
        <w:tc>
          <w:tcPr>
            <w:tcW w:w="580" w:type="dxa"/>
            <w:vAlign w:val="bottom"/>
          </w:tcPr>
          <w:p>
            <w:pPr>
              <w:ind w:left="220"/>
              <w:spacing w:after="0"/>
              <w:rPr>
                <w:sz w:val="20"/>
                <w:szCs w:val="20"/>
                <w:color w:val="auto"/>
              </w:rPr>
            </w:pPr>
            <w:r>
              <w:rPr>
                <w:rFonts w:ascii="Arial" w:cs="Arial" w:eastAsia="Arial" w:hAnsi="Arial"/>
                <w:sz w:val="22"/>
                <w:szCs w:val="22"/>
                <w:color w:val="auto"/>
              </w:rPr>
              <w:t>o</w:t>
            </w: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w w:val="89"/>
              </w:rPr>
              <w:t>A church plan that is excluded from the definition of an investment company under section</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rPr>
              <w:t>3(c)(14) of the Investment Company Act of 1940 (15 U.S.C. 80a-3);</w:t>
            </w:r>
          </w:p>
        </w:tc>
      </w:tr>
      <w:tr>
        <w:trPr>
          <w:trHeight w:val="498"/>
        </w:trPr>
        <w:tc>
          <w:tcPr>
            <w:tcW w:w="960" w:type="dxa"/>
            <w:vAlign w:val="bottom"/>
          </w:tcPr>
          <w:p>
            <w:pPr>
              <w:ind w:left="520"/>
              <w:spacing w:after="0"/>
              <w:rPr>
                <w:sz w:val="20"/>
                <w:szCs w:val="20"/>
                <w:color w:val="auto"/>
              </w:rPr>
            </w:pPr>
            <w:r>
              <w:rPr>
                <w:rFonts w:ascii="Arial" w:cs="Arial" w:eastAsia="Arial" w:hAnsi="Arial"/>
                <w:sz w:val="18"/>
                <w:szCs w:val="18"/>
                <w:color w:val="auto"/>
              </w:rPr>
              <w:t>(j)</w:t>
            </w:r>
          </w:p>
        </w:tc>
        <w:tc>
          <w:tcPr>
            <w:tcW w:w="580" w:type="dxa"/>
            <w:vAlign w:val="bottom"/>
          </w:tcPr>
          <w:p>
            <w:pPr>
              <w:ind w:left="220"/>
              <w:spacing w:after="0"/>
              <w:rPr>
                <w:sz w:val="20"/>
                <w:szCs w:val="20"/>
                <w:color w:val="auto"/>
              </w:rPr>
            </w:pPr>
            <w:r>
              <w:rPr>
                <w:rFonts w:ascii="Arial" w:cs="Arial" w:eastAsia="Arial" w:hAnsi="Arial"/>
                <w:sz w:val="22"/>
                <w:szCs w:val="22"/>
                <w:color w:val="auto"/>
              </w:rPr>
              <w:t>x</w:t>
            </w: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rPr>
              <w:t>A non-U.S. institution in accordance with Rule 13d-1(b)(1)(ii)(J);</w:t>
            </w:r>
          </w:p>
        </w:tc>
      </w:tr>
      <w:tr>
        <w:trPr>
          <w:trHeight w:val="486"/>
        </w:trPr>
        <w:tc>
          <w:tcPr>
            <w:tcW w:w="960" w:type="dxa"/>
            <w:vAlign w:val="bottom"/>
          </w:tcPr>
          <w:p>
            <w:pPr>
              <w:ind w:left="520"/>
              <w:spacing w:after="0"/>
              <w:rPr>
                <w:sz w:val="20"/>
                <w:szCs w:val="20"/>
                <w:color w:val="auto"/>
              </w:rPr>
            </w:pPr>
            <w:r>
              <w:rPr>
                <w:rFonts w:ascii="Arial" w:cs="Arial" w:eastAsia="Arial" w:hAnsi="Arial"/>
                <w:sz w:val="18"/>
                <w:szCs w:val="18"/>
                <w:color w:val="auto"/>
              </w:rPr>
              <w:t>(k)</w:t>
            </w:r>
          </w:p>
        </w:tc>
        <w:tc>
          <w:tcPr>
            <w:tcW w:w="580" w:type="dxa"/>
            <w:vAlign w:val="bottom"/>
          </w:tcPr>
          <w:p>
            <w:pPr>
              <w:ind w:left="220"/>
              <w:spacing w:after="0"/>
              <w:rPr>
                <w:sz w:val="20"/>
                <w:szCs w:val="20"/>
                <w:color w:val="auto"/>
              </w:rPr>
            </w:pPr>
            <w:r>
              <w:rPr>
                <w:rFonts w:ascii="Arial" w:cs="Arial" w:eastAsia="Arial" w:hAnsi="Arial"/>
                <w:sz w:val="22"/>
                <w:szCs w:val="22"/>
                <w:color w:val="auto"/>
              </w:rPr>
              <w:t>o</w:t>
            </w: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rPr>
              <w:t>Group, in accordance with §240.13d-1(b)(1)(ii)(J).</w:t>
            </w:r>
          </w:p>
        </w:tc>
      </w:tr>
      <w:tr>
        <w:trPr>
          <w:trHeight w:val="108"/>
        </w:trPr>
        <w:tc>
          <w:tcPr>
            <w:tcW w:w="9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ind w:left="14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285" w:lineRule="exact"/>
        <w:rPr>
          <w:sz w:val="20"/>
          <w:szCs w:val="20"/>
          <w:color w:val="auto"/>
        </w:rPr>
      </w:pPr>
    </w:p>
    <w:p>
      <w:pPr>
        <w:ind w:right="2119" w:firstLine="389"/>
        <w:spacing w:after="0" w:line="268"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6" w:lineRule="exact"/>
        <w:rPr>
          <w:sz w:val="20"/>
          <w:szCs w:val="20"/>
          <w:color w:val="auto"/>
        </w:rPr>
      </w:pPr>
    </w:p>
    <w:p>
      <w:pPr>
        <w:ind w:left="1180" w:hanging="654"/>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  14,305,537</w:t>
      </w:r>
    </w:p>
    <w:p>
      <w:pPr>
        <w:spacing w:after="0" w:line="117" w:lineRule="exact"/>
        <w:rPr>
          <w:rFonts w:ascii="Arial" w:cs="Arial" w:eastAsia="Arial" w:hAnsi="Arial"/>
          <w:sz w:val="18"/>
          <w:szCs w:val="18"/>
          <w:color w:val="auto"/>
        </w:rPr>
      </w:pPr>
    </w:p>
    <w:p>
      <w:pPr>
        <w:ind w:left="1180" w:hanging="654"/>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7.9%.</w:t>
      </w:r>
    </w:p>
    <w:p>
      <w:pPr>
        <w:spacing w:after="0" w:line="117" w:lineRule="exact"/>
        <w:rPr>
          <w:rFonts w:ascii="Arial" w:cs="Arial" w:eastAsia="Arial" w:hAnsi="Arial"/>
          <w:sz w:val="18"/>
          <w:szCs w:val="18"/>
          <w:color w:val="auto"/>
        </w:rPr>
      </w:pPr>
    </w:p>
    <w:p>
      <w:pPr>
        <w:ind w:left="1180" w:hanging="654"/>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840" w:right="5639" w:hanging="665"/>
        <w:spacing w:after="0" w:line="268" w:lineRule="auto"/>
        <w:tabs>
          <w:tab w:leader="none" w:pos="1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77" w:lineRule="exact"/>
        <w:rPr>
          <w:rFonts w:ascii="Arial" w:cs="Arial" w:eastAsia="Arial" w:hAnsi="Arial"/>
          <w:sz w:val="18"/>
          <w:szCs w:val="18"/>
          <w:color w:val="auto"/>
        </w:rPr>
      </w:pPr>
    </w:p>
    <w:p>
      <w:pPr>
        <w:ind w:left="1840" w:right="5459" w:hanging="665"/>
        <w:spacing w:after="0" w:line="268" w:lineRule="auto"/>
        <w:tabs>
          <w:tab w:leader="none" w:pos="1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14,305,537</w:t>
      </w:r>
    </w:p>
    <w:p>
      <w:pPr>
        <w:spacing w:after="0" w:line="77" w:lineRule="exact"/>
        <w:rPr>
          <w:rFonts w:ascii="Arial" w:cs="Arial" w:eastAsia="Arial" w:hAnsi="Arial"/>
          <w:sz w:val="18"/>
          <w:szCs w:val="18"/>
          <w:color w:val="auto"/>
        </w:rPr>
      </w:pPr>
    </w:p>
    <w:p>
      <w:pPr>
        <w:ind w:left="1840" w:right="4759" w:hanging="665"/>
        <w:spacing w:after="0" w:line="268" w:lineRule="auto"/>
        <w:tabs>
          <w:tab w:leader="none" w:pos="1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77" w:lineRule="exact"/>
        <w:rPr>
          <w:rFonts w:ascii="Arial" w:cs="Arial" w:eastAsia="Arial" w:hAnsi="Arial"/>
          <w:sz w:val="18"/>
          <w:szCs w:val="18"/>
          <w:color w:val="auto"/>
        </w:rPr>
      </w:pPr>
    </w:p>
    <w:p>
      <w:pPr>
        <w:ind w:left="1840" w:right="4579" w:hanging="665"/>
        <w:spacing w:after="0" w:line="268" w:lineRule="auto"/>
        <w:tabs>
          <w:tab w:leader="none" w:pos="1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14,305,537</w:t>
      </w:r>
    </w:p>
    <w:p>
      <w:pPr>
        <w:spacing w:after="0" w:line="213" w:lineRule="exact"/>
        <w:rPr>
          <w:sz w:val="20"/>
          <w:szCs w:val="20"/>
          <w:color w:val="auto"/>
        </w:rPr>
      </w:pPr>
    </w:p>
    <w:p>
      <w:pPr>
        <w:ind w:left="340" w:right="2119"/>
        <w:spacing w:after="0" w:line="268" w:lineRule="auto"/>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see §240.13d-3(d)(1).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58" w:lineRule="exact"/>
        <w:rPr>
          <w:sz w:val="20"/>
          <w:szCs w:val="20"/>
          <w:color w:val="auto"/>
        </w:rPr>
      </w:pPr>
    </w:p>
    <w:p>
      <w:pPr>
        <w:ind w:left="880" w:right="2339" w:hanging="224"/>
        <w:spacing w:after="0" w:line="259"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PH&amp;N is a registered investment advisor. Accounts managed on a discretionary basis by PH&amp;N are known to have the right to receive the power to direct the receipt of dividend from, or the proceeds from, the sale of such securities.</w:t>
      </w:r>
    </w:p>
    <w:p>
      <w:pPr>
        <w:spacing w:after="0" w:line="194" w:lineRule="exact"/>
        <w:rPr>
          <w:rFonts w:ascii="Arial" w:cs="Arial" w:eastAsia="Arial" w:hAnsi="Arial"/>
          <w:sz w:val="18"/>
          <w:szCs w:val="18"/>
          <w:color w:val="auto"/>
        </w:rPr>
      </w:pPr>
    </w:p>
    <w:p>
      <w:pPr>
        <w:jc w:val="both"/>
        <w:ind w:left="880" w:right="2479" w:hanging="224"/>
        <w:spacing w:after="0" w:line="370" w:lineRule="auto"/>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Accounts managed on a discretionary basis by RBC AM are known to have the right to receive or the power to direct the receipt of dividends from, or the proceeds from the sale of such securities.</w:t>
      </w:r>
    </w:p>
    <w:p>
      <w:pPr>
        <w:spacing w:after="0" w:line="200" w:lineRule="exact"/>
        <w:rPr>
          <w:sz w:val="20"/>
          <w:szCs w:val="20"/>
          <w:color w:val="auto"/>
        </w:rPr>
      </w:pPr>
    </w:p>
    <w:p>
      <w:pPr>
        <w:spacing w:after="0" w:line="343" w:lineRule="exact"/>
        <w:rPr>
          <w:sz w:val="20"/>
          <w:szCs w:val="20"/>
          <w:color w:val="auto"/>
        </w:rPr>
      </w:pPr>
    </w:p>
    <w:p>
      <w:pPr>
        <w:ind w:left="660" w:right="2099" w:hanging="647"/>
        <w:spacing w:after="0" w:line="275"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31" w:lineRule="exact"/>
        <w:rPr>
          <w:sz w:val="20"/>
          <w:szCs w:val="20"/>
          <w:color w:val="auto"/>
        </w:rPr>
      </w:pPr>
    </w:p>
    <w:p>
      <w:pPr>
        <w:jc w:val="both"/>
        <w:ind w:left="660" w:right="2099"/>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89" w:lineRule="exact"/>
        <w:rPr>
          <w:sz w:val="20"/>
          <w:szCs w:val="20"/>
          <w:color w:val="auto"/>
        </w:rPr>
      </w:pPr>
    </w:p>
    <w:p>
      <w:pPr>
        <w:jc w:val="both"/>
        <w:ind w:left="660" w:right="2119"/>
        <w:spacing w:after="0" w:line="255" w:lineRule="auto"/>
        <w:rPr>
          <w:sz w:val="20"/>
          <w:szCs w:val="20"/>
          <w:color w:val="auto"/>
        </w:rPr>
      </w:pPr>
      <w:r>
        <w:rPr>
          <w:rFonts w:ascii="Arial" w:cs="Arial" w:eastAsia="Arial" w:hAnsi="Arial"/>
          <w:sz w:val="18"/>
          <w:szCs w:val="18"/>
          <w:color w:val="auto"/>
        </w:rPr>
        <w:t>By signing below, I, as authorzed signatory for RBC Asset Management Inc., also certify that, to the best of my knowledge and belief, the foreign regulatory scheme applicable to the bank is substantially comparable to the regulatory scheme applicable to the functionally equivalent U.S. institution. I also undertake to furnish to the Commission staff, upon request, information that would otherwise be disclosed in a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516699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68" w:right="1440" w:bottom="970" w:gutter="0" w:footer="0" w:header="0"/>
        </w:sectPr>
      </w:pPr>
    </w:p>
    <w:bookmarkStart w:id="5" w:name="page6"/>
    <w:bookmarkEnd w:id="5"/>
    <w:p>
      <w:pPr>
        <w:ind w:left="3540"/>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2119" w:firstLine="389"/>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2009</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PHILLIPS, HAGER &amp; NORTH INVESTMENT</w:t>
      </w:r>
    </w:p>
    <w:p>
      <w:pPr>
        <w:spacing w:after="0" w:line="1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MANAGEMENT LTD.</w:t>
      </w:r>
    </w:p>
    <w:p>
      <w:pPr>
        <w:spacing w:after="0" w:line="2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Michael Wallberg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6244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Signature</w:t>
      </w:r>
    </w:p>
    <w:p>
      <w:pPr>
        <w:spacing w:after="0" w:line="29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Michael Wallberg/Vice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6244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32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RBC ASSET MANAGEMENT INC.</w:t>
      </w:r>
    </w:p>
    <w:p>
      <w:pPr>
        <w:spacing w:after="0" w:line="27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 Frank Lippa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6244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9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Frank Lippa/Chief Operating Officer &amp; Chief</w:t>
      </w:r>
    </w:p>
    <w:p>
      <w:pPr>
        <w:spacing w:after="0" w:line="1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6985</wp:posOffset>
            </wp:positionV>
            <wp:extent cx="26244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516699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6" w:name="page7"/>
    <w:bookmarkEnd w:id="6"/>
    <w:p>
      <w:pPr>
        <w:ind w:left="3060"/>
        <w:spacing w:after="0"/>
        <w:rPr>
          <w:sz w:val="20"/>
          <w:szCs w:val="20"/>
          <w:color w:val="auto"/>
        </w:rPr>
      </w:pPr>
      <w:r>
        <w:rPr>
          <w:rFonts w:ascii="Arial" w:cs="Arial" w:eastAsia="Arial" w:hAnsi="Arial"/>
          <w:sz w:val="16"/>
          <w:szCs w:val="16"/>
          <w:color w:val="auto"/>
        </w:rPr>
        <w:t>Index to Exhibits</w:t>
      </w:r>
    </w:p>
    <w:p>
      <w:pPr>
        <w:sectPr>
          <w:pgSz w:w="11900" w:h="16838" w:orient="portrait"/>
          <w:cols w:equalWidth="0" w:num="1">
            <w:col w:w="9819"/>
          </w:cols>
          <w:pgMar w:left="640" w:top="617"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Exhibit 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Exhibit</w:t>
      </w:r>
    </w:p>
    <w:p>
      <w:pPr>
        <w:spacing w:after="0" w:line="200" w:lineRule="exact"/>
        <w:rPr>
          <w:sz w:val="20"/>
          <w:szCs w:val="20"/>
          <w:color w:val="auto"/>
        </w:rPr>
      </w:pPr>
    </w:p>
    <w:p>
      <w:pPr>
        <w:sectPr>
          <w:pgSz w:w="11900" w:h="16838" w:orient="portrait"/>
          <w:cols w:equalWidth="0" w:num="2">
            <w:col w:w="4580" w:space="720"/>
            <w:col w:w="4519"/>
          </w:cols>
          <w:pgMar w:left="640" w:top="617"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99.1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Joint Filing Agreement</w:t>
      </w:r>
    </w:p>
    <w:p>
      <w:pPr>
        <w:sectPr>
          <w:pgSz w:w="11900" w:h="16838" w:orient="portrait"/>
          <w:cols w:equalWidth="0" w:num="2">
            <w:col w:w="4580" w:space="720"/>
            <w:col w:w="4519"/>
          </w:cols>
          <w:pgMar w:left="640" w:top="617" w:right="1440" w:bottom="1440" w:gutter="0" w:footer="0" w:header="0"/>
          <w:type w:val="continuous"/>
        </w:sectPr>
      </w:pPr>
    </w:p>
    <w:bookmarkStart w:id="7" w:name="page8"/>
    <w:bookmarkEnd w:id="7"/>
    <w:p>
      <w:pPr>
        <w:jc w:val="center"/>
        <w:ind w:right="2099"/>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JOINT FILING AGREEMENT</w:t>
      </w:r>
    </w:p>
    <w:p>
      <w:pPr>
        <w:spacing w:after="0" w:line="258" w:lineRule="exact"/>
        <w:rPr>
          <w:sz w:val="20"/>
          <w:szCs w:val="20"/>
          <w:color w:val="auto"/>
        </w:rPr>
      </w:pPr>
    </w:p>
    <w:p>
      <w:pPr>
        <w:jc w:val="both"/>
        <w:ind w:right="2099"/>
        <w:spacing w:after="0" w:line="298" w:lineRule="auto"/>
        <w:rPr>
          <w:sz w:val="20"/>
          <w:szCs w:val="20"/>
          <w:color w:val="auto"/>
        </w:rPr>
      </w:pPr>
      <w:r>
        <w:rPr>
          <w:rFonts w:ascii="Arial" w:cs="Arial" w:eastAsia="Arial" w:hAnsi="Arial"/>
          <w:sz w:val="16"/>
          <w:szCs w:val="16"/>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13, 2009.</w:t>
      </w:r>
    </w:p>
    <w:p>
      <w:pPr>
        <w:spacing w:after="0" w:line="200" w:lineRule="exact"/>
        <w:rPr>
          <w:sz w:val="20"/>
          <w:szCs w:val="20"/>
          <w:color w:val="auto"/>
        </w:rPr>
      </w:pPr>
    </w:p>
    <w:p>
      <w:pPr>
        <w:spacing w:after="0" w:line="26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PHILLIPS, HAGER &amp; NORTH INVESTMENT</w:t>
      </w:r>
    </w:p>
    <w:p>
      <w:pPr>
        <w:spacing w:after="0" w:line="3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MANAGEMENT LTD.</w:t>
      </w:r>
    </w:p>
    <w:p>
      <w:pPr>
        <w:spacing w:after="0" w:line="30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 Michael Wallberg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10795</wp:posOffset>
            </wp:positionV>
            <wp:extent cx="25469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Signature</w:t>
      </w:r>
    </w:p>
    <w:p>
      <w:pPr>
        <w:spacing w:after="0" w:line="29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Michael Wallberg/Vice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10795</wp:posOffset>
            </wp:positionV>
            <wp:extent cx="25469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32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RBC ASSET MANAGEMENT INC.</w:t>
      </w:r>
    </w:p>
    <w:p>
      <w:pPr>
        <w:spacing w:after="0" w:line="27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 Frank Lippa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10795</wp:posOffset>
            </wp:positionV>
            <wp:extent cx="25469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Frank Lippa/Chief Operating Officer &amp; Chief</w:t>
      </w:r>
    </w:p>
    <w:p>
      <w:pPr>
        <w:spacing w:after="0" w:line="3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10795</wp:posOffset>
            </wp:positionV>
            <wp:extent cx="25469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1."/>
      <w:numFmt w:val="decimal"/>
      <w:start w:val="1"/>
    </w:lvl>
    <w:lvl w:ilvl="1">
      <w:lvlJc w:val="left"/>
      <w:lvlText w:val="(%2)"/>
      <w:numFmt w:val="lowerLetter"/>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lvl w:ilvl="1">
      <w:lvlJc w:val="left"/>
      <w:lvlText w:val="%2."/>
      <w:numFmt w:val="decimal"/>
      <w:start w:val="1"/>
    </w:lvl>
  </w:abstractNum>
  <w:abstractNum w:abstractNumId="8">
    <w:nsid w:val="1F16E9E8"/>
    <w:multiLevelType w:val="hybridMultilevel"/>
    <w:lvl w:ilvl="0">
      <w:lvlJc w:val="left"/>
      <w:lvlText w:val="%1"/>
      <w:numFmt w:val="lowerLetter"/>
      <w:start w:val="1"/>
    </w:lvl>
    <w:lvl w:ilvl="1">
      <w:lvlJc w:val="left"/>
      <w:lvlText w:val="%2."/>
      <w:numFmt w:val="decimal"/>
      <w:start w:val="1"/>
    </w:lvl>
  </w:abstractNum>
  <w:abstractNum w:abstractNumId="9">
    <w:nsid w:val="1190CDE7"/>
    <w:multiLevelType w:val="hybridMultilevel"/>
    <w:lvl w:ilvl="0">
      <w:lvlJc w:val="left"/>
      <w:lvlText w:val="(%1)"/>
      <w:numFmt w:val="lowerLetter"/>
      <w:start w:val="3"/>
    </w:lvl>
    <w:lvl w:ilvl="1">
      <w:lvlJc w:val="left"/>
      <w:lvlText w:val="%2."/>
      <w:numFmt w:val="decimal"/>
      <w:start w:val="1"/>
    </w:lvl>
  </w:abstractNum>
  <w:abstractNum w:abstractNumId="10">
    <w:nsid w:val="66EF438D"/>
    <w:multiLevelType w:val="hybridMultilevel"/>
    <w:lvl w:ilvl="0">
      <w:lvlJc w:val="left"/>
      <w:lvlText w:val="(%1)"/>
      <w:numFmt w:val="lowerLetter"/>
      <w:start w:val="4"/>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2019-12-10T15:37:43Z</dcterms:created>
  <dcterms:modified xsi:type="dcterms:W3CDTF">2019-12-10T15:37:43Z</dcterms:modified>
</cp:coreProperties>
</file>