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0001397960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THOMSON REUTERS CORP /CAN/ 001-31349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 Duncan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Toronto</w:t>
      </w:r>
    </w:p>
    <w:p>
      <w:pPr>
        <w:spacing w:after="0" w:line="230" w:lineRule="auto"/>
        <w:rPr>
          <w:sz w:val="20"/>
          <w:szCs w:val="20"/>
          <w:color w:val="auto"/>
        </w:rPr>
      </w:pPr>
      <w:r>
        <w:rPr>
          <w:rFonts w:ascii="Times New Roman" w:cs="Times New Roman" w:eastAsia="Times New Roman" w:hAnsi="Times New Roman"/>
          <w:sz w:val="22"/>
          <w:szCs w:val="22"/>
          <w:color w:val="auto"/>
        </w:rPr>
        <w:t>ONTARIO, CANADA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M5H 3H1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416-687-7500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The Woodbridge Company Limited</w:t>
      </w:r>
    </w:p>
    <w:p>
      <w:pPr>
        <w:spacing w:after="0" w:line="44" w:lineRule="exact"/>
        <w:rPr>
          <w:sz w:val="24"/>
          <w:szCs w:val="24"/>
          <w:color w:val="auto"/>
        </w:rPr>
      </w:pPr>
    </w:p>
    <w:p>
      <w:pPr>
        <w:sectPr>
          <w:pgSz w:w="11900" w:h="16838" w:orient="portrait"/>
          <w:cols w:equalWidth="0" w:num="2">
            <w:col w:w="6380" w:space="720"/>
            <w:col w:w="4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BMO Capital Markets</w:t>
            </w:r>
          </w:p>
        </w:tc>
        <w:tc>
          <w:tcPr>
            <w:tcW w:w="1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w:t>
            </w:r>
          </w:p>
        </w:tc>
        <w:tc>
          <w:tcPr>
            <w:tcW w:w="128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600000</w:t>
            </w:r>
          </w:p>
        </w:tc>
        <w:tc>
          <w:tcPr>
            <w:tcW w:w="12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w w:val="99"/>
              </w:rPr>
              <w:t>57678000</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444962490</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03/18/2026   Nasdaq</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151 West 42nd Street</w:t>
            </w:r>
          </w:p>
        </w:tc>
        <w:tc>
          <w:tcPr>
            <w:tcW w:w="128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34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20"/>
        <w:spacing w:after="0"/>
        <w:rPr>
          <w:sz w:val="20"/>
          <w:szCs w:val="20"/>
          <w:color w:val="auto"/>
        </w:rPr>
      </w:pPr>
      <w:r>
        <w:rPr>
          <w:rFonts w:ascii="Times New Roman" w:cs="Times New Roman" w:eastAsia="Times New Roman" w:hAnsi="Times New Roman"/>
          <w:sz w:val="22"/>
          <w:szCs w:val="22"/>
          <w:color w:val="auto"/>
        </w:rPr>
        <w:t>New York  NY  10036</w:t>
      </w:r>
    </w:p>
    <w:p>
      <w:pPr>
        <w:spacing w:after="0" w:line="200" w:lineRule="exact"/>
        <w:rPr>
          <w:sz w:val="24"/>
          <w:szCs w:val="24"/>
          <w:color w:val="auto"/>
        </w:r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04/17/2008</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9"/>
              </w:rPr>
              <w:t>Various. See Note</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See Note (2)</w:t>
            </w:r>
          </w:p>
        </w:tc>
        <w:tc>
          <w:tcPr>
            <w:tcW w:w="208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452082798</w:t>
            </w:r>
          </w:p>
        </w:tc>
        <w:tc>
          <w:tcPr>
            <w:tcW w:w="23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w w:val="97"/>
              </w:rPr>
              <w:t>04/17/2008 See Note (2)</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w:t>
            </w:r>
          </w:p>
        </w:tc>
        <w:tc>
          <w:tcPr>
            <w:tcW w:w="210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left="1" w:right="100" w:hanging="1"/>
        <w:spacing w:after="0" w:line="235" w:lineRule="auto"/>
        <w:tabs>
          <w:tab w:leader="none" w:pos="30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444,962,490 Common Shares of the Issuer outstanding are as of December 31, 2025. (2) April 17, 2008 refers to the date on which The Thomson Corporation completed its acquisition of Reuters Group PLC and renamed the surviving company as Thomson Reuters Corporation. Subsequent to such date, Common Shares have been (i) acquired pursuant to dividend reinvestment and other immaterial transactions; and (ii) disposed of by way of sales on the Toronto Stock Exchange ("TSX") and in connection with the Issuer's Substantial Issuer Bid/Tender Offer in October 2018. The Issuer's announced stock consolidations also had the effect of reducing the number of Common Shares owned by the reporting person.</w:t>
      </w:r>
    </w:p>
    <w:p>
      <w:pPr>
        <w:spacing w:after="0" w:line="143"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03/16/2026</w:t>
      </w:r>
    </w:p>
    <w:p>
      <w:pPr>
        <w:spacing w:after="0" w:line="159" w:lineRule="exact"/>
        <w:rPr>
          <w:sz w:val="20"/>
          <w:szCs w:val="20"/>
          <w:color w:val="auto"/>
        </w:rPr>
      </w:pPr>
    </w:p>
    <w:p>
      <w:pPr>
        <w:sectPr>
          <w:pgSz w:w="11900" w:h="16838" w:orient="portrait"/>
          <w:cols w:equalWidth="0" w:num="2">
            <w:col w:w="820" w:space="119"/>
            <w:col w:w="10301"/>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By: /s/ Michael Medline, Title: CEO &amp; President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2026-03-16T16:57:48Z</dcterms:created>
  <dcterms:modified xsi:type="dcterms:W3CDTF">2026-03-16T16:57:48Z</dcterms:modified>
</cp:coreProperties>
</file>