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294005</wp:posOffset>
            </wp:positionH>
            <wp:positionV relativeFrom="page">
              <wp:posOffset>165735</wp:posOffset>
            </wp:positionV>
            <wp:extent cx="6973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208280</wp:posOffset>
            </wp:positionV>
            <wp:extent cx="69735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357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2753995</wp:posOffset>
            </wp:positionH>
            <wp:positionV relativeFrom="paragraph">
              <wp:posOffset>217805</wp:posOffset>
            </wp:positionV>
            <wp:extent cx="14700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2753995</wp:posOffset>
            </wp:positionH>
            <wp:positionV relativeFrom="paragraph">
              <wp:posOffset>168275</wp:posOffset>
            </wp:positionV>
            <wp:extent cx="14700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w:t>
      </w: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7" w:lineRule="exact"/>
        <w:rPr>
          <w:sz w:val="24"/>
          <w:szCs w:val="24"/>
          <w:color w:val="auto"/>
        </w:rPr>
      </w:pPr>
    </w:p>
    <w:p>
      <w:pPr>
        <w:spacing w:after="0"/>
        <w:tabs>
          <w:tab w:leader="none" w:pos="8300" w:val="left"/>
        </w:tabs>
        <w:rPr>
          <w:sz w:val="20"/>
          <w:szCs w:val="20"/>
          <w:color w:val="auto"/>
        </w:rPr>
      </w:pPr>
      <w:r>
        <w:rPr>
          <w:rFonts w:ascii="Arial" w:cs="Arial" w:eastAsia="Arial" w:hAnsi="Arial"/>
          <w:sz w:val="18"/>
          <w:szCs w:val="18"/>
          <w:b w:val="1"/>
          <w:bCs w:val="1"/>
          <w:color w:val="auto"/>
        </w:rPr>
        <w:t>For the month of April 2019</w:t>
      </w:r>
      <w:r>
        <w:rPr>
          <w:sz w:val="20"/>
          <w:szCs w:val="20"/>
          <w:color w:val="auto"/>
        </w:rPr>
        <w:tab/>
      </w:r>
      <w:r>
        <w:rPr>
          <w:rFonts w:ascii="Arial" w:cs="Arial" w:eastAsia="Arial" w:hAnsi="Arial"/>
          <w:sz w:val="16"/>
          <w:szCs w:val="16"/>
          <w:b w:val="1"/>
          <w:bCs w:val="1"/>
          <w:color w:val="auto"/>
        </w:rPr>
        <w:t>Commission File Number: 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2753995</wp:posOffset>
            </wp:positionH>
            <wp:positionV relativeFrom="paragraph">
              <wp:posOffset>239395</wp:posOffset>
            </wp:positionV>
            <wp:extent cx="14700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THOMSON REUTERS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2753995</wp:posOffset>
            </wp:positionH>
            <wp:positionV relativeFrom="paragraph">
              <wp:posOffset>234950</wp:posOffset>
            </wp:positionV>
            <wp:extent cx="14700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Bay Street,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Toronto, Ontario M5H 2R2, Canada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2753995</wp:posOffset>
            </wp:positionH>
            <wp:positionV relativeFrom="paragraph">
              <wp:posOffset>226695</wp:posOffset>
            </wp:positionV>
            <wp:extent cx="1470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1" w:lineRule="exact"/>
        <w:rPr>
          <w:sz w:val="24"/>
          <w:szCs w:val="24"/>
          <w:color w:val="auto"/>
        </w:rPr>
      </w:pPr>
    </w:p>
    <w:p>
      <w:pPr>
        <w:jc w:val="center"/>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6" w:lineRule="exact"/>
        <w:rPr>
          <w:sz w:val="24"/>
          <w:szCs w:val="24"/>
          <w:color w:val="auto"/>
        </w:rPr>
      </w:pPr>
    </w:p>
    <w:p>
      <w:pPr>
        <w:spacing w:after="0" w:line="276" w:lineRule="auto"/>
        <w:rPr>
          <w:sz w:val="20"/>
          <w:szCs w:val="20"/>
          <w:color w:val="auto"/>
        </w:rPr>
      </w:pPr>
      <w:r>
        <w:rPr>
          <w:rFonts w:ascii="Arial" w:cs="Arial" w:eastAsia="Arial" w:hAnsi="Arial"/>
          <w:sz w:val="18"/>
          <w:szCs w:val="18"/>
          <w:color w:val="auto"/>
        </w:rPr>
        <w:t>The information contained in Exhibit 99.1 of this Form 6-K is incorporated by reference into, or as an additional exhibit to, as applicable, the registrant’s outstanding registration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73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168275</wp:posOffset>
            </wp:positionV>
            <wp:extent cx="69735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ectPr>
          <w:pgSz w:w="11900" w:h="16838" w:orient="portrait"/>
          <w:cols w:equalWidth="0" w:num="1">
            <w:col w:w="10980"/>
          </w:cols>
          <w:pgMar w:left="460" w:top="408" w:right="459" w:bottom="1440" w:gutter="0" w:footer="0" w:header="0"/>
        </w:sectPr>
      </w:pPr>
    </w:p>
    <w:bookmarkStart w:id="1" w:name="page2"/>
    <w:bookmarkEnd w:id="1"/>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SIGNATURES</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4"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THOMSON REUTERS CORPORATION</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(Registrant)</w:t>
      </w:r>
    </w:p>
    <w:p>
      <w:pPr>
        <w:spacing w:after="0" w:line="2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14605</wp:posOffset>
            </wp:positionV>
            <wp:extent cx="2854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Marc E. Gold</w:t>
      </w:r>
    </w:p>
    <w:p>
      <w:pPr>
        <w:spacing w:after="0" w:line="2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Assistant Secretary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April 17, 2019</w:t>
      </w:r>
    </w:p>
    <w:p>
      <w:pPr>
        <w:sectPr>
          <w:pgSz w:w="11900" w:h="16838" w:orient="portrait"/>
          <w:cols w:equalWidth="0" w:num="1">
            <w:col w:w="10240"/>
          </w:cols>
          <w:pgMar w:left="460" w:top="269" w:right="1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7500" w:type="dxa"/>
            <w:vAlign w:val="bottom"/>
            <w:gridSpan w:val="3"/>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71"/>
        </w:trPr>
        <w:tc>
          <w:tcPr>
            <w:tcW w:w="480" w:type="dxa"/>
            <w:vAlign w:val="bottom"/>
          </w:tcPr>
          <w:p>
            <w:pPr>
              <w:ind w:left="20"/>
              <w:spacing w:after="0"/>
              <w:rPr>
                <w:sz w:val="20"/>
                <w:szCs w:val="20"/>
                <w:color w:val="auto"/>
              </w:rPr>
            </w:pPr>
            <w:r>
              <w:rPr>
                <w:rFonts w:ascii="Arial" w:cs="Arial" w:eastAsia="Arial" w:hAnsi="Arial"/>
                <w:sz w:val="14"/>
                <w:szCs w:val="14"/>
                <w:color w:val="auto"/>
              </w:rPr>
              <w:t>Exhibit</w:t>
            </w:r>
          </w:p>
        </w:tc>
        <w:tc>
          <w:tcPr>
            <w:tcW w:w="5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7"/>
        </w:trPr>
        <w:tc>
          <w:tcPr>
            <w:tcW w:w="480" w:type="dxa"/>
            <w:vAlign w:val="bottom"/>
          </w:tcPr>
          <w:p>
            <w:pPr>
              <w:spacing w:after="0"/>
              <w:rPr>
                <w:sz w:val="20"/>
                <w:szCs w:val="20"/>
                <w:color w:val="auto"/>
              </w:rPr>
            </w:pPr>
            <w:r>
              <w:rPr>
                <w:rFonts w:ascii="Arial" w:cs="Arial" w:eastAsia="Arial" w:hAnsi="Arial"/>
                <w:sz w:val="14"/>
                <w:szCs w:val="14"/>
                <w:color w:val="auto"/>
                <w:w w:val="92"/>
              </w:rPr>
              <w:t>Number</w:t>
            </w:r>
          </w:p>
        </w:tc>
        <w:tc>
          <w:tcPr>
            <w:tcW w:w="518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17"/>
        </w:trPr>
        <w:tc>
          <w:tcPr>
            <w:tcW w:w="480" w:type="dxa"/>
            <w:vAlign w:val="bottom"/>
          </w:tcPr>
          <w:p>
            <w:pPr>
              <w:spacing w:after="0"/>
              <w:rPr>
                <w:sz w:val="20"/>
                <w:szCs w:val="20"/>
                <w:color w:val="auto"/>
              </w:rPr>
            </w:pPr>
            <w:r>
              <w:rPr>
                <w:rFonts w:ascii="Arial" w:cs="Arial" w:eastAsia="Arial" w:hAnsi="Arial"/>
                <w:sz w:val="18"/>
                <w:szCs w:val="18"/>
                <w:color w:val="auto"/>
              </w:rPr>
              <w:t>99.1</w:t>
            </w:r>
          </w:p>
        </w:tc>
        <w:tc>
          <w:tcPr>
            <w:tcW w:w="7500" w:type="dxa"/>
            <w:vAlign w:val="bottom"/>
            <w:gridSpan w:val="3"/>
          </w:tcPr>
          <w:p>
            <w:pPr>
              <w:ind w:left="520"/>
              <w:spacing w:after="0"/>
              <w:rPr>
                <w:sz w:val="20"/>
                <w:szCs w:val="20"/>
                <w:color w:val="auto"/>
              </w:rPr>
            </w:pPr>
            <w:r>
              <w:rPr>
                <w:rFonts w:ascii="Arial" w:cs="Arial" w:eastAsia="Arial" w:hAnsi="Arial"/>
                <w:sz w:val="18"/>
                <w:szCs w:val="18"/>
                <w:color w:val="auto"/>
                <w:w w:val="91"/>
              </w:rPr>
              <w:t>Notice of Annual Meeting of Shareholders and Management Proxy Circular dated April 17, 2019</w:t>
            </w:r>
          </w:p>
        </w:tc>
      </w:tr>
      <w:tr>
        <w:trPr>
          <w:trHeight w:val="323"/>
        </w:trPr>
        <w:tc>
          <w:tcPr>
            <w:tcW w:w="480" w:type="dxa"/>
            <w:vAlign w:val="bottom"/>
          </w:tcPr>
          <w:p>
            <w:pPr>
              <w:spacing w:after="0"/>
              <w:rPr>
                <w:sz w:val="20"/>
                <w:szCs w:val="20"/>
                <w:color w:val="auto"/>
              </w:rPr>
            </w:pPr>
            <w:r>
              <w:rPr>
                <w:rFonts w:ascii="Arial" w:cs="Arial" w:eastAsia="Arial" w:hAnsi="Arial"/>
                <w:sz w:val="18"/>
                <w:szCs w:val="18"/>
                <w:color w:val="auto"/>
              </w:rPr>
              <w:t>99.2</w:t>
            </w:r>
          </w:p>
        </w:tc>
        <w:tc>
          <w:tcPr>
            <w:tcW w:w="7500" w:type="dxa"/>
            <w:vAlign w:val="bottom"/>
            <w:gridSpan w:val="3"/>
          </w:tcPr>
          <w:p>
            <w:pPr>
              <w:ind w:left="520"/>
              <w:spacing w:after="0"/>
              <w:rPr>
                <w:sz w:val="20"/>
                <w:szCs w:val="20"/>
                <w:color w:val="auto"/>
              </w:rPr>
            </w:pPr>
            <w:r>
              <w:rPr>
                <w:rFonts w:ascii="Arial" w:cs="Arial" w:eastAsia="Arial" w:hAnsi="Arial"/>
                <w:sz w:val="18"/>
                <w:szCs w:val="18"/>
                <w:color w:val="auto"/>
              </w:rPr>
              <w:t>Form of Proxy for Registered Shareholders</w:t>
            </w:r>
          </w:p>
        </w:tc>
      </w:tr>
      <w:tr>
        <w:trPr>
          <w:trHeight w:val="323"/>
        </w:trPr>
        <w:tc>
          <w:tcPr>
            <w:tcW w:w="480" w:type="dxa"/>
            <w:vAlign w:val="bottom"/>
          </w:tcPr>
          <w:p>
            <w:pPr>
              <w:spacing w:after="0"/>
              <w:rPr>
                <w:sz w:val="20"/>
                <w:szCs w:val="20"/>
                <w:color w:val="auto"/>
              </w:rPr>
            </w:pPr>
            <w:r>
              <w:rPr>
                <w:rFonts w:ascii="Arial" w:cs="Arial" w:eastAsia="Arial" w:hAnsi="Arial"/>
                <w:sz w:val="18"/>
                <w:szCs w:val="18"/>
                <w:color w:val="auto"/>
              </w:rPr>
              <w:t>99.3</w:t>
            </w:r>
          </w:p>
        </w:tc>
        <w:tc>
          <w:tcPr>
            <w:tcW w:w="7500" w:type="dxa"/>
            <w:vAlign w:val="bottom"/>
            <w:gridSpan w:val="3"/>
          </w:tcPr>
          <w:p>
            <w:pPr>
              <w:ind w:left="520"/>
              <w:spacing w:after="0"/>
              <w:rPr>
                <w:sz w:val="20"/>
                <w:szCs w:val="20"/>
                <w:color w:val="auto"/>
              </w:rPr>
            </w:pPr>
            <w:r>
              <w:rPr>
                <w:rFonts w:ascii="Arial" w:cs="Arial" w:eastAsia="Arial" w:hAnsi="Arial"/>
                <w:sz w:val="18"/>
                <w:szCs w:val="18"/>
                <w:color w:val="auto"/>
              </w:rPr>
              <w:t>Notice of Availability of Proxy Materials</w:t>
            </w:r>
          </w:p>
        </w:tc>
      </w:tr>
      <w:tr>
        <w:trPr>
          <w:trHeight w:val="323"/>
        </w:trPr>
        <w:tc>
          <w:tcPr>
            <w:tcW w:w="480" w:type="dxa"/>
            <w:vAlign w:val="bottom"/>
          </w:tcPr>
          <w:p>
            <w:pPr>
              <w:spacing w:after="0"/>
              <w:rPr>
                <w:sz w:val="20"/>
                <w:szCs w:val="20"/>
                <w:color w:val="auto"/>
              </w:rPr>
            </w:pPr>
            <w:r>
              <w:rPr>
                <w:rFonts w:ascii="Arial" w:cs="Arial" w:eastAsia="Arial" w:hAnsi="Arial"/>
                <w:sz w:val="18"/>
                <w:szCs w:val="18"/>
                <w:color w:val="auto"/>
              </w:rPr>
              <w:t>99.4</w:t>
            </w:r>
          </w:p>
        </w:tc>
        <w:tc>
          <w:tcPr>
            <w:tcW w:w="7500" w:type="dxa"/>
            <w:vAlign w:val="bottom"/>
            <w:gridSpan w:val="3"/>
          </w:tcPr>
          <w:p>
            <w:pPr>
              <w:ind w:left="520"/>
              <w:spacing w:after="0"/>
              <w:rPr>
                <w:sz w:val="20"/>
                <w:szCs w:val="20"/>
                <w:color w:val="auto"/>
              </w:rPr>
            </w:pPr>
            <w:r>
              <w:rPr>
                <w:rFonts w:ascii="Arial" w:cs="Arial" w:eastAsia="Arial" w:hAnsi="Arial"/>
                <w:sz w:val="18"/>
                <w:szCs w:val="18"/>
                <w:color w:val="auto"/>
              </w:rPr>
              <w:t>Corporate Governance Guidelines</w:t>
            </w:r>
          </w:p>
        </w:tc>
      </w:tr>
    </w:tbl>
    <w:p>
      <w:pPr>
        <w:ind w:left="520"/>
        <w:spacing w:after="0"/>
        <w:rPr>
          <w:sz w:val="20"/>
          <w:szCs w:val="20"/>
          <w:color w:val="auto"/>
        </w:rPr>
        <w:sectPr>
          <w:pgSz w:w="11900" w:h="16838" w:orient="portrait"/>
          <w:cols w:equalWidth="0" w:num="1">
            <w:col w:w="9999"/>
          </w:cols>
          <w:pgMar w:left="460" w:top="269"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11430</wp:posOffset>
            </wp:positionV>
            <wp:extent cx="7173595" cy="4930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3595" cy="493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right="1720"/>
        <w:spacing w:after="0" w:line="243" w:lineRule="auto"/>
        <w:rPr>
          <w:sz w:val="20"/>
          <w:szCs w:val="20"/>
          <w:color w:val="auto"/>
        </w:rPr>
      </w:pPr>
      <w:r>
        <w:rPr>
          <w:rFonts w:ascii="Arial" w:cs="Arial" w:eastAsia="Arial" w:hAnsi="Arial"/>
          <w:sz w:val="65"/>
          <w:szCs w:val="65"/>
          <w:color w:val="4C4C4C"/>
        </w:rPr>
        <w:t>Management Proxy Circular and Notice of Annual Meeting of Shareholders</w:t>
      </w:r>
    </w:p>
    <w:p>
      <w:pPr>
        <w:sectPr>
          <w:pgSz w:w="11900" w:h="16838" w:orient="portrait"/>
          <w:cols w:equalWidth="0" w:num="1">
            <w:col w:w="11200"/>
          </w:cols>
          <w:pgMar w:left="240" w:top="122" w:right="459" w:bottom="0" w:gutter="0" w:footer="0" w:header="0"/>
        </w:sectPr>
      </w:pPr>
    </w:p>
    <w:p>
      <w:pPr>
        <w:spacing w:after="0" w:line="2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95A3B"/>
        </w:rPr>
        <w:t>June 5, 2019</w:t>
      </w:r>
    </w:p>
    <w:p>
      <w:pPr>
        <w:sectPr>
          <w:pgSz w:w="11900" w:h="16838" w:orient="portrait"/>
          <w:cols w:equalWidth="0" w:num="1">
            <w:col w:w="11200"/>
          </w:cols>
          <w:pgMar w:left="240" w:top="122" w:right="459" w:bottom="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353695</wp:posOffset>
            </wp:positionV>
            <wp:extent cx="69735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823595</wp:posOffset>
            </wp:positionV>
            <wp:extent cx="6973570" cy="709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73570" cy="70929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YOUR VOTE AND PARTICIPATION AS A SHAREHOLDER IS IMPORTANT.</w:t>
      </w:r>
    </w:p>
    <w:p>
      <w:pPr>
        <w:spacing w:after="0" w:line="36"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Please read this document and vote.</w:t>
      </w:r>
    </w:p>
    <w:p>
      <w:pPr>
        <w:sectPr>
          <w:pgSz w:w="11900" w:h="16838" w:orient="portrait"/>
          <w:cols w:equalWidth="0" w:num="1">
            <w:col w:w="9839"/>
          </w:cols>
          <w:pgMar w:left="620" w:top="1440"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20" w:right="1820"/>
        <w:spacing w:after="0" w:line="243" w:lineRule="auto"/>
        <w:rPr>
          <w:sz w:val="20"/>
          <w:szCs w:val="20"/>
          <w:color w:val="auto"/>
        </w:rPr>
      </w:pPr>
      <w:r>
        <w:rPr>
          <w:rFonts w:ascii="Arial" w:cs="Arial" w:eastAsia="Arial" w:hAnsi="Arial"/>
          <w:sz w:val="47"/>
          <w:szCs w:val="47"/>
          <w:color w:val="D95A3B"/>
        </w:rPr>
        <w:t>Notice of Annual Meeting of Shareholders of Thomson Reuters Corporation</w:t>
      </w:r>
    </w:p>
    <w:p>
      <w:pPr>
        <w:spacing w:after="0" w:line="36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We are pleased to invite you to attend our 2019 annual meeting of shareholders.</w:t>
      </w:r>
    </w:p>
    <w:p>
      <w:pPr>
        <w:sectPr>
          <w:pgSz w:w="11900" w:h="16838" w:orient="portrait"/>
          <w:cols w:equalWidth="0" w:num="1">
            <w:col w:w="11200"/>
          </w:cols>
          <w:pgMar w:left="240" w:top="458" w:right="459" w:bottom="1440" w:gutter="0" w:footer="0" w:header="0"/>
        </w:sectPr>
      </w:pPr>
    </w:p>
    <w:p>
      <w:pPr>
        <w:spacing w:after="0" w:line="251" w:lineRule="exact"/>
        <w:rPr>
          <w:sz w:val="20"/>
          <w:szCs w:val="20"/>
          <w:color w:val="auto"/>
        </w:rPr>
      </w:pPr>
    </w:p>
    <w:p>
      <w:pPr>
        <w:ind w:left="1620"/>
        <w:spacing w:after="0"/>
        <w:rPr>
          <w:sz w:val="20"/>
          <w:szCs w:val="20"/>
          <w:color w:val="auto"/>
        </w:rPr>
      </w:pPr>
      <w:r>
        <w:rPr>
          <w:rFonts w:ascii="Arial" w:cs="Arial" w:eastAsia="Arial" w:hAnsi="Arial"/>
          <w:sz w:val="25"/>
          <w:szCs w:val="25"/>
          <w:b w:val="1"/>
          <w:bCs w:val="1"/>
          <w:color w:val="auto"/>
        </w:rPr>
        <w:t>When</w:t>
      </w:r>
    </w:p>
    <w:p>
      <w:pPr>
        <w:spacing w:after="0" w:line="3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Wednesday, June 5, 2019</w:t>
      </w:r>
    </w:p>
    <w:p>
      <w:pPr>
        <w:ind w:left="1620"/>
        <w:spacing w:after="0"/>
        <w:rPr>
          <w:sz w:val="20"/>
          <w:szCs w:val="20"/>
          <w:color w:val="auto"/>
        </w:rPr>
      </w:pPr>
      <w:r>
        <w:rPr>
          <w:rFonts w:ascii="Arial" w:cs="Arial" w:eastAsia="Arial" w:hAnsi="Arial"/>
          <w:sz w:val="17"/>
          <w:szCs w:val="17"/>
          <w:color w:val="auto"/>
        </w:rPr>
        <w:t>12:00 p.m. (Eastern Daylight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Business of the Meeting</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the meeting, shareholders will be asked to:</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Where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Roy Thomson Hall</w:t>
      </w:r>
    </w:p>
    <w:p>
      <w:pPr>
        <w:spacing w:after="0" w:line="234" w:lineRule="auto"/>
        <w:rPr>
          <w:sz w:val="20"/>
          <w:szCs w:val="20"/>
          <w:color w:val="auto"/>
        </w:rPr>
      </w:pPr>
      <w:r>
        <w:rPr>
          <w:rFonts w:ascii="Arial" w:cs="Arial" w:eastAsia="Arial" w:hAnsi="Arial"/>
          <w:sz w:val="18"/>
          <w:szCs w:val="18"/>
          <w:color w:val="auto"/>
        </w:rPr>
        <w:t>60 Simcoe Street</w:t>
      </w:r>
    </w:p>
    <w:p>
      <w:pPr>
        <w:spacing w:after="0"/>
        <w:rPr>
          <w:sz w:val="20"/>
          <w:szCs w:val="20"/>
          <w:color w:val="auto"/>
        </w:rPr>
      </w:pPr>
      <w:r>
        <w:rPr>
          <w:rFonts w:ascii="Arial" w:cs="Arial" w:eastAsia="Arial" w:hAnsi="Arial"/>
          <w:sz w:val="18"/>
          <w:szCs w:val="18"/>
          <w:color w:val="auto"/>
        </w:rPr>
        <w:t>Toronto, Ontario, Canada</w:t>
      </w:r>
    </w:p>
    <w:p>
      <w:pPr>
        <w:spacing w:after="0" w:line="58" w:lineRule="exact"/>
        <w:rPr>
          <w:sz w:val="20"/>
          <w:szCs w:val="20"/>
          <w:color w:val="auto"/>
        </w:rPr>
      </w:pPr>
    </w:p>
    <w:p>
      <w:pPr>
        <w:ind w:right="2080"/>
        <w:spacing w:after="0" w:line="244" w:lineRule="auto"/>
        <w:rPr>
          <w:sz w:val="20"/>
          <w:szCs w:val="20"/>
          <w:color w:val="auto"/>
        </w:rPr>
      </w:pPr>
      <w:r>
        <w:rPr>
          <w:rFonts w:ascii="Arial" w:cs="Arial" w:eastAsia="Arial" w:hAnsi="Arial"/>
          <w:sz w:val="18"/>
          <w:szCs w:val="18"/>
          <w:i w:val="1"/>
          <w:iCs w:val="1"/>
          <w:color w:val="auto"/>
        </w:rPr>
        <w:t xml:space="preserve">A live audio webcast will be available at </w:t>
      </w:r>
      <w:r>
        <w:rPr>
          <w:rFonts w:ascii="Arial" w:cs="Arial" w:eastAsia="Arial" w:hAnsi="Arial"/>
          <w:sz w:val="18"/>
          <w:szCs w:val="18"/>
          <w:b w:val="1"/>
          <w:bCs w:val="1"/>
          <w:color w:val="D95A3B"/>
        </w:rPr>
        <w:t>www.thomsonreuters.com</w:t>
      </w:r>
      <w:r>
        <w:rPr>
          <w:rFonts w:ascii="Arial" w:cs="Arial" w:eastAsia="Arial" w:hAnsi="Arial"/>
          <w:sz w:val="18"/>
          <w:szCs w:val="18"/>
          <w:color w:val="000000"/>
        </w:rPr>
        <w:t>. A replay of the</w:t>
      </w:r>
      <w:r>
        <w:rPr>
          <w:rFonts w:ascii="Arial" w:cs="Arial" w:eastAsia="Arial" w:hAnsi="Arial"/>
          <w:sz w:val="18"/>
          <w:szCs w:val="18"/>
          <w:b w:val="1"/>
          <w:bCs w:val="1"/>
          <w:color w:val="D95A3B"/>
        </w:rPr>
        <w:t xml:space="preserve"> </w:t>
      </w:r>
      <w:r>
        <w:rPr>
          <w:rFonts w:ascii="Arial" w:cs="Arial" w:eastAsia="Arial" w:hAnsi="Arial"/>
          <w:sz w:val="18"/>
          <w:szCs w:val="18"/>
          <w:i w:val="1"/>
          <w:iCs w:val="1"/>
          <w:color w:val="000000"/>
        </w:rPr>
        <w:t>webcast will be posted on our website after the meeting.</w:t>
      </w:r>
    </w:p>
    <w:p>
      <w:pPr>
        <w:spacing w:after="0" w:line="751" w:lineRule="exact"/>
        <w:rPr>
          <w:sz w:val="20"/>
          <w:szCs w:val="20"/>
          <w:color w:val="auto"/>
        </w:rPr>
      </w:pPr>
    </w:p>
    <w:p>
      <w:pPr>
        <w:sectPr>
          <w:pgSz w:w="11900" w:h="16838" w:orient="portrait"/>
          <w:cols w:equalWidth="0" w:num="2">
            <w:col w:w="4680" w:space="720"/>
            <w:col w:w="5800"/>
          </w:cols>
          <w:pgMar w:left="240" w:top="458" w:right="459" w:bottom="1440" w:gutter="0" w:footer="0" w:header="0"/>
          <w:type w:val="continuous"/>
        </w:sectPr>
      </w:pPr>
    </w:p>
    <w:p>
      <w:pPr>
        <w:ind w:left="420" w:hanging="197"/>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 our consolidated financial statements for the year ended December 31, 2018 and the auditor’s report on those statements;</w:t>
      </w:r>
    </w:p>
    <w:p>
      <w:pPr>
        <w:spacing w:after="0" w:line="102" w:lineRule="exact"/>
        <w:rPr>
          <w:rFonts w:ascii="Arial" w:cs="Arial" w:eastAsia="Arial" w:hAnsi="Arial"/>
          <w:sz w:val="18"/>
          <w:szCs w:val="18"/>
          <w:color w:val="auto"/>
        </w:rPr>
      </w:pPr>
    </w:p>
    <w:p>
      <w:pPr>
        <w:ind w:left="420" w:hanging="197"/>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 directors;</w:t>
      </w:r>
    </w:p>
    <w:p>
      <w:pPr>
        <w:spacing w:after="0" w:line="102" w:lineRule="exact"/>
        <w:rPr>
          <w:rFonts w:ascii="Arial" w:cs="Arial" w:eastAsia="Arial" w:hAnsi="Arial"/>
          <w:sz w:val="18"/>
          <w:szCs w:val="18"/>
          <w:color w:val="auto"/>
        </w:rPr>
      </w:pPr>
    </w:p>
    <w:p>
      <w:pPr>
        <w:ind w:left="420" w:hanging="197"/>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Appoint the auditor and authorize the directors to fix the auditor’s remuneration;</w:t>
      </w:r>
    </w:p>
    <w:p>
      <w:pPr>
        <w:spacing w:after="0" w:line="102" w:lineRule="exact"/>
        <w:rPr>
          <w:rFonts w:ascii="Arial" w:cs="Arial" w:eastAsia="Arial" w:hAnsi="Arial"/>
          <w:sz w:val="18"/>
          <w:szCs w:val="18"/>
          <w:color w:val="auto"/>
        </w:rPr>
      </w:pPr>
    </w:p>
    <w:p>
      <w:pPr>
        <w:ind w:left="420" w:hanging="197"/>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Consider an advisory resolution on executive compensation;</w:t>
      </w:r>
    </w:p>
    <w:p>
      <w:pPr>
        <w:spacing w:after="0" w:line="102" w:lineRule="exact"/>
        <w:rPr>
          <w:rFonts w:ascii="Arial" w:cs="Arial" w:eastAsia="Arial" w:hAnsi="Arial"/>
          <w:sz w:val="18"/>
          <w:szCs w:val="18"/>
          <w:color w:val="auto"/>
        </w:rPr>
      </w:pPr>
    </w:p>
    <w:p>
      <w:pPr>
        <w:ind w:left="420" w:hanging="197"/>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Consider the shareholder proposal set forth in the accompanying management proxy circular; and</w:t>
      </w:r>
    </w:p>
    <w:p>
      <w:pPr>
        <w:spacing w:after="0" w:line="102" w:lineRule="exact"/>
        <w:rPr>
          <w:rFonts w:ascii="Arial" w:cs="Arial" w:eastAsia="Arial" w:hAnsi="Arial"/>
          <w:sz w:val="18"/>
          <w:szCs w:val="18"/>
          <w:color w:val="auto"/>
        </w:rPr>
      </w:pPr>
    </w:p>
    <w:p>
      <w:pPr>
        <w:ind w:left="420" w:hanging="197"/>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Transact any other business properly brought before the meeting and any adjourned or postponed meeting.</w:t>
      </w:r>
    </w:p>
    <w:p>
      <w:pPr>
        <w:spacing w:after="0" w:line="103" w:lineRule="exact"/>
        <w:rPr>
          <w:sz w:val="20"/>
          <w:szCs w:val="20"/>
          <w:color w:val="auto"/>
        </w:rPr>
      </w:pPr>
    </w:p>
    <w:p>
      <w:pPr>
        <w:ind w:left="220" w:right="40"/>
        <w:spacing w:after="0" w:line="239" w:lineRule="auto"/>
        <w:rPr>
          <w:sz w:val="20"/>
          <w:szCs w:val="20"/>
          <w:color w:val="auto"/>
        </w:rPr>
      </w:pPr>
      <w:r>
        <w:rPr>
          <w:rFonts w:ascii="Arial" w:cs="Arial" w:eastAsia="Arial" w:hAnsi="Arial"/>
          <w:sz w:val="18"/>
          <w:szCs w:val="18"/>
          <w:color w:val="auto"/>
        </w:rPr>
        <w:t>You can read about each of these items in more detail in the accompanying management proxy circular. At the meeting, you will also have an opportunity to hear about our 2018 performance and our plans for Thomson Reuters going forward. Shareholders in attendance will have an opportunity to ask questions.</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Record Date</w:t>
      </w:r>
    </w:p>
    <w:p>
      <w:pPr>
        <w:spacing w:after="0" w:line="79" w:lineRule="exact"/>
        <w:rPr>
          <w:sz w:val="20"/>
          <w:szCs w:val="20"/>
          <w:color w:val="auto"/>
        </w:rPr>
      </w:pPr>
    </w:p>
    <w:p>
      <w:pPr>
        <w:ind w:left="220" w:right="260"/>
        <w:spacing w:after="0" w:line="244" w:lineRule="auto"/>
        <w:rPr>
          <w:sz w:val="20"/>
          <w:szCs w:val="20"/>
          <w:color w:val="auto"/>
        </w:rPr>
      </w:pPr>
      <w:r>
        <w:rPr>
          <w:rFonts w:ascii="Arial" w:cs="Arial" w:eastAsia="Arial" w:hAnsi="Arial"/>
          <w:sz w:val="18"/>
          <w:szCs w:val="18"/>
          <w:color w:val="auto"/>
        </w:rPr>
        <w:t>You are entitled to vote at the meeting, and any adjourned or postponed meeting, if you were a holder of our common shares as of 5:00 p.m. (Eastern Daylight Time) on April 11, 2019.</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Notice-And-Access</w:t>
      </w:r>
    </w:p>
    <w:p>
      <w:pPr>
        <w:spacing w:after="0" w:line="124" w:lineRule="exact"/>
        <w:rPr>
          <w:sz w:val="20"/>
          <w:szCs w:val="20"/>
          <w:color w:val="auto"/>
        </w:rPr>
      </w:pPr>
    </w:p>
    <w:p>
      <w:pPr>
        <w:ind w:left="220" w:right="40"/>
        <w:spacing w:after="0" w:line="243" w:lineRule="auto"/>
        <w:rPr>
          <w:sz w:val="20"/>
          <w:szCs w:val="20"/>
          <w:color w:val="auto"/>
        </w:rPr>
      </w:pPr>
      <w:r>
        <w:rPr>
          <w:rFonts w:ascii="Arial" w:cs="Arial" w:eastAsia="Arial" w:hAnsi="Arial"/>
          <w:sz w:val="18"/>
          <w:szCs w:val="18"/>
          <w:color w:val="auto"/>
        </w:rPr>
        <w:t xml:space="preserve">We are using the “notice-and-access” system for the delivery of our proxy materials through our website, </w:t>
      </w:r>
      <w:r>
        <w:rPr>
          <w:rFonts w:ascii="Arial" w:cs="Arial" w:eastAsia="Arial" w:hAnsi="Arial"/>
          <w:sz w:val="18"/>
          <w:szCs w:val="18"/>
          <w:b w:val="1"/>
          <w:bCs w:val="1"/>
          <w:color w:val="D95A3B"/>
        </w:rPr>
        <w:t>www.thomsonreuters.com</w:t>
      </w:r>
      <w:r>
        <w:rPr>
          <w:rFonts w:ascii="Arial" w:cs="Arial" w:eastAsia="Arial" w:hAnsi="Arial"/>
          <w:sz w:val="18"/>
          <w:szCs w:val="18"/>
          <w:color w:val="auto"/>
        </w:rPr>
        <w:t>, similar to last year’s meeting. Shareholders who receive a notice have the ability to access the proxy materials on our website and to request a paper copy of the proxy materials. Instructions on how to access the proxy materials through our website or to request a paper copy may be found in the notice. Electronic delivery reduces the cost and environmental impact of producing and distributing paper copies of documents in very large quantities. It also provides shareholders with faster access to information about Thomson Reuters.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Shareholders who have already signed up for electronic delivery of proxy materials will continue to receive them by e-mail.</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Voting</w:t>
      </w:r>
    </w:p>
    <w:p>
      <w:pPr>
        <w:spacing w:after="0" w:line="65" w:lineRule="exact"/>
        <w:rPr>
          <w:sz w:val="20"/>
          <w:szCs w:val="20"/>
          <w:color w:val="auto"/>
        </w:rPr>
      </w:pPr>
    </w:p>
    <w:p>
      <w:pPr>
        <w:ind w:left="220" w:right="20"/>
        <w:spacing w:after="0" w:line="238" w:lineRule="auto"/>
        <w:rPr>
          <w:sz w:val="20"/>
          <w:szCs w:val="20"/>
          <w:color w:val="auto"/>
        </w:rPr>
      </w:pPr>
      <w:r>
        <w:rPr>
          <w:rFonts w:ascii="Arial" w:cs="Arial" w:eastAsia="Arial" w:hAnsi="Arial"/>
          <w:sz w:val="18"/>
          <w:szCs w:val="18"/>
          <w:color w:val="auto"/>
        </w:rPr>
        <w:t>Your vote is important. If you’re unable to attend the meeting in person, please vote by proxy. A proxy is a document that authorizes someone else to attend the meeting and cast votes for you. The proxy form contains instructions on how to complete and send your voting instructions. If you hold your shares through a broker or other intermediary, you should follow the procedures provided by your broker or intermediary.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3"/>
          <w:szCs w:val="13"/>
          <w:color w:val="D95A3B"/>
        </w:rPr>
        <w:t>Management Proxy Circular and Notice of Annual Meeting of Shareholders</w:t>
      </w:r>
    </w:p>
    <w:p>
      <w:pPr>
        <w:sectPr>
          <w:pgSz w:w="11900" w:h="16838" w:orient="portrait"/>
          <w:cols w:equalWidth="0" w:num="1">
            <w:col w:w="11200"/>
          </w:cols>
          <w:pgMar w:left="240" w:top="458" w:right="4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If you’re a registered shareholder, our transfer agent, Computershare Trust Company of Canada, must receive your proxy or voting instructions no later than 5:00 p.m. (Eastern Daylight Time) on Monday, June 3, 2019, or if the meeting is adjourned or postponed, no later than 48 hours (excluding Saturdays, Sundays and holidays) before any adjourned or postponed meeting. If you’re a registered shareholder and have any questions or need assistance voting your shares, please call Computershare Trust Company of Canada, toll-free in Canada and the United States, at 1.800.564.6253.</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Non-registered/beneficial shareholders will be subject to earlier voting deadlines as specified in their proxy or voting instructions.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Thank you for your continued support of, and interest in, Thomson Reuters.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467360</wp:posOffset>
            </wp:positionV>
            <wp:extent cx="1085215" cy="299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85215" cy="299085"/>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475615</wp:posOffset>
            </wp:positionV>
            <wp:extent cx="1188085" cy="290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88085" cy="29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5140" w:type="dxa"/>
            <w:vAlign w:val="bottom"/>
          </w:tcPr>
          <w:p>
            <w:pPr>
              <w:spacing w:after="0"/>
              <w:rPr>
                <w:sz w:val="20"/>
                <w:szCs w:val="20"/>
                <w:color w:val="auto"/>
              </w:rPr>
            </w:pPr>
            <w:r>
              <w:rPr>
                <w:rFonts w:ascii="Arial" w:cs="Arial" w:eastAsia="Arial" w:hAnsi="Arial"/>
                <w:sz w:val="18"/>
                <w:szCs w:val="18"/>
                <w:b w:val="1"/>
                <w:bCs w:val="1"/>
                <w:color w:val="auto"/>
              </w:rPr>
              <w:t>David Thomson</w:t>
            </w:r>
          </w:p>
        </w:tc>
        <w:tc>
          <w:tcPr>
            <w:tcW w:w="5840" w:type="dxa"/>
            <w:vAlign w:val="bottom"/>
          </w:tcPr>
          <w:p>
            <w:pPr>
              <w:ind w:left="700"/>
              <w:spacing w:after="0"/>
              <w:rPr>
                <w:sz w:val="20"/>
                <w:szCs w:val="20"/>
                <w:color w:val="auto"/>
              </w:rPr>
            </w:pPr>
            <w:r>
              <w:rPr>
                <w:rFonts w:ascii="Arial" w:cs="Arial" w:eastAsia="Arial" w:hAnsi="Arial"/>
                <w:sz w:val="18"/>
                <w:szCs w:val="18"/>
                <w:b w:val="1"/>
                <w:bCs w:val="1"/>
                <w:color w:val="auto"/>
              </w:rPr>
              <w:t>James C. Smith</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Chairman of the Board</w:t>
            </w:r>
          </w:p>
        </w:tc>
        <w:tc>
          <w:tcPr>
            <w:tcW w:w="5840" w:type="dxa"/>
            <w:vAlign w:val="bottom"/>
          </w:tcPr>
          <w:p>
            <w:pPr>
              <w:ind w:left="700"/>
              <w:spacing w:after="0"/>
              <w:rPr>
                <w:sz w:val="20"/>
                <w:szCs w:val="20"/>
                <w:color w:val="auto"/>
              </w:rPr>
            </w:pPr>
            <w:r>
              <w:rPr>
                <w:rFonts w:ascii="Arial" w:cs="Arial" w:eastAsia="Arial" w:hAnsi="Arial"/>
                <w:sz w:val="18"/>
                <w:szCs w:val="18"/>
                <w:color w:val="auto"/>
              </w:rPr>
              <w:t>President &amp; Chief Executive Officer</w:t>
            </w:r>
          </w:p>
        </w:tc>
      </w:tr>
      <w:tr>
        <w:trPr>
          <w:trHeight w:val="323"/>
        </w:trPr>
        <w:tc>
          <w:tcPr>
            <w:tcW w:w="5140" w:type="dxa"/>
            <w:vAlign w:val="bottom"/>
          </w:tcPr>
          <w:p>
            <w:pPr>
              <w:spacing w:after="0"/>
              <w:rPr>
                <w:sz w:val="20"/>
                <w:szCs w:val="20"/>
                <w:color w:val="auto"/>
              </w:rPr>
            </w:pPr>
            <w:r>
              <w:rPr>
                <w:rFonts w:ascii="Arial" w:cs="Arial" w:eastAsia="Arial" w:hAnsi="Arial"/>
                <w:sz w:val="18"/>
                <w:szCs w:val="18"/>
                <w:color w:val="auto"/>
              </w:rPr>
              <w:t>April 17, 2019</w:t>
            </w:r>
          </w:p>
        </w:tc>
        <w:tc>
          <w:tcPr>
            <w:tcW w:w="5840" w:type="dxa"/>
            <w:vAlign w:val="bottom"/>
          </w:tcPr>
          <w:p>
            <w:pPr>
              <w:spacing w:after="0"/>
              <w:rPr>
                <w:sz w:val="24"/>
                <w:szCs w:val="24"/>
                <w:color w:val="auto"/>
              </w:rPr>
            </w:pPr>
          </w:p>
        </w:tc>
      </w:tr>
      <w:tr>
        <w:trPr>
          <w:trHeight w:val="222"/>
        </w:trPr>
        <w:tc>
          <w:tcPr>
            <w:tcW w:w="5140" w:type="dxa"/>
            <w:vAlign w:val="bottom"/>
            <w:tcBorders>
              <w:bottom w:val="single" w:sz="8" w:color="D95A3B"/>
            </w:tcBorders>
          </w:tcPr>
          <w:p>
            <w:pPr>
              <w:spacing w:after="0"/>
              <w:rPr>
                <w:sz w:val="19"/>
                <w:szCs w:val="19"/>
                <w:color w:val="auto"/>
              </w:rPr>
            </w:pPr>
          </w:p>
        </w:tc>
        <w:tc>
          <w:tcPr>
            <w:tcW w:w="5840" w:type="dxa"/>
            <w:vAlign w:val="bottom"/>
            <w:tcBorders>
              <w:bottom w:val="single" w:sz="8" w:color="D95A3B"/>
            </w:tcBorders>
          </w:tcPr>
          <w:p>
            <w:pPr>
              <w:spacing w:after="0"/>
              <w:rPr>
                <w:sz w:val="19"/>
                <w:szCs w:val="19"/>
                <w:color w:val="auto"/>
              </w:rPr>
            </w:pPr>
          </w:p>
        </w:tc>
      </w:tr>
      <w:tr>
        <w:trPr>
          <w:trHeight w:val="201"/>
        </w:trPr>
        <w:tc>
          <w:tcPr>
            <w:tcW w:w="5140" w:type="dxa"/>
            <w:vAlign w:val="bottom"/>
          </w:tcPr>
          <w:p>
            <w:pPr>
              <w:spacing w:after="0"/>
              <w:rPr>
                <w:sz w:val="20"/>
                <w:szCs w:val="20"/>
                <w:color w:val="auto"/>
              </w:rPr>
            </w:pPr>
            <w:r>
              <w:rPr>
                <w:rFonts w:ascii="Arial" w:cs="Arial" w:eastAsia="Arial" w:hAnsi="Arial"/>
                <w:sz w:val="13"/>
                <w:szCs w:val="13"/>
                <w:color w:val="D95A3B"/>
              </w:rPr>
              <w:t>Management Proxy Circular and Notice of Annual Meeting of Shareholders</w:t>
            </w:r>
          </w:p>
        </w:tc>
        <w:tc>
          <w:tcPr>
            <w:tcW w:w="5840" w:type="dxa"/>
            <w:vAlign w:val="bottom"/>
          </w:tcPr>
          <w:p>
            <w:pPr>
              <w:spacing w:after="0"/>
              <w:rPr>
                <w:sz w:val="17"/>
                <w:szCs w:val="17"/>
                <w:color w:val="auto"/>
              </w:rPr>
            </w:pPr>
          </w:p>
        </w:tc>
      </w:tr>
    </w:tbl>
    <w:p>
      <w:pPr>
        <w:sectPr>
          <w:pgSz w:w="11900" w:h="16838" w:orient="portrait"/>
          <w:cols w:equalWidth="0" w:num="1">
            <w:col w:w="11200"/>
          </w:cols>
          <w:pgMar w:left="240" w:top="458"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Letter to Shareholders</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our Shareholders,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Across industries and borders, the digital transformation is in full force.</w:t>
      </w:r>
    </w:p>
    <w:p>
      <w:pPr>
        <w:spacing w:after="0" w:line="103" w:lineRule="exact"/>
        <w:rPr>
          <w:sz w:val="20"/>
          <w:szCs w:val="20"/>
          <w:color w:val="auto"/>
        </w:rPr>
      </w:pPr>
    </w:p>
    <w:p>
      <w:pPr>
        <w:ind w:left="220" w:right="20"/>
        <w:spacing w:after="0" w:line="238" w:lineRule="auto"/>
        <w:rPr>
          <w:sz w:val="20"/>
          <w:szCs w:val="20"/>
          <w:color w:val="auto"/>
        </w:rPr>
      </w:pPr>
      <w:r>
        <w:rPr>
          <w:rFonts w:ascii="Arial" w:cs="Arial" w:eastAsia="Arial" w:hAnsi="Arial"/>
          <w:sz w:val="18"/>
          <w:szCs w:val="18"/>
          <w:color w:val="auto"/>
        </w:rPr>
        <w:t>Markets, business models and platforms are evolving rapidly. Once emerging technologies – especially artificial intelligence and cognitive computing – have arrived and are impacting every industry in profound ways that professionals are just beginning to understand. Meanwhile, geopolitical uncertainty remains widespread, regulatory complexity is growing and economic and competitive pressures on our customers remain high.</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Despite this upheaval, we are as confident as ever that we can help our customers succeed. Why?</w:t>
      </w:r>
    </w:p>
    <w:p>
      <w:pPr>
        <w:spacing w:after="0" w:line="103" w:lineRule="exact"/>
        <w:rPr>
          <w:sz w:val="20"/>
          <w:szCs w:val="20"/>
          <w:color w:val="auto"/>
        </w:rPr>
      </w:pPr>
    </w:p>
    <w:p>
      <w:pPr>
        <w:ind w:left="220" w:right="60"/>
        <w:spacing w:after="0" w:line="239" w:lineRule="auto"/>
        <w:rPr>
          <w:sz w:val="20"/>
          <w:szCs w:val="20"/>
          <w:color w:val="auto"/>
        </w:rPr>
      </w:pPr>
      <w:r>
        <w:rPr>
          <w:rFonts w:ascii="Arial" w:cs="Arial" w:eastAsia="Arial" w:hAnsi="Arial"/>
          <w:sz w:val="18"/>
          <w:szCs w:val="18"/>
          <w:color w:val="auto"/>
        </w:rPr>
        <w:t>At Thomson Reuters, we work best at the intersection of commerce and regulation, where the world is complex. We make it our mission every day to serve our customers with essential news and information-enabled tools that help them to make the best decisions, while also making the best use of their time.</w:t>
      </w:r>
    </w:p>
    <w:p>
      <w:pPr>
        <w:spacing w:after="0" w:line="95" w:lineRule="exact"/>
        <w:rPr>
          <w:sz w:val="20"/>
          <w:szCs w:val="20"/>
          <w:color w:val="auto"/>
        </w:rPr>
      </w:pPr>
    </w:p>
    <w:p>
      <w:pPr>
        <w:ind w:left="220" w:right="180"/>
        <w:spacing w:after="0" w:line="239" w:lineRule="auto"/>
        <w:rPr>
          <w:sz w:val="20"/>
          <w:szCs w:val="20"/>
          <w:color w:val="auto"/>
        </w:rPr>
      </w:pPr>
      <w:r>
        <w:rPr>
          <w:rFonts w:ascii="Arial" w:cs="Arial" w:eastAsia="Arial" w:hAnsi="Arial"/>
          <w:sz w:val="18"/>
          <w:szCs w:val="18"/>
          <w:color w:val="auto"/>
        </w:rPr>
        <w:t>We do this by combining a deep understanding of their industries with expertly curated information and tailored technology. This raises their productivity, liberating them from routine tasks and creating more time to focus on the things that matter most: advising, advocating, negotiating, governing and informing.</w:t>
      </w:r>
    </w:p>
    <w:p>
      <w:pPr>
        <w:spacing w:after="0" w:line="95" w:lineRule="exact"/>
        <w:rPr>
          <w:sz w:val="20"/>
          <w:szCs w:val="20"/>
          <w:color w:val="auto"/>
        </w:rPr>
      </w:pPr>
    </w:p>
    <w:p>
      <w:pPr>
        <w:jc w:val="both"/>
        <w:ind w:left="220" w:right="120"/>
        <w:spacing w:after="0" w:line="239" w:lineRule="auto"/>
        <w:rPr>
          <w:sz w:val="20"/>
          <w:szCs w:val="20"/>
          <w:color w:val="auto"/>
        </w:rPr>
      </w:pPr>
      <w:r>
        <w:rPr>
          <w:rFonts w:ascii="Arial" w:cs="Arial" w:eastAsia="Arial" w:hAnsi="Arial"/>
          <w:sz w:val="18"/>
          <w:szCs w:val="18"/>
          <w:color w:val="auto"/>
        </w:rPr>
        <w:t>Our business is built on a proven track record combining trusted content with cutting edge technology and deep domain expertise, which has resulted in longstanding customer relationships and leading positions in our markets. Our customers know that they can count on us. In many cases, this trust has been earned over many decades.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From this long-established position of strength and trust, we are evolving.</w:t>
      </w:r>
    </w:p>
    <w:p>
      <w:pPr>
        <w:spacing w:after="0" w:line="103" w:lineRule="exact"/>
        <w:rPr>
          <w:sz w:val="20"/>
          <w:szCs w:val="20"/>
          <w:color w:val="auto"/>
        </w:rPr>
      </w:pPr>
    </w:p>
    <w:p>
      <w:pPr>
        <w:jc w:val="both"/>
        <w:ind w:left="220" w:right="180"/>
        <w:spacing w:after="0" w:line="238" w:lineRule="auto"/>
        <w:rPr>
          <w:sz w:val="20"/>
          <w:szCs w:val="20"/>
          <w:color w:val="auto"/>
        </w:rPr>
      </w:pPr>
      <w:r>
        <w:rPr>
          <w:rFonts w:ascii="Arial" w:cs="Arial" w:eastAsia="Arial" w:hAnsi="Arial"/>
          <w:sz w:val="18"/>
          <w:szCs w:val="18"/>
          <w:color w:val="auto"/>
        </w:rPr>
        <w:t>2018 was a transformational year for Thomson Reuters. We sold 55% of our Financial &amp; Risk business to private equity funds managed by Blackstone for approximately $17 billion, creating a new partnership now known as Refinitiv. Following the completion of this deal, we returned $10 billion of the proceeds to shareholders, paid down $4 billion of debt, covered costs associated with the transaction and set aside $2 billion to reinvest for growth in our core markets.</w:t>
      </w:r>
    </w:p>
    <w:p>
      <w:pPr>
        <w:spacing w:after="0" w:line="94"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While separating the two businesses, we worked to reposition the new Thomson Reuters with a new structure that makes customers more central to our decision making. We built a flatter organization with fewer management layers, reducing hierarchy and empowering those closest to the customer. The new structure, which is organized around our Legal Professionals, Tax Professionals, Corporates, Reuters News and Global Print customers, allows us to bring the full power of our enterprise to market with greater speed and focus on solving customer problems.</w:t>
      </w:r>
    </w:p>
    <w:p>
      <w:pPr>
        <w:spacing w:after="0" w:line="95" w:lineRule="exact"/>
        <w:rPr>
          <w:sz w:val="20"/>
          <w:szCs w:val="20"/>
          <w:color w:val="auto"/>
        </w:rPr>
      </w:pPr>
    </w:p>
    <w:p>
      <w:pPr>
        <w:ind w:left="220" w:right="20"/>
        <w:spacing w:after="0" w:line="239" w:lineRule="auto"/>
        <w:rPr>
          <w:sz w:val="20"/>
          <w:szCs w:val="20"/>
          <w:color w:val="auto"/>
        </w:rPr>
      </w:pPr>
      <w:r>
        <w:rPr>
          <w:rFonts w:ascii="Arial" w:cs="Arial" w:eastAsia="Arial" w:hAnsi="Arial"/>
          <w:sz w:val="18"/>
          <w:szCs w:val="18"/>
          <w:color w:val="auto"/>
        </w:rPr>
        <w:t>Through momentous change, we saw an acceleration in our underlying sales momentum and were able to grow the business. We launched innovative products like Westlaw Edge, which incorporates state-of-the-art artificial intelligence and predictive analytics to enable legal professionals to deliver faster and more accurate results to their clients.</w:t>
      </w:r>
    </w:p>
    <w:p>
      <w:pPr>
        <w:spacing w:after="0" w:line="95" w:lineRule="exact"/>
        <w:rPr>
          <w:sz w:val="20"/>
          <w:szCs w:val="20"/>
          <w:color w:val="auto"/>
        </w:rPr>
      </w:pPr>
    </w:p>
    <w:p>
      <w:pPr>
        <w:ind w:left="220" w:right="600"/>
        <w:spacing w:after="0" w:line="239" w:lineRule="auto"/>
        <w:rPr>
          <w:sz w:val="20"/>
          <w:szCs w:val="20"/>
          <w:color w:val="auto"/>
        </w:rPr>
      </w:pPr>
      <w:r>
        <w:rPr>
          <w:rFonts w:ascii="Arial" w:cs="Arial" w:eastAsia="Arial" w:hAnsi="Arial"/>
          <w:sz w:val="18"/>
          <w:szCs w:val="18"/>
          <w:color w:val="auto"/>
        </w:rPr>
        <w:t>In 2018 (and for the seventh consecutive year), our full-year financial performance met our guidance for all key metrics. We grew revenues 3% organically overall, and grew 4% in our core Legal Professionals, Tax Professionals and Corporates segments (which represent 80% of our revenue base). This was our best performance since 2008.</w:t>
      </w:r>
    </w:p>
    <w:p>
      <w:pPr>
        <w:spacing w:after="0" w:line="95" w:lineRule="exact"/>
        <w:rPr>
          <w:sz w:val="20"/>
          <w:szCs w:val="20"/>
          <w:color w:val="auto"/>
        </w:rPr>
      </w:pPr>
    </w:p>
    <w:p>
      <w:pPr>
        <w:ind w:left="220" w:right="20"/>
        <w:spacing w:after="0" w:line="260" w:lineRule="auto"/>
        <w:rPr>
          <w:sz w:val="20"/>
          <w:szCs w:val="20"/>
          <w:color w:val="auto"/>
        </w:rPr>
      </w:pPr>
      <w:r>
        <w:rPr>
          <w:rFonts w:ascii="Arial" w:cs="Arial" w:eastAsia="Arial" w:hAnsi="Arial"/>
          <w:sz w:val="17"/>
          <w:szCs w:val="17"/>
          <w:color w:val="auto"/>
        </w:rPr>
        <w:t>In 2019, our aim is to maintain the focus, pace and determination with which we ended 2018. A strong capital structure will enable us to invest organically and inorganically to reach new customers, to better serve and expand our relationship with existing customers where we don’t serve their existing information, technology and software needs today and to eventually access new customers in adjacent markets.</w:t>
      </w:r>
    </w:p>
    <w:p>
      <w:pPr>
        <w:spacing w:after="0" w:line="78" w:lineRule="exact"/>
        <w:rPr>
          <w:sz w:val="20"/>
          <w:szCs w:val="20"/>
          <w:color w:val="auto"/>
        </w:rPr>
      </w:pPr>
    </w:p>
    <w:p>
      <w:pPr>
        <w:ind w:left="220" w:right="360"/>
        <w:spacing w:after="0" w:line="260" w:lineRule="auto"/>
        <w:rPr>
          <w:sz w:val="20"/>
          <w:szCs w:val="20"/>
          <w:color w:val="auto"/>
        </w:rPr>
      </w:pPr>
      <w:r>
        <w:rPr>
          <w:rFonts w:ascii="Arial" w:cs="Arial" w:eastAsia="Arial" w:hAnsi="Arial"/>
          <w:sz w:val="17"/>
          <w:szCs w:val="17"/>
          <w:color w:val="auto"/>
        </w:rPr>
        <w:t>We are investing behind a digital-first strategy that will make it easier for existing customers to work with us, and allow us to reach thousands of smaller prospective customers we do not sell to today. Embedding customer insights and analytics in our digital offerings should help us be quicker to deliver the product innovations they most want, be easier to do business with and improve retention.</w:t>
      </w:r>
    </w:p>
    <w:p>
      <w:pPr>
        <w:spacing w:after="0" w:line="78"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We are confident that these priorities will lead to faster growth and sustainable, long-term value creation for our shareholders. Earlier this year, we announced plans to repurchase up to an additional $250 million worth of shares in 2019. And, we announced a $0.04 cent increase in our annualized dividend to $1.44 per share, the 26</w:t>
      </w:r>
      <w:r>
        <w:rPr>
          <w:rFonts w:ascii="Arial" w:cs="Arial" w:eastAsia="Arial" w:hAnsi="Arial"/>
          <w:sz w:val="15"/>
          <w:szCs w:val="15"/>
          <w:color w:val="auto"/>
        </w:rPr>
        <w:t>th</w:t>
      </w:r>
      <w:r>
        <w:rPr>
          <w:rFonts w:ascii="Arial" w:cs="Arial" w:eastAsia="Arial" w:hAnsi="Arial"/>
          <w:sz w:val="18"/>
          <w:szCs w:val="18"/>
          <w:color w:val="auto"/>
        </w:rPr>
        <w:t xml:space="preserve"> consecutive year of dividend increases for the company – an achievement that we are very proud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3"/>
          <w:szCs w:val="13"/>
          <w:color w:val="D95A3B"/>
        </w:rPr>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live in a time when trusted information, news and data have never been more important.</w:t>
      </w:r>
    </w:p>
    <w:p>
      <w:pPr>
        <w:spacing w:after="0" w:line="103" w:lineRule="exact"/>
        <w:rPr>
          <w:sz w:val="20"/>
          <w:szCs w:val="20"/>
          <w:color w:val="auto"/>
        </w:rPr>
      </w:pPr>
    </w:p>
    <w:p>
      <w:pPr>
        <w:ind w:left="220" w:right="140"/>
        <w:spacing w:after="0" w:line="244" w:lineRule="auto"/>
        <w:rPr>
          <w:sz w:val="20"/>
          <w:szCs w:val="20"/>
          <w:color w:val="auto"/>
        </w:rPr>
      </w:pPr>
      <w:r>
        <w:rPr>
          <w:rFonts w:ascii="Arial" w:cs="Arial" w:eastAsia="Arial" w:hAnsi="Arial"/>
          <w:sz w:val="18"/>
          <w:szCs w:val="18"/>
          <w:color w:val="auto"/>
        </w:rPr>
        <w:t>For more than a year, Reuters journalists Wa Lone and Kyaw Soe Oo have been imprisoned in Myanmar for simply doing their jobs and telling the truth. Journalism is not a crime and we will not rest until they are released and back with their families.</w:t>
      </w:r>
    </w:p>
    <w:p>
      <w:pPr>
        <w:spacing w:after="0" w:line="91" w:lineRule="exact"/>
        <w:rPr>
          <w:sz w:val="20"/>
          <w:szCs w:val="20"/>
          <w:color w:val="auto"/>
        </w:rPr>
      </w:pPr>
    </w:p>
    <w:p>
      <w:pPr>
        <w:ind w:left="220" w:right="180"/>
        <w:spacing w:after="0" w:line="244" w:lineRule="auto"/>
        <w:rPr>
          <w:sz w:val="20"/>
          <w:szCs w:val="20"/>
          <w:color w:val="auto"/>
        </w:rPr>
      </w:pPr>
      <w:r>
        <w:rPr>
          <w:rFonts w:ascii="Arial" w:cs="Arial" w:eastAsia="Arial" w:hAnsi="Arial"/>
          <w:sz w:val="18"/>
          <w:szCs w:val="18"/>
          <w:color w:val="auto"/>
        </w:rPr>
        <w:t>At a time when the virtues of objectivity, accuracy, fairness and transparency are under attack, we consider it our duty to pursue them – just as we have for more than 100 years.</w:t>
      </w:r>
    </w:p>
    <w:p>
      <w:pPr>
        <w:spacing w:after="0" w:line="91" w:lineRule="exact"/>
        <w:rPr>
          <w:sz w:val="20"/>
          <w:szCs w:val="20"/>
          <w:color w:val="auto"/>
        </w:rPr>
      </w:pPr>
    </w:p>
    <w:p>
      <w:pPr>
        <w:jc w:val="both"/>
        <w:ind w:left="220"/>
        <w:spacing w:after="0" w:line="239" w:lineRule="auto"/>
        <w:rPr>
          <w:sz w:val="20"/>
          <w:szCs w:val="20"/>
          <w:color w:val="auto"/>
        </w:rPr>
      </w:pPr>
      <w:r>
        <w:rPr>
          <w:rFonts w:ascii="Arial" w:cs="Arial" w:eastAsia="Arial" w:hAnsi="Arial"/>
          <w:sz w:val="18"/>
          <w:szCs w:val="18"/>
          <w:color w:val="auto"/>
        </w:rPr>
        <w:t>With a strong foundation, leading brands and a simpler, more focused go-to-market proposition, our prospects are truly brighter now than ever before. We are pleased that those who matter the most – our customers, our employees and our shareholders – will be along for the 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462280</wp:posOffset>
            </wp:positionV>
            <wp:extent cx="1085215" cy="299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5215" cy="299085"/>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471170</wp:posOffset>
            </wp:positionV>
            <wp:extent cx="1188085" cy="290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8085" cy="290830"/>
                    </a:xfrm>
                    <a:prstGeom prst="rect">
                      <a:avLst/>
                    </a:prstGeom>
                    <a:noFill/>
                  </pic:spPr>
                </pic:pic>
              </a:graphicData>
            </a:graphic>
          </wp:anchor>
        </w:drawing>
      </w:r>
    </w:p>
    <w:p>
      <w:pPr>
        <w:sectPr>
          <w:pgSz w:w="11900" w:h="16838" w:orient="portrait"/>
          <w:cols w:equalWidth="0" w:num="1">
            <w:col w:w="11100"/>
          </w:cols>
          <w:pgMar w:left="240" w:top="458"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David Thomson</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C. Smith</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Chief Executive Officer</w:t>
      </w:r>
    </w:p>
    <w:p>
      <w:pPr>
        <w:spacing w:after="0" w:line="200" w:lineRule="exact"/>
        <w:rPr>
          <w:sz w:val="20"/>
          <w:szCs w:val="20"/>
          <w:color w:val="auto"/>
        </w:rPr>
      </w:pPr>
    </w:p>
    <w:p>
      <w:pPr>
        <w:sectPr>
          <w:pgSz w:w="11900" w:h="16838" w:orient="portrait"/>
          <w:cols w:equalWidth="0" w:num="2">
            <w:col w:w="5160" w:space="720"/>
            <w:col w:w="5220"/>
          </w:cols>
          <w:pgMar w:left="240" w:top="458"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right="20"/>
        <w:spacing w:after="0" w:line="241" w:lineRule="auto"/>
        <w:rPr>
          <w:sz w:val="20"/>
          <w:szCs w:val="20"/>
          <w:color w:val="auto"/>
        </w:rPr>
      </w:pPr>
      <w:r>
        <w:rPr>
          <w:rFonts w:ascii="Arial" w:cs="Arial" w:eastAsia="Arial" w:hAnsi="Arial"/>
          <w:sz w:val="13"/>
          <w:szCs w:val="13"/>
          <w:color w:val="auto"/>
        </w:rPr>
        <w:t>Certain statements in the letter are forward-looking. These forward-looking statements are based on certain assumptions and reflect our current expectations. As a result, forward-looking statements are subject to a number of risks and uncertainties that could cause actual results or events to differ materially from current expectations. Some of the factors that could cause actual results to differ materially from current expectations are discussed in the “Risk Factors” section of our 2018 annual report as well as in other materials that we from time to time file with, or furnish to, the Canadian securities regulatory authorities and the U.S. Securities and Exchange Commission. There is no assurance that any forward-looking statements will materialize. You are cautioned not to place undue reliance on forward-looking statements, which reflect expectations only as of this date. Except as may be required by applicable law, we disclaim any intention or obligation to update or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120650</wp:posOffset>
            </wp:positionV>
            <wp:extent cx="697357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3"/>
          <w:szCs w:val="13"/>
          <w:color w:val="D95A3B"/>
        </w:rPr>
        <w:t>Management Proxy Circular and Notice of Annual Meeting of Shareholders</w:t>
      </w:r>
    </w:p>
    <w:p>
      <w:pPr>
        <w:sectPr>
          <w:pgSz w:w="11900" w:h="16838" w:orient="portrait"/>
          <w:cols w:equalWidth="0" w:num="1">
            <w:col w:w="11100"/>
          </w:cols>
          <w:pgMar w:left="240" w:top="458" w:right="5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Table of Contents</w:t>
      </w:r>
    </w:p>
    <w:p>
      <w:pPr>
        <w:spacing w:after="0" w:line="200" w:lineRule="exact"/>
        <w:rPr>
          <w:sz w:val="20"/>
          <w:szCs w:val="20"/>
          <w:color w:val="auto"/>
        </w:rPr>
      </w:pP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84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Fast Facts About Thomson Reuters</w:t>
              </w:r>
            </w:hyperlink>
          </w:p>
        </w:tc>
        <w:tc>
          <w:tcPr>
            <w:tcW w:w="7640" w:type="dxa"/>
            <w:vAlign w:val="bottom"/>
            <w:gridSpan w:val="19"/>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82"/>
        </w:trPr>
        <w:tc>
          <w:tcPr>
            <w:tcW w:w="378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About this Circular and Related Proxy Materials</w:t>
              </w:r>
            </w:hyperlink>
          </w:p>
        </w:tc>
        <w:tc>
          <w:tcPr>
            <w:tcW w:w="6700" w:type="dxa"/>
            <w:vAlign w:val="bottom"/>
            <w:gridSpan w:val="10"/>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2"/>
        </w:trPr>
        <w:tc>
          <w:tcPr>
            <w:tcW w:w="1920" w:type="dxa"/>
            <w:vAlign w:val="bottom"/>
            <w:tcBorders>
              <w:bottom w:val="single" w:sz="8" w:color="0000EE"/>
            </w:tcBorders>
            <w:gridSpan w:val="10"/>
          </w:tcPr>
          <w:p>
            <w:pPr>
              <w:spacing w:after="0" w:line="182" w:lineRule="exact"/>
              <w:rPr>
                <w:rFonts w:ascii="Arial" w:cs="Arial" w:eastAsia="Arial" w:hAnsi="Arial"/>
                <w:sz w:val="18"/>
                <w:szCs w:val="18"/>
                <w:color w:val="0000EE"/>
                <w:w w:val="98"/>
              </w:rPr>
            </w:pPr>
            <w:hyperlink w:anchor="page14">
              <w:r>
                <w:rPr>
                  <w:rFonts w:ascii="Arial" w:cs="Arial" w:eastAsia="Arial" w:hAnsi="Arial"/>
                  <w:sz w:val="18"/>
                  <w:szCs w:val="18"/>
                  <w:color w:val="0000EE"/>
                  <w:w w:val="98"/>
                </w:rPr>
                <w:t>Business of the Meeting</w:t>
              </w:r>
            </w:hyperlink>
          </w:p>
        </w:tc>
        <w:tc>
          <w:tcPr>
            <w:tcW w:w="8560" w:type="dxa"/>
            <w:vAlign w:val="bottom"/>
            <w:gridSpan w:val="25"/>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2"/>
        </w:trPr>
        <w:tc>
          <w:tcPr>
            <w:tcW w:w="10480" w:type="dxa"/>
            <w:vAlign w:val="bottom"/>
            <w:gridSpan w:val="35"/>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Voting Information</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24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10240" w:type="dxa"/>
            <w:vAlign w:val="bottom"/>
            <w:gridSpan w:val="34"/>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Voting by Proxy</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240" w:type="dxa"/>
            <w:vAlign w:val="bottom"/>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Voting In Person</w:t>
              </w:r>
            </w:hyperlink>
          </w:p>
        </w:tc>
        <w:tc>
          <w:tcPr>
            <w:tcW w:w="8920" w:type="dxa"/>
            <w:vAlign w:val="bottom"/>
            <w:gridSpan w:val="30"/>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2"/>
        </w:trPr>
        <w:tc>
          <w:tcPr>
            <w:tcW w:w="5020" w:type="dxa"/>
            <w:vAlign w:val="bottom"/>
            <w:tcBorders>
              <w:bottom w:val="single" w:sz="8" w:color="0000EE"/>
            </w:tcBorders>
            <w:gridSpan w:val="32"/>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Annual and Quarterly Financial Statements and Related MD&amp;A</w:t>
              </w:r>
            </w:hyperlink>
          </w:p>
        </w:tc>
        <w:tc>
          <w:tcPr>
            <w:tcW w:w="5460" w:type="dxa"/>
            <w:vAlign w:val="bottom"/>
            <w:gridSpan w:val="3"/>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2"/>
        </w:trPr>
        <w:tc>
          <w:tcPr>
            <w:tcW w:w="152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Notice-and-Access</w:t>
              </w:r>
            </w:hyperlink>
          </w:p>
        </w:tc>
        <w:tc>
          <w:tcPr>
            <w:tcW w:w="8960" w:type="dxa"/>
            <w:vAlign w:val="bottom"/>
            <w:gridSpan w:val="31"/>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2"/>
        </w:trPr>
        <w:tc>
          <w:tcPr>
            <w:tcW w:w="10480" w:type="dxa"/>
            <w:vAlign w:val="bottom"/>
            <w:gridSpan w:val="35"/>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Electronic Delivery of Shareholder Communications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2"/>
        </w:trPr>
        <w:tc>
          <w:tcPr>
            <w:tcW w:w="410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Principal Shareholder and Share Capital</w:t>
              </w:r>
            </w:hyperlink>
          </w:p>
        </w:tc>
        <w:tc>
          <w:tcPr>
            <w:tcW w:w="6380" w:type="dxa"/>
            <w:vAlign w:val="bottom"/>
            <w:gridSpan w:val="6"/>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2"/>
        </w:trPr>
        <w:tc>
          <w:tcPr>
            <w:tcW w:w="320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About Our Directors</w:t>
              </w:r>
            </w:hyperlink>
          </w:p>
        </w:tc>
        <w:tc>
          <w:tcPr>
            <w:tcW w:w="7280" w:type="dxa"/>
            <w:vAlign w:val="bottom"/>
            <w:gridSpan w:val="13"/>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20"/>
        </w:trPr>
        <w:tc>
          <w:tcPr>
            <w:tcW w:w="24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10240" w:type="dxa"/>
            <w:vAlign w:val="bottom"/>
            <w:gridSpan w:val="34"/>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Nominee Information</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240" w:type="dxa"/>
            <w:vAlign w:val="bottom"/>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362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Director Compensation and Share Ownership</w:t>
              </w:r>
            </w:hyperlink>
          </w:p>
        </w:tc>
        <w:tc>
          <w:tcPr>
            <w:tcW w:w="6620" w:type="dxa"/>
            <w:vAlign w:val="bottom"/>
            <w:gridSpan w:val="9"/>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2"/>
        </w:trPr>
        <w:tc>
          <w:tcPr>
            <w:tcW w:w="262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Corporate Governance Practices</w:t>
              </w:r>
            </w:hyperlink>
          </w:p>
        </w:tc>
        <w:tc>
          <w:tcPr>
            <w:tcW w:w="7860" w:type="dxa"/>
            <w:vAlign w:val="bottom"/>
            <w:gridSpan w:val="21"/>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2"/>
        </w:trPr>
        <w:tc>
          <w:tcPr>
            <w:tcW w:w="240" w:type="dxa"/>
            <w:vAlign w:val="bottom"/>
          </w:tcPr>
          <w:p>
            <w:pPr>
              <w:spacing w:after="0"/>
              <w:rPr>
                <w:sz w:val="15"/>
                <w:szCs w:val="15"/>
                <w:color w:val="auto"/>
              </w:rPr>
            </w:pPr>
          </w:p>
        </w:tc>
        <w:tc>
          <w:tcPr>
            <w:tcW w:w="10240" w:type="dxa"/>
            <w:vAlign w:val="bottom"/>
            <w:gridSpan w:val="34"/>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Board Composition and Responsibilities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2"/>
        </w:trPr>
        <w:tc>
          <w:tcPr>
            <w:tcW w:w="240" w:type="dxa"/>
            <w:vAlign w:val="bottom"/>
          </w:tcPr>
          <w:p>
            <w:pPr>
              <w:spacing w:after="0"/>
              <w:rPr>
                <w:sz w:val="15"/>
                <w:szCs w:val="15"/>
                <w:color w:val="auto"/>
              </w:rPr>
            </w:pPr>
          </w:p>
        </w:tc>
        <w:tc>
          <w:tcPr>
            <w:tcW w:w="316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Director Attendance</w:t>
              </w:r>
            </w:hyperlink>
          </w:p>
        </w:tc>
        <w:tc>
          <w:tcPr>
            <w:tcW w:w="7080" w:type="dxa"/>
            <w:vAlign w:val="bottom"/>
            <w:gridSpan w:val="11"/>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20"/>
        </w:trPr>
        <w:tc>
          <w:tcPr>
            <w:tcW w:w="240" w:type="dxa"/>
            <w:vAlign w:val="bottom"/>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166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39">
              <w:r>
                <w:rPr>
                  <w:rFonts w:ascii="Arial" w:cs="Arial" w:eastAsia="Arial" w:hAnsi="Arial"/>
                  <w:sz w:val="18"/>
                  <w:szCs w:val="18"/>
                  <w:color w:val="0000EE"/>
                  <w:w w:val="98"/>
                </w:rPr>
                <w:t>Controlled Company</w:t>
              </w:r>
            </w:hyperlink>
          </w:p>
        </w:tc>
        <w:tc>
          <w:tcPr>
            <w:tcW w:w="8580" w:type="dxa"/>
            <w:vAlign w:val="bottom"/>
            <w:gridSpan w:val="26"/>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2"/>
        </w:trPr>
        <w:tc>
          <w:tcPr>
            <w:tcW w:w="10480" w:type="dxa"/>
            <w:vAlign w:val="bottom"/>
            <w:gridSpan w:val="35"/>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Board Committees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20"/>
        </w:trPr>
        <w:tc>
          <w:tcPr>
            <w:tcW w:w="24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10240" w:type="dxa"/>
            <w:vAlign w:val="bottom"/>
            <w:gridSpan w:val="34"/>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Audit Committee</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20"/>
        </w:trPr>
        <w:tc>
          <w:tcPr>
            <w:tcW w:w="240" w:type="dxa"/>
            <w:vAlign w:val="bottom"/>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2740" w:type="dxa"/>
            <w:vAlign w:val="bottom"/>
            <w:tcBorders>
              <w:bottom w:val="single" w:sz="8" w:color="0000EE"/>
            </w:tcBorders>
            <w:gridSpan w:val="18"/>
          </w:tcPr>
          <w:p>
            <w:pPr>
              <w:spacing w:after="0" w:line="182" w:lineRule="exact"/>
              <w:rPr>
                <w:rFonts w:ascii="Arial" w:cs="Arial" w:eastAsia="Arial" w:hAnsi="Arial"/>
                <w:sz w:val="18"/>
                <w:szCs w:val="18"/>
                <w:color w:val="0000EE"/>
                <w:w w:val="98"/>
              </w:rPr>
            </w:pPr>
            <w:hyperlink w:anchor="page45">
              <w:r>
                <w:rPr>
                  <w:rFonts w:ascii="Arial" w:cs="Arial" w:eastAsia="Arial" w:hAnsi="Arial"/>
                  <w:sz w:val="18"/>
                  <w:szCs w:val="18"/>
                  <w:color w:val="0000EE"/>
                  <w:w w:val="98"/>
                </w:rPr>
                <w:t>Corporate Governance Committee</w:t>
              </w:r>
            </w:hyperlink>
          </w:p>
        </w:tc>
        <w:tc>
          <w:tcPr>
            <w:tcW w:w="7500" w:type="dxa"/>
            <w:vAlign w:val="bottom"/>
            <w:gridSpan w:val="16"/>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2"/>
        </w:trPr>
        <w:tc>
          <w:tcPr>
            <w:tcW w:w="240" w:type="dxa"/>
            <w:vAlign w:val="bottom"/>
          </w:tcPr>
          <w:p>
            <w:pPr>
              <w:spacing w:after="0"/>
              <w:rPr>
                <w:sz w:val="15"/>
                <w:szCs w:val="15"/>
                <w:color w:val="auto"/>
              </w:rPr>
            </w:pPr>
          </w:p>
        </w:tc>
        <w:tc>
          <w:tcPr>
            <w:tcW w:w="120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49">
              <w:r>
                <w:rPr>
                  <w:rFonts w:ascii="Arial" w:cs="Arial" w:eastAsia="Arial" w:hAnsi="Arial"/>
                  <w:sz w:val="18"/>
                  <w:szCs w:val="18"/>
                  <w:color w:val="0000EE"/>
                  <w:w w:val="98"/>
                </w:rPr>
                <w:t>HR Committee</w:t>
              </w:r>
            </w:hyperlink>
          </w:p>
        </w:tc>
        <w:tc>
          <w:tcPr>
            <w:tcW w:w="9040" w:type="dxa"/>
            <w:vAlign w:val="bottom"/>
            <w:gridSpan w:val="33"/>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182"/>
        </w:trPr>
        <w:tc>
          <w:tcPr>
            <w:tcW w:w="240" w:type="dxa"/>
            <w:vAlign w:val="bottom"/>
          </w:tcPr>
          <w:p>
            <w:pPr>
              <w:spacing w:after="0"/>
              <w:rPr>
                <w:sz w:val="15"/>
                <w:szCs w:val="15"/>
                <w:color w:val="auto"/>
              </w:rPr>
            </w:pPr>
          </w:p>
        </w:tc>
        <w:tc>
          <w:tcPr>
            <w:tcW w:w="10240" w:type="dxa"/>
            <w:vAlign w:val="bottom"/>
            <w:gridSpan w:val="34"/>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Risk Committee</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20"/>
        </w:trPr>
        <w:tc>
          <w:tcPr>
            <w:tcW w:w="2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10480" w:type="dxa"/>
            <w:vAlign w:val="bottom"/>
            <w:gridSpan w:val="35"/>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About Our Independent Auditor</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20"/>
        </w:trPr>
        <w:tc>
          <w:tcPr>
            <w:tcW w:w="18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500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Advisory Resolution on Executive Compensation (Say On Pay)</w:t>
              </w:r>
            </w:hyperlink>
          </w:p>
        </w:tc>
        <w:tc>
          <w:tcPr>
            <w:tcW w:w="5480" w:type="dxa"/>
            <w:vAlign w:val="bottom"/>
            <w:gridSpan w:val="4"/>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182"/>
        </w:trPr>
        <w:tc>
          <w:tcPr>
            <w:tcW w:w="10480" w:type="dxa"/>
            <w:vAlign w:val="bottom"/>
            <w:gridSpan w:val="35"/>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Compensation Discussion and Analysis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2"/>
        </w:trPr>
        <w:tc>
          <w:tcPr>
            <w:tcW w:w="240" w:type="dxa"/>
            <w:vAlign w:val="bottom"/>
            <w:tcBorders>
              <w:top w:val="single" w:sz="8" w:color="0000EE"/>
            </w:tcBorders>
          </w:tcPr>
          <w:p>
            <w:pPr>
              <w:spacing w:after="0"/>
              <w:rPr>
                <w:sz w:val="15"/>
                <w:szCs w:val="15"/>
                <w:color w:val="auto"/>
              </w:rPr>
            </w:pPr>
          </w:p>
        </w:tc>
        <w:tc>
          <w:tcPr>
            <w:tcW w:w="16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w:anchor="page54">
              <w:r>
                <w:rPr>
                  <w:rFonts w:ascii="Arial" w:cs="Arial" w:eastAsia="Arial" w:hAnsi="Arial"/>
                  <w:sz w:val="18"/>
                  <w:szCs w:val="18"/>
                  <w:color w:val="0000EE"/>
                  <w:w w:val="98"/>
                </w:rPr>
                <w:t>Executive Summary</w:t>
              </w:r>
            </w:hyperlink>
          </w:p>
        </w:tc>
        <w:tc>
          <w:tcPr>
            <w:tcW w:w="1300" w:type="dxa"/>
            <w:vAlign w:val="bottom"/>
            <w:tcBorders>
              <w:top w:val="single" w:sz="8" w:color="0000EE"/>
            </w:tcBorders>
            <w:gridSpan w:val="14"/>
          </w:tcPr>
          <w:p>
            <w:pPr>
              <w:spacing w:after="0"/>
              <w:rPr>
                <w:sz w:val="15"/>
                <w:szCs w:val="15"/>
                <w:color w:val="auto"/>
              </w:rPr>
            </w:pPr>
          </w:p>
        </w:tc>
        <w:tc>
          <w:tcPr>
            <w:tcW w:w="7340" w:type="dxa"/>
            <w:vAlign w:val="bottom"/>
            <w:gridSpan w:val="14"/>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2"/>
        </w:trPr>
        <w:tc>
          <w:tcPr>
            <w:tcW w:w="240" w:type="dxa"/>
            <w:vAlign w:val="bottom"/>
          </w:tcPr>
          <w:p>
            <w:pPr>
              <w:spacing w:after="0"/>
              <w:rPr>
                <w:sz w:val="15"/>
                <w:szCs w:val="15"/>
                <w:color w:val="auto"/>
              </w:rPr>
            </w:pPr>
          </w:p>
        </w:tc>
        <w:tc>
          <w:tcPr>
            <w:tcW w:w="27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57">
              <w:r>
                <w:rPr>
                  <w:rFonts w:ascii="Arial" w:cs="Arial" w:eastAsia="Arial" w:hAnsi="Arial"/>
                  <w:sz w:val="18"/>
                  <w:szCs w:val="18"/>
                  <w:color w:val="0000EE"/>
                  <w:w w:val="99"/>
                </w:rPr>
                <w:t>Our 2018 Compensation Program</w:t>
              </w:r>
            </w:hyperlink>
          </w:p>
        </w:tc>
        <w:tc>
          <w:tcPr>
            <w:tcW w:w="7540" w:type="dxa"/>
            <w:vAlign w:val="bottom"/>
            <w:gridSpan w:val="17"/>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2"/>
        </w:trPr>
        <w:tc>
          <w:tcPr>
            <w:tcW w:w="240" w:type="dxa"/>
            <w:vAlign w:val="bottom"/>
          </w:tcPr>
          <w:p>
            <w:pPr>
              <w:spacing w:after="0"/>
              <w:rPr>
                <w:sz w:val="15"/>
                <w:szCs w:val="15"/>
                <w:color w:val="auto"/>
              </w:rPr>
            </w:pPr>
          </w:p>
        </w:tc>
        <w:tc>
          <w:tcPr>
            <w:tcW w:w="5500" w:type="dxa"/>
            <w:vAlign w:val="bottom"/>
            <w:tcBorders>
              <w:bottom w:val="single" w:sz="8" w:color="0000EE"/>
            </w:tcBorders>
            <w:gridSpan w:val="32"/>
          </w:tcPr>
          <w:p>
            <w:pPr>
              <w:spacing w:after="0" w:line="182"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Our Process for Designing and Determining Executive Compensation</w:t>
              </w:r>
            </w:hyperlink>
          </w:p>
        </w:tc>
        <w:tc>
          <w:tcPr>
            <w:tcW w:w="4740" w:type="dxa"/>
            <w:vAlign w:val="bottom"/>
            <w:gridSpan w:val="2"/>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2"/>
        </w:trPr>
        <w:tc>
          <w:tcPr>
            <w:tcW w:w="240" w:type="dxa"/>
            <w:vAlign w:val="bottom"/>
          </w:tcPr>
          <w:p>
            <w:pPr>
              <w:spacing w:after="0"/>
              <w:rPr>
                <w:sz w:val="15"/>
                <w:szCs w:val="15"/>
                <w:color w:val="auto"/>
              </w:rPr>
            </w:pPr>
          </w:p>
        </w:tc>
        <w:tc>
          <w:tcPr>
            <w:tcW w:w="10240" w:type="dxa"/>
            <w:vAlign w:val="bottom"/>
            <w:gridSpan w:val="34"/>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Our Key Compensation Principles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182"/>
        </w:trPr>
        <w:tc>
          <w:tcPr>
            <w:tcW w:w="240" w:type="dxa"/>
            <w:vAlign w:val="bottom"/>
          </w:tcPr>
          <w:p>
            <w:pPr>
              <w:spacing w:after="0"/>
              <w:rPr>
                <w:sz w:val="15"/>
                <w:szCs w:val="15"/>
                <w:color w:val="auto"/>
              </w:rPr>
            </w:pPr>
          </w:p>
        </w:tc>
        <w:tc>
          <w:tcPr>
            <w:tcW w:w="268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2018 Compensation</w:t>
              </w:r>
            </w:hyperlink>
          </w:p>
        </w:tc>
        <w:tc>
          <w:tcPr>
            <w:tcW w:w="7560" w:type="dxa"/>
            <w:vAlign w:val="bottom"/>
            <w:gridSpan w:val="18"/>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r>
      <w:tr>
        <w:trPr>
          <w:trHeight w:val="20"/>
        </w:trPr>
        <w:tc>
          <w:tcPr>
            <w:tcW w:w="240" w:type="dxa"/>
            <w:vAlign w:val="bottom"/>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5800" w:type="dxa"/>
            <w:vAlign w:val="bottom"/>
            <w:tcBorders>
              <w:bottom w:val="single" w:sz="8" w:color="0000EE"/>
            </w:tcBorders>
            <w:gridSpan w:val="33"/>
          </w:tcPr>
          <w:p>
            <w:pPr>
              <w:spacing w:after="0" w:line="182"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2018 Named Executive Officer Compensation and Key Accomplishments</w:t>
              </w:r>
            </w:hyperlink>
          </w:p>
        </w:tc>
        <w:tc>
          <w:tcPr>
            <w:tcW w:w="44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r>
      <w:tr>
        <w:trPr>
          <w:trHeight w:val="182"/>
        </w:trPr>
        <w:tc>
          <w:tcPr>
            <w:tcW w:w="240" w:type="dxa"/>
            <w:vAlign w:val="bottom"/>
          </w:tcPr>
          <w:p>
            <w:pPr>
              <w:spacing w:after="0"/>
              <w:rPr>
                <w:sz w:val="15"/>
                <w:szCs w:val="15"/>
                <w:color w:val="auto"/>
              </w:rPr>
            </w:pPr>
          </w:p>
        </w:tc>
        <w:tc>
          <w:tcPr>
            <w:tcW w:w="10240" w:type="dxa"/>
            <w:vAlign w:val="bottom"/>
            <w:gridSpan w:val="34"/>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Performance Graphs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r>
      <w:tr>
        <w:trPr>
          <w:trHeight w:val="20"/>
        </w:trPr>
        <w:tc>
          <w:tcPr>
            <w:tcW w:w="240" w:type="dxa"/>
            <w:vAlign w:val="bottom"/>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384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Historic Named Executive Officer Compensation</w:t>
              </w:r>
            </w:hyperlink>
          </w:p>
        </w:tc>
        <w:tc>
          <w:tcPr>
            <w:tcW w:w="6400" w:type="dxa"/>
            <w:vAlign w:val="bottom"/>
            <w:gridSpan w:val="7"/>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182"/>
        </w:trPr>
        <w:tc>
          <w:tcPr>
            <w:tcW w:w="240" w:type="dxa"/>
            <w:vAlign w:val="bottom"/>
          </w:tcPr>
          <w:p>
            <w:pPr>
              <w:spacing w:after="0"/>
              <w:rPr>
                <w:sz w:val="15"/>
                <w:szCs w:val="15"/>
                <w:color w:val="auto"/>
              </w:rPr>
            </w:pPr>
          </w:p>
        </w:tc>
        <w:tc>
          <w:tcPr>
            <w:tcW w:w="10240" w:type="dxa"/>
            <w:vAlign w:val="bottom"/>
            <w:gridSpan w:val="34"/>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2019 Key Compensation Decisions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20"/>
        </w:trPr>
        <w:tc>
          <w:tcPr>
            <w:tcW w:w="240" w:type="dxa"/>
            <w:vAlign w:val="bottom"/>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10480" w:type="dxa"/>
            <w:vAlign w:val="bottom"/>
            <w:gridSpan w:val="35"/>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Executive Compensation</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r>
      <w:tr>
        <w:trPr>
          <w:trHeight w:val="20"/>
        </w:trPr>
        <w:tc>
          <w:tcPr>
            <w:tcW w:w="240" w:type="dxa"/>
            <w:vAlign w:val="bottom"/>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10240" w:type="dxa"/>
            <w:vAlign w:val="bottom"/>
            <w:gridSpan w:val="34"/>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Summary Compensation Table</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r>
      <w:tr>
        <w:trPr>
          <w:trHeight w:val="182"/>
        </w:trPr>
        <w:tc>
          <w:tcPr>
            <w:tcW w:w="240" w:type="dxa"/>
            <w:vAlign w:val="bottom"/>
          </w:tcPr>
          <w:p>
            <w:pPr>
              <w:spacing w:after="0"/>
              <w:rPr>
                <w:sz w:val="15"/>
                <w:szCs w:val="15"/>
                <w:color w:val="auto"/>
              </w:rPr>
            </w:pPr>
          </w:p>
        </w:tc>
        <w:tc>
          <w:tcPr>
            <w:tcW w:w="244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Incentive Plan Awards</w:t>
              </w:r>
            </w:hyperlink>
          </w:p>
        </w:tc>
        <w:tc>
          <w:tcPr>
            <w:tcW w:w="7800" w:type="dxa"/>
            <w:vAlign w:val="bottom"/>
            <w:gridSpan w:val="20"/>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20"/>
        </w:trPr>
        <w:tc>
          <w:tcPr>
            <w:tcW w:w="240" w:type="dxa"/>
            <w:vAlign w:val="bottom"/>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360" w:type="dxa"/>
            <w:vAlign w:val="bottom"/>
            <w:gridSpan w:val="11"/>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3120" w:type="dxa"/>
            <w:vAlign w:val="bottom"/>
            <w:tcBorders>
              <w:bottom w:val="single" w:sz="8" w:color="0000EE"/>
            </w:tcBorders>
            <w:gridSpan w:val="22"/>
          </w:tcPr>
          <w:p>
            <w:pPr>
              <w:spacing w:after="0" w:line="182" w:lineRule="exact"/>
              <w:rPr>
                <w:rFonts w:ascii="Arial" w:cs="Arial" w:eastAsia="Arial" w:hAnsi="Arial"/>
                <w:sz w:val="18"/>
                <w:szCs w:val="18"/>
                <w:color w:val="0000EE"/>
                <w:w w:val="98"/>
              </w:rPr>
            </w:pPr>
            <w:hyperlink w:anchor="page84">
              <w:r>
                <w:rPr>
                  <w:rFonts w:ascii="Arial" w:cs="Arial" w:eastAsia="Arial" w:hAnsi="Arial"/>
                  <w:sz w:val="18"/>
                  <w:szCs w:val="18"/>
                  <w:color w:val="0000EE"/>
                  <w:w w:val="98"/>
                </w:rPr>
                <w:t>Pension and Other Retirement Benefits</w:t>
              </w:r>
            </w:hyperlink>
          </w:p>
        </w:tc>
        <w:tc>
          <w:tcPr>
            <w:tcW w:w="7120" w:type="dxa"/>
            <w:vAlign w:val="bottom"/>
            <w:gridSpan w:val="12"/>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r>
      <w:tr>
        <w:trPr>
          <w:trHeight w:val="182"/>
        </w:trPr>
        <w:tc>
          <w:tcPr>
            <w:tcW w:w="240" w:type="dxa"/>
            <w:vAlign w:val="bottom"/>
          </w:tcPr>
          <w:p>
            <w:pPr>
              <w:spacing w:after="0"/>
              <w:rPr>
                <w:sz w:val="15"/>
                <w:szCs w:val="15"/>
                <w:color w:val="auto"/>
              </w:rPr>
            </w:pPr>
          </w:p>
        </w:tc>
        <w:tc>
          <w:tcPr>
            <w:tcW w:w="10240" w:type="dxa"/>
            <w:vAlign w:val="bottom"/>
            <w:gridSpan w:val="34"/>
          </w:tcPr>
          <w:p>
            <w:pPr>
              <w:spacing w:after="0" w:line="182" w:lineRule="exact"/>
              <w:rPr>
                <w:rFonts w:ascii="Arial" w:cs="Arial" w:eastAsia="Arial" w:hAnsi="Arial"/>
                <w:sz w:val="18"/>
                <w:szCs w:val="18"/>
                <w:color w:val="0000EE"/>
              </w:rPr>
            </w:pPr>
            <w:hyperlink w:anchor="page86">
              <w:r>
                <w:rPr>
                  <w:rFonts w:ascii="Arial" w:cs="Arial" w:eastAsia="Arial" w:hAnsi="Arial"/>
                  <w:sz w:val="18"/>
                  <w:szCs w:val="18"/>
                  <w:color w:val="0000EE"/>
                </w:rPr>
                <w:t>Termination Benefits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r>
      <w:tr>
        <w:trPr>
          <w:trHeight w:val="20"/>
        </w:trPr>
        <w:tc>
          <w:tcPr>
            <w:tcW w:w="240" w:type="dxa"/>
            <w:vAlign w:val="bottom"/>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2180" w:type="dxa"/>
            <w:vAlign w:val="bottom"/>
            <w:gridSpan w:val="19"/>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10480" w:type="dxa"/>
            <w:vAlign w:val="bottom"/>
            <w:gridSpan w:val="35"/>
          </w:tcPr>
          <w:p>
            <w:pPr>
              <w:spacing w:after="0" w:line="182" w:lineRule="exact"/>
              <w:rPr>
                <w:rFonts w:ascii="Arial" w:cs="Arial" w:eastAsia="Arial" w:hAnsi="Arial"/>
                <w:sz w:val="18"/>
                <w:szCs w:val="18"/>
                <w:color w:val="0000EE"/>
              </w:rPr>
            </w:pPr>
            <w:hyperlink w:anchor="page91">
              <w:r>
                <w:rPr>
                  <w:rFonts w:ascii="Arial" w:cs="Arial" w:eastAsia="Arial" w:hAnsi="Arial"/>
                  <w:sz w:val="18"/>
                  <w:szCs w:val="18"/>
                  <w:color w:val="0000EE"/>
                </w:rPr>
                <w:t>Indebtedness of Officers, Directors and Employees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r>
      <w:tr>
        <w:trPr>
          <w:trHeight w:val="20"/>
        </w:trPr>
        <w:tc>
          <w:tcPr>
            <w:tcW w:w="4040" w:type="dxa"/>
            <w:vAlign w:val="bottom"/>
            <w:gridSpan w:val="27"/>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10480" w:type="dxa"/>
            <w:vAlign w:val="bottom"/>
            <w:gridSpan w:val="35"/>
          </w:tcPr>
          <w:p>
            <w:pPr>
              <w:spacing w:after="0" w:line="182" w:lineRule="exact"/>
              <w:rPr>
                <w:rFonts w:ascii="Arial" w:cs="Arial" w:eastAsia="Arial" w:hAnsi="Arial"/>
                <w:sz w:val="18"/>
                <w:szCs w:val="18"/>
                <w:color w:val="0000EE"/>
              </w:rPr>
            </w:pPr>
            <w:hyperlink w:anchor="page91">
              <w:r>
                <w:rPr>
                  <w:rFonts w:ascii="Arial" w:cs="Arial" w:eastAsia="Arial" w:hAnsi="Arial"/>
                  <w:sz w:val="18"/>
                  <w:szCs w:val="18"/>
                  <w:color w:val="0000EE"/>
                </w:rPr>
                <w:t>Directors’ and Officers’ Indemnification and Insurance</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r>
      <w:tr>
        <w:trPr>
          <w:trHeight w:val="243"/>
        </w:trPr>
        <w:tc>
          <w:tcPr>
            <w:tcW w:w="240" w:type="dxa"/>
            <w:vAlign w:val="bottom"/>
            <w:tcBorders>
              <w:top w:val="single" w:sz="8" w:color="0000EE"/>
              <w:bottom w:val="single" w:sz="8" w:color="D95A3B"/>
            </w:tcBorders>
          </w:tcPr>
          <w:p>
            <w:pPr>
              <w:spacing w:after="0"/>
              <w:rPr>
                <w:sz w:val="21"/>
                <w:szCs w:val="21"/>
                <w:color w:val="auto"/>
              </w:rPr>
            </w:pPr>
          </w:p>
        </w:tc>
        <w:tc>
          <w:tcPr>
            <w:tcW w:w="1200" w:type="dxa"/>
            <w:vAlign w:val="bottom"/>
            <w:tcBorders>
              <w:top w:val="single" w:sz="8" w:color="0000EE"/>
              <w:bottom w:val="single" w:sz="8" w:color="D95A3B"/>
            </w:tcBorders>
          </w:tcPr>
          <w:p>
            <w:pPr>
              <w:spacing w:after="0"/>
              <w:rPr>
                <w:sz w:val="21"/>
                <w:szCs w:val="21"/>
                <w:color w:val="auto"/>
              </w:rPr>
            </w:pPr>
          </w:p>
        </w:tc>
        <w:tc>
          <w:tcPr>
            <w:tcW w:w="60" w:type="dxa"/>
            <w:vAlign w:val="bottom"/>
            <w:tcBorders>
              <w:top w:val="single" w:sz="8" w:color="0000EE"/>
              <w:bottom w:val="single" w:sz="8" w:color="D95A3B"/>
            </w:tcBorders>
          </w:tcPr>
          <w:p>
            <w:pPr>
              <w:spacing w:after="0"/>
              <w:rPr>
                <w:sz w:val="21"/>
                <w:szCs w:val="21"/>
                <w:color w:val="auto"/>
              </w:rPr>
            </w:pPr>
          </w:p>
        </w:tc>
        <w:tc>
          <w:tcPr>
            <w:tcW w:w="20" w:type="dxa"/>
            <w:vAlign w:val="bottom"/>
            <w:tcBorders>
              <w:top w:val="single" w:sz="8" w:color="0000EE"/>
              <w:bottom w:val="single" w:sz="8" w:color="D95A3B"/>
            </w:tcBorders>
          </w:tcPr>
          <w:p>
            <w:pPr>
              <w:spacing w:after="0"/>
              <w:rPr>
                <w:sz w:val="21"/>
                <w:szCs w:val="21"/>
                <w:color w:val="auto"/>
              </w:rPr>
            </w:pPr>
          </w:p>
        </w:tc>
        <w:tc>
          <w:tcPr>
            <w:tcW w:w="40" w:type="dxa"/>
            <w:vAlign w:val="bottom"/>
            <w:tcBorders>
              <w:top w:val="single" w:sz="8" w:color="0000EE"/>
              <w:bottom w:val="single" w:sz="8" w:color="D95A3B"/>
            </w:tcBorders>
          </w:tcPr>
          <w:p>
            <w:pPr>
              <w:spacing w:after="0"/>
              <w:rPr>
                <w:sz w:val="21"/>
                <w:szCs w:val="21"/>
                <w:color w:val="auto"/>
              </w:rPr>
            </w:pPr>
          </w:p>
        </w:tc>
        <w:tc>
          <w:tcPr>
            <w:tcW w:w="260" w:type="dxa"/>
            <w:vAlign w:val="bottom"/>
            <w:tcBorders>
              <w:top w:val="single" w:sz="8" w:color="0000EE"/>
              <w:bottom w:val="single" w:sz="8" w:color="D95A3B"/>
            </w:tcBorders>
          </w:tcPr>
          <w:p>
            <w:pPr>
              <w:spacing w:after="0"/>
              <w:rPr>
                <w:sz w:val="21"/>
                <w:szCs w:val="21"/>
                <w:color w:val="auto"/>
              </w:rPr>
            </w:pPr>
          </w:p>
        </w:tc>
        <w:tc>
          <w:tcPr>
            <w:tcW w:w="20" w:type="dxa"/>
            <w:vAlign w:val="bottom"/>
            <w:tcBorders>
              <w:top w:val="single" w:sz="8" w:color="0000EE"/>
              <w:bottom w:val="single" w:sz="8" w:color="D95A3B"/>
            </w:tcBorders>
          </w:tcPr>
          <w:p>
            <w:pPr>
              <w:spacing w:after="0"/>
              <w:rPr>
                <w:sz w:val="21"/>
                <w:szCs w:val="21"/>
                <w:color w:val="auto"/>
              </w:rPr>
            </w:pPr>
          </w:p>
        </w:tc>
        <w:tc>
          <w:tcPr>
            <w:tcW w:w="20" w:type="dxa"/>
            <w:vAlign w:val="bottom"/>
            <w:tcBorders>
              <w:top w:val="single" w:sz="8" w:color="0000EE"/>
              <w:bottom w:val="single" w:sz="8" w:color="D95A3B"/>
            </w:tcBorders>
          </w:tcPr>
          <w:p>
            <w:pPr>
              <w:spacing w:after="0"/>
              <w:rPr>
                <w:sz w:val="21"/>
                <w:szCs w:val="21"/>
                <w:color w:val="auto"/>
              </w:rPr>
            </w:pPr>
          </w:p>
        </w:tc>
        <w:tc>
          <w:tcPr>
            <w:tcW w:w="40" w:type="dxa"/>
            <w:vAlign w:val="bottom"/>
            <w:tcBorders>
              <w:top w:val="single" w:sz="8" w:color="0000EE"/>
              <w:bottom w:val="single" w:sz="8" w:color="D95A3B"/>
            </w:tcBorders>
          </w:tcPr>
          <w:p>
            <w:pPr>
              <w:spacing w:after="0"/>
              <w:rPr>
                <w:sz w:val="21"/>
                <w:szCs w:val="21"/>
                <w:color w:val="auto"/>
              </w:rPr>
            </w:pPr>
          </w:p>
        </w:tc>
        <w:tc>
          <w:tcPr>
            <w:tcW w:w="20" w:type="dxa"/>
            <w:vAlign w:val="bottom"/>
            <w:tcBorders>
              <w:top w:val="single" w:sz="8" w:color="0000EE"/>
              <w:bottom w:val="single" w:sz="8" w:color="D95A3B"/>
            </w:tcBorders>
          </w:tcPr>
          <w:p>
            <w:pPr>
              <w:spacing w:after="0"/>
              <w:rPr>
                <w:sz w:val="21"/>
                <w:szCs w:val="21"/>
                <w:color w:val="auto"/>
              </w:rPr>
            </w:pPr>
          </w:p>
        </w:tc>
        <w:tc>
          <w:tcPr>
            <w:tcW w:w="60" w:type="dxa"/>
            <w:vAlign w:val="bottom"/>
            <w:tcBorders>
              <w:top w:val="single" w:sz="8" w:color="0000EE"/>
              <w:bottom w:val="single" w:sz="8" w:color="D95A3B"/>
            </w:tcBorders>
          </w:tcPr>
          <w:p>
            <w:pPr>
              <w:spacing w:after="0"/>
              <w:rPr>
                <w:sz w:val="21"/>
                <w:szCs w:val="21"/>
                <w:color w:val="auto"/>
              </w:rPr>
            </w:pPr>
          </w:p>
        </w:tc>
        <w:tc>
          <w:tcPr>
            <w:tcW w:w="20" w:type="dxa"/>
            <w:vAlign w:val="bottom"/>
            <w:tcBorders>
              <w:top w:val="single" w:sz="8" w:color="0000EE"/>
              <w:bottom w:val="single" w:sz="8" w:color="D95A3B"/>
            </w:tcBorders>
          </w:tcPr>
          <w:p>
            <w:pPr>
              <w:spacing w:after="0"/>
              <w:rPr>
                <w:sz w:val="21"/>
                <w:szCs w:val="21"/>
                <w:color w:val="auto"/>
              </w:rPr>
            </w:pPr>
          </w:p>
        </w:tc>
        <w:tc>
          <w:tcPr>
            <w:tcW w:w="480" w:type="dxa"/>
            <w:vAlign w:val="bottom"/>
            <w:tcBorders>
              <w:top w:val="single" w:sz="8" w:color="0000EE"/>
              <w:bottom w:val="single" w:sz="8" w:color="D95A3B"/>
            </w:tcBorders>
          </w:tcPr>
          <w:p>
            <w:pPr>
              <w:spacing w:after="0"/>
              <w:rPr>
                <w:sz w:val="21"/>
                <w:szCs w:val="21"/>
                <w:color w:val="auto"/>
              </w:rPr>
            </w:pPr>
          </w:p>
        </w:tc>
        <w:tc>
          <w:tcPr>
            <w:tcW w:w="140" w:type="dxa"/>
            <w:vAlign w:val="bottom"/>
            <w:tcBorders>
              <w:top w:val="single" w:sz="8" w:color="0000EE"/>
              <w:bottom w:val="single" w:sz="8" w:color="D95A3B"/>
            </w:tcBorders>
          </w:tcPr>
          <w:p>
            <w:pPr>
              <w:spacing w:after="0"/>
              <w:rPr>
                <w:sz w:val="21"/>
                <w:szCs w:val="21"/>
                <w:color w:val="auto"/>
              </w:rPr>
            </w:pPr>
          </w:p>
        </w:tc>
        <w:tc>
          <w:tcPr>
            <w:tcW w:w="60" w:type="dxa"/>
            <w:vAlign w:val="bottom"/>
            <w:tcBorders>
              <w:top w:val="single" w:sz="8" w:color="0000EE"/>
              <w:bottom w:val="single" w:sz="8" w:color="D95A3B"/>
            </w:tcBorders>
          </w:tcPr>
          <w:p>
            <w:pPr>
              <w:spacing w:after="0"/>
              <w:rPr>
                <w:sz w:val="21"/>
                <w:szCs w:val="21"/>
                <w:color w:val="auto"/>
              </w:rPr>
            </w:pPr>
          </w:p>
        </w:tc>
        <w:tc>
          <w:tcPr>
            <w:tcW w:w="160" w:type="dxa"/>
            <w:vAlign w:val="bottom"/>
            <w:tcBorders>
              <w:top w:val="single" w:sz="8" w:color="0000EE"/>
              <w:bottom w:val="single" w:sz="8" w:color="D95A3B"/>
            </w:tcBorders>
          </w:tcPr>
          <w:p>
            <w:pPr>
              <w:spacing w:after="0"/>
              <w:rPr>
                <w:sz w:val="21"/>
                <w:szCs w:val="21"/>
                <w:color w:val="auto"/>
              </w:rPr>
            </w:pPr>
          </w:p>
        </w:tc>
        <w:tc>
          <w:tcPr>
            <w:tcW w:w="80" w:type="dxa"/>
            <w:vAlign w:val="bottom"/>
            <w:tcBorders>
              <w:top w:val="single" w:sz="8" w:color="0000EE"/>
              <w:bottom w:val="single" w:sz="8" w:color="D95A3B"/>
            </w:tcBorders>
          </w:tcPr>
          <w:p>
            <w:pPr>
              <w:spacing w:after="0"/>
              <w:rPr>
                <w:sz w:val="21"/>
                <w:szCs w:val="21"/>
                <w:color w:val="auto"/>
              </w:rPr>
            </w:pPr>
          </w:p>
        </w:tc>
        <w:tc>
          <w:tcPr>
            <w:tcW w:w="20" w:type="dxa"/>
            <w:vAlign w:val="bottom"/>
            <w:tcBorders>
              <w:top w:val="single" w:sz="8" w:color="0000EE"/>
              <w:bottom w:val="single" w:sz="8" w:color="D95A3B"/>
            </w:tcBorders>
          </w:tcPr>
          <w:p>
            <w:pPr>
              <w:spacing w:after="0"/>
              <w:rPr>
                <w:sz w:val="21"/>
                <w:szCs w:val="21"/>
                <w:color w:val="auto"/>
              </w:rPr>
            </w:pPr>
          </w:p>
        </w:tc>
        <w:tc>
          <w:tcPr>
            <w:tcW w:w="40" w:type="dxa"/>
            <w:vAlign w:val="bottom"/>
            <w:tcBorders>
              <w:top w:val="single" w:sz="8" w:color="0000EE"/>
              <w:bottom w:val="single" w:sz="8" w:color="D95A3B"/>
            </w:tcBorders>
          </w:tcPr>
          <w:p>
            <w:pPr>
              <w:spacing w:after="0"/>
              <w:rPr>
                <w:sz w:val="21"/>
                <w:szCs w:val="21"/>
                <w:color w:val="auto"/>
              </w:rPr>
            </w:pPr>
          </w:p>
        </w:tc>
        <w:tc>
          <w:tcPr>
            <w:tcW w:w="40" w:type="dxa"/>
            <w:vAlign w:val="bottom"/>
            <w:tcBorders>
              <w:top w:val="single" w:sz="8" w:color="0000EE"/>
              <w:bottom w:val="single" w:sz="8" w:color="D95A3B"/>
            </w:tcBorders>
          </w:tcPr>
          <w:p>
            <w:pPr>
              <w:spacing w:after="0"/>
              <w:rPr>
                <w:sz w:val="21"/>
                <w:szCs w:val="21"/>
                <w:color w:val="auto"/>
              </w:rPr>
            </w:pPr>
          </w:p>
        </w:tc>
        <w:tc>
          <w:tcPr>
            <w:tcW w:w="120" w:type="dxa"/>
            <w:vAlign w:val="bottom"/>
            <w:tcBorders>
              <w:top w:val="single" w:sz="8" w:color="0000EE"/>
              <w:bottom w:val="single" w:sz="8" w:color="D95A3B"/>
            </w:tcBorders>
          </w:tcPr>
          <w:p>
            <w:pPr>
              <w:spacing w:after="0"/>
              <w:rPr>
                <w:sz w:val="21"/>
                <w:szCs w:val="21"/>
                <w:color w:val="auto"/>
              </w:rPr>
            </w:pPr>
          </w:p>
        </w:tc>
        <w:tc>
          <w:tcPr>
            <w:tcW w:w="60" w:type="dxa"/>
            <w:vAlign w:val="bottom"/>
            <w:tcBorders>
              <w:top w:val="single" w:sz="8" w:color="0000EE"/>
              <w:bottom w:val="single" w:sz="8" w:color="D95A3B"/>
            </w:tcBorders>
          </w:tcPr>
          <w:p>
            <w:pPr>
              <w:spacing w:after="0"/>
              <w:rPr>
                <w:sz w:val="21"/>
                <w:szCs w:val="21"/>
                <w:color w:val="auto"/>
              </w:rPr>
            </w:pPr>
          </w:p>
        </w:tc>
        <w:tc>
          <w:tcPr>
            <w:tcW w:w="160" w:type="dxa"/>
            <w:vAlign w:val="bottom"/>
            <w:tcBorders>
              <w:top w:val="single" w:sz="8" w:color="0000EE"/>
              <w:bottom w:val="single" w:sz="8" w:color="D95A3B"/>
            </w:tcBorders>
          </w:tcPr>
          <w:p>
            <w:pPr>
              <w:spacing w:after="0"/>
              <w:rPr>
                <w:sz w:val="21"/>
                <w:szCs w:val="21"/>
                <w:color w:val="auto"/>
              </w:rPr>
            </w:pPr>
          </w:p>
        </w:tc>
        <w:tc>
          <w:tcPr>
            <w:tcW w:w="40" w:type="dxa"/>
            <w:vAlign w:val="bottom"/>
            <w:tcBorders>
              <w:top w:val="single" w:sz="8" w:color="0000EE"/>
              <w:bottom w:val="single" w:sz="8" w:color="D95A3B"/>
            </w:tcBorders>
          </w:tcPr>
          <w:p>
            <w:pPr>
              <w:spacing w:after="0"/>
              <w:rPr>
                <w:sz w:val="21"/>
                <w:szCs w:val="21"/>
                <w:color w:val="auto"/>
              </w:rPr>
            </w:pPr>
          </w:p>
        </w:tc>
        <w:tc>
          <w:tcPr>
            <w:tcW w:w="380" w:type="dxa"/>
            <w:vAlign w:val="bottom"/>
            <w:tcBorders>
              <w:top w:val="single" w:sz="8" w:color="0000EE"/>
              <w:bottom w:val="single" w:sz="8" w:color="D95A3B"/>
            </w:tcBorders>
          </w:tcPr>
          <w:p>
            <w:pPr>
              <w:spacing w:after="0"/>
              <w:rPr>
                <w:sz w:val="21"/>
                <w:szCs w:val="21"/>
                <w:color w:val="auto"/>
              </w:rPr>
            </w:pPr>
          </w:p>
        </w:tc>
        <w:tc>
          <w:tcPr>
            <w:tcW w:w="80" w:type="dxa"/>
            <w:vAlign w:val="bottom"/>
            <w:tcBorders>
              <w:top w:val="single" w:sz="8" w:color="0000EE"/>
              <w:bottom w:val="single" w:sz="8" w:color="D95A3B"/>
            </w:tcBorders>
          </w:tcPr>
          <w:p>
            <w:pPr>
              <w:spacing w:after="0"/>
              <w:rPr>
                <w:sz w:val="21"/>
                <w:szCs w:val="21"/>
                <w:color w:val="auto"/>
              </w:rPr>
            </w:pPr>
          </w:p>
        </w:tc>
        <w:tc>
          <w:tcPr>
            <w:tcW w:w="180" w:type="dxa"/>
            <w:vAlign w:val="bottom"/>
            <w:tcBorders>
              <w:top w:val="single" w:sz="8" w:color="0000EE"/>
              <w:bottom w:val="single" w:sz="8" w:color="D95A3B"/>
            </w:tcBorders>
          </w:tcPr>
          <w:p>
            <w:pPr>
              <w:spacing w:after="0"/>
              <w:rPr>
                <w:sz w:val="21"/>
                <w:szCs w:val="21"/>
                <w:color w:val="auto"/>
              </w:rPr>
            </w:pPr>
          </w:p>
        </w:tc>
        <w:tc>
          <w:tcPr>
            <w:tcW w:w="40" w:type="dxa"/>
            <w:vAlign w:val="bottom"/>
            <w:tcBorders>
              <w:top w:val="single" w:sz="8" w:color="0000EE"/>
              <w:bottom w:val="single" w:sz="8" w:color="D95A3B"/>
            </w:tcBorders>
          </w:tcPr>
          <w:p>
            <w:pPr>
              <w:spacing w:after="0"/>
              <w:rPr>
                <w:sz w:val="21"/>
                <w:szCs w:val="21"/>
                <w:color w:val="auto"/>
              </w:rPr>
            </w:pPr>
          </w:p>
        </w:tc>
        <w:tc>
          <w:tcPr>
            <w:tcW w:w="20" w:type="dxa"/>
            <w:vAlign w:val="bottom"/>
            <w:tcBorders>
              <w:top w:val="single" w:sz="8" w:color="0000EE"/>
              <w:bottom w:val="single" w:sz="8" w:color="D95A3B"/>
            </w:tcBorders>
          </w:tcPr>
          <w:p>
            <w:pPr>
              <w:spacing w:after="0"/>
              <w:rPr>
                <w:sz w:val="21"/>
                <w:szCs w:val="21"/>
                <w:color w:val="auto"/>
              </w:rPr>
            </w:pPr>
          </w:p>
        </w:tc>
        <w:tc>
          <w:tcPr>
            <w:tcW w:w="160" w:type="dxa"/>
            <w:vAlign w:val="bottom"/>
            <w:tcBorders>
              <w:top w:val="single" w:sz="8" w:color="0000EE"/>
              <w:bottom w:val="single" w:sz="8" w:color="D95A3B"/>
            </w:tcBorders>
          </w:tcPr>
          <w:p>
            <w:pPr>
              <w:spacing w:after="0"/>
              <w:rPr>
                <w:sz w:val="21"/>
                <w:szCs w:val="21"/>
                <w:color w:val="auto"/>
              </w:rPr>
            </w:pPr>
          </w:p>
        </w:tc>
        <w:tc>
          <w:tcPr>
            <w:tcW w:w="740" w:type="dxa"/>
            <w:vAlign w:val="bottom"/>
            <w:tcBorders>
              <w:bottom w:val="single" w:sz="8" w:color="D95A3B"/>
            </w:tcBorders>
          </w:tcPr>
          <w:p>
            <w:pPr>
              <w:spacing w:after="0"/>
              <w:rPr>
                <w:sz w:val="21"/>
                <w:szCs w:val="21"/>
                <w:color w:val="auto"/>
              </w:rPr>
            </w:pPr>
          </w:p>
        </w:tc>
        <w:tc>
          <w:tcPr>
            <w:tcW w:w="20" w:type="dxa"/>
            <w:vAlign w:val="bottom"/>
            <w:tcBorders>
              <w:bottom w:val="single" w:sz="8" w:color="D95A3B"/>
            </w:tcBorders>
          </w:tcPr>
          <w:p>
            <w:pPr>
              <w:spacing w:after="0"/>
              <w:rPr>
                <w:sz w:val="21"/>
                <w:szCs w:val="21"/>
                <w:color w:val="auto"/>
              </w:rPr>
            </w:pPr>
          </w:p>
        </w:tc>
        <w:tc>
          <w:tcPr>
            <w:tcW w:w="720" w:type="dxa"/>
            <w:vAlign w:val="bottom"/>
            <w:tcBorders>
              <w:bottom w:val="single" w:sz="8" w:color="D95A3B"/>
            </w:tcBorders>
          </w:tcPr>
          <w:p>
            <w:pPr>
              <w:spacing w:after="0"/>
              <w:rPr>
                <w:sz w:val="21"/>
                <w:szCs w:val="21"/>
                <w:color w:val="auto"/>
              </w:rPr>
            </w:pPr>
          </w:p>
        </w:tc>
        <w:tc>
          <w:tcPr>
            <w:tcW w:w="300" w:type="dxa"/>
            <w:vAlign w:val="bottom"/>
            <w:tcBorders>
              <w:bottom w:val="single" w:sz="8" w:color="D95A3B"/>
            </w:tcBorders>
          </w:tcPr>
          <w:p>
            <w:pPr>
              <w:spacing w:after="0"/>
              <w:rPr>
                <w:sz w:val="21"/>
                <w:szCs w:val="21"/>
                <w:color w:val="auto"/>
              </w:rPr>
            </w:pPr>
          </w:p>
        </w:tc>
        <w:tc>
          <w:tcPr>
            <w:tcW w:w="4440" w:type="dxa"/>
            <w:vAlign w:val="bottom"/>
            <w:tcBorders>
              <w:bottom w:val="single" w:sz="8" w:color="D95A3B"/>
            </w:tcBorders>
          </w:tcPr>
          <w:p>
            <w:pPr>
              <w:spacing w:after="0"/>
              <w:rPr>
                <w:sz w:val="21"/>
                <w:szCs w:val="21"/>
                <w:color w:val="auto"/>
              </w:rPr>
            </w:pPr>
          </w:p>
        </w:tc>
        <w:tc>
          <w:tcPr>
            <w:tcW w:w="500" w:type="dxa"/>
            <w:vAlign w:val="bottom"/>
            <w:tcBorders>
              <w:bottom w:val="single" w:sz="8" w:color="D95A3B"/>
            </w:tcBorders>
          </w:tcPr>
          <w:p>
            <w:pPr>
              <w:spacing w:after="0"/>
              <w:rPr>
                <w:sz w:val="21"/>
                <w:szCs w:val="21"/>
                <w:color w:val="auto"/>
              </w:rPr>
            </w:pPr>
          </w:p>
        </w:tc>
      </w:tr>
      <w:tr>
        <w:trPr>
          <w:trHeight w:val="282"/>
        </w:trPr>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40" w:type="dxa"/>
            <w:vAlign w:val="bottom"/>
            <w:gridSpan w:val="2"/>
          </w:tcPr>
          <w:p>
            <w:pPr>
              <w:ind w:left="220"/>
              <w:spacing w:after="0"/>
              <w:rPr>
                <w:sz w:val="20"/>
                <w:szCs w:val="20"/>
                <w:color w:val="auto"/>
              </w:rPr>
            </w:pPr>
            <w:r>
              <w:rPr>
                <w:rFonts w:ascii="Arial" w:cs="Arial" w:eastAsia="Arial" w:hAnsi="Arial"/>
                <w:sz w:val="13"/>
                <w:szCs w:val="13"/>
                <w:color w:val="D95A3B"/>
              </w:rPr>
              <w:t>Management Proxy Circular and Notice of Annual Meeting of Shareholders</w:t>
            </w:r>
          </w:p>
        </w:tc>
        <w:tc>
          <w:tcPr>
            <w:tcW w:w="500" w:type="dxa"/>
            <w:vAlign w:val="bottom"/>
          </w:tcPr>
          <w:p>
            <w:pPr>
              <w:jc w:val="right"/>
              <w:spacing w:after="0"/>
              <w:rPr>
                <w:sz w:val="20"/>
                <w:szCs w:val="20"/>
                <w:color w:val="auto"/>
              </w:rPr>
            </w:pPr>
            <w:r>
              <w:rPr>
                <w:rFonts w:ascii="Arial" w:cs="Arial" w:eastAsia="Arial" w:hAnsi="Arial"/>
                <w:sz w:val="13"/>
                <w:szCs w:val="13"/>
                <w:color w:val="auto"/>
              </w:rPr>
              <w:t>Page 1</w:t>
            </w:r>
          </w:p>
        </w:tc>
      </w:tr>
    </w:tbl>
    <w:p>
      <w:pPr>
        <w:sectPr>
          <w:pgSz w:w="11900" w:h="16838" w:orient="portrait"/>
          <w:cols w:equalWidth="0" w:num="1">
            <w:col w:w="11200"/>
          </w:cols>
          <w:pgMar w:left="240" w:top="458"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7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92">
              <w:r>
                <w:rPr>
                  <w:rFonts w:ascii="Arial" w:cs="Arial" w:eastAsia="Arial" w:hAnsi="Arial"/>
                  <w:sz w:val="18"/>
                  <w:szCs w:val="18"/>
                  <w:color w:val="0000EE"/>
                  <w:w w:val="98"/>
                </w:rPr>
                <w:t>Additional Information</w:t>
              </w:r>
            </w:hyperlink>
          </w:p>
        </w:tc>
        <w:tc>
          <w:tcPr>
            <w:tcW w:w="7040" w:type="dxa"/>
            <w:vAlign w:val="bottom"/>
            <w:gridSpan w:val="9"/>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182"/>
        </w:trPr>
        <w:tc>
          <w:tcPr>
            <w:tcW w:w="240" w:type="dxa"/>
            <w:vAlign w:val="bottom"/>
          </w:tcPr>
          <w:p>
            <w:pPr>
              <w:spacing w:after="0"/>
              <w:rPr>
                <w:sz w:val="15"/>
                <w:szCs w:val="15"/>
                <w:color w:val="auto"/>
              </w:rPr>
            </w:pPr>
          </w:p>
        </w:tc>
        <w:tc>
          <w:tcPr>
            <w:tcW w:w="240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92">
              <w:r>
                <w:rPr>
                  <w:rFonts w:ascii="Arial" w:cs="Arial" w:eastAsia="Arial" w:hAnsi="Arial"/>
                  <w:sz w:val="18"/>
                  <w:szCs w:val="18"/>
                  <w:color w:val="0000EE"/>
                  <w:w w:val="98"/>
                </w:rPr>
                <w:t>Non-IFRS Financial Measures</w:t>
              </w:r>
            </w:hyperlink>
          </w:p>
        </w:tc>
        <w:tc>
          <w:tcPr>
            <w:tcW w:w="6140" w:type="dxa"/>
            <w:vAlign w:val="bottom"/>
            <w:gridSpan w:val="7"/>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r>
      <w:tr>
        <w:trPr>
          <w:trHeight w:val="182"/>
        </w:trPr>
        <w:tc>
          <w:tcPr>
            <w:tcW w:w="240" w:type="dxa"/>
            <w:vAlign w:val="bottom"/>
          </w:tcPr>
          <w:p>
            <w:pPr>
              <w:spacing w:after="0"/>
              <w:rPr>
                <w:sz w:val="15"/>
                <w:szCs w:val="15"/>
                <w:color w:val="auto"/>
              </w:rPr>
            </w:pPr>
          </w:p>
        </w:tc>
        <w:tc>
          <w:tcPr>
            <w:tcW w:w="206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92">
              <w:r>
                <w:rPr>
                  <w:rFonts w:ascii="Arial" w:cs="Arial" w:eastAsia="Arial" w:hAnsi="Arial"/>
                  <w:sz w:val="18"/>
                  <w:szCs w:val="18"/>
                  <w:color w:val="0000EE"/>
                  <w:w w:val="98"/>
                </w:rPr>
                <w:t>How to Contact the Board</w:t>
              </w:r>
            </w:hyperlink>
          </w:p>
        </w:tc>
        <w:tc>
          <w:tcPr>
            <w:tcW w:w="6480" w:type="dxa"/>
            <w:vAlign w:val="bottom"/>
            <w:gridSpan w:val="8"/>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r>
      <w:tr>
        <w:trPr>
          <w:trHeight w:val="182"/>
        </w:trPr>
        <w:tc>
          <w:tcPr>
            <w:tcW w:w="240" w:type="dxa"/>
            <w:vAlign w:val="bottom"/>
          </w:tcPr>
          <w:p>
            <w:pPr>
              <w:spacing w:after="0"/>
              <w:rPr>
                <w:sz w:val="15"/>
                <w:szCs w:val="15"/>
                <w:color w:val="auto"/>
              </w:rPr>
            </w:pPr>
          </w:p>
        </w:tc>
        <w:tc>
          <w:tcPr>
            <w:tcW w:w="8540" w:type="dxa"/>
            <w:vAlign w:val="bottom"/>
            <w:gridSpan w:val="11"/>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2019 Annual Meeting – Questions from Shareholders</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r>
      <w:tr>
        <w:trPr>
          <w:trHeight w:val="20"/>
        </w:trPr>
        <w:tc>
          <w:tcPr>
            <w:tcW w:w="2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8540" w:type="dxa"/>
            <w:vAlign w:val="bottom"/>
            <w:gridSpan w:val="11"/>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Where to find Corporate Governance and Continuous Disclosure Documents</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r>
      <w:tr>
        <w:trPr>
          <w:trHeight w:val="20"/>
        </w:trPr>
        <w:tc>
          <w:tcPr>
            <w:tcW w:w="2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66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93">
              <w:r>
                <w:rPr>
                  <w:rFonts w:ascii="Arial" w:cs="Arial" w:eastAsia="Arial" w:hAnsi="Arial"/>
                  <w:sz w:val="18"/>
                  <w:szCs w:val="18"/>
                  <w:color w:val="0000EE"/>
                  <w:w w:val="99"/>
                </w:rPr>
                <w:t>Thomson Reuters Trust Principles and Thomson Reuters Founders Share Company</w:t>
              </w:r>
            </w:hyperlink>
          </w:p>
        </w:tc>
        <w:tc>
          <w:tcPr>
            <w:tcW w:w="1860" w:type="dxa"/>
            <w:vAlign w:val="bottom"/>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r>
      <w:tr>
        <w:trPr>
          <w:trHeight w:val="182"/>
        </w:trPr>
        <w:tc>
          <w:tcPr>
            <w:tcW w:w="240" w:type="dxa"/>
            <w:vAlign w:val="bottom"/>
          </w:tcPr>
          <w:p>
            <w:pPr>
              <w:spacing w:after="0"/>
              <w:rPr>
                <w:sz w:val="15"/>
                <w:szCs w:val="15"/>
                <w:color w:val="auto"/>
              </w:rPr>
            </w:pPr>
          </w:p>
        </w:tc>
        <w:tc>
          <w:tcPr>
            <w:tcW w:w="38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93">
              <w:r>
                <w:rPr>
                  <w:rFonts w:ascii="Arial" w:cs="Arial" w:eastAsia="Arial" w:hAnsi="Arial"/>
                  <w:sz w:val="18"/>
                  <w:szCs w:val="18"/>
                  <w:color w:val="0000EE"/>
                  <w:w w:val="99"/>
                </w:rPr>
                <w:t>Share Repurchases – Normal Course Issuer Bid</w:t>
              </w:r>
            </w:hyperlink>
          </w:p>
        </w:tc>
        <w:tc>
          <w:tcPr>
            <w:tcW w:w="4700" w:type="dxa"/>
            <w:vAlign w:val="bottom"/>
            <w:gridSpan w:val="5"/>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r>
      <w:tr>
        <w:trPr>
          <w:trHeight w:val="182"/>
        </w:trPr>
        <w:tc>
          <w:tcPr>
            <w:tcW w:w="15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94">
              <w:r>
                <w:rPr>
                  <w:rFonts w:ascii="Arial" w:cs="Arial" w:eastAsia="Arial" w:hAnsi="Arial"/>
                  <w:sz w:val="18"/>
                  <w:szCs w:val="18"/>
                  <w:color w:val="0000EE"/>
                  <w:w w:val="98"/>
                </w:rPr>
                <w:t>Directors’ Approval</w:t>
              </w:r>
            </w:hyperlink>
          </w:p>
        </w:tc>
        <w:tc>
          <w:tcPr>
            <w:tcW w:w="7260" w:type="dxa"/>
            <w:vAlign w:val="bottom"/>
            <w:gridSpan w:val="10"/>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r>
      <w:tr>
        <w:trPr>
          <w:trHeight w:val="182"/>
        </w:trPr>
        <w:tc>
          <w:tcPr>
            <w:tcW w:w="8780" w:type="dxa"/>
            <w:vAlign w:val="bottom"/>
            <w:gridSpan w:val="12"/>
          </w:tcPr>
          <w:p>
            <w:pPr>
              <w:spacing w:after="0" w:line="182" w:lineRule="exact"/>
              <w:rPr>
                <w:rFonts w:ascii="Arial" w:cs="Arial" w:eastAsia="Arial" w:hAnsi="Arial"/>
                <w:sz w:val="18"/>
                <w:szCs w:val="18"/>
                <w:color w:val="0000EE"/>
              </w:rPr>
            </w:pPr>
            <w:hyperlink w:anchor="page95">
              <w:r>
                <w:rPr>
                  <w:rFonts w:ascii="Arial" w:cs="Arial" w:eastAsia="Arial" w:hAnsi="Arial"/>
                  <w:sz w:val="18"/>
                  <w:szCs w:val="18"/>
                  <w:color w:val="0000EE"/>
                </w:rPr>
                <w:t>Appendix A – Equity Compensation and Other Plan Information</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r>
      <w:tr>
        <w:trPr>
          <w:trHeight w:val="182"/>
        </w:trPr>
        <w:tc>
          <w:tcPr>
            <w:tcW w:w="28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w:anchor="page101">
              <w:r>
                <w:rPr>
                  <w:rFonts w:ascii="Arial" w:cs="Arial" w:eastAsia="Arial" w:hAnsi="Arial"/>
                  <w:sz w:val="18"/>
                  <w:szCs w:val="18"/>
                  <w:color w:val="0000EE"/>
                  <w:w w:val="99"/>
                </w:rPr>
                <w:t>Appendix B – Shareholder Proposal</w:t>
              </w:r>
            </w:hyperlink>
          </w:p>
        </w:tc>
        <w:tc>
          <w:tcPr>
            <w:tcW w:w="2160" w:type="dxa"/>
            <w:vAlign w:val="bottom"/>
            <w:tcBorders>
              <w:top w:val="single" w:sz="8" w:color="0000EE"/>
            </w:tcBorders>
            <w:gridSpan w:val="3"/>
          </w:tcPr>
          <w:p>
            <w:pPr>
              <w:spacing w:after="0"/>
              <w:rPr>
                <w:sz w:val="15"/>
                <w:szCs w:val="15"/>
                <w:color w:val="auto"/>
              </w:rPr>
            </w:pPr>
          </w:p>
        </w:tc>
        <w:tc>
          <w:tcPr>
            <w:tcW w:w="3760" w:type="dxa"/>
            <w:vAlign w:val="bottom"/>
            <w:gridSpan w:val="3"/>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B-1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136525</wp:posOffset>
            </wp:positionV>
            <wp:extent cx="697357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70"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3"/>
          <w:szCs w:val="13"/>
          <w:color w:val="auto"/>
        </w:rPr>
        <w:t>Page 2</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160"/>
          </w:cols>
          <w:pgMar w:left="240" w:top="458"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Fast Facts About Thomson Reuters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327660</wp:posOffset>
            </wp:positionV>
            <wp:extent cx="69735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right="360"/>
        <w:spacing w:after="0" w:line="242" w:lineRule="auto"/>
        <w:rPr>
          <w:sz w:val="20"/>
          <w:szCs w:val="20"/>
          <w:color w:val="auto"/>
        </w:rPr>
      </w:pPr>
      <w:r>
        <w:rPr>
          <w:rFonts w:ascii="Arial" w:cs="Arial" w:eastAsia="Arial" w:hAnsi="Arial"/>
          <w:sz w:val="27"/>
          <w:szCs w:val="27"/>
          <w:color w:val="auto"/>
        </w:rPr>
        <w:t>Thomson Reuters is a leading provider of news and information-based tools to professionals. Our worldwide network of journalists and specialist editors keep customers up to speed on global developments, with a particular focus on legal, regulatory and tax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196850</wp:posOffset>
            </wp:positionV>
            <wp:extent cx="69735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describes some of our key operating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74295</wp:posOffset>
            </wp:positionV>
            <wp:extent cx="8255" cy="2305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23050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74295</wp:posOffset>
            </wp:positionV>
            <wp:extent cx="8255" cy="2305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2305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74295</wp:posOffset>
            </wp:positionV>
            <wp:extent cx="8255" cy="2305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230505"/>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74295</wp:posOffset>
            </wp:positionV>
            <wp:extent cx="8255" cy="2305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230505"/>
                    </a:xfrm>
                    <a:prstGeom prst="rect">
                      <a:avLst/>
                    </a:prstGeom>
                    <a:noFill/>
                  </pic:spPr>
                </pic:pic>
              </a:graphicData>
            </a:graphic>
          </wp:anchor>
        </w:drawing>
      </w:r>
    </w:p>
    <w:p>
      <w:pPr>
        <w:spacing w:after="0" w:line="91"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1900" w:type="dxa"/>
            <w:vAlign w:val="bottom"/>
            <w:tcBorders>
              <w:right w:val="single" w:sz="8" w:color="CCCCCC"/>
            </w:tcBorders>
            <w:vMerge w:val="restart"/>
            <w:shd w:val="clear" w:color="auto" w:fill="CCCCCC"/>
          </w:tcPr>
          <w:p>
            <w:pPr>
              <w:spacing w:after="0"/>
              <w:rPr>
                <w:sz w:val="20"/>
                <w:szCs w:val="20"/>
                <w:color w:val="auto"/>
              </w:rPr>
            </w:pPr>
            <w:r>
              <w:rPr>
                <w:rFonts w:ascii="Arial" w:cs="Arial" w:eastAsia="Arial" w:hAnsi="Arial"/>
                <w:sz w:val="15"/>
                <w:szCs w:val="15"/>
                <w:b w:val="1"/>
                <w:bCs w:val="1"/>
                <w:color w:val="auto"/>
              </w:rPr>
              <w:t>Attractive Industry</w:t>
            </w:r>
          </w:p>
        </w:tc>
        <w:tc>
          <w:tcPr>
            <w:tcW w:w="2300" w:type="dxa"/>
            <w:vAlign w:val="bottom"/>
            <w:tcBorders>
              <w:right w:val="single" w:sz="8" w:color="CCCCCC"/>
            </w:tcBorders>
            <w:gridSpan w:val="2"/>
            <w:shd w:val="clear" w:color="auto" w:fill="CCCCCC"/>
          </w:tcPr>
          <w:p>
            <w:pPr>
              <w:ind w:left="100"/>
              <w:spacing w:after="0"/>
              <w:rPr>
                <w:sz w:val="20"/>
                <w:szCs w:val="20"/>
                <w:color w:val="auto"/>
              </w:rPr>
            </w:pPr>
            <w:r>
              <w:rPr>
                <w:rFonts w:ascii="Arial" w:cs="Arial" w:eastAsia="Arial" w:hAnsi="Arial"/>
                <w:sz w:val="15"/>
                <w:szCs w:val="15"/>
                <w:b w:val="1"/>
                <w:bCs w:val="1"/>
                <w:color w:val="auto"/>
              </w:rPr>
              <w:t>Balanced and Diversified</w:t>
            </w:r>
          </w:p>
        </w:tc>
        <w:tc>
          <w:tcPr>
            <w:tcW w:w="2300" w:type="dxa"/>
            <w:vAlign w:val="bottom"/>
            <w:tcBorders>
              <w:right w:val="single" w:sz="8" w:color="CCCCCC"/>
            </w:tcBorders>
            <w:gridSpan w:val="2"/>
            <w:vMerge w:val="restart"/>
            <w:shd w:val="clear" w:color="auto" w:fill="CCCCCC"/>
          </w:tcPr>
          <w:p>
            <w:pPr>
              <w:ind w:left="100"/>
              <w:spacing w:after="0"/>
              <w:rPr>
                <w:sz w:val="20"/>
                <w:szCs w:val="20"/>
                <w:color w:val="auto"/>
              </w:rPr>
            </w:pPr>
            <w:r>
              <w:rPr>
                <w:rFonts w:ascii="Arial" w:cs="Arial" w:eastAsia="Arial" w:hAnsi="Arial"/>
                <w:sz w:val="15"/>
                <w:szCs w:val="15"/>
                <w:b w:val="1"/>
                <w:bCs w:val="1"/>
                <w:color w:val="auto"/>
              </w:rPr>
              <w:t>Attractive Business Model</w:t>
            </w:r>
          </w:p>
        </w:tc>
        <w:tc>
          <w:tcPr>
            <w:tcW w:w="2320" w:type="dxa"/>
            <w:vAlign w:val="bottom"/>
            <w:tcBorders>
              <w:right w:val="single" w:sz="8" w:color="CCCCCC"/>
            </w:tcBorders>
            <w:gridSpan w:val="2"/>
            <w:shd w:val="clear" w:color="auto" w:fill="CCCCCC"/>
          </w:tcPr>
          <w:p>
            <w:pPr>
              <w:ind w:left="100"/>
              <w:spacing w:after="0"/>
              <w:rPr>
                <w:sz w:val="20"/>
                <w:szCs w:val="20"/>
                <w:color w:val="auto"/>
              </w:rPr>
            </w:pPr>
            <w:r>
              <w:rPr>
                <w:rFonts w:ascii="Arial" w:cs="Arial" w:eastAsia="Arial" w:hAnsi="Arial"/>
                <w:sz w:val="15"/>
                <w:szCs w:val="15"/>
                <w:b w:val="1"/>
                <w:bCs w:val="1"/>
                <w:color w:val="auto"/>
              </w:rPr>
              <w:t>Strong Competitive</w:t>
            </w:r>
          </w:p>
        </w:tc>
        <w:tc>
          <w:tcPr>
            <w:tcW w:w="2160" w:type="dxa"/>
            <w:vAlign w:val="bottom"/>
            <w:gridSpan w:val="2"/>
            <w:shd w:val="clear" w:color="auto" w:fill="CCCCCC"/>
          </w:tcPr>
          <w:p>
            <w:pPr>
              <w:ind w:left="80"/>
              <w:spacing w:after="0"/>
              <w:rPr>
                <w:sz w:val="20"/>
                <w:szCs w:val="20"/>
                <w:color w:val="auto"/>
              </w:rPr>
            </w:pPr>
            <w:r>
              <w:rPr>
                <w:rFonts w:ascii="Arial" w:cs="Arial" w:eastAsia="Arial" w:hAnsi="Arial"/>
                <w:sz w:val="15"/>
                <w:szCs w:val="15"/>
                <w:b w:val="1"/>
                <w:bCs w:val="1"/>
                <w:color w:val="auto"/>
              </w:rPr>
              <w:t>Disciplined Financial</w:t>
            </w:r>
          </w:p>
        </w:tc>
        <w:tc>
          <w:tcPr>
            <w:tcW w:w="0" w:type="dxa"/>
            <w:vAlign w:val="bottom"/>
          </w:tcPr>
          <w:p>
            <w:pPr>
              <w:spacing w:after="0"/>
              <w:rPr>
                <w:sz w:val="1"/>
                <w:szCs w:val="1"/>
                <w:color w:val="auto"/>
              </w:rPr>
            </w:pPr>
          </w:p>
        </w:tc>
      </w:tr>
      <w:tr>
        <w:trPr>
          <w:trHeight w:val="183"/>
        </w:trPr>
        <w:tc>
          <w:tcPr>
            <w:tcW w:w="1900" w:type="dxa"/>
            <w:vAlign w:val="bottom"/>
            <w:tcBorders>
              <w:bottom w:val="single" w:sz="8" w:color="D95A3B"/>
              <w:right w:val="single" w:sz="8" w:color="CCCCCC"/>
            </w:tcBorders>
            <w:vMerge w:val="continue"/>
            <w:shd w:val="clear" w:color="auto" w:fill="CCCCCC"/>
          </w:tcPr>
          <w:p>
            <w:pPr>
              <w:spacing w:after="0"/>
              <w:rPr>
                <w:sz w:val="15"/>
                <w:szCs w:val="15"/>
                <w:color w:val="auto"/>
              </w:rPr>
            </w:pPr>
          </w:p>
        </w:tc>
        <w:tc>
          <w:tcPr>
            <w:tcW w:w="2300" w:type="dxa"/>
            <w:vAlign w:val="bottom"/>
            <w:tcBorders>
              <w:bottom w:val="single" w:sz="8" w:color="D95A3B"/>
              <w:right w:val="single" w:sz="8" w:color="CCCCCC"/>
            </w:tcBorders>
            <w:gridSpan w:val="2"/>
            <w:shd w:val="clear" w:color="auto" w:fill="CCCCCC"/>
          </w:tcPr>
          <w:p>
            <w:pPr>
              <w:ind w:left="100"/>
              <w:spacing w:after="0"/>
              <w:rPr>
                <w:sz w:val="20"/>
                <w:szCs w:val="20"/>
                <w:color w:val="auto"/>
              </w:rPr>
            </w:pPr>
            <w:r>
              <w:rPr>
                <w:rFonts w:ascii="Arial" w:cs="Arial" w:eastAsia="Arial" w:hAnsi="Arial"/>
                <w:sz w:val="15"/>
                <w:szCs w:val="15"/>
                <w:b w:val="1"/>
                <w:bCs w:val="1"/>
                <w:color w:val="auto"/>
              </w:rPr>
              <w:t>Leadership</w:t>
            </w:r>
          </w:p>
        </w:tc>
        <w:tc>
          <w:tcPr>
            <w:tcW w:w="2300" w:type="dxa"/>
            <w:vAlign w:val="bottom"/>
            <w:tcBorders>
              <w:bottom w:val="single" w:sz="8" w:color="D95A3B"/>
              <w:right w:val="single" w:sz="8" w:color="CCCCCC"/>
            </w:tcBorders>
            <w:gridSpan w:val="2"/>
            <w:vMerge w:val="continue"/>
            <w:shd w:val="clear" w:color="auto" w:fill="CCCCCC"/>
          </w:tcPr>
          <w:p>
            <w:pPr>
              <w:spacing w:after="0"/>
              <w:rPr>
                <w:sz w:val="15"/>
                <w:szCs w:val="15"/>
                <w:color w:val="auto"/>
              </w:rPr>
            </w:pPr>
          </w:p>
        </w:tc>
        <w:tc>
          <w:tcPr>
            <w:tcW w:w="2320" w:type="dxa"/>
            <w:vAlign w:val="bottom"/>
            <w:tcBorders>
              <w:bottom w:val="single" w:sz="8" w:color="D95A3B"/>
              <w:right w:val="single" w:sz="8" w:color="CCCCCC"/>
            </w:tcBorders>
            <w:gridSpan w:val="2"/>
            <w:shd w:val="clear" w:color="auto" w:fill="CCCCCC"/>
          </w:tcPr>
          <w:p>
            <w:pPr>
              <w:ind w:left="100"/>
              <w:spacing w:after="0"/>
              <w:rPr>
                <w:sz w:val="20"/>
                <w:szCs w:val="20"/>
                <w:color w:val="auto"/>
              </w:rPr>
            </w:pPr>
            <w:r>
              <w:rPr>
                <w:rFonts w:ascii="Arial" w:cs="Arial" w:eastAsia="Arial" w:hAnsi="Arial"/>
                <w:sz w:val="15"/>
                <w:szCs w:val="15"/>
                <w:b w:val="1"/>
                <w:bCs w:val="1"/>
                <w:color w:val="auto"/>
              </w:rPr>
              <w:t>Positioning</w:t>
            </w:r>
          </w:p>
        </w:tc>
        <w:tc>
          <w:tcPr>
            <w:tcW w:w="2160" w:type="dxa"/>
            <w:vAlign w:val="bottom"/>
            <w:tcBorders>
              <w:bottom w:val="single" w:sz="8" w:color="D95A3B"/>
            </w:tcBorders>
            <w:gridSpan w:val="2"/>
            <w:shd w:val="clear" w:color="auto" w:fill="CCCCCC"/>
          </w:tcPr>
          <w:p>
            <w:pPr>
              <w:ind w:left="80"/>
              <w:spacing w:after="0"/>
              <w:rPr>
                <w:sz w:val="20"/>
                <w:szCs w:val="20"/>
                <w:color w:val="auto"/>
              </w:rPr>
            </w:pPr>
            <w:r>
              <w:rPr>
                <w:rFonts w:ascii="Arial" w:cs="Arial" w:eastAsia="Arial" w:hAnsi="Arial"/>
                <w:sz w:val="15"/>
                <w:szCs w:val="15"/>
                <w:b w:val="1"/>
                <w:bCs w:val="1"/>
                <w:color w:val="auto"/>
              </w:rPr>
              <w:t>Policies</w:t>
            </w:r>
          </w:p>
        </w:tc>
        <w:tc>
          <w:tcPr>
            <w:tcW w:w="0" w:type="dxa"/>
            <w:vAlign w:val="bottom"/>
          </w:tcPr>
          <w:p>
            <w:pPr>
              <w:spacing w:after="0"/>
              <w:rPr>
                <w:sz w:val="1"/>
                <w:szCs w:val="1"/>
                <w:color w:val="auto"/>
              </w:rPr>
            </w:pPr>
          </w:p>
        </w:tc>
      </w:tr>
      <w:tr>
        <w:trPr>
          <w:trHeight w:val="184"/>
        </w:trPr>
        <w:tc>
          <w:tcPr>
            <w:tcW w:w="1900" w:type="dxa"/>
            <w:vAlign w:val="bottom"/>
            <w:tcBorders>
              <w:right w:val="single" w:sz="8" w:color="AFAFAF"/>
            </w:tcBorders>
          </w:tcPr>
          <w:p>
            <w:pPr>
              <w:spacing w:after="0" w:line="184" w:lineRule="exact"/>
              <w:rPr>
                <w:sz w:val="20"/>
                <w:szCs w:val="20"/>
                <w:color w:val="auto"/>
              </w:rPr>
            </w:pPr>
            <w:r>
              <w:rPr>
                <w:rFonts w:ascii="Arial" w:cs="Arial" w:eastAsia="Arial" w:hAnsi="Arial"/>
                <w:sz w:val="18"/>
                <w:szCs w:val="18"/>
                <w:color w:val="D95A3B"/>
                <w:vertAlign w:val="superscript"/>
              </w:rPr>
              <w:t>·</w:t>
            </w:r>
            <w:r>
              <w:rPr>
                <w:rFonts w:ascii="Arial" w:cs="Arial" w:eastAsia="Arial" w:hAnsi="Arial"/>
                <w:sz w:val="16"/>
                <w:szCs w:val="16"/>
                <w:color w:val="auto"/>
              </w:rPr>
              <w:t xml:space="preserve">   Customer segments</w:t>
            </w:r>
          </w:p>
        </w:tc>
        <w:tc>
          <w:tcPr>
            <w:tcW w:w="180" w:type="dxa"/>
            <w:vAlign w:val="bottom"/>
          </w:tcPr>
          <w:p>
            <w:pPr>
              <w:ind w:left="100"/>
              <w:spacing w:after="0"/>
              <w:rPr>
                <w:sz w:val="20"/>
                <w:szCs w:val="20"/>
                <w:color w:val="auto"/>
              </w:rPr>
            </w:pPr>
            <w:r>
              <w:rPr>
                <w:rFonts w:ascii="Arial" w:cs="Arial" w:eastAsia="Arial" w:hAnsi="Arial"/>
                <w:sz w:val="9"/>
                <w:szCs w:val="9"/>
                <w:color w:val="D95A3B"/>
              </w:rPr>
              <w:t>·</w:t>
            </w:r>
          </w:p>
        </w:tc>
        <w:tc>
          <w:tcPr>
            <w:tcW w:w="2120" w:type="dxa"/>
            <w:vAlign w:val="bottom"/>
            <w:tcBorders>
              <w:right w:val="single" w:sz="8" w:color="AFAFAF"/>
            </w:tcBorders>
          </w:tcPr>
          <w:p>
            <w:pPr>
              <w:ind w:left="80"/>
              <w:spacing w:after="0"/>
              <w:rPr>
                <w:sz w:val="20"/>
                <w:szCs w:val="20"/>
                <w:color w:val="auto"/>
              </w:rPr>
            </w:pPr>
            <w:r>
              <w:rPr>
                <w:rFonts w:ascii="Arial" w:cs="Arial" w:eastAsia="Arial" w:hAnsi="Arial"/>
                <w:sz w:val="16"/>
                <w:szCs w:val="16"/>
                <w:color w:val="auto"/>
              </w:rPr>
              <w:t>A leader in key Legal</w:t>
            </w:r>
          </w:p>
        </w:tc>
        <w:tc>
          <w:tcPr>
            <w:tcW w:w="200" w:type="dxa"/>
            <w:vAlign w:val="bottom"/>
          </w:tcPr>
          <w:p>
            <w:pPr>
              <w:ind w:left="100"/>
              <w:spacing w:after="0"/>
              <w:rPr>
                <w:sz w:val="20"/>
                <w:szCs w:val="20"/>
                <w:color w:val="auto"/>
              </w:rPr>
            </w:pPr>
            <w:r>
              <w:rPr>
                <w:rFonts w:ascii="Arial" w:cs="Arial" w:eastAsia="Arial" w:hAnsi="Arial"/>
                <w:sz w:val="9"/>
                <w:szCs w:val="9"/>
                <w:color w:val="D95A3B"/>
              </w:rPr>
              <w:t>·</w:t>
            </w:r>
          </w:p>
        </w:tc>
        <w:tc>
          <w:tcPr>
            <w:tcW w:w="2100" w:type="dxa"/>
            <w:vAlign w:val="bottom"/>
            <w:tcBorders>
              <w:right w:val="single" w:sz="8" w:color="AFAFAF"/>
            </w:tcBorders>
          </w:tcPr>
          <w:p>
            <w:pPr>
              <w:ind w:left="60"/>
              <w:spacing w:after="0"/>
              <w:rPr>
                <w:sz w:val="20"/>
                <w:szCs w:val="20"/>
                <w:color w:val="auto"/>
              </w:rPr>
            </w:pPr>
            <w:r>
              <w:rPr>
                <w:rFonts w:ascii="Arial" w:cs="Arial" w:eastAsia="Arial" w:hAnsi="Arial"/>
                <w:sz w:val="16"/>
                <w:szCs w:val="16"/>
                <w:color w:val="auto"/>
              </w:rPr>
              <w:t>75% of revenues are</w:t>
            </w:r>
          </w:p>
        </w:tc>
        <w:tc>
          <w:tcPr>
            <w:tcW w:w="200" w:type="dxa"/>
            <w:vAlign w:val="bottom"/>
          </w:tcPr>
          <w:p>
            <w:pPr>
              <w:ind w:left="100"/>
              <w:spacing w:after="0"/>
              <w:rPr>
                <w:sz w:val="20"/>
                <w:szCs w:val="20"/>
                <w:color w:val="auto"/>
              </w:rPr>
            </w:pPr>
            <w:r>
              <w:rPr>
                <w:rFonts w:ascii="Arial" w:cs="Arial" w:eastAsia="Arial" w:hAnsi="Arial"/>
                <w:sz w:val="9"/>
                <w:szCs w:val="9"/>
                <w:color w:val="D95A3B"/>
              </w:rPr>
              <w:t>·</w:t>
            </w:r>
          </w:p>
        </w:tc>
        <w:tc>
          <w:tcPr>
            <w:tcW w:w="2120" w:type="dxa"/>
            <w:vAlign w:val="bottom"/>
            <w:tcBorders>
              <w:right w:val="single" w:sz="8" w:color="AFAFAF"/>
            </w:tcBorders>
          </w:tcPr>
          <w:p>
            <w:pPr>
              <w:ind w:left="60"/>
              <w:spacing w:after="0"/>
              <w:rPr>
                <w:sz w:val="20"/>
                <w:szCs w:val="20"/>
                <w:color w:val="auto"/>
              </w:rPr>
            </w:pPr>
            <w:r>
              <w:rPr>
                <w:rFonts w:ascii="Arial" w:cs="Arial" w:eastAsia="Arial" w:hAnsi="Arial"/>
                <w:sz w:val="16"/>
                <w:szCs w:val="16"/>
                <w:color w:val="auto"/>
              </w:rPr>
              <w:t>Proprietary databases and</w:t>
            </w:r>
          </w:p>
        </w:tc>
        <w:tc>
          <w:tcPr>
            <w:tcW w:w="180" w:type="dxa"/>
            <w:vAlign w:val="bottom"/>
          </w:tcPr>
          <w:p>
            <w:pPr>
              <w:ind w:left="80"/>
              <w:spacing w:after="0"/>
              <w:rPr>
                <w:sz w:val="20"/>
                <w:szCs w:val="20"/>
                <w:color w:val="auto"/>
              </w:rPr>
            </w:pPr>
            <w:r>
              <w:rPr>
                <w:rFonts w:ascii="Arial" w:cs="Arial" w:eastAsia="Arial" w:hAnsi="Arial"/>
                <w:sz w:val="9"/>
                <w:szCs w:val="9"/>
                <w:color w:val="D95A3B"/>
              </w:rPr>
              <w:t>·</w:t>
            </w:r>
          </w:p>
        </w:tc>
        <w:tc>
          <w:tcPr>
            <w:tcW w:w="1980" w:type="dxa"/>
            <w:vAlign w:val="bottom"/>
          </w:tcPr>
          <w:p>
            <w:pPr>
              <w:ind w:left="60"/>
              <w:spacing w:after="0"/>
              <w:rPr>
                <w:sz w:val="20"/>
                <w:szCs w:val="20"/>
                <w:color w:val="auto"/>
              </w:rPr>
            </w:pPr>
            <w:r>
              <w:rPr>
                <w:rFonts w:ascii="Arial" w:cs="Arial" w:eastAsia="Arial" w:hAnsi="Arial"/>
                <w:sz w:val="16"/>
                <w:szCs w:val="16"/>
                <w:color w:val="auto"/>
              </w:rPr>
              <w:t>Focused on free cash flow</w:t>
            </w:r>
          </w:p>
        </w:tc>
        <w:tc>
          <w:tcPr>
            <w:tcW w:w="0" w:type="dxa"/>
            <w:vAlign w:val="bottom"/>
          </w:tcPr>
          <w:p>
            <w:pPr>
              <w:spacing w:after="0"/>
              <w:rPr>
                <w:sz w:val="1"/>
                <w:szCs w:val="1"/>
                <w:color w:val="auto"/>
              </w:rPr>
            </w:pPr>
          </w:p>
        </w:tc>
      </w:tr>
      <w:tr>
        <w:trPr>
          <w:trHeight w:val="188"/>
        </w:trPr>
        <w:tc>
          <w:tcPr>
            <w:tcW w:w="1900" w:type="dxa"/>
            <w:vAlign w:val="bottom"/>
            <w:tcBorders>
              <w:right w:val="single" w:sz="8" w:color="AFAFAF"/>
            </w:tcBorders>
          </w:tcPr>
          <w:p>
            <w:pPr>
              <w:ind w:left="220"/>
              <w:spacing w:after="0"/>
              <w:rPr>
                <w:sz w:val="20"/>
                <w:szCs w:val="20"/>
                <w:color w:val="auto"/>
              </w:rPr>
            </w:pPr>
            <w:r>
              <w:rPr>
                <w:rFonts w:ascii="Arial" w:cs="Arial" w:eastAsia="Arial" w:hAnsi="Arial"/>
                <w:sz w:val="16"/>
                <w:szCs w:val="16"/>
                <w:color w:val="auto"/>
              </w:rPr>
              <w:t>operate in an</w:t>
            </w:r>
          </w:p>
        </w:tc>
        <w:tc>
          <w:tcPr>
            <w:tcW w:w="180" w:type="dxa"/>
            <w:vAlign w:val="bottom"/>
          </w:tcPr>
          <w:p>
            <w:pPr>
              <w:spacing w:after="0"/>
              <w:rPr>
                <w:sz w:val="16"/>
                <w:szCs w:val="16"/>
                <w:color w:val="auto"/>
              </w:rPr>
            </w:pPr>
          </w:p>
        </w:tc>
        <w:tc>
          <w:tcPr>
            <w:tcW w:w="2120" w:type="dxa"/>
            <w:vAlign w:val="bottom"/>
            <w:tcBorders>
              <w:right w:val="single" w:sz="8" w:color="AFAFAF"/>
            </w:tcBorders>
          </w:tcPr>
          <w:p>
            <w:pPr>
              <w:ind w:left="120"/>
              <w:spacing w:after="0"/>
              <w:rPr>
                <w:sz w:val="20"/>
                <w:szCs w:val="20"/>
                <w:color w:val="auto"/>
              </w:rPr>
            </w:pPr>
            <w:r>
              <w:rPr>
                <w:rFonts w:ascii="Arial" w:cs="Arial" w:eastAsia="Arial" w:hAnsi="Arial"/>
                <w:sz w:val="16"/>
                <w:szCs w:val="16"/>
                <w:color w:val="auto"/>
              </w:rPr>
              <w:t>Professionals, Corporates</w:t>
            </w:r>
          </w:p>
        </w:tc>
        <w:tc>
          <w:tcPr>
            <w:tcW w:w="200" w:type="dxa"/>
            <w:vAlign w:val="bottom"/>
          </w:tcPr>
          <w:p>
            <w:pPr>
              <w:spacing w:after="0"/>
              <w:rPr>
                <w:sz w:val="16"/>
                <w:szCs w:val="16"/>
                <w:color w:val="auto"/>
              </w:rPr>
            </w:pPr>
          </w:p>
        </w:tc>
        <w:tc>
          <w:tcPr>
            <w:tcW w:w="2100" w:type="dxa"/>
            <w:vAlign w:val="bottom"/>
            <w:tcBorders>
              <w:right w:val="single" w:sz="8" w:color="AFAFAF"/>
            </w:tcBorders>
          </w:tcPr>
          <w:p>
            <w:pPr>
              <w:ind w:left="120"/>
              <w:spacing w:after="0"/>
              <w:rPr>
                <w:sz w:val="20"/>
                <w:szCs w:val="20"/>
                <w:color w:val="auto"/>
              </w:rPr>
            </w:pPr>
            <w:r>
              <w:rPr>
                <w:rFonts w:ascii="Arial" w:cs="Arial" w:eastAsia="Arial" w:hAnsi="Arial"/>
                <w:sz w:val="16"/>
                <w:szCs w:val="16"/>
                <w:color w:val="auto"/>
              </w:rPr>
              <w:t>recurring</w:t>
            </w:r>
          </w:p>
        </w:tc>
        <w:tc>
          <w:tcPr>
            <w:tcW w:w="200" w:type="dxa"/>
            <w:vAlign w:val="bottom"/>
          </w:tcPr>
          <w:p>
            <w:pPr>
              <w:spacing w:after="0"/>
              <w:rPr>
                <w:sz w:val="16"/>
                <w:szCs w:val="16"/>
                <w:color w:val="auto"/>
              </w:rPr>
            </w:pPr>
          </w:p>
        </w:tc>
        <w:tc>
          <w:tcPr>
            <w:tcW w:w="2120" w:type="dxa"/>
            <w:vAlign w:val="bottom"/>
            <w:tcBorders>
              <w:right w:val="single" w:sz="8" w:color="AFAFAF"/>
            </w:tcBorders>
          </w:tcPr>
          <w:p>
            <w:pPr>
              <w:ind w:left="120"/>
              <w:spacing w:after="0"/>
              <w:rPr>
                <w:sz w:val="20"/>
                <w:szCs w:val="20"/>
                <w:color w:val="auto"/>
              </w:rPr>
            </w:pPr>
            <w:r>
              <w:rPr>
                <w:rFonts w:ascii="Arial" w:cs="Arial" w:eastAsia="Arial" w:hAnsi="Arial"/>
                <w:sz w:val="16"/>
                <w:szCs w:val="16"/>
                <w:color w:val="auto"/>
              </w:rPr>
              <w:t>deeply embedded workflow</w:t>
            </w:r>
          </w:p>
        </w:tc>
        <w:tc>
          <w:tcPr>
            <w:tcW w:w="180" w:type="dxa"/>
            <w:vAlign w:val="bottom"/>
          </w:tcPr>
          <w:p>
            <w:pPr>
              <w:spacing w:after="0"/>
              <w:rPr>
                <w:sz w:val="16"/>
                <w:szCs w:val="16"/>
                <w:color w:val="auto"/>
              </w:rPr>
            </w:pPr>
          </w:p>
        </w:tc>
        <w:tc>
          <w:tcPr>
            <w:tcW w:w="1980" w:type="dxa"/>
            <w:vAlign w:val="bottom"/>
          </w:tcPr>
          <w:p>
            <w:pPr>
              <w:ind w:left="120"/>
              <w:spacing w:after="0"/>
              <w:rPr>
                <w:sz w:val="20"/>
                <w:szCs w:val="20"/>
                <w:color w:val="auto"/>
              </w:rPr>
            </w:pPr>
            <w:r>
              <w:rPr>
                <w:rFonts w:ascii="Arial" w:cs="Arial" w:eastAsia="Arial" w:hAnsi="Arial"/>
                <w:sz w:val="16"/>
                <w:szCs w:val="16"/>
                <w:color w:val="auto"/>
              </w:rPr>
              <w:t>growth</w:t>
            </w:r>
          </w:p>
        </w:tc>
        <w:tc>
          <w:tcPr>
            <w:tcW w:w="0" w:type="dxa"/>
            <w:vAlign w:val="bottom"/>
          </w:tcPr>
          <w:p>
            <w:pPr>
              <w:spacing w:after="0"/>
              <w:rPr>
                <w:sz w:val="1"/>
                <w:szCs w:val="1"/>
                <w:color w:val="auto"/>
              </w:rPr>
            </w:pPr>
          </w:p>
        </w:tc>
      </w:tr>
      <w:tr>
        <w:trPr>
          <w:trHeight w:val="227"/>
        </w:trPr>
        <w:tc>
          <w:tcPr>
            <w:tcW w:w="1900" w:type="dxa"/>
            <w:vAlign w:val="bottom"/>
            <w:tcBorders>
              <w:right w:val="single" w:sz="8" w:color="AFAFAF"/>
            </w:tcBorders>
          </w:tcPr>
          <w:p>
            <w:pPr>
              <w:ind w:left="220"/>
              <w:spacing w:after="0"/>
              <w:rPr>
                <w:sz w:val="20"/>
                <w:szCs w:val="20"/>
                <w:color w:val="auto"/>
              </w:rPr>
            </w:pPr>
            <w:r>
              <w:rPr>
                <w:rFonts w:ascii="Arial" w:cs="Arial" w:eastAsia="Arial" w:hAnsi="Arial"/>
                <w:sz w:val="16"/>
                <w:szCs w:val="16"/>
                <w:color w:val="auto"/>
              </w:rPr>
              <w:t>estimated $32 billion</w:t>
            </w:r>
          </w:p>
        </w:tc>
        <w:tc>
          <w:tcPr>
            <w:tcW w:w="180" w:type="dxa"/>
            <w:vAlign w:val="bottom"/>
          </w:tcPr>
          <w:p>
            <w:pPr>
              <w:spacing w:after="0"/>
              <w:rPr>
                <w:sz w:val="19"/>
                <w:szCs w:val="19"/>
                <w:color w:val="auto"/>
              </w:rPr>
            </w:pPr>
          </w:p>
        </w:tc>
        <w:tc>
          <w:tcPr>
            <w:tcW w:w="2120" w:type="dxa"/>
            <w:vAlign w:val="bottom"/>
            <w:tcBorders>
              <w:right w:val="single" w:sz="8" w:color="AFAFAF"/>
            </w:tcBorders>
          </w:tcPr>
          <w:p>
            <w:pPr>
              <w:ind w:left="120"/>
              <w:spacing w:after="0"/>
              <w:rPr>
                <w:sz w:val="20"/>
                <w:szCs w:val="20"/>
                <w:color w:val="auto"/>
              </w:rPr>
            </w:pPr>
            <w:r>
              <w:rPr>
                <w:rFonts w:ascii="Arial" w:cs="Arial" w:eastAsia="Arial" w:hAnsi="Arial"/>
                <w:sz w:val="16"/>
                <w:szCs w:val="16"/>
                <w:color w:val="auto"/>
              </w:rPr>
              <w:t>and Tax Professionals</w:t>
            </w:r>
          </w:p>
        </w:tc>
        <w:tc>
          <w:tcPr>
            <w:tcW w:w="200" w:type="dxa"/>
            <w:vAlign w:val="bottom"/>
          </w:tcPr>
          <w:p>
            <w:pPr>
              <w:ind w:left="100"/>
              <w:spacing w:after="0"/>
              <w:rPr>
                <w:sz w:val="20"/>
                <w:szCs w:val="20"/>
                <w:color w:val="auto"/>
              </w:rPr>
            </w:pPr>
            <w:r>
              <w:rPr>
                <w:rFonts w:ascii="Arial" w:cs="Arial" w:eastAsia="Arial" w:hAnsi="Arial"/>
                <w:sz w:val="9"/>
                <w:szCs w:val="9"/>
                <w:color w:val="D95A3B"/>
              </w:rPr>
              <w:t>·</w:t>
            </w:r>
          </w:p>
        </w:tc>
        <w:tc>
          <w:tcPr>
            <w:tcW w:w="2100" w:type="dxa"/>
            <w:vAlign w:val="bottom"/>
            <w:tcBorders>
              <w:right w:val="single" w:sz="8" w:color="AFAFAF"/>
            </w:tcBorders>
          </w:tcPr>
          <w:p>
            <w:pPr>
              <w:ind w:left="60"/>
              <w:spacing w:after="0"/>
              <w:rPr>
                <w:sz w:val="20"/>
                <w:szCs w:val="20"/>
                <w:color w:val="auto"/>
              </w:rPr>
            </w:pPr>
            <w:r>
              <w:rPr>
                <w:rFonts w:ascii="Arial" w:cs="Arial" w:eastAsia="Arial" w:hAnsi="Arial"/>
                <w:sz w:val="16"/>
                <w:szCs w:val="16"/>
                <w:color w:val="auto"/>
              </w:rPr>
              <w:t>87% of total revenues are</w:t>
            </w:r>
          </w:p>
        </w:tc>
        <w:tc>
          <w:tcPr>
            <w:tcW w:w="200" w:type="dxa"/>
            <w:vAlign w:val="bottom"/>
          </w:tcPr>
          <w:p>
            <w:pPr>
              <w:spacing w:after="0"/>
              <w:rPr>
                <w:sz w:val="19"/>
                <w:szCs w:val="19"/>
                <w:color w:val="auto"/>
              </w:rPr>
            </w:pPr>
          </w:p>
        </w:tc>
        <w:tc>
          <w:tcPr>
            <w:tcW w:w="2120" w:type="dxa"/>
            <w:vAlign w:val="bottom"/>
            <w:tcBorders>
              <w:right w:val="single" w:sz="8" w:color="AFAFAF"/>
            </w:tcBorders>
          </w:tcPr>
          <w:p>
            <w:pPr>
              <w:ind w:left="120"/>
              <w:spacing w:after="0"/>
              <w:rPr>
                <w:sz w:val="20"/>
                <w:szCs w:val="20"/>
                <w:color w:val="auto"/>
              </w:rPr>
            </w:pPr>
            <w:r>
              <w:rPr>
                <w:rFonts w:ascii="Arial" w:cs="Arial" w:eastAsia="Arial" w:hAnsi="Arial"/>
                <w:sz w:val="16"/>
                <w:szCs w:val="16"/>
                <w:color w:val="auto"/>
              </w:rPr>
              <w:t>tools and analytics</w:t>
            </w:r>
          </w:p>
        </w:tc>
        <w:tc>
          <w:tcPr>
            <w:tcW w:w="180" w:type="dxa"/>
            <w:vAlign w:val="bottom"/>
          </w:tcPr>
          <w:p>
            <w:pPr>
              <w:ind w:left="80"/>
              <w:spacing w:after="0"/>
              <w:rPr>
                <w:sz w:val="20"/>
                <w:szCs w:val="20"/>
                <w:color w:val="auto"/>
              </w:rPr>
            </w:pPr>
            <w:r>
              <w:rPr>
                <w:rFonts w:ascii="Arial" w:cs="Arial" w:eastAsia="Arial" w:hAnsi="Arial"/>
                <w:sz w:val="9"/>
                <w:szCs w:val="9"/>
                <w:color w:val="D95A3B"/>
              </w:rPr>
              <w:t>·</w:t>
            </w:r>
          </w:p>
        </w:tc>
        <w:tc>
          <w:tcPr>
            <w:tcW w:w="1980" w:type="dxa"/>
            <w:vAlign w:val="bottom"/>
          </w:tcPr>
          <w:p>
            <w:pPr>
              <w:ind w:left="60"/>
              <w:spacing w:after="0"/>
              <w:rPr>
                <w:sz w:val="20"/>
                <w:szCs w:val="20"/>
                <w:color w:val="auto"/>
              </w:rPr>
            </w:pPr>
            <w:r>
              <w:rPr>
                <w:rFonts w:ascii="Arial" w:cs="Arial" w:eastAsia="Arial" w:hAnsi="Arial"/>
                <w:sz w:val="16"/>
                <w:szCs w:val="16"/>
                <w:color w:val="auto"/>
              </w:rPr>
              <w:t>Balance investing in</w:t>
            </w:r>
          </w:p>
        </w:tc>
        <w:tc>
          <w:tcPr>
            <w:tcW w:w="0" w:type="dxa"/>
            <w:vAlign w:val="bottom"/>
          </w:tcPr>
          <w:p>
            <w:pPr>
              <w:spacing w:after="0"/>
              <w:rPr>
                <w:sz w:val="1"/>
                <w:szCs w:val="1"/>
                <w:color w:val="auto"/>
              </w:rPr>
            </w:pPr>
          </w:p>
        </w:tc>
      </w:tr>
      <w:tr>
        <w:trPr>
          <w:trHeight w:val="188"/>
        </w:trPr>
        <w:tc>
          <w:tcPr>
            <w:tcW w:w="1900" w:type="dxa"/>
            <w:vAlign w:val="bottom"/>
            <w:tcBorders>
              <w:right w:val="single" w:sz="8" w:color="AFAFAF"/>
            </w:tcBorders>
          </w:tcPr>
          <w:p>
            <w:pPr>
              <w:ind w:left="220"/>
              <w:spacing w:after="0"/>
              <w:rPr>
                <w:sz w:val="20"/>
                <w:szCs w:val="20"/>
                <w:color w:val="auto"/>
              </w:rPr>
            </w:pPr>
            <w:r>
              <w:rPr>
                <w:rFonts w:ascii="Arial" w:cs="Arial" w:eastAsia="Arial" w:hAnsi="Arial"/>
                <w:sz w:val="16"/>
                <w:szCs w:val="16"/>
                <w:color w:val="auto"/>
              </w:rPr>
              <w:t>market segment which</w:t>
            </w:r>
          </w:p>
        </w:tc>
        <w:tc>
          <w:tcPr>
            <w:tcW w:w="180" w:type="dxa"/>
            <w:vAlign w:val="bottom"/>
          </w:tcPr>
          <w:p>
            <w:pPr>
              <w:spacing w:after="0"/>
              <w:rPr>
                <w:sz w:val="16"/>
                <w:szCs w:val="16"/>
                <w:color w:val="auto"/>
              </w:rPr>
            </w:pPr>
          </w:p>
        </w:tc>
        <w:tc>
          <w:tcPr>
            <w:tcW w:w="2120" w:type="dxa"/>
            <w:vAlign w:val="bottom"/>
            <w:tcBorders>
              <w:right w:val="single" w:sz="8" w:color="AFAFAF"/>
            </w:tcBorders>
          </w:tcPr>
          <w:p>
            <w:pPr>
              <w:ind w:left="120"/>
              <w:spacing w:after="0"/>
              <w:rPr>
                <w:sz w:val="20"/>
                <w:szCs w:val="20"/>
                <w:color w:val="auto"/>
              </w:rPr>
            </w:pPr>
            <w:r>
              <w:rPr>
                <w:rFonts w:ascii="Arial" w:cs="Arial" w:eastAsia="Arial" w:hAnsi="Arial"/>
                <w:sz w:val="16"/>
                <w:szCs w:val="16"/>
                <w:color w:val="auto"/>
              </w:rPr>
              <w:t>market segments</w:t>
            </w:r>
          </w:p>
        </w:tc>
        <w:tc>
          <w:tcPr>
            <w:tcW w:w="200" w:type="dxa"/>
            <w:vAlign w:val="bottom"/>
          </w:tcPr>
          <w:p>
            <w:pPr>
              <w:spacing w:after="0"/>
              <w:rPr>
                <w:sz w:val="16"/>
                <w:szCs w:val="16"/>
                <w:color w:val="auto"/>
              </w:rPr>
            </w:pPr>
          </w:p>
        </w:tc>
        <w:tc>
          <w:tcPr>
            <w:tcW w:w="2100" w:type="dxa"/>
            <w:vAlign w:val="bottom"/>
            <w:tcBorders>
              <w:right w:val="single" w:sz="8" w:color="AFAFAF"/>
            </w:tcBorders>
          </w:tcPr>
          <w:p>
            <w:pPr>
              <w:ind w:left="120"/>
              <w:spacing w:after="0"/>
              <w:rPr>
                <w:sz w:val="20"/>
                <w:szCs w:val="20"/>
                <w:color w:val="auto"/>
              </w:rPr>
            </w:pPr>
            <w:r>
              <w:rPr>
                <w:rFonts w:ascii="Arial" w:cs="Arial" w:eastAsia="Arial" w:hAnsi="Arial"/>
                <w:sz w:val="16"/>
                <w:szCs w:val="16"/>
                <w:color w:val="auto"/>
              </w:rPr>
              <w:t>delivered electronically or</w:t>
            </w:r>
          </w:p>
        </w:tc>
        <w:tc>
          <w:tcPr>
            <w:tcW w:w="200" w:type="dxa"/>
            <w:vAlign w:val="bottom"/>
          </w:tcPr>
          <w:p>
            <w:pPr>
              <w:ind w:left="100"/>
              <w:spacing w:after="0"/>
              <w:rPr>
                <w:sz w:val="20"/>
                <w:szCs w:val="20"/>
                <w:color w:val="auto"/>
              </w:rPr>
            </w:pPr>
            <w:r>
              <w:rPr>
                <w:rFonts w:ascii="Arial" w:cs="Arial" w:eastAsia="Arial" w:hAnsi="Arial"/>
                <w:sz w:val="9"/>
                <w:szCs w:val="9"/>
                <w:color w:val="D95A3B"/>
              </w:rPr>
              <w:t>·</w:t>
            </w:r>
          </w:p>
        </w:tc>
        <w:tc>
          <w:tcPr>
            <w:tcW w:w="2120" w:type="dxa"/>
            <w:vAlign w:val="bottom"/>
            <w:tcBorders>
              <w:right w:val="single" w:sz="8" w:color="AFAFAF"/>
            </w:tcBorders>
          </w:tcPr>
          <w:p>
            <w:pPr>
              <w:ind w:left="60"/>
              <w:spacing w:after="0"/>
              <w:rPr>
                <w:sz w:val="20"/>
                <w:szCs w:val="20"/>
                <w:color w:val="auto"/>
              </w:rPr>
            </w:pPr>
            <w:r>
              <w:rPr>
                <w:rFonts w:ascii="Arial" w:cs="Arial" w:eastAsia="Arial" w:hAnsi="Arial"/>
                <w:sz w:val="16"/>
                <w:szCs w:val="16"/>
                <w:color w:val="auto"/>
              </w:rPr>
              <w:t>Technology and operating</w:t>
            </w:r>
          </w:p>
        </w:tc>
        <w:tc>
          <w:tcPr>
            <w:tcW w:w="180" w:type="dxa"/>
            <w:vAlign w:val="bottom"/>
          </w:tcPr>
          <w:p>
            <w:pPr>
              <w:spacing w:after="0"/>
              <w:rPr>
                <w:sz w:val="16"/>
                <w:szCs w:val="16"/>
                <w:color w:val="auto"/>
              </w:rPr>
            </w:pPr>
          </w:p>
        </w:tc>
        <w:tc>
          <w:tcPr>
            <w:tcW w:w="1980" w:type="dxa"/>
            <w:vAlign w:val="bottom"/>
          </w:tcPr>
          <w:p>
            <w:pPr>
              <w:ind w:left="120"/>
              <w:spacing w:after="0"/>
              <w:rPr>
                <w:sz w:val="20"/>
                <w:szCs w:val="20"/>
                <w:color w:val="auto"/>
              </w:rPr>
            </w:pPr>
            <w:r>
              <w:rPr>
                <w:rFonts w:ascii="Arial" w:cs="Arial" w:eastAsia="Arial" w:hAnsi="Arial"/>
                <w:sz w:val="16"/>
                <w:szCs w:val="16"/>
                <w:color w:val="auto"/>
              </w:rPr>
              <w:t>business and returning</w:t>
            </w:r>
          </w:p>
        </w:tc>
        <w:tc>
          <w:tcPr>
            <w:tcW w:w="0" w:type="dxa"/>
            <w:vAlign w:val="bottom"/>
          </w:tcPr>
          <w:p>
            <w:pPr>
              <w:spacing w:after="0"/>
              <w:rPr>
                <w:sz w:val="1"/>
                <w:szCs w:val="1"/>
                <w:color w:val="auto"/>
              </w:rPr>
            </w:pPr>
          </w:p>
        </w:tc>
      </w:tr>
      <w:tr>
        <w:trPr>
          <w:trHeight w:val="188"/>
        </w:trPr>
        <w:tc>
          <w:tcPr>
            <w:tcW w:w="1900" w:type="dxa"/>
            <w:vAlign w:val="bottom"/>
            <w:tcBorders>
              <w:right w:val="single" w:sz="8" w:color="AFAFAF"/>
            </w:tcBorders>
          </w:tcPr>
          <w:p>
            <w:pPr>
              <w:ind w:left="220"/>
              <w:spacing w:after="0"/>
              <w:rPr>
                <w:sz w:val="20"/>
                <w:szCs w:val="20"/>
                <w:color w:val="auto"/>
              </w:rPr>
            </w:pPr>
            <w:r>
              <w:rPr>
                <w:rFonts w:ascii="Arial" w:cs="Arial" w:eastAsia="Arial" w:hAnsi="Arial"/>
                <w:sz w:val="16"/>
                <w:szCs w:val="16"/>
                <w:color w:val="auto"/>
              </w:rPr>
              <w:t>we estimate grew</w:t>
            </w:r>
          </w:p>
        </w:tc>
        <w:tc>
          <w:tcPr>
            <w:tcW w:w="180" w:type="dxa"/>
            <w:vAlign w:val="bottom"/>
          </w:tcPr>
          <w:p>
            <w:pPr>
              <w:ind w:left="100"/>
              <w:spacing w:after="0"/>
              <w:rPr>
                <w:sz w:val="20"/>
                <w:szCs w:val="20"/>
                <w:color w:val="auto"/>
              </w:rPr>
            </w:pPr>
            <w:r>
              <w:rPr>
                <w:rFonts w:ascii="Arial" w:cs="Arial" w:eastAsia="Arial" w:hAnsi="Arial"/>
                <w:sz w:val="9"/>
                <w:szCs w:val="9"/>
                <w:color w:val="D95A3B"/>
              </w:rPr>
              <w:t>·</w:t>
            </w:r>
          </w:p>
        </w:tc>
        <w:tc>
          <w:tcPr>
            <w:tcW w:w="2120" w:type="dxa"/>
            <w:vAlign w:val="bottom"/>
            <w:tcBorders>
              <w:right w:val="single" w:sz="8" w:color="AFAFAF"/>
            </w:tcBorders>
          </w:tcPr>
          <w:p>
            <w:pPr>
              <w:ind w:left="80"/>
              <w:spacing w:after="0"/>
              <w:rPr>
                <w:sz w:val="20"/>
                <w:szCs w:val="20"/>
                <w:color w:val="auto"/>
              </w:rPr>
            </w:pPr>
            <w:r>
              <w:rPr>
                <w:rFonts w:ascii="Arial" w:cs="Arial" w:eastAsia="Arial" w:hAnsi="Arial"/>
                <w:sz w:val="16"/>
                <w:szCs w:val="16"/>
                <w:color w:val="auto"/>
              </w:rPr>
              <w:t>Products and services</w:t>
            </w:r>
          </w:p>
        </w:tc>
        <w:tc>
          <w:tcPr>
            <w:tcW w:w="200" w:type="dxa"/>
            <w:vAlign w:val="bottom"/>
          </w:tcPr>
          <w:p>
            <w:pPr>
              <w:spacing w:after="0"/>
              <w:rPr>
                <w:sz w:val="16"/>
                <w:szCs w:val="16"/>
                <w:color w:val="auto"/>
              </w:rPr>
            </w:pPr>
          </w:p>
        </w:tc>
        <w:tc>
          <w:tcPr>
            <w:tcW w:w="2100" w:type="dxa"/>
            <w:vAlign w:val="bottom"/>
            <w:tcBorders>
              <w:right w:val="single" w:sz="8" w:color="AFAFAF"/>
            </w:tcBorders>
          </w:tcPr>
          <w:p>
            <w:pPr>
              <w:ind w:left="120"/>
              <w:spacing w:after="0"/>
              <w:rPr>
                <w:sz w:val="20"/>
                <w:szCs w:val="20"/>
                <w:color w:val="auto"/>
              </w:rPr>
            </w:pPr>
            <w:r>
              <w:rPr>
                <w:rFonts w:ascii="Arial" w:cs="Arial" w:eastAsia="Arial" w:hAnsi="Arial"/>
                <w:sz w:val="16"/>
                <w:szCs w:val="16"/>
                <w:color w:val="auto"/>
              </w:rPr>
              <w:t>as software as a service</w:t>
            </w:r>
          </w:p>
        </w:tc>
        <w:tc>
          <w:tcPr>
            <w:tcW w:w="200" w:type="dxa"/>
            <w:vAlign w:val="bottom"/>
          </w:tcPr>
          <w:p>
            <w:pPr>
              <w:spacing w:after="0"/>
              <w:rPr>
                <w:sz w:val="16"/>
                <w:szCs w:val="16"/>
                <w:color w:val="auto"/>
              </w:rPr>
            </w:pPr>
          </w:p>
        </w:tc>
        <w:tc>
          <w:tcPr>
            <w:tcW w:w="2120" w:type="dxa"/>
            <w:vAlign w:val="bottom"/>
            <w:tcBorders>
              <w:right w:val="single" w:sz="8" w:color="AFAFAF"/>
            </w:tcBorders>
          </w:tcPr>
          <w:p>
            <w:pPr>
              <w:ind w:left="120"/>
              <w:spacing w:after="0"/>
              <w:rPr>
                <w:sz w:val="20"/>
                <w:szCs w:val="20"/>
                <w:color w:val="auto"/>
              </w:rPr>
            </w:pPr>
            <w:r>
              <w:rPr>
                <w:rFonts w:ascii="Arial" w:cs="Arial" w:eastAsia="Arial" w:hAnsi="Arial"/>
                <w:sz w:val="16"/>
                <w:szCs w:val="16"/>
                <w:color w:val="auto"/>
              </w:rPr>
              <w:t>platforms built to address</w:t>
            </w:r>
          </w:p>
        </w:tc>
        <w:tc>
          <w:tcPr>
            <w:tcW w:w="180" w:type="dxa"/>
            <w:vAlign w:val="bottom"/>
          </w:tcPr>
          <w:p>
            <w:pPr>
              <w:spacing w:after="0"/>
              <w:rPr>
                <w:sz w:val="16"/>
                <w:szCs w:val="16"/>
                <w:color w:val="auto"/>
              </w:rPr>
            </w:pPr>
          </w:p>
        </w:tc>
        <w:tc>
          <w:tcPr>
            <w:tcW w:w="1980" w:type="dxa"/>
            <w:vAlign w:val="bottom"/>
          </w:tcPr>
          <w:p>
            <w:pPr>
              <w:ind w:left="120"/>
              <w:spacing w:after="0"/>
              <w:rPr>
                <w:sz w:val="20"/>
                <w:szCs w:val="20"/>
                <w:color w:val="auto"/>
              </w:rPr>
            </w:pPr>
            <w:r>
              <w:rPr>
                <w:rFonts w:ascii="Arial" w:cs="Arial" w:eastAsia="Arial" w:hAnsi="Arial"/>
                <w:sz w:val="16"/>
                <w:szCs w:val="16"/>
                <w:color w:val="auto"/>
              </w:rPr>
              <w:t>capital to shareholders</w:t>
            </w:r>
          </w:p>
        </w:tc>
        <w:tc>
          <w:tcPr>
            <w:tcW w:w="0" w:type="dxa"/>
            <w:vAlign w:val="bottom"/>
          </w:tcPr>
          <w:p>
            <w:pPr>
              <w:spacing w:after="0"/>
              <w:rPr>
                <w:sz w:val="1"/>
                <w:szCs w:val="1"/>
                <w:color w:val="auto"/>
              </w:rPr>
            </w:pPr>
          </w:p>
        </w:tc>
      </w:tr>
      <w:tr>
        <w:trPr>
          <w:trHeight w:val="150"/>
        </w:trPr>
        <w:tc>
          <w:tcPr>
            <w:tcW w:w="1900" w:type="dxa"/>
            <w:vAlign w:val="bottom"/>
            <w:tcBorders>
              <w:right w:val="single" w:sz="8" w:color="AFAFAF"/>
            </w:tcBorders>
          </w:tcPr>
          <w:p>
            <w:pPr>
              <w:ind w:left="220"/>
              <w:spacing w:after="0" w:line="150" w:lineRule="exact"/>
              <w:rPr>
                <w:sz w:val="20"/>
                <w:szCs w:val="20"/>
                <w:color w:val="auto"/>
              </w:rPr>
            </w:pPr>
            <w:r>
              <w:rPr>
                <w:rFonts w:ascii="Arial" w:cs="Arial" w:eastAsia="Arial" w:hAnsi="Arial"/>
                <w:sz w:val="16"/>
                <w:szCs w:val="16"/>
                <w:color w:val="auto"/>
              </w:rPr>
              <w:t>mid-single digits in</w:t>
            </w:r>
          </w:p>
        </w:tc>
        <w:tc>
          <w:tcPr>
            <w:tcW w:w="180" w:type="dxa"/>
            <w:vAlign w:val="bottom"/>
          </w:tcPr>
          <w:p>
            <w:pPr>
              <w:spacing w:after="0"/>
              <w:rPr>
                <w:sz w:val="13"/>
                <w:szCs w:val="13"/>
                <w:color w:val="auto"/>
              </w:rPr>
            </w:pPr>
          </w:p>
        </w:tc>
        <w:tc>
          <w:tcPr>
            <w:tcW w:w="2120" w:type="dxa"/>
            <w:vAlign w:val="bottom"/>
            <w:tcBorders>
              <w:right w:val="single" w:sz="8" w:color="AFAFAF"/>
            </w:tcBorders>
            <w:vMerge w:val="restart"/>
          </w:tcPr>
          <w:p>
            <w:pPr>
              <w:ind w:left="120"/>
              <w:spacing w:after="0"/>
              <w:rPr>
                <w:sz w:val="20"/>
                <w:szCs w:val="20"/>
                <w:color w:val="auto"/>
              </w:rPr>
            </w:pPr>
            <w:r>
              <w:rPr>
                <w:rFonts w:ascii="Arial" w:cs="Arial" w:eastAsia="Arial" w:hAnsi="Arial"/>
                <w:sz w:val="16"/>
                <w:szCs w:val="16"/>
                <w:color w:val="auto"/>
              </w:rPr>
              <w:t>tailored for professionals</w:t>
            </w:r>
          </w:p>
        </w:tc>
        <w:tc>
          <w:tcPr>
            <w:tcW w:w="200" w:type="dxa"/>
            <w:vAlign w:val="bottom"/>
            <w:vMerge w:val="restart"/>
          </w:tcPr>
          <w:p>
            <w:pPr>
              <w:ind w:left="100"/>
              <w:spacing w:after="0"/>
              <w:rPr>
                <w:sz w:val="20"/>
                <w:szCs w:val="20"/>
                <w:color w:val="auto"/>
              </w:rPr>
            </w:pPr>
            <w:r>
              <w:rPr>
                <w:rFonts w:ascii="Arial" w:cs="Arial" w:eastAsia="Arial" w:hAnsi="Arial"/>
                <w:sz w:val="9"/>
                <w:szCs w:val="9"/>
                <w:color w:val="D95A3B"/>
              </w:rPr>
              <w:t>·</w:t>
            </w:r>
          </w:p>
        </w:tc>
        <w:tc>
          <w:tcPr>
            <w:tcW w:w="2100" w:type="dxa"/>
            <w:vAlign w:val="bottom"/>
            <w:tcBorders>
              <w:right w:val="single" w:sz="8" w:color="AFAFAF"/>
            </w:tcBorders>
            <w:vMerge w:val="restart"/>
          </w:tcPr>
          <w:p>
            <w:pPr>
              <w:ind w:left="60"/>
              <w:spacing w:after="0"/>
              <w:rPr>
                <w:sz w:val="20"/>
                <w:szCs w:val="20"/>
                <w:color w:val="auto"/>
              </w:rPr>
            </w:pPr>
            <w:r>
              <w:rPr>
                <w:rFonts w:ascii="Arial" w:cs="Arial" w:eastAsia="Arial" w:hAnsi="Arial"/>
                <w:sz w:val="16"/>
                <w:szCs w:val="16"/>
                <w:color w:val="auto"/>
              </w:rPr>
              <w:t>Strong consistent cash</w:t>
            </w:r>
          </w:p>
        </w:tc>
        <w:tc>
          <w:tcPr>
            <w:tcW w:w="200" w:type="dxa"/>
            <w:vAlign w:val="bottom"/>
          </w:tcPr>
          <w:p>
            <w:pPr>
              <w:spacing w:after="0"/>
              <w:rPr>
                <w:sz w:val="13"/>
                <w:szCs w:val="13"/>
                <w:color w:val="auto"/>
              </w:rPr>
            </w:pPr>
          </w:p>
        </w:tc>
        <w:tc>
          <w:tcPr>
            <w:tcW w:w="2120" w:type="dxa"/>
            <w:vAlign w:val="bottom"/>
            <w:tcBorders>
              <w:right w:val="single" w:sz="8" w:color="AFAFAF"/>
            </w:tcBorders>
            <w:vMerge w:val="restart"/>
          </w:tcPr>
          <w:p>
            <w:pPr>
              <w:ind w:left="120"/>
              <w:spacing w:after="0"/>
              <w:rPr>
                <w:sz w:val="20"/>
                <w:szCs w:val="20"/>
                <w:color w:val="auto"/>
              </w:rPr>
            </w:pPr>
            <w:r>
              <w:rPr>
                <w:rFonts w:ascii="Arial" w:cs="Arial" w:eastAsia="Arial" w:hAnsi="Arial"/>
                <w:sz w:val="16"/>
                <w:szCs w:val="16"/>
                <w:color w:val="auto"/>
              </w:rPr>
              <w:t>the global marketplace</w:t>
            </w:r>
          </w:p>
        </w:tc>
        <w:tc>
          <w:tcPr>
            <w:tcW w:w="180" w:type="dxa"/>
            <w:vAlign w:val="bottom"/>
            <w:vMerge w:val="restart"/>
          </w:tcPr>
          <w:p>
            <w:pPr>
              <w:ind w:left="80"/>
              <w:spacing w:after="0"/>
              <w:rPr>
                <w:sz w:val="20"/>
                <w:szCs w:val="20"/>
                <w:color w:val="auto"/>
              </w:rPr>
            </w:pPr>
            <w:r>
              <w:rPr>
                <w:rFonts w:ascii="Arial" w:cs="Arial" w:eastAsia="Arial" w:hAnsi="Arial"/>
                <w:sz w:val="9"/>
                <w:szCs w:val="9"/>
                <w:color w:val="D95A3B"/>
              </w:rPr>
              <w:t>·</w:t>
            </w:r>
          </w:p>
        </w:tc>
        <w:tc>
          <w:tcPr>
            <w:tcW w:w="1980" w:type="dxa"/>
            <w:vAlign w:val="bottom"/>
            <w:vMerge w:val="restart"/>
          </w:tcPr>
          <w:p>
            <w:pPr>
              <w:ind w:left="60"/>
              <w:spacing w:after="0"/>
              <w:rPr>
                <w:sz w:val="20"/>
                <w:szCs w:val="20"/>
                <w:color w:val="auto"/>
              </w:rPr>
            </w:pPr>
            <w:r>
              <w:rPr>
                <w:rFonts w:ascii="Arial" w:cs="Arial" w:eastAsia="Arial" w:hAnsi="Arial"/>
                <w:sz w:val="16"/>
                <w:szCs w:val="16"/>
                <w:color w:val="auto"/>
              </w:rPr>
              <w:t>Commitment to</w:t>
            </w:r>
          </w:p>
        </w:tc>
        <w:tc>
          <w:tcPr>
            <w:tcW w:w="0" w:type="dxa"/>
            <w:vAlign w:val="bottom"/>
          </w:tcPr>
          <w:p>
            <w:pPr>
              <w:spacing w:after="0"/>
              <w:rPr>
                <w:sz w:val="1"/>
                <w:szCs w:val="1"/>
                <w:color w:val="auto"/>
              </w:rPr>
            </w:pPr>
          </w:p>
        </w:tc>
      </w:tr>
      <w:tr>
        <w:trPr>
          <w:trHeight w:val="161"/>
        </w:trPr>
        <w:tc>
          <w:tcPr>
            <w:tcW w:w="1900" w:type="dxa"/>
            <w:vAlign w:val="bottom"/>
            <w:tcBorders>
              <w:right w:val="single" w:sz="8" w:color="AFAFAF"/>
            </w:tcBorders>
          </w:tcPr>
          <w:p>
            <w:pPr>
              <w:ind w:left="220"/>
              <w:spacing w:after="0" w:line="161" w:lineRule="exact"/>
              <w:rPr>
                <w:sz w:val="20"/>
                <w:szCs w:val="20"/>
                <w:color w:val="auto"/>
              </w:rPr>
            </w:pPr>
            <w:r>
              <w:rPr>
                <w:rFonts w:ascii="Arial" w:cs="Arial" w:eastAsia="Arial" w:hAnsi="Arial"/>
                <w:sz w:val="16"/>
                <w:szCs w:val="16"/>
                <w:color w:val="auto"/>
              </w:rPr>
              <w:t>2018</w:t>
            </w:r>
          </w:p>
        </w:tc>
        <w:tc>
          <w:tcPr>
            <w:tcW w:w="180" w:type="dxa"/>
            <w:vAlign w:val="bottom"/>
            <w:vMerge w:val="restart"/>
          </w:tcPr>
          <w:p>
            <w:pPr>
              <w:ind w:left="100"/>
              <w:spacing w:after="0"/>
              <w:rPr>
                <w:sz w:val="20"/>
                <w:szCs w:val="20"/>
                <w:color w:val="auto"/>
              </w:rPr>
            </w:pPr>
            <w:r>
              <w:rPr>
                <w:rFonts w:ascii="Arial" w:cs="Arial" w:eastAsia="Arial" w:hAnsi="Arial"/>
                <w:sz w:val="9"/>
                <w:szCs w:val="9"/>
                <w:color w:val="D95A3B"/>
              </w:rPr>
              <w:t>·</w:t>
            </w:r>
          </w:p>
        </w:tc>
        <w:tc>
          <w:tcPr>
            <w:tcW w:w="2120" w:type="dxa"/>
            <w:vAlign w:val="bottom"/>
            <w:tcBorders>
              <w:right w:val="single" w:sz="8" w:color="AFAFAF"/>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100" w:type="dxa"/>
            <w:vAlign w:val="bottom"/>
            <w:tcBorders>
              <w:right w:val="single" w:sz="8" w:color="AFAFAF"/>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Borders>
              <w:right w:val="single" w:sz="8" w:color="AFAFAF"/>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00" w:type="dxa"/>
            <w:vAlign w:val="bottom"/>
            <w:tcBorders>
              <w:right w:val="single" w:sz="8" w:color="AFAFAF"/>
            </w:tcBorders>
          </w:tcPr>
          <w:p>
            <w:pPr>
              <w:spacing w:after="0"/>
              <w:rPr>
                <w:sz w:val="16"/>
                <w:szCs w:val="16"/>
                <w:color w:val="auto"/>
              </w:rPr>
            </w:pPr>
          </w:p>
        </w:tc>
        <w:tc>
          <w:tcPr>
            <w:tcW w:w="180" w:type="dxa"/>
            <w:vAlign w:val="bottom"/>
            <w:vMerge w:val="continue"/>
          </w:tcPr>
          <w:p>
            <w:pPr>
              <w:spacing w:after="0"/>
              <w:rPr>
                <w:sz w:val="16"/>
                <w:szCs w:val="16"/>
                <w:color w:val="auto"/>
              </w:rPr>
            </w:pPr>
          </w:p>
        </w:tc>
        <w:tc>
          <w:tcPr>
            <w:tcW w:w="2120" w:type="dxa"/>
            <w:vAlign w:val="bottom"/>
            <w:tcBorders>
              <w:right w:val="single" w:sz="8" w:color="AFAFAF"/>
            </w:tcBorders>
          </w:tcPr>
          <w:p>
            <w:pPr>
              <w:ind w:left="80"/>
              <w:spacing w:after="0"/>
              <w:rPr>
                <w:sz w:val="20"/>
                <w:szCs w:val="20"/>
                <w:color w:val="auto"/>
              </w:rPr>
            </w:pPr>
            <w:r>
              <w:rPr>
                <w:rFonts w:ascii="Arial" w:cs="Arial" w:eastAsia="Arial" w:hAnsi="Arial"/>
                <w:sz w:val="16"/>
                <w:szCs w:val="16"/>
                <w:color w:val="auto"/>
              </w:rPr>
              <w:t>Deep broad industry</w:t>
            </w:r>
          </w:p>
        </w:tc>
        <w:tc>
          <w:tcPr>
            <w:tcW w:w="200" w:type="dxa"/>
            <w:vAlign w:val="bottom"/>
          </w:tcPr>
          <w:p>
            <w:pPr>
              <w:spacing w:after="0"/>
              <w:rPr>
                <w:sz w:val="16"/>
                <w:szCs w:val="16"/>
                <w:color w:val="auto"/>
              </w:rPr>
            </w:pPr>
          </w:p>
        </w:tc>
        <w:tc>
          <w:tcPr>
            <w:tcW w:w="2100" w:type="dxa"/>
            <w:vAlign w:val="bottom"/>
            <w:tcBorders>
              <w:right w:val="single" w:sz="8" w:color="AFAFAF"/>
            </w:tcBorders>
          </w:tcPr>
          <w:p>
            <w:pPr>
              <w:ind w:left="120"/>
              <w:spacing w:after="0"/>
              <w:rPr>
                <w:sz w:val="20"/>
                <w:szCs w:val="20"/>
                <w:color w:val="auto"/>
              </w:rPr>
            </w:pPr>
            <w:r>
              <w:rPr>
                <w:rFonts w:ascii="Arial" w:cs="Arial" w:eastAsia="Arial" w:hAnsi="Arial"/>
                <w:sz w:val="16"/>
                <w:szCs w:val="16"/>
                <w:color w:val="auto"/>
              </w:rPr>
              <w:t>generation capabilities</w:t>
            </w:r>
          </w:p>
        </w:tc>
        <w:tc>
          <w:tcPr>
            <w:tcW w:w="200" w:type="dxa"/>
            <w:vAlign w:val="bottom"/>
          </w:tcPr>
          <w:p>
            <w:pPr>
              <w:spacing w:after="0"/>
              <w:rPr>
                <w:sz w:val="16"/>
                <w:szCs w:val="16"/>
                <w:color w:val="auto"/>
              </w:rPr>
            </w:pPr>
          </w:p>
        </w:tc>
        <w:tc>
          <w:tcPr>
            <w:tcW w:w="2120" w:type="dxa"/>
            <w:vAlign w:val="bottom"/>
            <w:tcBorders>
              <w:right w:val="single" w:sz="8" w:color="AFAFAF"/>
            </w:tcBorders>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ind w:left="120"/>
              <w:spacing w:after="0"/>
              <w:rPr>
                <w:sz w:val="20"/>
                <w:szCs w:val="20"/>
                <w:color w:val="auto"/>
              </w:rPr>
            </w:pPr>
            <w:r>
              <w:rPr>
                <w:rFonts w:ascii="Arial" w:cs="Arial" w:eastAsia="Arial" w:hAnsi="Arial"/>
                <w:sz w:val="16"/>
                <w:szCs w:val="16"/>
                <w:color w:val="auto"/>
              </w:rPr>
              <w:t>maintaining investment</w:t>
            </w:r>
          </w:p>
        </w:tc>
        <w:tc>
          <w:tcPr>
            <w:tcW w:w="0" w:type="dxa"/>
            <w:vAlign w:val="bottom"/>
          </w:tcPr>
          <w:p>
            <w:pPr>
              <w:spacing w:after="0"/>
              <w:rPr>
                <w:sz w:val="1"/>
                <w:szCs w:val="1"/>
                <w:color w:val="auto"/>
              </w:rPr>
            </w:pPr>
          </w:p>
        </w:tc>
      </w:tr>
      <w:tr>
        <w:trPr>
          <w:trHeight w:val="188"/>
        </w:trPr>
        <w:tc>
          <w:tcPr>
            <w:tcW w:w="1900" w:type="dxa"/>
            <w:vAlign w:val="bottom"/>
            <w:tcBorders>
              <w:right w:val="single" w:sz="8" w:color="AFAFAF"/>
            </w:tcBorders>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tcBorders>
              <w:right w:val="single" w:sz="8" w:color="AFAFAF"/>
            </w:tcBorders>
          </w:tcPr>
          <w:p>
            <w:pPr>
              <w:ind w:left="120"/>
              <w:spacing w:after="0"/>
              <w:rPr>
                <w:sz w:val="20"/>
                <w:szCs w:val="20"/>
                <w:color w:val="auto"/>
              </w:rPr>
            </w:pPr>
            <w:r>
              <w:rPr>
                <w:rFonts w:ascii="Arial" w:cs="Arial" w:eastAsia="Arial" w:hAnsi="Arial"/>
                <w:sz w:val="16"/>
                <w:szCs w:val="16"/>
                <w:color w:val="auto"/>
              </w:rPr>
              <w:t>knowledge</w:t>
            </w:r>
          </w:p>
        </w:tc>
        <w:tc>
          <w:tcPr>
            <w:tcW w:w="200" w:type="dxa"/>
            <w:vAlign w:val="bottom"/>
          </w:tcPr>
          <w:p>
            <w:pPr>
              <w:spacing w:after="0"/>
              <w:rPr>
                <w:sz w:val="16"/>
                <w:szCs w:val="16"/>
                <w:color w:val="auto"/>
              </w:rPr>
            </w:pPr>
          </w:p>
        </w:tc>
        <w:tc>
          <w:tcPr>
            <w:tcW w:w="2100" w:type="dxa"/>
            <w:vAlign w:val="bottom"/>
            <w:tcBorders>
              <w:right w:val="single" w:sz="8" w:color="AFAFAF"/>
            </w:tcBorders>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Borders>
              <w:right w:val="single" w:sz="8" w:color="AFAFAF"/>
            </w:tcBorders>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ind w:left="120"/>
              <w:spacing w:after="0"/>
              <w:rPr>
                <w:sz w:val="20"/>
                <w:szCs w:val="20"/>
                <w:color w:val="auto"/>
              </w:rPr>
            </w:pPr>
            <w:r>
              <w:rPr>
                <w:rFonts w:ascii="Arial" w:cs="Arial" w:eastAsia="Arial" w:hAnsi="Arial"/>
                <w:sz w:val="16"/>
                <w:szCs w:val="16"/>
                <w:color w:val="auto"/>
              </w:rPr>
              <w:t>grade rating with stable</w:t>
            </w:r>
          </w:p>
        </w:tc>
        <w:tc>
          <w:tcPr>
            <w:tcW w:w="0" w:type="dxa"/>
            <w:vAlign w:val="bottom"/>
          </w:tcPr>
          <w:p>
            <w:pPr>
              <w:spacing w:after="0"/>
              <w:rPr>
                <w:sz w:val="1"/>
                <w:szCs w:val="1"/>
                <w:color w:val="auto"/>
              </w:rPr>
            </w:pPr>
          </w:p>
        </w:tc>
      </w:tr>
      <w:tr>
        <w:trPr>
          <w:trHeight w:val="269"/>
        </w:trPr>
        <w:tc>
          <w:tcPr>
            <w:tcW w:w="1900" w:type="dxa"/>
            <w:vAlign w:val="bottom"/>
            <w:tcBorders>
              <w:right w:val="single" w:sz="8" w:color="AFAFAF"/>
            </w:tcBorders>
          </w:tcPr>
          <w:p>
            <w:pPr>
              <w:spacing w:after="0"/>
              <w:rPr>
                <w:sz w:val="23"/>
                <w:szCs w:val="23"/>
                <w:color w:val="auto"/>
              </w:rPr>
            </w:pPr>
          </w:p>
        </w:tc>
        <w:tc>
          <w:tcPr>
            <w:tcW w:w="180" w:type="dxa"/>
            <w:vAlign w:val="bottom"/>
          </w:tcPr>
          <w:p>
            <w:pPr>
              <w:ind w:left="100"/>
              <w:spacing w:after="0"/>
              <w:rPr>
                <w:sz w:val="20"/>
                <w:szCs w:val="20"/>
                <w:color w:val="auto"/>
              </w:rPr>
            </w:pPr>
            <w:r>
              <w:rPr>
                <w:rFonts w:ascii="Arial" w:cs="Arial" w:eastAsia="Arial" w:hAnsi="Arial"/>
                <w:sz w:val="9"/>
                <w:szCs w:val="9"/>
                <w:color w:val="D95A3B"/>
              </w:rPr>
              <w:t>·</w:t>
            </w:r>
          </w:p>
        </w:tc>
        <w:tc>
          <w:tcPr>
            <w:tcW w:w="2120" w:type="dxa"/>
            <w:vAlign w:val="bottom"/>
            <w:tcBorders>
              <w:right w:val="single" w:sz="8" w:color="AFAFAF"/>
            </w:tcBorders>
          </w:tcPr>
          <w:p>
            <w:pPr>
              <w:ind w:left="80"/>
              <w:spacing w:after="0"/>
              <w:rPr>
                <w:sz w:val="20"/>
                <w:szCs w:val="20"/>
                <w:color w:val="auto"/>
              </w:rPr>
            </w:pPr>
            <w:r>
              <w:rPr>
                <w:rFonts w:ascii="Arial" w:cs="Arial" w:eastAsia="Arial" w:hAnsi="Arial"/>
                <w:sz w:val="16"/>
                <w:szCs w:val="16"/>
                <w:color w:val="auto"/>
              </w:rPr>
              <w:t>Distinct core customer</w:t>
            </w:r>
          </w:p>
        </w:tc>
        <w:tc>
          <w:tcPr>
            <w:tcW w:w="200" w:type="dxa"/>
            <w:vAlign w:val="bottom"/>
          </w:tcPr>
          <w:p>
            <w:pPr>
              <w:spacing w:after="0"/>
              <w:rPr>
                <w:sz w:val="23"/>
                <w:szCs w:val="23"/>
                <w:color w:val="auto"/>
              </w:rPr>
            </w:pPr>
          </w:p>
        </w:tc>
        <w:tc>
          <w:tcPr>
            <w:tcW w:w="2100" w:type="dxa"/>
            <w:vAlign w:val="bottom"/>
            <w:tcBorders>
              <w:right w:val="single" w:sz="8" w:color="AFAFAF"/>
            </w:tcBorders>
          </w:tcPr>
          <w:p>
            <w:pPr>
              <w:spacing w:after="0"/>
              <w:rPr>
                <w:sz w:val="23"/>
                <w:szCs w:val="23"/>
                <w:color w:val="auto"/>
              </w:rPr>
            </w:pPr>
          </w:p>
        </w:tc>
        <w:tc>
          <w:tcPr>
            <w:tcW w:w="200" w:type="dxa"/>
            <w:vAlign w:val="bottom"/>
          </w:tcPr>
          <w:p>
            <w:pPr>
              <w:spacing w:after="0"/>
              <w:rPr>
                <w:sz w:val="23"/>
                <w:szCs w:val="23"/>
                <w:color w:val="auto"/>
              </w:rPr>
            </w:pPr>
          </w:p>
        </w:tc>
        <w:tc>
          <w:tcPr>
            <w:tcW w:w="2120" w:type="dxa"/>
            <w:vAlign w:val="bottom"/>
            <w:tcBorders>
              <w:right w:val="single" w:sz="8" w:color="AFAFAF"/>
            </w:tcBorders>
          </w:tcPr>
          <w:p>
            <w:pPr>
              <w:spacing w:after="0"/>
              <w:rPr>
                <w:sz w:val="23"/>
                <w:szCs w:val="23"/>
                <w:color w:val="auto"/>
              </w:rPr>
            </w:pPr>
          </w:p>
        </w:tc>
        <w:tc>
          <w:tcPr>
            <w:tcW w:w="180" w:type="dxa"/>
            <w:vAlign w:val="bottom"/>
            <w:vMerge w:val="restart"/>
          </w:tcPr>
          <w:p>
            <w:pPr>
              <w:ind w:left="80"/>
              <w:spacing w:after="0"/>
              <w:rPr>
                <w:sz w:val="20"/>
                <w:szCs w:val="20"/>
                <w:color w:val="auto"/>
              </w:rPr>
            </w:pPr>
            <w:r>
              <w:rPr>
                <w:rFonts w:ascii="Arial" w:cs="Arial" w:eastAsia="Arial" w:hAnsi="Arial"/>
                <w:sz w:val="9"/>
                <w:szCs w:val="9"/>
                <w:color w:val="D95A3B"/>
              </w:rPr>
              <w:t>·</w:t>
            </w:r>
          </w:p>
        </w:tc>
        <w:tc>
          <w:tcPr>
            <w:tcW w:w="1980" w:type="dxa"/>
            <w:vAlign w:val="bottom"/>
          </w:tcPr>
          <w:p>
            <w:pPr>
              <w:ind w:left="120"/>
              <w:spacing w:after="0"/>
              <w:rPr>
                <w:sz w:val="20"/>
                <w:szCs w:val="20"/>
                <w:color w:val="auto"/>
              </w:rPr>
            </w:pPr>
            <w:r>
              <w:rPr>
                <w:rFonts w:ascii="Arial" w:cs="Arial" w:eastAsia="Arial" w:hAnsi="Arial"/>
                <w:sz w:val="16"/>
                <w:szCs w:val="16"/>
                <w:color w:val="auto"/>
              </w:rPr>
              <w:t>capital structure</w:t>
            </w:r>
          </w:p>
        </w:tc>
        <w:tc>
          <w:tcPr>
            <w:tcW w:w="0" w:type="dxa"/>
            <w:vAlign w:val="bottom"/>
          </w:tcPr>
          <w:p>
            <w:pPr>
              <w:spacing w:after="0"/>
              <w:rPr>
                <w:sz w:val="1"/>
                <w:szCs w:val="1"/>
                <w:color w:val="auto"/>
              </w:rPr>
            </w:pPr>
          </w:p>
        </w:tc>
      </w:tr>
      <w:tr>
        <w:trPr>
          <w:trHeight w:val="188"/>
        </w:trPr>
        <w:tc>
          <w:tcPr>
            <w:tcW w:w="1900" w:type="dxa"/>
            <w:vAlign w:val="bottom"/>
            <w:tcBorders>
              <w:right w:val="single" w:sz="8" w:color="AFAFAF"/>
            </w:tcBorders>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tcBorders>
              <w:right w:val="single" w:sz="8" w:color="AFAFAF"/>
            </w:tcBorders>
          </w:tcPr>
          <w:p>
            <w:pPr>
              <w:ind w:left="120"/>
              <w:spacing w:after="0"/>
              <w:rPr>
                <w:sz w:val="20"/>
                <w:szCs w:val="20"/>
                <w:color w:val="auto"/>
              </w:rPr>
            </w:pPr>
            <w:r>
              <w:rPr>
                <w:rFonts w:ascii="Arial" w:cs="Arial" w:eastAsia="Arial" w:hAnsi="Arial"/>
                <w:sz w:val="16"/>
                <w:szCs w:val="16"/>
                <w:color w:val="auto"/>
              </w:rPr>
              <w:t>group revenues</w:t>
            </w:r>
          </w:p>
        </w:tc>
        <w:tc>
          <w:tcPr>
            <w:tcW w:w="200" w:type="dxa"/>
            <w:vAlign w:val="bottom"/>
          </w:tcPr>
          <w:p>
            <w:pPr>
              <w:spacing w:after="0"/>
              <w:rPr>
                <w:sz w:val="16"/>
                <w:szCs w:val="16"/>
                <w:color w:val="auto"/>
              </w:rPr>
            </w:pPr>
          </w:p>
        </w:tc>
        <w:tc>
          <w:tcPr>
            <w:tcW w:w="2100" w:type="dxa"/>
            <w:vAlign w:val="bottom"/>
            <w:tcBorders>
              <w:right w:val="single" w:sz="8" w:color="AFAFAF"/>
            </w:tcBorders>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Borders>
              <w:right w:val="single" w:sz="8" w:color="AFAFAF"/>
            </w:tcBorders>
          </w:tcPr>
          <w:p>
            <w:pPr>
              <w:spacing w:after="0"/>
              <w:rPr>
                <w:sz w:val="16"/>
                <w:szCs w:val="16"/>
                <w:color w:val="auto"/>
              </w:rPr>
            </w:pPr>
          </w:p>
        </w:tc>
        <w:tc>
          <w:tcPr>
            <w:tcW w:w="180" w:type="dxa"/>
            <w:vAlign w:val="bottom"/>
            <w:vMerge w:val="continue"/>
          </w:tcPr>
          <w:p>
            <w:pPr>
              <w:spacing w:after="0"/>
              <w:rPr>
                <w:sz w:val="16"/>
                <w:szCs w:val="16"/>
                <w:color w:val="auto"/>
              </w:rPr>
            </w:pPr>
          </w:p>
        </w:tc>
        <w:tc>
          <w:tcPr>
            <w:tcW w:w="1980" w:type="dxa"/>
            <w:vAlign w:val="bottom"/>
          </w:tcPr>
          <w:p>
            <w:pPr>
              <w:ind w:left="60"/>
              <w:spacing w:after="0"/>
              <w:rPr>
                <w:sz w:val="20"/>
                <w:szCs w:val="20"/>
                <w:color w:val="auto"/>
              </w:rPr>
            </w:pPr>
            <w:r>
              <w:rPr>
                <w:rFonts w:ascii="Arial" w:cs="Arial" w:eastAsia="Arial" w:hAnsi="Arial"/>
                <w:sz w:val="16"/>
                <w:szCs w:val="16"/>
                <w:color w:val="auto"/>
              </w:rPr>
              <w:t>$2 billion investment fund</w:t>
            </w:r>
          </w:p>
        </w:tc>
        <w:tc>
          <w:tcPr>
            <w:tcW w:w="0" w:type="dxa"/>
            <w:vAlign w:val="bottom"/>
          </w:tcPr>
          <w:p>
            <w:pPr>
              <w:spacing w:after="0"/>
              <w:rPr>
                <w:sz w:val="1"/>
                <w:szCs w:val="1"/>
                <w:color w:val="auto"/>
              </w:rPr>
            </w:pPr>
          </w:p>
        </w:tc>
      </w:tr>
      <w:tr>
        <w:trPr>
          <w:trHeight w:val="227"/>
        </w:trPr>
        <w:tc>
          <w:tcPr>
            <w:tcW w:w="1900" w:type="dxa"/>
            <w:vAlign w:val="bottom"/>
            <w:tcBorders>
              <w:right w:val="single" w:sz="8" w:color="AFAFAF"/>
            </w:tcBorders>
          </w:tcPr>
          <w:p>
            <w:pPr>
              <w:spacing w:after="0"/>
              <w:rPr>
                <w:sz w:val="19"/>
                <w:szCs w:val="19"/>
                <w:color w:val="auto"/>
              </w:rPr>
            </w:pPr>
          </w:p>
        </w:tc>
        <w:tc>
          <w:tcPr>
            <w:tcW w:w="180" w:type="dxa"/>
            <w:vAlign w:val="bottom"/>
          </w:tcPr>
          <w:p>
            <w:pPr>
              <w:ind w:left="100"/>
              <w:spacing w:after="0"/>
              <w:rPr>
                <w:sz w:val="20"/>
                <w:szCs w:val="20"/>
                <w:color w:val="auto"/>
              </w:rPr>
            </w:pPr>
            <w:r>
              <w:rPr>
                <w:rFonts w:ascii="Arial" w:cs="Arial" w:eastAsia="Arial" w:hAnsi="Arial"/>
                <w:sz w:val="9"/>
                <w:szCs w:val="9"/>
                <w:color w:val="D95A3B"/>
              </w:rPr>
              <w:t>·</w:t>
            </w:r>
          </w:p>
        </w:tc>
        <w:tc>
          <w:tcPr>
            <w:tcW w:w="2120" w:type="dxa"/>
            <w:vAlign w:val="bottom"/>
            <w:tcBorders>
              <w:right w:val="single" w:sz="8" w:color="AFAFAF"/>
            </w:tcBorders>
          </w:tcPr>
          <w:p>
            <w:pPr>
              <w:ind w:left="80"/>
              <w:spacing w:after="0"/>
              <w:rPr>
                <w:sz w:val="20"/>
                <w:szCs w:val="20"/>
                <w:color w:val="auto"/>
              </w:rPr>
            </w:pPr>
            <w:r>
              <w:rPr>
                <w:rFonts w:ascii="Arial" w:cs="Arial" w:eastAsia="Arial" w:hAnsi="Arial"/>
                <w:sz w:val="16"/>
                <w:szCs w:val="16"/>
                <w:color w:val="auto"/>
              </w:rPr>
              <w:t>Geographical diversity</w:t>
            </w:r>
          </w:p>
        </w:tc>
        <w:tc>
          <w:tcPr>
            <w:tcW w:w="200" w:type="dxa"/>
            <w:vAlign w:val="bottom"/>
          </w:tcPr>
          <w:p>
            <w:pPr>
              <w:spacing w:after="0"/>
              <w:rPr>
                <w:sz w:val="19"/>
                <w:szCs w:val="19"/>
                <w:color w:val="auto"/>
              </w:rPr>
            </w:pPr>
          </w:p>
        </w:tc>
        <w:tc>
          <w:tcPr>
            <w:tcW w:w="2100" w:type="dxa"/>
            <w:vAlign w:val="bottom"/>
            <w:tcBorders>
              <w:right w:val="single" w:sz="8" w:color="AFAFAF"/>
            </w:tcBorders>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Borders>
              <w:right w:val="single" w:sz="8" w:color="AFAFAF"/>
            </w:tcBorders>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ind w:left="120"/>
              <w:spacing w:after="0"/>
              <w:rPr>
                <w:sz w:val="20"/>
                <w:szCs w:val="20"/>
                <w:color w:val="auto"/>
              </w:rPr>
            </w:pPr>
            <w:r>
              <w:rPr>
                <w:rFonts w:ascii="Arial" w:cs="Arial" w:eastAsia="Arial" w:hAnsi="Arial"/>
                <w:sz w:val="16"/>
                <w:szCs w:val="16"/>
                <w:color w:val="auto"/>
              </w:rPr>
              <w:t>to bolster positions in key</w:t>
            </w:r>
          </w:p>
        </w:tc>
        <w:tc>
          <w:tcPr>
            <w:tcW w:w="0" w:type="dxa"/>
            <w:vAlign w:val="bottom"/>
          </w:tcPr>
          <w:p>
            <w:pPr>
              <w:spacing w:after="0"/>
              <w:rPr>
                <w:sz w:val="1"/>
                <w:szCs w:val="1"/>
                <w:color w:val="auto"/>
              </w:rPr>
            </w:pPr>
          </w:p>
        </w:tc>
      </w:tr>
      <w:tr>
        <w:trPr>
          <w:trHeight w:val="150"/>
        </w:trPr>
        <w:tc>
          <w:tcPr>
            <w:tcW w:w="1900" w:type="dxa"/>
            <w:vAlign w:val="bottom"/>
            <w:tcBorders>
              <w:right w:val="single" w:sz="8" w:color="AFAFAF"/>
            </w:tcBorders>
          </w:tcPr>
          <w:p>
            <w:pPr>
              <w:spacing w:after="0"/>
              <w:rPr>
                <w:sz w:val="13"/>
                <w:szCs w:val="13"/>
                <w:color w:val="auto"/>
              </w:rPr>
            </w:pPr>
          </w:p>
        </w:tc>
        <w:tc>
          <w:tcPr>
            <w:tcW w:w="180" w:type="dxa"/>
            <w:vAlign w:val="bottom"/>
            <w:vMerge w:val="restart"/>
          </w:tcPr>
          <w:p>
            <w:pPr>
              <w:ind w:left="100"/>
              <w:spacing w:after="0"/>
              <w:rPr>
                <w:sz w:val="20"/>
                <w:szCs w:val="20"/>
                <w:color w:val="auto"/>
              </w:rPr>
            </w:pPr>
            <w:r>
              <w:rPr>
                <w:rFonts w:ascii="Arial" w:cs="Arial" w:eastAsia="Arial" w:hAnsi="Arial"/>
                <w:sz w:val="9"/>
                <w:szCs w:val="9"/>
                <w:color w:val="D95A3B"/>
              </w:rPr>
              <w:t>·</w:t>
            </w:r>
          </w:p>
        </w:tc>
        <w:tc>
          <w:tcPr>
            <w:tcW w:w="2120" w:type="dxa"/>
            <w:vAlign w:val="bottom"/>
            <w:tcBorders>
              <w:right w:val="single" w:sz="8" w:color="AFAFAF"/>
            </w:tcBorders>
            <w:vMerge w:val="restart"/>
          </w:tcPr>
          <w:p>
            <w:pPr>
              <w:ind w:left="80"/>
              <w:spacing w:after="0"/>
              <w:rPr>
                <w:sz w:val="20"/>
                <w:szCs w:val="20"/>
                <w:color w:val="auto"/>
              </w:rPr>
            </w:pPr>
            <w:r>
              <w:rPr>
                <w:rFonts w:ascii="Arial" w:cs="Arial" w:eastAsia="Arial" w:hAnsi="Arial"/>
                <w:sz w:val="16"/>
                <w:szCs w:val="16"/>
                <w:color w:val="auto"/>
              </w:rPr>
              <w:t>Largest customer is</w:t>
            </w:r>
          </w:p>
        </w:tc>
        <w:tc>
          <w:tcPr>
            <w:tcW w:w="200" w:type="dxa"/>
            <w:vAlign w:val="bottom"/>
          </w:tcPr>
          <w:p>
            <w:pPr>
              <w:spacing w:after="0"/>
              <w:rPr>
                <w:sz w:val="13"/>
                <w:szCs w:val="13"/>
                <w:color w:val="auto"/>
              </w:rPr>
            </w:pPr>
          </w:p>
        </w:tc>
        <w:tc>
          <w:tcPr>
            <w:tcW w:w="2100" w:type="dxa"/>
            <w:vAlign w:val="bottom"/>
            <w:tcBorders>
              <w:right w:val="single" w:sz="8" w:color="AFAFAF"/>
            </w:tcBorders>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Borders>
              <w:right w:val="single" w:sz="8" w:color="AFAFAF"/>
            </w:tcBorders>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tcPr>
          <w:p>
            <w:pPr>
              <w:ind w:left="120"/>
              <w:spacing w:after="0" w:line="150" w:lineRule="exact"/>
              <w:rPr>
                <w:sz w:val="20"/>
                <w:szCs w:val="20"/>
                <w:color w:val="auto"/>
              </w:rPr>
            </w:pPr>
            <w:r>
              <w:rPr>
                <w:rFonts w:ascii="Arial" w:cs="Arial" w:eastAsia="Arial" w:hAnsi="Arial"/>
                <w:sz w:val="16"/>
                <w:szCs w:val="16"/>
                <w:color w:val="auto"/>
              </w:rPr>
              <w:t>growth areas or to</w:t>
            </w:r>
          </w:p>
        </w:tc>
        <w:tc>
          <w:tcPr>
            <w:tcW w:w="0" w:type="dxa"/>
            <w:vAlign w:val="bottom"/>
          </w:tcPr>
          <w:p>
            <w:pPr>
              <w:spacing w:after="0"/>
              <w:rPr>
                <w:sz w:val="1"/>
                <w:szCs w:val="1"/>
                <w:color w:val="auto"/>
              </w:rPr>
            </w:pPr>
          </w:p>
        </w:tc>
      </w:tr>
      <w:tr>
        <w:trPr>
          <w:trHeight w:val="161"/>
        </w:trPr>
        <w:tc>
          <w:tcPr>
            <w:tcW w:w="1900" w:type="dxa"/>
            <w:vAlign w:val="bottom"/>
            <w:tcBorders>
              <w:right w:val="single" w:sz="8" w:color="AFAFAF"/>
            </w:tcBorders>
          </w:tcPr>
          <w:p>
            <w:pPr>
              <w:spacing w:after="0"/>
              <w:rPr>
                <w:sz w:val="14"/>
                <w:szCs w:val="14"/>
                <w:color w:val="auto"/>
              </w:rPr>
            </w:pPr>
          </w:p>
        </w:tc>
        <w:tc>
          <w:tcPr>
            <w:tcW w:w="180" w:type="dxa"/>
            <w:vAlign w:val="bottom"/>
            <w:vMerge w:val="continue"/>
          </w:tcPr>
          <w:p>
            <w:pPr>
              <w:spacing w:after="0"/>
              <w:rPr>
                <w:sz w:val="14"/>
                <w:szCs w:val="14"/>
                <w:color w:val="auto"/>
              </w:rPr>
            </w:pPr>
          </w:p>
        </w:tc>
        <w:tc>
          <w:tcPr>
            <w:tcW w:w="2120" w:type="dxa"/>
            <w:vAlign w:val="bottom"/>
            <w:tcBorders>
              <w:right w:val="single" w:sz="8" w:color="AFAFAF"/>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Borders>
              <w:right w:val="single" w:sz="8" w:color="AFAFAF"/>
            </w:tcBorders>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Borders>
              <w:right w:val="single" w:sz="8" w:color="AFAFAF"/>
            </w:tcBorders>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ind w:left="120"/>
              <w:spacing w:after="0" w:line="161" w:lineRule="exact"/>
              <w:rPr>
                <w:sz w:val="20"/>
                <w:szCs w:val="20"/>
                <w:color w:val="auto"/>
              </w:rPr>
            </w:pPr>
            <w:r>
              <w:rPr>
                <w:rFonts w:ascii="Arial" w:cs="Arial" w:eastAsia="Arial" w:hAnsi="Arial"/>
                <w:sz w:val="16"/>
                <w:szCs w:val="16"/>
                <w:color w:val="auto"/>
              </w:rPr>
              <w:t>repurchase shares</w:t>
            </w:r>
          </w:p>
        </w:tc>
        <w:tc>
          <w:tcPr>
            <w:tcW w:w="0" w:type="dxa"/>
            <w:vAlign w:val="bottom"/>
          </w:tcPr>
          <w:p>
            <w:pPr>
              <w:spacing w:after="0"/>
              <w:rPr>
                <w:sz w:val="1"/>
                <w:szCs w:val="1"/>
                <w:color w:val="auto"/>
              </w:rPr>
            </w:pPr>
          </w:p>
        </w:tc>
      </w:tr>
      <w:tr>
        <w:trPr>
          <w:trHeight w:val="188"/>
        </w:trPr>
        <w:tc>
          <w:tcPr>
            <w:tcW w:w="1900" w:type="dxa"/>
            <w:vAlign w:val="bottom"/>
            <w:tcBorders>
              <w:right w:val="single" w:sz="8" w:color="AFAFAF"/>
            </w:tcBorders>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tcBorders>
              <w:right w:val="single" w:sz="8" w:color="AFAFAF"/>
            </w:tcBorders>
          </w:tcPr>
          <w:p>
            <w:pPr>
              <w:ind w:left="120"/>
              <w:spacing w:after="0"/>
              <w:rPr>
                <w:sz w:val="20"/>
                <w:szCs w:val="20"/>
                <w:color w:val="auto"/>
              </w:rPr>
            </w:pPr>
            <w:r>
              <w:rPr>
                <w:rFonts w:ascii="Arial" w:cs="Arial" w:eastAsia="Arial" w:hAnsi="Arial"/>
                <w:sz w:val="16"/>
                <w:szCs w:val="16"/>
                <w:color w:val="auto"/>
              </w:rPr>
              <w:t>approximately 1% of</w:t>
            </w:r>
          </w:p>
        </w:tc>
        <w:tc>
          <w:tcPr>
            <w:tcW w:w="200" w:type="dxa"/>
            <w:vAlign w:val="bottom"/>
          </w:tcPr>
          <w:p>
            <w:pPr>
              <w:spacing w:after="0"/>
              <w:rPr>
                <w:sz w:val="16"/>
                <w:szCs w:val="16"/>
                <w:color w:val="auto"/>
              </w:rPr>
            </w:pPr>
          </w:p>
        </w:tc>
        <w:tc>
          <w:tcPr>
            <w:tcW w:w="2100" w:type="dxa"/>
            <w:vAlign w:val="bottom"/>
            <w:tcBorders>
              <w:right w:val="single" w:sz="8" w:color="AFAFAF"/>
            </w:tcBorders>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Borders>
              <w:right w:val="single" w:sz="8" w:color="AFAFAF"/>
            </w:tcBorders>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00" w:type="dxa"/>
            <w:vAlign w:val="bottom"/>
            <w:tcBorders>
              <w:bottom w:val="single" w:sz="8" w:color="D95A3B"/>
              <w:right w:val="single" w:sz="8" w:color="AFAFAF"/>
            </w:tcBorders>
          </w:tcPr>
          <w:p>
            <w:pPr>
              <w:spacing w:after="0"/>
              <w:rPr>
                <w:sz w:val="17"/>
                <w:szCs w:val="17"/>
                <w:color w:val="auto"/>
              </w:rPr>
            </w:pPr>
          </w:p>
        </w:tc>
        <w:tc>
          <w:tcPr>
            <w:tcW w:w="180" w:type="dxa"/>
            <w:vAlign w:val="bottom"/>
            <w:tcBorders>
              <w:bottom w:val="single" w:sz="8" w:color="D95A3B"/>
            </w:tcBorders>
          </w:tcPr>
          <w:p>
            <w:pPr>
              <w:spacing w:after="0"/>
              <w:rPr>
                <w:sz w:val="17"/>
                <w:szCs w:val="17"/>
                <w:color w:val="auto"/>
              </w:rPr>
            </w:pPr>
          </w:p>
        </w:tc>
        <w:tc>
          <w:tcPr>
            <w:tcW w:w="2120" w:type="dxa"/>
            <w:vAlign w:val="bottom"/>
            <w:tcBorders>
              <w:bottom w:val="single" w:sz="8" w:color="D95A3B"/>
              <w:right w:val="single" w:sz="8" w:color="AFAFAF"/>
            </w:tcBorders>
          </w:tcPr>
          <w:p>
            <w:pPr>
              <w:ind w:left="120"/>
              <w:spacing w:after="0"/>
              <w:rPr>
                <w:sz w:val="20"/>
                <w:szCs w:val="20"/>
                <w:color w:val="auto"/>
              </w:rPr>
            </w:pPr>
            <w:r>
              <w:rPr>
                <w:rFonts w:ascii="Arial" w:cs="Arial" w:eastAsia="Arial" w:hAnsi="Arial"/>
                <w:sz w:val="16"/>
                <w:szCs w:val="16"/>
                <w:color w:val="auto"/>
              </w:rPr>
              <w:t>revenues</w:t>
            </w:r>
          </w:p>
        </w:tc>
        <w:tc>
          <w:tcPr>
            <w:tcW w:w="200" w:type="dxa"/>
            <w:vAlign w:val="bottom"/>
            <w:tcBorders>
              <w:bottom w:val="single" w:sz="8" w:color="D95A3B"/>
            </w:tcBorders>
          </w:tcPr>
          <w:p>
            <w:pPr>
              <w:spacing w:after="0"/>
              <w:rPr>
                <w:sz w:val="17"/>
                <w:szCs w:val="17"/>
                <w:color w:val="auto"/>
              </w:rPr>
            </w:pPr>
          </w:p>
        </w:tc>
        <w:tc>
          <w:tcPr>
            <w:tcW w:w="2100" w:type="dxa"/>
            <w:vAlign w:val="bottom"/>
            <w:tcBorders>
              <w:bottom w:val="single" w:sz="8" w:color="D95A3B"/>
              <w:right w:val="single" w:sz="8" w:color="AFAFAF"/>
            </w:tcBorders>
          </w:tcPr>
          <w:p>
            <w:pPr>
              <w:spacing w:after="0"/>
              <w:rPr>
                <w:sz w:val="17"/>
                <w:szCs w:val="17"/>
                <w:color w:val="auto"/>
              </w:rPr>
            </w:pPr>
          </w:p>
        </w:tc>
        <w:tc>
          <w:tcPr>
            <w:tcW w:w="200" w:type="dxa"/>
            <w:vAlign w:val="bottom"/>
            <w:tcBorders>
              <w:bottom w:val="single" w:sz="8" w:color="D95A3B"/>
            </w:tcBorders>
          </w:tcPr>
          <w:p>
            <w:pPr>
              <w:spacing w:after="0"/>
              <w:rPr>
                <w:sz w:val="17"/>
                <w:szCs w:val="17"/>
                <w:color w:val="auto"/>
              </w:rPr>
            </w:pPr>
          </w:p>
        </w:tc>
        <w:tc>
          <w:tcPr>
            <w:tcW w:w="2120" w:type="dxa"/>
            <w:vAlign w:val="bottom"/>
            <w:tcBorders>
              <w:bottom w:val="single" w:sz="8" w:color="D95A3B"/>
              <w:right w:val="single" w:sz="8" w:color="AFAFAF"/>
            </w:tcBorders>
          </w:tcPr>
          <w:p>
            <w:pPr>
              <w:spacing w:after="0"/>
              <w:rPr>
                <w:sz w:val="17"/>
                <w:szCs w:val="17"/>
                <w:color w:val="auto"/>
              </w:rPr>
            </w:pPr>
          </w:p>
        </w:tc>
        <w:tc>
          <w:tcPr>
            <w:tcW w:w="180" w:type="dxa"/>
            <w:vAlign w:val="bottom"/>
            <w:tcBorders>
              <w:bottom w:val="single" w:sz="8" w:color="D95A3B"/>
            </w:tcBorders>
          </w:tcPr>
          <w:p>
            <w:pPr>
              <w:spacing w:after="0"/>
              <w:rPr>
                <w:sz w:val="17"/>
                <w:szCs w:val="17"/>
                <w:color w:val="auto"/>
              </w:rPr>
            </w:pPr>
          </w:p>
        </w:tc>
        <w:tc>
          <w:tcPr>
            <w:tcW w:w="1980" w:type="dxa"/>
            <w:vAlign w:val="bottom"/>
            <w:tcBorders>
              <w:bottom w:val="single" w:sz="8" w:color="D95A3B"/>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153670</wp:posOffset>
            </wp:positionV>
            <wp:extent cx="6981825" cy="2136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81825" cy="2136775"/>
                    </a:xfrm>
                    <a:prstGeom prst="rect">
                      <a:avLst/>
                    </a:prstGeom>
                    <a:noFill/>
                  </pic:spPr>
                </pic:pic>
              </a:graphicData>
            </a:graphic>
          </wp:anchor>
        </w:drawing>
      </w:r>
    </w:p>
    <w:p>
      <w:pPr>
        <w:spacing w:after="0" w:line="350" w:lineRule="exact"/>
        <w:rPr>
          <w:sz w:val="20"/>
          <w:szCs w:val="20"/>
          <w:color w:val="auto"/>
        </w:rPr>
      </w:pPr>
    </w:p>
    <w:tbl>
      <w:tblPr>
        <w:tblLayout w:type="fixed"/>
        <w:tblInd w:w="380" w:type="dxa"/>
        <w:tblCellMar>
          <w:top w:w="0" w:type="dxa"/>
          <w:left w:w="0" w:type="dxa"/>
          <w:bottom w:w="0" w:type="dxa"/>
          <w:right w:w="0" w:type="dxa"/>
        </w:tblCellMar>
      </w:tblPr>
      <w:tr>
        <w:trPr>
          <w:trHeight w:val="259"/>
        </w:trPr>
        <w:tc>
          <w:tcPr>
            <w:tcW w:w="4640" w:type="dxa"/>
            <w:vAlign w:val="bottom"/>
            <w:gridSpan w:val="2"/>
          </w:tcPr>
          <w:p>
            <w:pPr>
              <w:spacing w:after="0"/>
              <w:rPr>
                <w:sz w:val="20"/>
                <w:szCs w:val="20"/>
                <w:color w:val="auto"/>
              </w:rPr>
            </w:pPr>
            <w:r>
              <w:rPr>
                <w:rFonts w:ascii="Arial" w:cs="Arial" w:eastAsia="Arial" w:hAnsi="Arial"/>
                <w:sz w:val="22"/>
                <w:szCs w:val="22"/>
                <w:color w:val="D95A3B"/>
              </w:rPr>
              <w:t>2018 full-year results:</w:t>
            </w:r>
          </w:p>
        </w:tc>
        <w:tc>
          <w:tcPr>
            <w:tcW w:w="5380" w:type="dxa"/>
            <w:vAlign w:val="bottom"/>
          </w:tcPr>
          <w:p>
            <w:pPr>
              <w:ind w:left="920"/>
              <w:spacing w:after="0"/>
              <w:rPr>
                <w:sz w:val="20"/>
                <w:szCs w:val="20"/>
                <w:color w:val="auto"/>
              </w:rPr>
            </w:pPr>
            <w:r>
              <w:rPr>
                <w:rFonts w:ascii="Arial" w:cs="Arial" w:eastAsia="Arial" w:hAnsi="Arial"/>
                <w:sz w:val="22"/>
                <w:szCs w:val="22"/>
                <w:color w:val="D95A3B"/>
              </w:rPr>
              <w:t>Stock prices (2018):</w:t>
            </w:r>
          </w:p>
        </w:tc>
        <w:tc>
          <w:tcPr>
            <w:tcW w:w="0" w:type="dxa"/>
            <w:vAlign w:val="bottom"/>
          </w:tcPr>
          <w:p>
            <w:pPr>
              <w:spacing w:after="0"/>
              <w:rPr>
                <w:sz w:val="1"/>
                <w:szCs w:val="1"/>
                <w:color w:val="auto"/>
              </w:rPr>
            </w:pPr>
          </w:p>
        </w:tc>
      </w:tr>
      <w:tr>
        <w:trPr>
          <w:trHeight w:val="259"/>
        </w:trPr>
        <w:tc>
          <w:tcPr>
            <w:tcW w:w="80" w:type="dxa"/>
            <w:vAlign w:val="bottom"/>
          </w:tcPr>
          <w:p>
            <w:pPr>
              <w:spacing w:after="0"/>
              <w:rPr>
                <w:sz w:val="20"/>
                <w:szCs w:val="20"/>
                <w:color w:val="auto"/>
              </w:rPr>
            </w:pPr>
            <w:r>
              <w:rPr>
                <w:rFonts w:ascii="Arial" w:cs="Arial" w:eastAsia="Arial" w:hAnsi="Arial"/>
                <w:sz w:val="9"/>
                <w:szCs w:val="9"/>
                <w:color w:val="D95A3B"/>
              </w:rPr>
              <w:t>·</w:t>
            </w:r>
          </w:p>
        </w:tc>
        <w:tc>
          <w:tcPr>
            <w:tcW w:w="4560" w:type="dxa"/>
            <w:vAlign w:val="bottom"/>
          </w:tcPr>
          <w:p>
            <w:pPr>
              <w:ind w:left="80"/>
              <w:spacing w:after="0"/>
              <w:rPr>
                <w:sz w:val="20"/>
                <w:szCs w:val="20"/>
                <w:color w:val="auto"/>
              </w:rPr>
            </w:pPr>
            <w:r>
              <w:rPr>
                <w:rFonts w:ascii="Arial" w:cs="Arial" w:eastAsia="Arial" w:hAnsi="Arial"/>
                <w:sz w:val="18"/>
                <w:szCs w:val="18"/>
                <w:color w:val="auto"/>
              </w:rPr>
              <w:t>Revenues – US$5.5 billion</w:t>
            </w:r>
          </w:p>
        </w:tc>
        <w:tc>
          <w:tcPr>
            <w:tcW w:w="5380" w:type="dxa"/>
            <w:vAlign w:val="bottom"/>
          </w:tcPr>
          <w:p>
            <w:pPr>
              <w:ind w:left="920"/>
              <w:spacing w:after="0"/>
              <w:rPr>
                <w:sz w:val="20"/>
                <w:szCs w:val="20"/>
                <w:color w:val="auto"/>
              </w:rPr>
            </w:pPr>
            <w:r>
              <w:rPr>
                <w:rFonts w:ascii="Arial" w:cs="Arial" w:eastAsia="Arial" w:hAnsi="Arial"/>
                <w:sz w:val="18"/>
                <w:szCs w:val="18"/>
                <w:color w:val="auto"/>
              </w:rPr>
              <w:t>Closing price (12/31/2018): C$65.93 / US$48.31</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0"/>
                <w:szCs w:val="20"/>
                <w:color w:val="auto"/>
              </w:rPr>
            </w:pPr>
            <w:r>
              <w:rPr>
                <w:rFonts w:ascii="Arial" w:cs="Arial" w:eastAsia="Arial" w:hAnsi="Arial"/>
                <w:sz w:val="9"/>
                <w:szCs w:val="9"/>
                <w:color w:val="D95A3B"/>
              </w:rPr>
              <w:t>·</w:t>
            </w:r>
          </w:p>
        </w:tc>
        <w:tc>
          <w:tcPr>
            <w:tcW w:w="4560" w:type="dxa"/>
            <w:vAlign w:val="bottom"/>
          </w:tcPr>
          <w:p>
            <w:pPr>
              <w:ind w:left="80"/>
              <w:spacing w:after="0"/>
              <w:rPr>
                <w:sz w:val="20"/>
                <w:szCs w:val="20"/>
                <w:color w:val="auto"/>
              </w:rPr>
            </w:pPr>
            <w:r>
              <w:rPr>
                <w:rFonts w:ascii="Arial" w:cs="Arial" w:eastAsia="Arial" w:hAnsi="Arial"/>
                <w:sz w:val="18"/>
                <w:szCs w:val="18"/>
                <w:color w:val="auto"/>
              </w:rPr>
              <w:t>Operating profit – US$780 million</w:t>
            </w:r>
          </w:p>
        </w:tc>
        <w:tc>
          <w:tcPr>
            <w:tcW w:w="5380" w:type="dxa"/>
            <w:vAlign w:val="bottom"/>
          </w:tcPr>
          <w:p>
            <w:pPr>
              <w:ind w:left="920"/>
              <w:spacing w:after="0"/>
              <w:rPr>
                <w:sz w:val="20"/>
                <w:szCs w:val="20"/>
                <w:color w:val="auto"/>
              </w:rPr>
            </w:pPr>
            <w:r>
              <w:rPr>
                <w:rFonts w:ascii="Arial" w:cs="Arial" w:eastAsia="Arial" w:hAnsi="Arial"/>
                <w:sz w:val="18"/>
                <w:szCs w:val="18"/>
                <w:color w:val="auto"/>
              </w:rPr>
              <w:t>High: C$68.61 / US$51.38</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0"/>
                <w:szCs w:val="20"/>
                <w:color w:val="auto"/>
              </w:rPr>
            </w:pPr>
            <w:r>
              <w:rPr>
                <w:rFonts w:ascii="Arial" w:cs="Arial" w:eastAsia="Arial" w:hAnsi="Arial"/>
                <w:sz w:val="9"/>
                <w:szCs w:val="9"/>
                <w:color w:val="D95A3B"/>
              </w:rPr>
              <w:t>·</w:t>
            </w:r>
          </w:p>
        </w:tc>
        <w:tc>
          <w:tcPr>
            <w:tcW w:w="4560" w:type="dxa"/>
            <w:vAlign w:val="bottom"/>
          </w:tcPr>
          <w:p>
            <w:pPr>
              <w:ind w:left="60"/>
              <w:spacing w:after="0"/>
              <w:rPr>
                <w:sz w:val="20"/>
                <w:szCs w:val="20"/>
                <w:color w:val="auto"/>
              </w:rPr>
            </w:pPr>
            <w:r>
              <w:rPr>
                <w:rFonts w:ascii="Arial" w:cs="Arial" w:eastAsia="Arial" w:hAnsi="Arial"/>
                <w:sz w:val="18"/>
                <w:szCs w:val="18"/>
                <w:color w:val="auto"/>
              </w:rPr>
              <w:t>Adjusted EBITDA margin* – 24.8%</w:t>
            </w:r>
          </w:p>
        </w:tc>
        <w:tc>
          <w:tcPr>
            <w:tcW w:w="5380" w:type="dxa"/>
            <w:vAlign w:val="bottom"/>
          </w:tcPr>
          <w:p>
            <w:pPr>
              <w:ind w:left="920"/>
              <w:spacing w:after="0"/>
              <w:rPr>
                <w:sz w:val="20"/>
                <w:szCs w:val="20"/>
                <w:color w:val="auto"/>
              </w:rPr>
            </w:pPr>
            <w:r>
              <w:rPr>
                <w:rFonts w:ascii="Arial" w:cs="Arial" w:eastAsia="Arial" w:hAnsi="Arial"/>
                <w:sz w:val="18"/>
                <w:szCs w:val="18"/>
                <w:color w:val="auto"/>
              </w:rPr>
              <w:t>Low: C$48.14 / US$37.64</w:t>
            </w:r>
          </w:p>
        </w:tc>
        <w:tc>
          <w:tcPr>
            <w:tcW w:w="0" w:type="dxa"/>
            <w:vAlign w:val="bottom"/>
          </w:tcPr>
          <w:p>
            <w:pPr>
              <w:spacing w:after="0"/>
              <w:rPr>
                <w:sz w:val="1"/>
                <w:szCs w:val="1"/>
                <w:color w:val="auto"/>
              </w:rPr>
            </w:pPr>
          </w:p>
        </w:tc>
      </w:tr>
      <w:tr>
        <w:trPr>
          <w:trHeight w:val="320"/>
        </w:trPr>
        <w:tc>
          <w:tcPr>
            <w:tcW w:w="80" w:type="dxa"/>
            <w:vAlign w:val="bottom"/>
          </w:tcPr>
          <w:p>
            <w:pPr>
              <w:spacing w:after="0"/>
              <w:rPr>
                <w:sz w:val="20"/>
                <w:szCs w:val="20"/>
                <w:color w:val="auto"/>
              </w:rPr>
            </w:pPr>
            <w:r>
              <w:rPr>
                <w:rFonts w:ascii="Arial" w:cs="Arial" w:eastAsia="Arial" w:hAnsi="Arial"/>
                <w:sz w:val="9"/>
                <w:szCs w:val="9"/>
                <w:color w:val="D95A3B"/>
              </w:rPr>
              <w:t>·</w:t>
            </w:r>
          </w:p>
        </w:tc>
        <w:tc>
          <w:tcPr>
            <w:tcW w:w="4560" w:type="dxa"/>
            <w:vAlign w:val="bottom"/>
          </w:tcPr>
          <w:p>
            <w:pPr>
              <w:ind w:left="80"/>
              <w:spacing w:after="0"/>
              <w:rPr>
                <w:sz w:val="20"/>
                <w:szCs w:val="20"/>
                <w:color w:val="auto"/>
              </w:rPr>
            </w:pPr>
            <w:r>
              <w:rPr>
                <w:rFonts w:ascii="Arial" w:cs="Arial" w:eastAsia="Arial" w:hAnsi="Arial"/>
                <w:sz w:val="18"/>
                <w:szCs w:val="18"/>
                <w:color w:val="auto"/>
              </w:rPr>
              <w:t>Diluted earnings per share (EPS) – US$5.91</w:t>
            </w:r>
          </w:p>
        </w:tc>
        <w:tc>
          <w:tcPr>
            <w:tcW w:w="5380" w:type="dxa"/>
            <w:vAlign w:val="bottom"/>
          </w:tcPr>
          <w:p>
            <w:pPr>
              <w:ind w:left="920"/>
              <w:spacing w:after="0"/>
              <w:rPr>
                <w:sz w:val="20"/>
                <w:szCs w:val="20"/>
                <w:color w:val="auto"/>
              </w:rPr>
            </w:pPr>
            <w:r>
              <w:rPr>
                <w:rFonts w:ascii="Arial" w:cs="Arial" w:eastAsia="Arial" w:hAnsi="Arial"/>
                <w:sz w:val="22"/>
                <w:szCs w:val="22"/>
                <w:color w:val="D95A3B"/>
              </w:rPr>
              <w:t>Market capitalization (12/31/2018):</w:t>
            </w:r>
          </w:p>
        </w:tc>
        <w:tc>
          <w:tcPr>
            <w:tcW w:w="0" w:type="dxa"/>
            <w:vAlign w:val="bottom"/>
          </w:tcPr>
          <w:p>
            <w:pPr>
              <w:spacing w:after="0"/>
              <w:rPr>
                <w:sz w:val="1"/>
                <w:szCs w:val="1"/>
                <w:color w:val="auto"/>
              </w:rPr>
            </w:pPr>
          </w:p>
        </w:tc>
      </w:tr>
      <w:tr>
        <w:trPr>
          <w:trHeight w:val="286"/>
        </w:trPr>
        <w:tc>
          <w:tcPr>
            <w:tcW w:w="80" w:type="dxa"/>
            <w:vAlign w:val="bottom"/>
          </w:tcPr>
          <w:p>
            <w:pPr>
              <w:spacing w:after="0"/>
              <w:rPr>
                <w:sz w:val="20"/>
                <w:szCs w:val="20"/>
                <w:color w:val="auto"/>
              </w:rPr>
            </w:pPr>
            <w:r>
              <w:rPr>
                <w:rFonts w:ascii="Arial" w:cs="Arial" w:eastAsia="Arial" w:hAnsi="Arial"/>
                <w:sz w:val="9"/>
                <w:szCs w:val="9"/>
                <w:color w:val="D95A3B"/>
              </w:rPr>
              <w:t>·</w:t>
            </w:r>
          </w:p>
        </w:tc>
        <w:tc>
          <w:tcPr>
            <w:tcW w:w="4560" w:type="dxa"/>
            <w:vAlign w:val="bottom"/>
          </w:tcPr>
          <w:p>
            <w:pPr>
              <w:ind w:left="60"/>
              <w:spacing w:after="0"/>
              <w:rPr>
                <w:sz w:val="20"/>
                <w:szCs w:val="20"/>
                <w:color w:val="auto"/>
              </w:rPr>
            </w:pPr>
            <w:r>
              <w:rPr>
                <w:rFonts w:ascii="Arial" w:cs="Arial" w:eastAsia="Arial" w:hAnsi="Arial"/>
                <w:sz w:val="18"/>
                <w:szCs w:val="18"/>
                <w:color w:val="auto"/>
              </w:rPr>
              <w:t>Adjusted EPS* – US$0.75</w:t>
            </w:r>
          </w:p>
        </w:tc>
        <w:tc>
          <w:tcPr>
            <w:tcW w:w="5380" w:type="dxa"/>
            <w:vAlign w:val="bottom"/>
          </w:tcPr>
          <w:p>
            <w:pPr>
              <w:ind w:left="920"/>
              <w:spacing w:after="0"/>
              <w:rPr>
                <w:sz w:val="20"/>
                <w:szCs w:val="20"/>
                <w:color w:val="auto"/>
              </w:rPr>
            </w:pPr>
            <w:r>
              <w:rPr>
                <w:rFonts w:ascii="Arial" w:cs="Arial" w:eastAsia="Arial" w:hAnsi="Arial"/>
                <w:sz w:val="18"/>
                <w:szCs w:val="18"/>
                <w:color w:val="auto"/>
              </w:rPr>
              <w:t>Over US$24 billion</w:t>
            </w:r>
          </w:p>
        </w:tc>
        <w:tc>
          <w:tcPr>
            <w:tcW w:w="0" w:type="dxa"/>
            <w:vAlign w:val="bottom"/>
          </w:tcPr>
          <w:p>
            <w:pPr>
              <w:spacing w:after="0"/>
              <w:rPr>
                <w:sz w:val="1"/>
                <w:szCs w:val="1"/>
                <w:color w:val="auto"/>
              </w:rPr>
            </w:pPr>
          </w:p>
        </w:tc>
      </w:tr>
      <w:tr>
        <w:trPr>
          <w:trHeight w:val="301"/>
        </w:trPr>
        <w:tc>
          <w:tcPr>
            <w:tcW w:w="80" w:type="dxa"/>
            <w:vAlign w:val="bottom"/>
          </w:tcPr>
          <w:p>
            <w:pPr>
              <w:spacing w:after="0"/>
              <w:rPr>
                <w:sz w:val="20"/>
                <w:szCs w:val="20"/>
                <w:color w:val="auto"/>
              </w:rPr>
            </w:pPr>
            <w:r>
              <w:rPr>
                <w:rFonts w:ascii="Arial" w:cs="Arial" w:eastAsia="Arial" w:hAnsi="Arial"/>
                <w:sz w:val="9"/>
                <w:szCs w:val="9"/>
                <w:color w:val="D95A3B"/>
              </w:rPr>
              <w:t>·</w:t>
            </w:r>
          </w:p>
        </w:tc>
        <w:tc>
          <w:tcPr>
            <w:tcW w:w="4560" w:type="dxa"/>
            <w:vAlign w:val="bottom"/>
          </w:tcPr>
          <w:p>
            <w:pPr>
              <w:ind w:left="80"/>
              <w:spacing w:after="0"/>
              <w:rPr>
                <w:sz w:val="20"/>
                <w:szCs w:val="20"/>
                <w:color w:val="auto"/>
              </w:rPr>
            </w:pPr>
            <w:r>
              <w:rPr>
                <w:rFonts w:ascii="Arial" w:cs="Arial" w:eastAsia="Arial" w:hAnsi="Arial"/>
                <w:sz w:val="18"/>
                <w:szCs w:val="18"/>
                <w:color w:val="auto"/>
              </w:rPr>
              <w:t>Cash flow from operations – US$2.1 billion</w:t>
            </w:r>
          </w:p>
        </w:tc>
        <w:tc>
          <w:tcPr>
            <w:tcW w:w="5380" w:type="dxa"/>
            <w:vAlign w:val="bottom"/>
          </w:tcPr>
          <w:p>
            <w:pPr>
              <w:ind w:left="920"/>
              <w:spacing w:after="0"/>
              <w:rPr>
                <w:sz w:val="20"/>
                <w:szCs w:val="20"/>
                <w:color w:val="auto"/>
              </w:rPr>
            </w:pPr>
            <w:r>
              <w:rPr>
                <w:rFonts w:ascii="Arial" w:cs="Arial" w:eastAsia="Arial" w:hAnsi="Arial"/>
                <w:sz w:val="22"/>
                <w:szCs w:val="22"/>
                <w:color w:val="D95A3B"/>
                <w:w w:val="97"/>
              </w:rPr>
              <w:t>Dividend per common share (as of April 2019):</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20"/>
                <w:szCs w:val="20"/>
                <w:color w:val="auto"/>
              </w:rPr>
            </w:pPr>
            <w:r>
              <w:rPr>
                <w:rFonts w:ascii="Arial" w:cs="Arial" w:eastAsia="Arial" w:hAnsi="Arial"/>
                <w:sz w:val="9"/>
                <w:szCs w:val="9"/>
                <w:color w:val="D95A3B"/>
              </w:rPr>
              <w:t>·</w:t>
            </w:r>
          </w:p>
        </w:tc>
        <w:tc>
          <w:tcPr>
            <w:tcW w:w="4560" w:type="dxa"/>
            <w:vAlign w:val="bottom"/>
          </w:tcPr>
          <w:p>
            <w:pPr>
              <w:ind w:left="80"/>
              <w:spacing w:after="0"/>
              <w:rPr>
                <w:sz w:val="20"/>
                <w:szCs w:val="20"/>
                <w:color w:val="auto"/>
              </w:rPr>
            </w:pPr>
            <w:r>
              <w:rPr>
                <w:rFonts w:ascii="Arial" w:cs="Arial" w:eastAsia="Arial" w:hAnsi="Arial"/>
                <w:sz w:val="18"/>
                <w:szCs w:val="18"/>
                <w:color w:val="auto"/>
              </w:rPr>
              <w:t>Free cash flow* – US$1.1 billion</w:t>
            </w:r>
          </w:p>
        </w:tc>
        <w:tc>
          <w:tcPr>
            <w:tcW w:w="5380" w:type="dxa"/>
            <w:vAlign w:val="bottom"/>
            <w:vMerge w:val="restart"/>
          </w:tcPr>
          <w:p>
            <w:pPr>
              <w:ind w:left="920"/>
              <w:spacing w:after="0"/>
              <w:rPr>
                <w:sz w:val="20"/>
                <w:szCs w:val="20"/>
                <w:color w:val="auto"/>
              </w:rPr>
            </w:pPr>
            <w:r>
              <w:rPr>
                <w:rFonts w:ascii="Arial" w:cs="Arial" w:eastAsia="Arial" w:hAnsi="Arial"/>
                <w:sz w:val="18"/>
                <w:szCs w:val="18"/>
                <w:color w:val="auto"/>
              </w:rPr>
              <w:t>$0.36 quarterly ($1.44 annualized)</w:t>
            </w:r>
          </w:p>
        </w:tc>
        <w:tc>
          <w:tcPr>
            <w:tcW w:w="0" w:type="dxa"/>
            <w:vAlign w:val="bottom"/>
          </w:tcPr>
          <w:p>
            <w:pPr>
              <w:spacing w:after="0"/>
              <w:rPr>
                <w:sz w:val="1"/>
                <w:szCs w:val="1"/>
                <w:color w:val="auto"/>
              </w:rPr>
            </w:pPr>
          </w:p>
        </w:tc>
      </w:tr>
      <w:tr>
        <w:trPr>
          <w:trHeight w:val="81"/>
        </w:trPr>
        <w:tc>
          <w:tcPr>
            <w:tcW w:w="4640" w:type="dxa"/>
            <w:vAlign w:val="bottom"/>
            <w:gridSpan w:val="2"/>
            <w:vMerge w:val="restart"/>
          </w:tcPr>
          <w:p>
            <w:pPr>
              <w:spacing w:after="0"/>
              <w:rPr>
                <w:sz w:val="20"/>
                <w:szCs w:val="20"/>
                <w:color w:val="auto"/>
              </w:rPr>
            </w:pPr>
            <w:r>
              <w:rPr>
                <w:rFonts w:ascii="Arial" w:cs="Arial" w:eastAsia="Arial" w:hAnsi="Arial"/>
                <w:sz w:val="22"/>
                <w:szCs w:val="22"/>
                <w:color w:val="D95A3B"/>
              </w:rPr>
              <w:t>Stock exchange listings (Symbol: TRI):</w:t>
            </w:r>
          </w:p>
        </w:tc>
        <w:tc>
          <w:tcPr>
            <w:tcW w:w="5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640" w:type="dxa"/>
            <w:vAlign w:val="bottom"/>
            <w:gridSpan w:val="2"/>
            <w:vMerge w:val="continue"/>
          </w:tcPr>
          <w:p>
            <w:pPr>
              <w:spacing w:after="0"/>
              <w:rPr>
                <w:sz w:val="21"/>
                <w:szCs w:val="21"/>
                <w:color w:val="auto"/>
              </w:rPr>
            </w:pPr>
          </w:p>
        </w:tc>
        <w:tc>
          <w:tcPr>
            <w:tcW w:w="5380" w:type="dxa"/>
            <w:vAlign w:val="bottom"/>
          </w:tcPr>
          <w:p>
            <w:pPr>
              <w:ind w:left="920"/>
              <w:spacing w:after="0"/>
              <w:rPr>
                <w:sz w:val="20"/>
                <w:szCs w:val="20"/>
                <w:color w:val="auto"/>
              </w:rPr>
            </w:pPr>
            <w:r>
              <w:rPr>
                <w:rFonts w:ascii="Arial" w:cs="Arial" w:eastAsia="Arial" w:hAnsi="Arial"/>
                <w:sz w:val="18"/>
                <w:szCs w:val="18"/>
                <w:i w:val="1"/>
                <w:iCs w:val="1"/>
                <w:color w:val="auto"/>
              </w:rPr>
              <w:t>We have increased our common share dividend for 26</w:t>
            </w:r>
          </w:p>
        </w:tc>
        <w:tc>
          <w:tcPr>
            <w:tcW w:w="0" w:type="dxa"/>
            <w:vAlign w:val="bottom"/>
          </w:tcPr>
          <w:p>
            <w:pPr>
              <w:spacing w:after="0"/>
              <w:rPr>
                <w:sz w:val="1"/>
                <w:szCs w:val="1"/>
                <w:color w:val="auto"/>
              </w:rPr>
            </w:pPr>
          </w:p>
        </w:tc>
      </w:tr>
      <w:tr>
        <w:trPr>
          <w:trHeight w:val="275"/>
        </w:trPr>
        <w:tc>
          <w:tcPr>
            <w:tcW w:w="80" w:type="dxa"/>
            <w:vAlign w:val="bottom"/>
          </w:tcPr>
          <w:p>
            <w:pPr>
              <w:spacing w:after="0"/>
              <w:rPr>
                <w:sz w:val="20"/>
                <w:szCs w:val="20"/>
                <w:color w:val="auto"/>
              </w:rPr>
            </w:pPr>
            <w:r>
              <w:rPr>
                <w:rFonts w:ascii="Arial" w:cs="Arial" w:eastAsia="Arial" w:hAnsi="Arial"/>
                <w:sz w:val="9"/>
                <w:szCs w:val="9"/>
                <w:color w:val="D95A3B"/>
              </w:rPr>
              <w:t>·</w:t>
            </w:r>
          </w:p>
        </w:tc>
        <w:tc>
          <w:tcPr>
            <w:tcW w:w="4560" w:type="dxa"/>
            <w:vAlign w:val="bottom"/>
          </w:tcPr>
          <w:p>
            <w:pPr>
              <w:ind w:left="80"/>
              <w:spacing w:after="0"/>
              <w:rPr>
                <w:sz w:val="20"/>
                <w:szCs w:val="20"/>
                <w:color w:val="auto"/>
              </w:rPr>
            </w:pPr>
            <w:r>
              <w:rPr>
                <w:rFonts w:ascii="Arial" w:cs="Arial" w:eastAsia="Arial" w:hAnsi="Arial"/>
                <w:sz w:val="18"/>
                <w:szCs w:val="18"/>
                <w:color w:val="auto"/>
              </w:rPr>
              <w:t>Toronto Stock Exchange (TSX)</w:t>
            </w:r>
          </w:p>
        </w:tc>
        <w:tc>
          <w:tcPr>
            <w:tcW w:w="5380" w:type="dxa"/>
            <w:vAlign w:val="bottom"/>
          </w:tcPr>
          <w:p>
            <w:pPr>
              <w:ind w:left="920"/>
              <w:spacing w:after="0"/>
              <w:rPr>
                <w:sz w:val="20"/>
                <w:szCs w:val="20"/>
                <w:color w:val="auto"/>
              </w:rPr>
            </w:pPr>
            <w:r>
              <w:rPr>
                <w:rFonts w:ascii="Arial" w:cs="Arial" w:eastAsia="Arial" w:hAnsi="Arial"/>
                <w:sz w:val="18"/>
                <w:szCs w:val="18"/>
                <w:i w:val="1"/>
                <w:iCs w:val="1"/>
                <w:color w:val="auto"/>
              </w:rPr>
              <w:t>consecutive years.</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0"/>
                <w:szCs w:val="20"/>
                <w:color w:val="auto"/>
              </w:rPr>
            </w:pPr>
            <w:r>
              <w:rPr>
                <w:rFonts w:ascii="Arial" w:cs="Arial" w:eastAsia="Arial" w:hAnsi="Arial"/>
                <w:sz w:val="9"/>
                <w:szCs w:val="9"/>
                <w:color w:val="D95A3B"/>
              </w:rPr>
              <w:t>·</w:t>
            </w:r>
          </w:p>
        </w:tc>
        <w:tc>
          <w:tcPr>
            <w:tcW w:w="4560" w:type="dxa"/>
            <w:vAlign w:val="bottom"/>
          </w:tcPr>
          <w:p>
            <w:pPr>
              <w:ind w:left="80"/>
              <w:spacing w:after="0"/>
              <w:rPr>
                <w:sz w:val="20"/>
                <w:szCs w:val="20"/>
                <w:color w:val="auto"/>
              </w:rPr>
            </w:pPr>
            <w:r>
              <w:rPr>
                <w:rFonts w:ascii="Arial" w:cs="Arial" w:eastAsia="Arial" w:hAnsi="Arial"/>
                <w:sz w:val="18"/>
                <w:szCs w:val="18"/>
                <w:color w:val="auto"/>
              </w:rPr>
              <w:t>New York Stock Exchange (NYSE)</w:t>
            </w: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revenue information reflected in the first table above is based on our 2018 full-year results.</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For more information about our company, visit </w:t>
      </w:r>
      <w:r>
        <w:rPr>
          <w:rFonts w:ascii="Arial" w:cs="Arial" w:eastAsia="Arial" w:hAnsi="Arial"/>
          <w:sz w:val="18"/>
          <w:szCs w:val="18"/>
          <w:b w:val="1"/>
          <w:bCs w:val="1"/>
          <w:color w:val="D95A3B"/>
        </w:rPr>
        <w:t>www.thomsonreuters.com</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Non-International Financial Reporting Standards (non-IFRS) financial measures. Please see the note in the “Additional Information”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127635</wp:posOffset>
            </wp:positionV>
            <wp:extent cx="697357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55" w:lineRule="exact"/>
        <w:rPr>
          <w:sz w:val="20"/>
          <w:szCs w:val="20"/>
          <w:color w:val="auto"/>
        </w:rPr>
      </w:pPr>
    </w:p>
    <w:p>
      <w:pPr>
        <w:jc w:val="right"/>
        <w:spacing w:after="0"/>
        <w:tabs>
          <w:tab w:leader="none" w:pos="40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3</w:t>
      </w:r>
    </w:p>
    <w:p>
      <w:pPr>
        <w:sectPr>
          <w:pgSz w:w="11900" w:h="16838" w:orient="portrait"/>
          <w:cols w:equalWidth="0" w:num="1">
            <w:col w:w="11200"/>
          </w:cols>
          <w:pgMar w:left="240" w:top="458"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About this Circular and Related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327660</wp:posOffset>
            </wp:positionV>
            <wp:extent cx="69735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right="60"/>
        <w:spacing w:after="0" w:line="242" w:lineRule="auto"/>
        <w:rPr>
          <w:sz w:val="20"/>
          <w:szCs w:val="20"/>
          <w:color w:val="auto"/>
        </w:rPr>
      </w:pPr>
      <w:r>
        <w:rPr>
          <w:rFonts w:ascii="Arial" w:cs="Arial" w:eastAsia="Arial" w:hAnsi="Arial"/>
          <w:sz w:val="27"/>
          <w:szCs w:val="27"/>
          <w:color w:val="auto"/>
        </w:rPr>
        <w:t>We are providing this circular and proxy materials to you in connection with our annual meeting of shareholders to be held on Wednesday, June 5, 2019. As a shareholder, you are invited to attend the meeting. If you are unable to attend, you may still vote by completing the enclosed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154305</wp:posOffset>
            </wp:positionV>
            <wp:extent cx="69735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343" w:lineRule="exact"/>
        <w:rPr>
          <w:sz w:val="20"/>
          <w:szCs w:val="20"/>
          <w:color w:val="auto"/>
        </w:rPr>
      </w:pPr>
    </w:p>
    <w:p>
      <w:pPr>
        <w:ind w:left="220" w:right="60"/>
        <w:spacing w:after="0" w:line="244" w:lineRule="auto"/>
        <w:rPr>
          <w:sz w:val="20"/>
          <w:szCs w:val="20"/>
          <w:color w:val="auto"/>
        </w:rPr>
      </w:pPr>
      <w:r>
        <w:rPr>
          <w:rFonts w:ascii="Arial" w:cs="Arial" w:eastAsia="Arial" w:hAnsi="Arial"/>
          <w:sz w:val="18"/>
          <w:szCs w:val="18"/>
          <w:color w:val="auto"/>
        </w:rPr>
        <w:t>This circular describes the items to be voted on at the meeting and the voting process and contains additional information about executive compensation, corporate governance practices and other matters that will be discussed at the meeting.</w:t>
      </w:r>
    </w:p>
    <w:p>
      <w:pPr>
        <w:spacing w:after="0" w:line="91" w:lineRule="exact"/>
        <w:rPr>
          <w:sz w:val="20"/>
          <w:szCs w:val="20"/>
          <w:color w:val="auto"/>
        </w:rPr>
      </w:pPr>
    </w:p>
    <w:p>
      <w:pPr>
        <w:jc w:val="both"/>
        <w:ind w:left="220" w:right="140"/>
        <w:spacing w:after="0" w:line="239" w:lineRule="auto"/>
        <w:rPr>
          <w:sz w:val="20"/>
          <w:szCs w:val="20"/>
          <w:color w:val="auto"/>
        </w:rPr>
      </w:pPr>
      <w:r>
        <w:rPr>
          <w:rFonts w:ascii="Arial" w:cs="Arial" w:eastAsia="Arial" w:hAnsi="Arial"/>
          <w:sz w:val="18"/>
          <w:szCs w:val="18"/>
          <w:color w:val="auto"/>
        </w:rPr>
        <w:t>Unless otherwise indicated, all dollar amounts in this circular are expressed in U.S. dollars, and information is as of April 11, 2019. In this circular, the terms “we”, “us” and “our” refer to Thomson Reuters Corporation and our consolidated subsidiaries. The term “Woodbridge” refers to The Woodbridge Company Limited and other companies affiliated with it.</w:t>
      </w:r>
    </w:p>
    <w:p>
      <w:pPr>
        <w:spacing w:after="0" w:line="95" w:lineRule="exact"/>
        <w:rPr>
          <w:sz w:val="20"/>
          <w:szCs w:val="20"/>
          <w:color w:val="auto"/>
        </w:rPr>
      </w:pPr>
    </w:p>
    <w:p>
      <w:pPr>
        <w:ind w:left="220"/>
        <w:spacing w:after="0" w:line="244" w:lineRule="auto"/>
        <w:rPr>
          <w:sz w:val="20"/>
          <w:szCs w:val="20"/>
          <w:color w:val="auto"/>
        </w:rPr>
      </w:pPr>
      <w:r>
        <w:rPr>
          <w:rFonts w:ascii="Arial" w:cs="Arial" w:eastAsia="Arial" w:hAnsi="Arial"/>
          <w:sz w:val="18"/>
          <w:szCs w:val="18"/>
          <w:color w:val="auto"/>
        </w:rPr>
        <w:t>Please see the “Voting Information” section of this document for an explanation of how you can vote on the matters to be considered at the meeting, whether or not you decide to attend the meeting.</w:t>
      </w:r>
    </w:p>
    <w:p>
      <w:pPr>
        <w:spacing w:after="0" w:line="91" w:lineRule="exact"/>
        <w:rPr>
          <w:sz w:val="20"/>
          <w:szCs w:val="20"/>
          <w:color w:val="auto"/>
        </w:rPr>
      </w:pPr>
    </w:p>
    <w:p>
      <w:pPr>
        <w:ind w:left="220" w:right="320"/>
        <w:spacing w:after="0" w:line="244" w:lineRule="auto"/>
        <w:rPr>
          <w:sz w:val="20"/>
          <w:szCs w:val="20"/>
          <w:color w:val="auto"/>
        </w:rPr>
      </w:pPr>
      <w:r>
        <w:rPr>
          <w:rFonts w:ascii="Arial" w:cs="Arial" w:eastAsia="Arial" w:hAnsi="Arial"/>
          <w:sz w:val="18"/>
          <w:szCs w:val="18"/>
          <w:color w:val="auto"/>
        </w:rPr>
        <w:t>We are a Canadian company that is considered to be a “foreign private issuer” for U.S. federal securities law purposes. As a result, we have prepared this circular in accordance with applicable Canadian disclosure requirements.</w:t>
      </w:r>
    </w:p>
    <w:p>
      <w:pPr>
        <w:spacing w:after="0" w:line="91" w:lineRule="exact"/>
        <w:rPr>
          <w:sz w:val="20"/>
          <w:szCs w:val="20"/>
          <w:color w:val="auto"/>
        </w:rPr>
      </w:pPr>
    </w:p>
    <w:p>
      <w:pPr>
        <w:jc w:val="both"/>
        <w:ind w:left="220" w:right="60"/>
        <w:spacing w:after="0" w:line="239" w:lineRule="auto"/>
        <w:rPr>
          <w:sz w:val="20"/>
          <w:szCs w:val="20"/>
          <w:color w:val="auto"/>
        </w:rPr>
      </w:pPr>
      <w:r>
        <w:rPr>
          <w:rFonts w:ascii="Arial" w:cs="Arial" w:eastAsia="Arial" w:hAnsi="Arial"/>
          <w:sz w:val="18"/>
          <w:szCs w:val="18"/>
          <w:color w:val="auto"/>
        </w:rPr>
        <w:t>Information contained on our website or any other websites identified in this circular is not part of this circular. All website addresses listed in this circular are intended to be inactive, textual references only. The Thomson Reuters logo and our other trademarks, trade names and service names mentioned in this circular are the property of Thomson Reuters.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Front cover photo credit: REUTERS/Mark Blinch.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125730</wp:posOffset>
            </wp:positionV>
            <wp:extent cx="697357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8"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3"/>
          <w:szCs w:val="13"/>
          <w:color w:val="auto"/>
        </w:rPr>
        <w:t>Page 4</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Business of the Meeting</w:t>
      </w:r>
    </w:p>
    <w:p>
      <w:pPr>
        <w:spacing w:after="0" w:line="3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Highlights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year’s meeting will cover the following 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5867400</wp:posOffset>
            </wp:positionH>
            <wp:positionV relativeFrom="paragraph">
              <wp:posOffset>74295</wp:posOffset>
            </wp:positionV>
            <wp:extent cx="8255" cy="2305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230505"/>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74295</wp:posOffset>
            </wp:positionV>
            <wp:extent cx="8255" cy="2305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230505"/>
                    </a:xfrm>
                    <a:prstGeom prst="rect">
                      <a:avLst/>
                    </a:prstGeom>
                    <a:noFill/>
                  </pic:spPr>
                </pic:pic>
              </a:graphicData>
            </a:graphic>
          </wp:anchor>
        </w:drawing>
      </w:r>
    </w:p>
    <w:p>
      <w:pPr>
        <w:spacing w:after="0" w:line="97"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88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Item of Business</w:t>
            </w:r>
          </w:p>
        </w:tc>
        <w:tc>
          <w:tcPr>
            <w:tcW w:w="2500" w:type="dxa"/>
            <w:vAlign w:val="bottom"/>
            <w:gridSpan w:val="2"/>
            <w:shd w:val="clear" w:color="auto" w:fill="CCCCCC"/>
          </w:tcPr>
          <w:p>
            <w:pPr>
              <w:ind w:left="40"/>
              <w:spacing w:after="0"/>
              <w:rPr>
                <w:sz w:val="20"/>
                <w:szCs w:val="20"/>
                <w:color w:val="auto"/>
              </w:rPr>
            </w:pPr>
            <w:r>
              <w:rPr>
                <w:rFonts w:ascii="Arial" w:cs="Arial" w:eastAsia="Arial" w:hAnsi="Arial"/>
                <w:sz w:val="14"/>
                <w:szCs w:val="14"/>
                <w:b w:val="1"/>
                <w:bCs w:val="1"/>
                <w:color w:val="auto"/>
              </w:rPr>
              <w:t>Highlights</w:t>
            </w:r>
          </w:p>
        </w:tc>
        <w:tc>
          <w:tcPr>
            <w:tcW w:w="1260" w:type="dxa"/>
            <w:vAlign w:val="bottom"/>
            <w:shd w:val="clear" w:color="auto" w:fill="CCCCCC"/>
          </w:tcPr>
          <w:p>
            <w:pPr>
              <w:spacing w:after="0"/>
              <w:rPr>
                <w:sz w:val="15"/>
                <w:szCs w:val="15"/>
                <w:color w:val="auto"/>
              </w:rPr>
            </w:pPr>
          </w:p>
        </w:tc>
        <w:tc>
          <w:tcPr>
            <w:tcW w:w="1160" w:type="dxa"/>
            <w:vAlign w:val="bottom"/>
            <w:shd w:val="clear" w:color="auto" w:fill="CCCCCC"/>
          </w:tcPr>
          <w:p>
            <w:pPr>
              <w:spacing w:after="0"/>
              <w:rPr>
                <w:sz w:val="15"/>
                <w:szCs w:val="15"/>
                <w:color w:val="auto"/>
              </w:rPr>
            </w:pPr>
          </w:p>
        </w:tc>
        <w:tc>
          <w:tcPr>
            <w:tcW w:w="1240" w:type="dxa"/>
            <w:vAlign w:val="bottom"/>
            <w:shd w:val="clear" w:color="auto" w:fill="CCCCCC"/>
          </w:tcPr>
          <w:p>
            <w:pPr>
              <w:spacing w:after="0"/>
              <w:rPr>
                <w:sz w:val="15"/>
                <w:szCs w:val="15"/>
                <w:color w:val="auto"/>
              </w:rPr>
            </w:pPr>
          </w:p>
        </w:tc>
        <w:tc>
          <w:tcPr>
            <w:tcW w:w="1000" w:type="dxa"/>
            <w:vAlign w:val="bottom"/>
            <w:tcBorders>
              <w:right w:val="single" w:sz="8" w:color="CCCCCC"/>
            </w:tcBorders>
            <w:shd w:val="clear" w:color="auto" w:fill="CCCCCC"/>
          </w:tcPr>
          <w:p>
            <w:pPr>
              <w:spacing w:after="0"/>
              <w:rPr>
                <w:sz w:val="15"/>
                <w:szCs w:val="15"/>
                <w:color w:val="auto"/>
              </w:rPr>
            </w:pPr>
          </w:p>
        </w:tc>
        <w:tc>
          <w:tcPr>
            <w:tcW w:w="1940" w:type="dxa"/>
            <w:vAlign w:val="bottom"/>
            <w:shd w:val="clear" w:color="auto" w:fill="CCCCCC"/>
          </w:tcPr>
          <w:p>
            <w:pPr>
              <w:ind w:left="80"/>
              <w:spacing w:after="0"/>
              <w:rPr>
                <w:sz w:val="20"/>
                <w:szCs w:val="20"/>
                <w:color w:val="auto"/>
              </w:rPr>
            </w:pPr>
            <w:r>
              <w:rPr>
                <w:rFonts w:ascii="Arial" w:cs="Arial" w:eastAsia="Arial" w:hAnsi="Arial"/>
                <w:sz w:val="14"/>
                <w:szCs w:val="14"/>
                <w:b w:val="1"/>
                <w:bCs w:val="1"/>
                <w:color w:val="auto"/>
              </w:rPr>
              <w:t>Board Vote</w:t>
            </w:r>
          </w:p>
        </w:tc>
        <w:tc>
          <w:tcPr>
            <w:tcW w:w="0" w:type="dxa"/>
            <w:vAlign w:val="bottom"/>
          </w:tcPr>
          <w:p>
            <w:pPr>
              <w:spacing w:after="0"/>
              <w:rPr>
                <w:sz w:val="1"/>
                <w:szCs w:val="1"/>
                <w:color w:val="auto"/>
              </w:rPr>
            </w:pPr>
          </w:p>
        </w:tc>
      </w:tr>
      <w:tr>
        <w:trPr>
          <w:trHeight w:val="175"/>
        </w:trPr>
        <w:tc>
          <w:tcPr>
            <w:tcW w:w="1880" w:type="dxa"/>
            <w:vAlign w:val="bottom"/>
            <w:tcBorders>
              <w:bottom w:val="single" w:sz="8" w:color="D95A3B"/>
              <w:right w:val="single" w:sz="8" w:color="CCCCCC"/>
            </w:tcBorders>
            <w:shd w:val="clear" w:color="auto" w:fill="CCCCCC"/>
          </w:tcPr>
          <w:p>
            <w:pPr>
              <w:spacing w:after="0"/>
              <w:rPr>
                <w:sz w:val="15"/>
                <w:szCs w:val="15"/>
                <w:color w:val="auto"/>
              </w:rPr>
            </w:pPr>
          </w:p>
        </w:tc>
        <w:tc>
          <w:tcPr>
            <w:tcW w:w="160" w:type="dxa"/>
            <w:vAlign w:val="bottom"/>
            <w:tcBorders>
              <w:bottom w:val="single" w:sz="8" w:color="D95A3B"/>
            </w:tcBorders>
            <w:shd w:val="clear" w:color="auto" w:fill="CCCCCC"/>
          </w:tcPr>
          <w:p>
            <w:pPr>
              <w:spacing w:after="0"/>
              <w:rPr>
                <w:sz w:val="15"/>
                <w:szCs w:val="15"/>
                <w:color w:val="auto"/>
              </w:rPr>
            </w:pPr>
          </w:p>
        </w:tc>
        <w:tc>
          <w:tcPr>
            <w:tcW w:w="2340" w:type="dxa"/>
            <w:vAlign w:val="bottom"/>
            <w:tcBorders>
              <w:bottom w:val="single" w:sz="8" w:color="D95A3B"/>
            </w:tcBorders>
            <w:shd w:val="clear" w:color="auto" w:fill="CCCCCC"/>
          </w:tcPr>
          <w:p>
            <w:pPr>
              <w:spacing w:after="0"/>
              <w:rPr>
                <w:sz w:val="15"/>
                <w:szCs w:val="15"/>
                <w:color w:val="auto"/>
              </w:rPr>
            </w:pPr>
          </w:p>
        </w:tc>
        <w:tc>
          <w:tcPr>
            <w:tcW w:w="1260" w:type="dxa"/>
            <w:vAlign w:val="bottom"/>
            <w:tcBorders>
              <w:bottom w:val="single" w:sz="8" w:color="D95A3B"/>
            </w:tcBorders>
            <w:shd w:val="clear" w:color="auto" w:fill="CCCCCC"/>
          </w:tcPr>
          <w:p>
            <w:pPr>
              <w:spacing w:after="0"/>
              <w:rPr>
                <w:sz w:val="15"/>
                <w:szCs w:val="15"/>
                <w:color w:val="auto"/>
              </w:rPr>
            </w:pPr>
          </w:p>
        </w:tc>
        <w:tc>
          <w:tcPr>
            <w:tcW w:w="1160" w:type="dxa"/>
            <w:vAlign w:val="bottom"/>
            <w:tcBorders>
              <w:bottom w:val="single" w:sz="8" w:color="D95A3B"/>
            </w:tcBorders>
            <w:shd w:val="clear" w:color="auto" w:fill="CCCCCC"/>
          </w:tcPr>
          <w:p>
            <w:pPr>
              <w:spacing w:after="0"/>
              <w:rPr>
                <w:sz w:val="15"/>
                <w:szCs w:val="15"/>
                <w:color w:val="auto"/>
              </w:rPr>
            </w:pPr>
          </w:p>
        </w:tc>
        <w:tc>
          <w:tcPr>
            <w:tcW w:w="1240" w:type="dxa"/>
            <w:vAlign w:val="bottom"/>
            <w:tcBorders>
              <w:bottom w:val="single" w:sz="8" w:color="D95A3B"/>
            </w:tcBorders>
            <w:shd w:val="clear" w:color="auto" w:fill="CCCCCC"/>
          </w:tcPr>
          <w:p>
            <w:pPr>
              <w:spacing w:after="0"/>
              <w:rPr>
                <w:sz w:val="15"/>
                <w:szCs w:val="15"/>
                <w:color w:val="auto"/>
              </w:rPr>
            </w:pPr>
          </w:p>
        </w:tc>
        <w:tc>
          <w:tcPr>
            <w:tcW w:w="1000" w:type="dxa"/>
            <w:vAlign w:val="bottom"/>
            <w:tcBorders>
              <w:bottom w:val="single" w:sz="8" w:color="D95A3B"/>
              <w:right w:val="single" w:sz="8" w:color="CCCCCC"/>
            </w:tcBorders>
            <w:shd w:val="clear" w:color="auto" w:fill="CCCCCC"/>
          </w:tcPr>
          <w:p>
            <w:pPr>
              <w:spacing w:after="0"/>
              <w:rPr>
                <w:sz w:val="15"/>
                <w:szCs w:val="15"/>
                <w:color w:val="auto"/>
              </w:rPr>
            </w:pPr>
          </w:p>
        </w:tc>
        <w:tc>
          <w:tcPr>
            <w:tcW w:w="1940" w:type="dxa"/>
            <w:vAlign w:val="bottom"/>
            <w:tcBorders>
              <w:bottom w:val="single" w:sz="8" w:color="D95A3B"/>
            </w:tcBorders>
            <w:shd w:val="clear" w:color="auto" w:fill="CCCCCC"/>
          </w:tcPr>
          <w:p>
            <w:pPr>
              <w:ind w:left="80"/>
              <w:spacing w:after="0"/>
              <w:rPr>
                <w:sz w:val="20"/>
                <w:szCs w:val="20"/>
                <w:color w:val="auto"/>
              </w:rPr>
            </w:pPr>
            <w:r>
              <w:rPr>
                <w:rFonts w:ascii="Arial" w:cs="Arial" w:eastAsia="Arial" w:hAnsi="Arial"/>
                <w:sz w:val="14"/>
                <w:szCs w:val="14"/>
                <w:b w:val="1"/>
                <w:bCs w:val="1"/>
                <w:color w:val="auto"/>
              </w:rPr>
              <w:t>Recommendation</w:t>
            </w:r>
          </w:p>
        </w:tc>
        <w:tc>
          <w:tcPr>
            <w:tcW w:w="0" w:type="dxa"/>
            <w:vAlign w:val="bottom"/>
          </w:tcPr>
          <w:p>
            <w:pPr>
              <w:spacing w:after="0"/>
              <w:rPr>
                <w:sz w:val="1"/>
                <w:szCs w:val="1"/>
                <w:color w:val="auto"/>
              </w:rPr>
            </w:pPr>
          </w:p>
        </w:tc>
      </w:tr>
      <w:tr>
        <w:trPr>
          <w:trHeight w:val="142"/>
        </w:trPr>
        <w:tc>
          <w:tcPr>
            <w:tcW w:w="188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1. Financial</w:t>
            </w:r>
          </w:p>
        </w:tc>
        <w:tc>
          <w:tcPr>
            <w:tcW w:w="376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Receipt of our 2018 audited financial statements.</w:t>
            </w: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Borders>
              <w:right w:val="single" w:sz="8" w:color="AFAFAF"/>
            </w:tcBorders>
          </w:tcPr>
          <w:p>
            <w:pPr>
              <w:spacing w:after="0"/>
              <w:rPr>
                <w:sz w:val="12"/>
                <w:szCs w:val="12"/>
                <w:color w:val="auto"/>
              </w:rPr>
            </w:pPr>
          </w:p>
        </w:tc>
        <w:tc>
          <w:tcPr>
            <w:tcW w:w="1940" w:type="dxa"/>
            <w:vAlign w:val="bottom"/>
          </w:tcPr>
          <w:p>
            <w:pPr>
              <w:ind w:left="80"/>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42"/>
        </w:trPr>
        <w:tc>
          <w:tcPr>
            <w:tcW w:w="18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statements</w:t>
            </w:r>
          </w:p>
        </w:tc>
        <w:tc>
          <w:tcPr>
            <w:tcW w:w="160" w:type="dxa"/>
            <w:vAlign w:val="bottom"/>
          </w:tcPr>
          <w:p>
            <w:pPr>
              <w:ind w:left="60"/>
              <w:spacing w:after="0"/>
              <w:rPr>
                <w:sz w:val="20"/>
                <w:szCs w:val="20"/>
                <w:color w:val="auto"/>
              </w:rPr>
            </w:pPr>
            <w:r>
              <w:rPr>
                <w:rFonts w:ascii="Arial" w:cs="Arial" w:eastAsia="Arial" w:hAnsi="Arial"/>
                <w:sz w:val="9"/>
                <w:szCs w:val="9"/>
                <w:color w:val="D95A3B"/>
              </w:rPr>
              <w:t>·</w:t>
            </w:r>
          </w:p>
        </w:tc>
        <w:tc>
          <w:tcPr>
            <w:tcW w:w="7000" w:type="dxa"/>
            <w:vAlign w:val="bottom"/>
            <w:tcBorders>
              <w:right w:val="single" w:sz="8" w:color="AFAFAF"/>
            </w:tcBorders>
            <w:gridSpan w:val="5"/>
          </w:tcPr>
          <w:p>
            <w:pPr>
              <w:ind w:left="60"/>
              <w:spacing w:after="0"/>
              <w:rPr>
                <w:sz w:val="20"/>
                <w:szCs w:val="20"/>
                <w:color w:val="auto"/>
              </w:rPr>
            </w:pPr>
            <w:r>
              <w:rPr>
                <w:rFonts w:ascii="Arial" w:cs="Arial" w:eastAsia="Arial" w:hAnsi="Arial"/>
                <w:sz w:val="14"/>
                <w:szCs w:val="14"/>
                <w:color w:val="auto"/>
              </w:rPr>
              <w:t>Our 2018 annual consolidated financial statements are included in our 2018 annual report, which is available</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880" w:type="dxa"/>
            <w:vAlign w:val="bottom"/>
            <w:tcBorders>
              <w:right w:val="single" w:sz="8" w:color="AFAFAF"/>
            </w:tcBorders>
          </w:tcPr>
          <w:p>
            <w:pPr>
              <w:spacing w:after="0"/>
              <w:rPr>
                <w:sz w:val="16"/>
                <w:szCs w:val="16"/>
                <w:color w:val="auto"/>
              </w:rPr>
            </w:pPr>
          </w:p>
        </w:tc>
        <w:tc>
          <w:tcPr>
            <w:tcW w:w="160" w:type="dxa"/>
            <w:vAlign w:val="bottom"/>
          </w:tcPr>
          <w:p>
            <w:pPr>
              <w:spacing w:after="0"/>
              <w:rPr>
                <w:sz w:val="16"/>
                <w:szCs w:val="16"/>
                <w:color w:val="auto"/>
              </w:rPr>
            </w:pPr>
          </w:p>
        </w:tc>
        <w:tc>
          <w:tcPr>
            <w:tcW w:w="6000" w:type="dxa"/>
            <w:vAlign w:val="bottom"/>
            <w:gridSpan w:val="4"/>
          </w:tcPr>
          <w:p>
            <w:pPr>
              <w:ind w:left="120"/>
              <w:spacing w:after="0"/>
              <w:rPr>
                <w:sz w:val="20"/>
                <w:szCs w:val="20"/>
                <w:color w:val="auto"/>
              </w:rPr>
            </w:pPr>
            <w:r>
              <w:rPr>
                <w:rFonts w:ascii="Arial" w:cs="Arial" w:eastAsia="Arial" w:hAnsi="Arial"/>
                <w:sz w:val="14"/>
                <w:szCs w:val="14"/>
                <w:color w:val="auto"/>
              </w:rPr>
              <w:t xml:space="preserve">in the “Investor Relations” section of our website, </w:t>
            </w:r>
            <w:r>
              <w:rPr>
                <w:rFonts w:ascii="Arial" w:cs="Arial" w:eastAsia="Arial" w:hAnsi="Arial"/>
                <w:sz w:val="14"/>
                <w:szCs w:val="14"/>
                <w:b w:val="1"/>
                <w:bCs w:val="1"/>
                <w:color w:val="D95A3B"/>
              </w:rPr>
              <w:t>www.thomsonreuters.com</w:t>
            </w:r>
            <w:r>
              <w:rPr>
                <w:rFonts w:ascii="Arial" w:cs="Arial" w:eastAsia="Arial" w:hAnsi="Arial"/>
                <w:sz w:val="14"/>
                <w:szCs w:val="14"/>
                <w:color w:val="auto"/>
              </w:rPr>
              <w:t>.</w:t>
            </w:r>
          </w:p>
        </w:tc>
        <w:tc>
          <w:tcPr>
            <w:tcW w:w="1000" w:type="dxa"/>
            <w:vAlign w:val="bottom"/>
            <w:tcBorders>
              <w:right w:val="single" w:sz="8" w:color="AFAFAF"/>
            </w:tcBorders>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880" w:type="dxa"/>
            <w:vAlign w:val="bottom"/>
            <w:tcBorders>
              <w:right w:val="single" w:sz="8" w:color="AFAFAF"/>
            </w:tcBorders>
          </w:tcPr>
          <w:p>
            <w:pPr>
              <w:spacing w:after="0"/>
              <w:rPr>
                <w:sz w:val="21"/>
                <w:szCs w:val="21"/>
                <w:color w:val="auto"/>
              </w:rPr>
            </w:pPr>
          </w:p>
        </w:tc>
        <w:tc>
          <w:tcPr>
            <w:tcW w:w="160" w:type="dxa"/>
            <w:vAlign w:val="bottom"/>
          </w:tcPr>
          <w:p>
            <w:pPr>
              <w:ind w:left="60"/>
              <w:spacing w:after="0"/>
              <w:rPr>
                <w:sz w:val="20"/>
                <w:szCs w:val="20"/>
                <w:color w:val="auto"/>
              </w:rPr>
            </w:pPr>
            <w:r>
              <w:rPr>
                <w:rFonts w:ascii="Arial" w:cs="Arial" w:eastAsia="Arial" w:hAnsi="Arial"/>
                <w:sz w:val="9"/>
                <w:szCs w:val="9"/>
                <w:color w:val="D95A3B"/>
              </w:rPr>
              <w:t>·</w:t>
            </w:r>
          </w:p>
        </w:tc>
        <w:tc>
          <w:tcPr>
            <w:tcW w:w="6000" w:type="dxa"/>
            <w:vAlign w:val="bottom"/>
            <w:gridSpan w:val="4"/>
          </w:tcPr>
          <w:p>
            <w:pPr>
              <w:ind w:left="60"/>
              <w:spacing w:after="0"/>
              <w:rPr>
                <w:sz w:val="20"/>
                <w:szCs w:val="20"/>
                <w:color w:val="auto"/>
              </w:rPr>
            </w:pPr>
            <w:r>
              <w:rPr>
                <w:rFonts w:ascii="Arial" w:cs="Arial" w:eastAsia="Arial" w:hAnsi="Arial"/>
                <w:sz w:val="14"/>
                <w:szCs w:val="14"/>
                <w:color w:val="auto"/>
              </w:rPr>
              <w:t>Shareholders who requested a copy of the 2018 annual report will receive it by mail or e-mail.</w:t>
            </w:r>
          </w:p>
        </w:tc>
        <w:tc>
          <w:tcPr>
            <w:tcW w:w="1000" w:type="dxa"/>
            <w:vAlign w:val="bottom"/>
            <w:tcBorders>
              <w:right w:val="single" w:sz="8" w:color="AFAFAF"/>
            </w:tcBorders>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880" w:type="dxa"/>
            <w:vAlign w:val="bottom"/>
            <w:tcBorders>
              <w:right w:val="single" w:sz="8" w:color="AFAFAF"/>
            </w:tcBorders>
          </w:tcPr>
          <w:p>
            <w:pPr>
              <w:spacing w:after="0"/>
              <w:rPr>
                <w:sz w:val="20"/>
                <w:szCs w:val="20"/>
                <w:color w:val="auto"/>
              </w:rPr>
            </w:pPr>
          </w:p>
        </w:tc>
        <w:tc>
          <w:tcPr>
            <w:tcW w:w="160" w:type="dxa"/>
            <w:vAlign w:val="bottom"/>
          </w:tcPr>
          <w:p>
            <w:pPr>
              <w:ind w:left="60"/>
              <w:spacing w:after="0"/>
              <w:rPr>
                <w:sz w:val="20"/>
                <w:szCs w:val="20"/>
                <w:color w:val="auto"/>
              </w:rPr>
            </w:pPr>
            <w:r>
              <w:rPr>
                <w:rFonts w:ascii="Arial" w:cs="Arial" w:eastAsia="Arial" w:hAnsi="Arial"/>
                <w:sz w:val="9"/>
                <w:szCs w:val="9"/>
                <w:color w:val="D95A3B"/>
              </w:rPr>
              <w:t>·</w:t>
            </w:r>
          </w:p>
        </w:tc>
        <w:tc>
          <w:tcPr>
            <w:tcW w:w="7000" w:type="dxa"/>
            <w:vAlign w:val="bottom"/>
            <w:tcBorders>
              <w:right w:val="single" w:sz="8" w:color="AFAFAF"/>
            </w:tcBorders>
            <w:gridSpan w:val="5"/>
          </w:tcPr>
          <w:p>
            <w:pPr>
              <w:ind w:left="60"/>
              <w:spacing w:after="0"/>
              <w:rPr>
                <w:sz w:val="20"/>
                <w:szCs w:val="20"/>
                <w:color w:val="auto"/>
              </w:rPr>
            </w:pPr>
            <w:r>
              <w:rPr>
                <w:rFonts w:ascii="Arial" w:cs="Arial" w:eastAsia="Arial" w:hAnsi="Arial"/>
                <w:sz w:val="14"/>
                <w:szCs w:val="14"/>
                <w:color w:val="auto"/>
              </w:rPr>
              <w:t>Representatives from Thomson Reuters and our independent auditor, PricewaterhouseCoopers LLP, will be</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80" w:type="dxa"/>
            <w:vAlign w:val="bottom"/>
            <w:tcBorders>
              <w:bottom w:val="single" w:sz="8" w:color="AFAFAF"/>
              <w:right w:val="single" w:sz="8" w:color="AFAFAF"/>
            </w:tcBorders>
          </w:tcPr>
          <w:p>
            <w:pPr>
              <w:spacing w:after="0"/>
              <w:rPr>
                <w:sz w:val="14"/>
                <w:szCs w:val="14"/>
                <w:color w:val="auto"/>
              </w:rPr>
            </w:pPr>
          </w:p>
        </w:tc>
        <w:tc>
          <w:tcPr>
            <w:tcW w:w="160" w:type="dxa"/>
            <w:vAlign w:val="bottom"/>
            <w:tcBorders>
              <w:bottom w:val="single" w:sz="8" w:color="AFAFAF"/>
            </w:tcBorders>
          </w:tcPr>
          <w:p>
            <w:pPr>
              <w:spacing w:after="0"/>
              <w:rPr>
                <w:sz w:val="14"/>
                <w:szCs w:val="14"/>
                <w:color w:val="auto"/>
              </w:rPr>
            </w:pPr>
          </w:p>
        </w:tc>
        <w:tc>
          <w:tcPr>
            <w:tcW w:w="6000" w:type="dxa"/>
            <w:vAlign w:val="bottom"/>
            <w:tcBorders>
              <w:bottom w:val="single" w:sz="8" w:color="AFAFAF"/>
            </w:tcBorders>
            <w:gridSpan w:val="4"/>
          </w:tcPr>
          <w:p>
            <w:pPr>
              <w:ind w:left="120"/>
              <w:spacing w:after="0"/>
              <w:rPr>
                <w:sz w:val="20"/>
                <w:szCs w:val="20"/>
                <w:color w:val="auto"/>
              </w:rPr>
            </w:pPr>
            <w:r>
              <w:rPr>
                <w:rFonts w:ascii="Arial" w:cs="Arial" w:eastAsia="Arial" w:hAnsi="Arial"/>
                <w:sz w:val="14"/>
                <w:szCs w:val="14"/>
                <w:color w:val="auto"/>
              </w:rPr>
              <w:t>available to discuss any questions about our financial statements at the meeting.</w:t>
            </w:r>
          </w:p>
        </w:tc>
        <w:tc>
          <w:tcPr>
            <w:tcW w:w="1000" w:type="dxa"/>
            <w:vAlign w:val="bottom"/>
            <w:tcBorders>
              <w:bottom w:val="single" w:sz="8" w:color="AFAFAF"/>
              <w:right w:val="single" w:sz="8" w:color="AFAFAF"/>
            </w:tcBorders>
          </w:tcPr>
          <w:p>
            <w:pPr>
              <w:spacing w:after="0"/>
              <w:rPr>
                <w:sz w:val="14"/>
                <w:szCs w:val="14"/>
                <w:color w:val="auto"/>
              </w:rPr>
            </w:pPr>
          </w:p>
        </w:tc>
        <w:tc>
          <w:tcPr>
            <w:tcW w:w="1940" w:type="dxa"/>
            <w:vAlign w:val="bottom"/>
            <w:tcBorders>
              <w:bottom w:val="single" w:sz="8" w:color="AFAFA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8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2. Directors</w:t>
            </w:r>
          </w:p>
        </w:tc>
        <w:tc>
          <w:tcPr>
            <w:tcW w:w="7160" w:type="dxa"/>
            <w:vAlign w:val="bottom"/>
            <w:tcBorders>
              <w:right w:val="single" w:sz="8" w:color="AFAFAF"/>
            </w:tcBorders>
            <w:gridSpan w:val="6"/>
          </w:tcPr>
          <w:p>
            <w:pPr>
              <w:ind w:left="40"/>
              <w:spacing w:after="0" w:line="160" w:lineRule="exact"/>
              <w:rPr>
                <w:sz w:val="20"/>
                <w:szCs w:val="20"/>
                <w:color w:val="auto"/>
              </w:rPr>
            </w:pPr>
            <w:r>
              <w:rPr>
                <w:rFonts w:ascii="Arial" w:cs="Arial" w:eastAsia="Arial" w:hAnsi="Arial"/>
                <w:sz w:val="14"/>
                <w:szCs w:val="14"/>
                <w:color w:val="auto"/>
              </w:rPr>
              <w:t>At the meeting, 11 individuals are proposed to be elected to our board of directors. All of these individuals are</w:t>
            </w:r>
          </w:p>
        </w:tc>
        <w:tc>
          <w:tcPr>
            <w:tcW w:w="1940" w:type="dxa"/>
            <w:vAlign w:val="bottom"/>
          </w:tcPr>
          <w:p>
            <w:pPr>
              <w:ind w:left="80"/>
              <w:spacing w:after="0" w:line="160" w:lineRule="exact"/>
              <w:rPr>
                <w:sz w:val="20"/>
                <w:szCs w:val="20"/>
                <w:color w:val="auto"/>
              </w:rPr>
            </w:pPr>
            <w:r>
              <w:rPr>
                <w:rFonts w:ascii="Arial" w:cs="Arial" w:eastAsia="Arial" w:hAnsi="Arial"/>
                <w:sz w:val="14"/>
                <w:szCs w:val="14"/>
                <w:color w:val="auto"/>
              </w:rPr>
              <w:t>FOR each director</w:t>
            </w:r>
          </w:p>
        </w:tc>
        <w:tc>
          <w:tcPr>
            <w:tcW w:w="0" w:type="dxa"/>
            <w:vAlign w:val="bottom"/>
          </w:tcPr>
          <w:p>
            <w:pPr>
              <w:spacing w:after="0"/>
              <w:rPr>
                <w:sz w:val="1"/>
                <w:szCs w:val="1"/>
                <w:color w:val="auto"/>
              </w:rPr>
            </w:pPr>
          </w:p>
        </w:tc>
      </w:tr>
      <w:tr>
        <w:trPr>
          <w:trHeight w:val="172"/>
        </w:trPr>
        <w:tc>
          <w:tcPr>
            <w:tcW w:w="1880" w:type="dxa"/>
            <w:vAlign w:val="bottom"/>
            <w:tcBorders>
              <w:right w:val="single" w:sz="8" w:color="AFAFAF"/>
            </w:tcBorders>
          </w:tcPr>
          <w:p>
            <w:pPr>
              <w:spacing w:after="0"/>
              <w:rPr>
                <w:sz w:val="14"/>
                <w:szCs w:val="14"/>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color w:val="auto"/>
              </w:rPr>
              <w:t>currently directors of our company.</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Borders>
              <w:right w:val="single" w:sz="8" w:color="AFAFAF"/>
            </w:tcBorders>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nominee</w:t>
            </w:r>
          </w:p>
        </w:tc>
        <w:tc>
          <w:tcPr>
            <w:tcW w:w="0" w:type="dxa"/>
            <w:vAlign w:val="bottom"/>
          </w:tcPr>
          <w:p>
            <w:pPr>
              <w:spacing w:after="0"/>
              <w:rPr>
                <w:sz w:val="1"/>
                <w:szCs w:val="1"/>
                <w:color w:val="auto"/>
              </w:rPr>
            </w:pPr>
          </w:p>
        </w:tc>
      </w:tr>
      <w:tr>
        <w:trPr>
          <w:trHeight w:val="242"/>
        </w:trPr>
        <w:tc>
          <w:tcPr>
            <w:tcW w:w="1880" w:type="dxa"/>
            <w:vAlign w:val="bottom"/>
            <w:tcBorders>
              <w:right w:val="single" w:sz="8" w:color="AFAFAF"/>
            </w:tcBorders>
          </w:tcPr>
          <w:p>
            <w:pPr>
              <w:spacing w:after="0"/>
              <w:rPr>
                <w:sz w:val="21"/>
                <w:szCs w:val="21"/>
                <w:color w:val="auto"/>
              </w:rPr>
            </w:pPr>
          </w:p>
        </w:tc>
        <w:tc>
          <w:tcPr>
            <w:tcW w:w="160" w:type="dxa"/>
            <w:vAlign w:val="bottom"/>
          </w:tcPr>
          <w:p>
            <w:pPr>
              <w:ind w:left="60"/>
              <w:spacing w:after="0"/>
              <w:rPr>
                <w:sz w:val="20"/>
                <w:szCs w:val="20"/>
                <w:color w:val="auto"/>
              </w:rPr>
            </w:pPr>
            <w:r>
              <w:rPr>
                <w:rFonts w:ascii="Arial" w:cs="Arial" w:eastAsia="Arial" w:hAnsi="Arial"/>
                <w:sz w:val="9"/>
                <w:szCs w:val="9"/>
                <w:color w:val="D95A3B"/>
              </w:rPr>
              <w:t>·</w:t>
            </w:r>
          </w:p>
        </w:tc>
        <w:tc>
          <w:tcPr>
            <w:tcW w:w="3600" w:type="dxa"/>
            <w:vAlign w:val="bottom"/>
            <w:gridSpan w:val="2"/>
          </w:tcPr>
          <w:p>
            <w:pPr>
              <w:ind w:left="60"/>
              <w:spacing w:after="0"/>
              <w:rPr>
                <w:sz w:val="20"/>
                <w:szCs w:val="20"/>
                <w:color w:val="auto"/>
              </w:rPr>
            </w:pPr>
            <w:r>
              <w:rPr>
                <w:rFonts w:ascii="Arial" w:cs="Arial" w:eastAsia="Arial" w:hAnsi="Arial"/>
                <w:sz w:val="14"/>
                <w:szCs w:val="14"/>
                <w:color w:val="auto"/>
              </w:rPr>
              <w:t>A majority of our directors are independent.</w:t>
            </w: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0" w:type="dxa"/>
            <w:vAlign w:val="bottom"/>
            <w:tcBorders>
              <w:right w:val="single" w:sz="8" w:color="AFAFAF"/>
            </w:tcBorders>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880" w:type="dxa"/>
            <w:vAlign w:val="bottom"/>
            <w:tcBorders>
              <w:right w:val="single" w:sz="8" w:color="AFAFAF"/>
            </w:tcBorders>
          </w:tcPr>
          <w:p>
            <w:pPr>
              <w:spacing w:after="0"/>
              <w:rPr>
                <w:sz w:val="21"/>
                <w:szCs w:val="21"/>
                <w:color w:val="auto"/>
              </w:rPr>
            </w:pPr>
          </w:p>
        </w:tc>
        <w:tc>
          <w:tcPr>
            <w:tcW w:w="160" w:type="dxa"/>
            <w:vAlign w:val="bottom"/>
          </w:tcPr>
          <w:p>
            <w:pPr>
              <w:ind w:left="60"/>
              <w:spacing w:after="0"/>
              <w:rPr>
                <w:sz w:val="20"/>
                <w:szCs w:val="20"/>
                <w:color w:val="auto"/>
              </w:rPr>
            </w:pPr>
            <w:r>
              <w:rPr>
                <w:rFonts w:ascii="Arial" w:cs="Arial" w:eastAsia="Arial" w:hAnsi="Arial"/>
                <w:sz w:val="9"/>
                <w:szCs w:val="9"/>
                <w:color w:val="D95A3B"/>
              </w:rPr>
              <w:t>·</w:t>
            </w:r>
          </w:p>
        </w:tc>
        <w:tc>
          <w:tcPr>
            <w:tcW w:w="4760" w:type="dxa"/>
            <w:vAlign w:val="bottom"/>
            <w:gridSpan w:val="3"/>
          </w:tcPr>
          <w:p>
            <w:pPr>
              <w:ind w:left="60"/>
              <w:spacing w:after="0"/>
              <w:rPr>
                <w:sz w:val="20"/>
                <w:szCs w:val="20"/>
                <w:color w:val="auto"/>
              </w:rPr>
            </w:pPr>
            <w:r>
              <w:rPr>
                <w:rFonts w:ascii="Arial" w:cs="Arial" w:eastAsia="Arial" w:hAnsi="Arial"/>
                <w:sz w:val="14"/>
                <w:szCs w:val="14"/>
                <w:color w:val="auto"/>
              </w:rPr>
              <w:t>The roles and responsibilities of the Chairman and the CEO are separate.</w:t>
            </w:r>
          </w:p>
        </w:tc>
        <w:tc>
          <w:tcPr>
            <w:tcW w:w="1240" w:type="dxa"/>
            <w:vAlign w:val="bottom"/>
          </w:tcPr>
          <w:p>
            <w:pPr>
              <w:spacing w:after="0"/>
              <w:rPr>
                <w:sz w:val="21"/>
                <w:szCs w:val="21"/>
                <w:color w:val="auto"/>
              </w:rPr>
            </w:pPr>
          </w:p>
        </w:tc>
        <w:tc>
          <w:tcPr>
            <w:tcW w:w="1000" w:type="dxa"/>
            <w:vAlign w:val="bottom"/>
            <w:tcBorders>
              <w:right w:val="single" w:sz="8" w:color="AFAFAF"/>
            </w:tcBorders>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880" w:type="dxa"/>
            <w:vAlign w:val="bottom"/>
            <w:tcBorders>
              <w:right w:val="single" w:sz="8" w:color="AFAFAF"/>
            </w:tcBorders>
          </w:tcPr>
          <w:p>
            <w:pPr>
              <w:spacing w:after="0"/>
              <w:rPr>
                <w:sz w:val="21"/>
                <w:szCs w:val="21"/>
                <w:color w:val="auto"/>
              </w:rPr>
            </w:pPr>
          </w:p>
        </w:tc>
        <w:tc>
          <w:tcPr>
            <w:tcW w:w="160" w:type="dxa"/>
            <w:vAlign w:val="bottom"/>
          </w:tcPr>
          <w:p>
            <w:pPr>
              <w:ind w:left="60"/>
              <w:spacing w:after="0"/>
              <w:rPr>
                <w:sz w:val="20"/>
                <w:szCs w:val="20"/>
                <w:color w:val="auto"/>
              </w:rPr>
            </w:pPr>
            <w:r>
              <w:rPr>
                <w:rFonts w:ascii="Arial" w:cs="Arial" w:eastAsia="Arial" w:hAnsi="Arial"/>
                <w:sz w:val="9"/>
                <w:szCs w:val="9"/>
                <w:color w:val="D95A3B"/>
              </w:rPr>
              <w:t>·</w:t>
            </w:r>
          </w:p>
        </w:tc>
        <w:tc>
          <w:tcPr>
            <w:tcW w:w="3600" w:type="dxa"/>
            <w:vAlign w:val="bottom"/>
            <w:gridSpan w:val="2"/>
          </w:tcPr>
          <w:p>
            <w:pPr>
              <w:ind w:left="60"/>
              <w:spacing w:after="0"/>
              <w:rPr>
                <w:sz w:val="20"/>
                <w:szCs w:val="20"/>
                <w:color w:val="auto"/>
              </w:rPr>
            </w:pPr>
            <w:r>
              <w:rPr>
                <w:rFonts w:ascii="Arial" w:cs="Arial" w:eastAsia="Arial" w:hAnsi="Arial"/>
                <w:sz w:val="14"/>
                <w:szCs w:val="14"/>
                <w:color w:val="auto"/>
              </w:rPr>
              <w:t>Shareholders vote annually for individual directors.</w:t>
            </w: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0" w:type="dxa"/>
            <w:vAlign w:val="bottom"/>
            <w:tcBorders>
              <w:right w:val="single" w:sz="8" w:color="AFAFAF"/>
            </w:tcBorders>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880" w:type="dxa"/>
            <w:vAlign w:val="bottom"/>
            <w:tcBorders>
              <w:right w:val="single" w:sz="8" w:color="AFAFAF"/>
            </w:tcBorders>
          </w:tcPr>
          <w:p>
            <w:pPr>
              <w:spacing w:after="0"/>
              <w:rPr>
                <w:sz w:val="24"/>
                <w:szCs w:val="24"/>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color w:val="auto"/>
              </w:rPr>
              <w:t>The director nominees are:</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Borders>
              <w:right w:val="single" w:sz="8" w:color="AFAFAF"/>
            </w:tcBorders>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880" w:type="dxa"/>
            <w:vAlign w:val="bottom"/>
            <w:tcBorders>
              <w:right w:val="single" w:sz="8" w:color="AFAFAF"/>
            </w:tcBorders>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rPr>
              <w:t>Affiliated with</w:t>
            </w:r>
          </w:p>
        </w:tc>
        <w:tc>
          <w:tcPr>
            <w:tcW w:w="1000" w:type="dxa"/>
            <w:vAlign w:val="bottom"/>
            <w:tcBorders>
              <w:right w:val="single" w:sz="8" w:color="AFAFAF"/>
            </w:tcBorders>
          </w:tcPr>
          <w:p>
            <w:pPr>
              <w:jc w:val="center"/>
              <w:ind w:right="48"/>
              <w:spacing w:after="0"/>
              <w:rPr>
                <w:sz w:val="20"/>
                <w:szCs w:val="20"/>
                <w:color w:val="auto"/>
              </w:rPr>
            </w:pPr>
            <w:r>
              <w:rPr>
                <w:rFonts w:ascii="Arial" w:cs="Arial" w:eastAsia="Arial" w:hAnsi="Arial"/>
                <w:sz w:val="14"/>
                <w:szCs w:val="14"/>
                <w:b w:val="1"/>
                <w:bCs w:val="1"/>
                <w:color w:val="auto"/>
              </w:rPr>
              <w:t>Thomson</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880" w:type="dxa"/>
            <w:vAlign w:val="bottom"/>
            <w:tcBorders>
              <w:right w:val="single" w:sz="8" w:color="AFAFAF"/>
            </w:tcBorders>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jc w:val="center"/>
              <w:ind w:right="168"/>
              <w:spacing w:after="0"/>
              <w:rPr>
                <w:sz w:val="20"/>
                <w:szCs w:val="20"/>
                <w:color w:val="auto"/>
              </w:rPr>
            </w:pPr>
            <w:r>
              <w:rPr>
                <w:rFonts w:ascii="Arial" w:cs="Arial" w:eastAsia="Arial" w:hAnsi="Arial"/>
                <w:sz w:val="14"/>
                <w:szCs w:val="14"/>
                <w:b w:val="1"/>
                <w:bCs w:val="1"/>
                <w:color w:val="auto"/>
              </w:rPr>
              <w:t>Principal</w:t>
            </w:r>
          </w:p>
        </w:tc>
        <w:tc>
          <w:tcPr>
            <w:tcW w:w="1000" w:type="dxa"/>
            <w:vAlign w:val="bottom"/>
            <w:tcBorders>
              <w:right w:val="single" w:sz="8" w:color="AFAFAF"/>
            </w:tcBorders>
          </w:tcPr>
          <w:p>
            <w:pPr>
              <w:jc w:val="center"/>
              <w:ind w:right="68"/>
              <w:spacing w:after="0"/>
              <w:rPr>
                <w:sz w:val="20"/>
                <w:szCs w:val="20"/>
                <w:color w:val="auto"/>
              </w:rPr>
            </w:pPr>
            <w:r>
              <w:rPr>
                <w:rFonts w:ascii="Arial" w:cs="Arial" w:eastAsia="Arial" w:hAnsi="Arial"/>
                <w:sz w:val="14"/>
                <w:szCs w:val="14"/>
                <w:b w:val="1"/>
                <w:bCs w:val="1"/>
                <w:color w:val="auto"/>
              </w:rPr>
              <w:t>Reuters</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80" w:type="dxa"/>
            <w:vAlign w:val="bottom"/>
            <w:tcBorders>
              <w:right w:val="single" w:sz="8" w:color="AFAFAF"/>
            </w:tcBorders>
          </w:tcPr>
          <w:p>
            <w:pPr>
              <w:spacing w:after="0"/>
              <w:rPr>
                <w:sz w:val="16"/>
                <w:szCs w:val="16"/>
                <w:color w:val="auto"/>
              </w:rPr>
            </w:pPr>
          </w:p>
        </w:tc>
        <w:tc>
          <w:tcPr>
            <w:tcW w:w="2500" w:type="dxa"/>
            <w:vAlign w:val="bottom"/>
            <w:tcBorders>
              <w:bottom w:val="single" w:sz="8" w:color="D95A3B"/>
            </w:tcBorders>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260" w:type="dxa"/>
            <w:vAlign w:val="bottom"/>
            <w:tcBorders>
              <w:bottom w:val="single" w:sz="8" w:color="D95A3B"/>
            </w:tcBorders>
          </w:tcPr>
          <w:p>
            <w:pPr>
              <w:jc w:val="center"/>
              <w:spacing w:after="0"/>
              <w:rPr>
                <w:sz w:val="20"/>
                <w:szCs w:val="20"/>
                <w:color w:val="auto"/>
              </w:rPr>
            </w:pPr>
            <w:r>
              <w:rPr>
                <w:rFonts w:ascii="Arial" w:cs="Arial" w:eastAsia="Arial" w:hAnsi="Arial"/>
                <w:sz w:val="14"/>
                <w:szCs w:val="14"/>
                <w:b w:val="1"/>
                <w:bCs w:val="1"/>
                <w:color w:val="auto"/>
              </w:rPr>
              <w:t>Director Since</w:t>
            </w:r>
          </w:p>
        </w:tc>
        <w:tc>
          <w:tcPr>
            <w:tcW w:w="1160" w:type="dxa"/>
            <w:vAlign w:val="bottom"/>
            <w:tcBorders>
              <w:bottom w:val="single" w:sz="8" w:color="D95A3B"/>
            </w:tcBorders>
          </w:tcPr>
          <w:p>
            <w:pPr>
              <w:jc w:val="center"/>
              <w:spacing w:after="0"/>
              <w:rPr>
                <w:sz w:val="20"/>
                <w:szCs w:val="20"/>
                <w:color w:val="auto"/>
              </w:rPr>
            </w:pPr>
            <w:r>
              <w:rPr>
                <w:rFonts w:ascii="Arial" w:cs="Arial" w:eastAsia="Arial" w:hAnsi="Arial"/>
                <w:sz w:val="14"/>
                <w:szCs w:val="14"/>
                <w:b w:val="1"/>
                <w:bCs w:val="1"/>
                <w:color w:val="auto"/>
              </w:rPr>
              <w:t>Independent</w:t>
            </w:r>
          </w:p>
        </w:tc>
        <w:tc>
          <w:tcPr>
            <w:tcW w:w="1240" w:type="dxa"/>
            <w:vAlign w:val="bottom"/>
            <w:tcBorders>
              <w:bottom w:val="single" w:sz="8" w:color="D95A3B"/>
            </w:tcBorders>
          </w:tcPr>
          <w:p>
            <w:pPr>
              <w:jc w:val="center"/>
              <w:ind w:right="168"/>
              <w:spacing w:after="0"/>
              <w:rPr>
                <w:sz w:val="20"/>
                <w:szCs w:val="20"/>
                <w:color w:val="auto"/>
              </w:rPr>
            </w:pPr>
            <w:r>
              <w:rPr>
                <w:rFonts w:ascii="Arial" w:cs="Arial" w:eastAsia="Arial" w:hAnsi="Arial"/>
                <w:sz w:val="14"/>
                <w:szCs w:val="14"/>
                <w:b w:val="1"/>
                <w:bCs w:val="1"/>
                <w:color w:val="auto"/>
              </w:rPr>
              <w:t>Shareholder</w:t>
            </w:r>
          </w:p>
        </w:tc>
        <w:tc>
          <w:tcPr>
            <w:tcW w:w="1000" w:type="dxa"/>
            <w:vAlign w:val="bottom"/>
            <w:tcBorders>
              <w:bottom w:val="single" w:sz="8" w:color="D95A3B"/>
              <w:right w:val="single" w:sz="8" w:color="AFAFAF"/>
            </w:tcBorders>
          </w:tcPr>
          <w:p>
            <w:pPr>
              <w:jc w:val="center"/>
              <w:ind w:right="48"/>
              <w:spacing w:after="0"/>
              <w:rPr>
                <w:sz w:val="20"/>
                <w:szCs w:val="20"/>
                <w:color w:val="auto"/>
              </w:rPr>
            </w:pPr>
            <w:r>
              <w:rPr>
                <w:rFonts w:ascii="Arial" w:cs="Arial" w:eastAsia="Arial" w:hAnsi="Arial"/>
                <w:sz w:val="14"/>
                <w:szCs w:val="14"/>
                <w:b w:val="1"/>
                <w:bCs w:val="1"/>
                <w:color w:val="auto"/>
              </w:rPr>
              <w:t>Management</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80" w:type="dxa"/>
            <w:vAlign w:val="bottom"/>
            <w:tcBorders>
              <w:right w:val="single" w:sz="8" w:color="AFAFAF"/>
            </w:tcBorders>
          </w:tcPr>
          <w:p>
            <w:pPr>
              <w:spacing w:after="0"/>
              <w:rPr>
                <w:sz w:val="16"/>
                <w:szCs w:val="16"/>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color w:val="auto"/>
              </w:rPr>
              <w:t>David Thomson</w:t>
            </w:r>
          </w:p>
        </w:tc>
        <w:tc>
          <w:tcPr>
            <w:tcW w:w="1260" w:type="dxa"/>
            <w:vAlign w:val="bottom"/>
          </w:tcPr>
          <w:p>
            <w:pPr>
              <w:jc w:val="center"/>
              <w:spacing w:after="0"/>
              <w:rPr>
                <w:sz w:val="20"/>
                <w:szCs w:val="20"/>
                <w:color w:val="auto"/>
              </w:rPr>
            </w:pPr>
            <w:r>
              <w:rPr>
                <w:rFonts w:ascii="Arial" w:cs="Arial" w:eastAsia="Arial" w:hAnsi="Arial"/>
                <w:sz w:val="14"/>
                <w:szCs w:val="14"/>
                <w:color w:val="auto"/>
              </w:rPr>
              <w:t>1988</w:t>
            </w:r>
          </w:p>
        </w:tc>
        <w:tc>
          <w:tcPr>
            <w:tcW w:w="1160" w:type="dxa"/>
            <w:vAlign w:val="bottom"/>
          </w:tcPr>
          <w:p>
            <w:pPr>
              <w:spacing w:after="0"/>
              <w:rPr>
                <w:sz w:val="16"/>
                <w:szCs w:val="16"/>
                <w:color w:val="auto"/>
              </w:rPr>
            </w:pPr>
          </w:p>
        </w:tc>
        <w:tc>
          <w:tcPr>
            <w:tcW w:w="1240" w:type="dxa"/>
            <w:vAlign w:val="bottom"/>
          </w:tcPr>
          <w:p>
            <w:pPr>
              <w:jc w:val="center"/>
              <w:ind w:right="168"/>
              <w:spacing w:after="0" w:line="141" w:lineRule="exact"/>
              <w:rPr>
                <w:sz w:val="20"/>
                <w:szCs w:val="20"/>
                <w:color w:val="auto"/>
              </w:rPr>
            </w:pPr>
            <w:r>
              <w:rPr>
                <w:rFonts w:ascii="MS PGothic" w:cs="MS PGothic" w:eastAsia="MS PGothic" w:hAnsi="MS PGothic"/>
                <w:sz w:val="14"/>
                <w:szCs w:val="14"/>
                <w:color w:val="auto"/>
                <w:w w:val="85"/>
              </w:rPr>
              <w:t>✓</w:t>
            </w:r>
          </w:p>
        </w:tc>
        <w:tc>
          <w:tcPr>
            <w:tcW w:w="1000" w:type="dxa"/>
            <w:vAlign w:val="bottom"/>
            <w:tcBorders>
              <w:right w:val="single" w:sz="8" w:color="AFAFAF"/>
            </w:tcBorders>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880" w:type="dxa"/>
            <w:vAlign w:val="bottom"/>
            <w:tcBorders>
              <w:right w:val="single" w:sz="8" w:color="AFAFAF"/>
            </w:tcBorders>
          </w:tcPr>
          <w:p>
            <w:pPr>
              <w:spacing w:after="0"/>
              <w:rPr>
                <w:sz w:val="15"/>
                <w:szCs w:val="15"/>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color w:val="auto"/>
              </w:rPr>
              <w:t>James C. Smith</w:t>
            </w:r>
          </w:p>
        </w:tc>
        <w:tc>
          <w:tcPr>
            <w:tcW w:w="1260" w:type="dxa"/>
            <w:vAlign w:val="bottom"/>
          </w:tcPr>
          <w:p>
            <w:pPr>
              <w:jc w:val="center"/>
              <w:spacing w:after="0"/>
              <w:rPr>
                <w:sz w:val="20"/>
                <w:szCs w:val="20"/>
                <w:color w:val="auto"/>
              </w:rPr>
            </w:pPr>
            <w:r>
              <w:rPr>
                <w:rFonts w:ascii="Arial" w:cs="Arial" w:eastAsia="Arial" w:hAnsi="Arial"/>
                <w:sz w:val="14"/>
                <w:szCs w:val="14"/>
                <w:color w:val="auto"/>
              </w:rPr>
              <w:t>2012</w:t>
            </w:r>
          </w:p>
        </w:tc>
        <w:tc>
          <w:tcPr>
            <w:tcW w:w="1160" w:type="dxa"/>
            <w:vAlign w:val="bottom"/>
            <w:vMerge w:val="restart"/>
          </w:tcPr>
          <w:p>
            <w:pPr>
              <w:jc w:val="center"/>
              <w:ind w:right="9"/>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Pr>
          <w:p>
            <w:pPr>
              <w:spacing w:after="0"/>
              <w:rPr>
                <w:sz w:val="15"/>
                <w:szCs w:val="15"/>
                <w:color w:val="auto"/>
              </w:rPr>
            </w:pPr>
          </w:p>
        </w:tc>
        <w:tc>
          <w:tcPr>
            <w:tcW w:w="1000" w:type="dxa"/>
            <w:vAlign w:val="bottom"/>
            <w:tcBorders>
              <w:right w:val="single" w:sz="8" w:color="AFAFAF"/>
            </w:tcBorders>
            <w:vMerge w:val="continue"/>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tcBorders>
              <w:right w:val="single" w:sz="8" w:color="AFAFAF"/>
            </w:tcBorders>
          </w:tcPr>
          <w:p>
            <w:pPr>
              <w:spacing w:after="0"/>
              <w:rPr>
                <w:sz w:val="15"/>
                <w:szCs w:val="15"/>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color w:val="auto"/>
              </w:rPr>
              <w:t>Sheila C. Bair</w:t>
            </w:r>
          </w:p>
        </w:tc>
        <w:tc>
          <w:tcPr>
            <w:tcW w:w="1260" w:type="dxa"/>
            <w:vAlign w:val="bottom"/>
          </w:tcPr>
          <w:p>
            <w:pPr>
              <w:jc w:val="center"/>
              <w:spacing w:after="0"/>
              <w:rPr>
                <w:sz w:val="20"/>
                <w:szCs w:val="20"/>
                <w:color w:val="auto"/>
              </w:rPr>
            </w:pPr>
            <w:r>
              <w:rPr>
                <w:rFonts w:ascii="Arial" w:cs="Arial" w:eastAsia="Arial" w:hAnsi="Arial"/>
                <w:sz w:val="14"/>
                <w:szCs w:val="14"/>
                <w:color w:val="auto"/>
              </w:rPr>
              <w:t>2014</w:t>
            </w:r>
          </w:p>
        </w:tc>
        <w:tc>
          <w:tcPr>
            <w:tcW w:w="1160" w:type="dxa"/>
            <w:vAlign w:val="bottom"/>
            <w:vMerge w:val="continue"/>
          </w:tcPr>
          <w:p>
            <w:pPr>
              <w:spacing w:after="0"/>
              <w:rPr>
                <w:sz w:val="15"/>
                <w:szCs w:val="15"/>
                <w:color w:val="auto"/>
              </w:rPr>
            </w:pPr>
          </w:p>
        </w:tc>
        <w:tc>
          <w:tcPr>
            <w:tcW w:w="1240" w:type="dxa"/>
            <w:vAlign w:val="bottom"/>
            <w:vMerge w:val="restart"/>
          </w:tcPr>
          <w:p>
            <w:pPr>
              <w:jc w:val="center"/>
              <w:ind w:right="168"/>
              <w:spacing w:after="0" w:line="141" w:lineRule="exact"/>
              <w:rPr>
                <w:sz w:val="20"/>
                <w:szCs w:val="20"/>
                <w:color w:val="auto"/>
              </w:rPr>
            </w:pPr>
            <w:r>
              <w:rPr>
                <w:rFonts w:ascii="MS PGothic" w:cs="MS PGothic" w:eastAsia="MS PGothic" w:hAnsi="MS PGothic"/>
                <w:sz w:val="14"/>
                <w:szCs w:val="14"/>
                <w:color w:val="auto"/>
                <w:w w:val="85"/>
              </w:rPr>
              <w:t>✓</w:t>
            </w:r>
          </w:p>
        </w:tc>
        <w:tc>
          <w:tcPr>
            <w:tcW w:w="1000" w:type="dxa"/>
            <w:vAlign w:val="bottom"/>
            <w:tcBorders>
              <w:right w:val="single" w:sz="8" w:color="AFAFAF"/>
            </w:tcBorders>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80" w:type="dxa"/>
            <w:vAlign w:val="bottom"/>
            <w:tcBorders>
              <w:right w:val="single" w:sz="8" w:color="AFAFAF"/>
            </w:tcBorders>
          </w:tcPr>
          <w:p>
            <w:pPr>
              <w:spacing w:after="0"/>
              <w:rPr>
                <w:sz w:val="11"/>
                <w:szCs w:val="11"/>
                <w:color w:val="auto"/>
              </w:rPr>
            </w:pPr>
          </w:p>
        </w:tc>
        <w:tc>
          <w:tcPr>
            <w:tcW w:w="2500" w:type="dxa"/>
            <w:vAlign w:val="bottom"/>
            <w:gridSpan w:val="2"/>
          </w:tcPr>
          <w:p>
            <w:pPr>
              <w:ind w:left="40"/>
              <w:spacing w:after="0" w:line="131" w:lineRule="exact"/>
              <w:rPr>
                <w:sz w:val="20"/>
                <w:szCs w:val="20"/>
                <w:color w:val="auto"/>
              </w:rPr>
            </w:pPr>
            <w:r>
              <w:rPr>
                <w:rFonts w:ascii="Arial" w:cs="Arial" w:eastAsia="Arial" w:hAnsi="Arial"/>
                <w:sz w:val="14"/>
                <w:szCs w:val="14"/>
                <w:color w:val="auto"/>
              </w:rPr>
              <w:t>David W. Binet</w:t>
            </w:r>
          </w:p>
        </w:tc>
        <w:tc>
          <w:tcPr>
            <w:tcW w:w="1260" w:type="dxa"/>
            <w:vAlign w:val="bottom"/>
          </w:tcPr>
          <w:p>
            <w:pPr>
              <w:jc w:val="center"/>
              <w:spacing w:after="0" w:line="131" w:lineRule="exact"/>
              <w:rPr>
                <w:sz w:val="20"/>
                <w:szCs w:val="20"/>
                <w:color w:val="auto"/>
              </w:rPr>
            </w:pPr>
            <w:r>
              <w:rPr>
                <w:rFonts w:ascii="Arial" w:cs="Arial" w:eastAsia="Arial" w:hAnsi="Arial"/>
                <w:sz w:val="14"/>
                <w:szCs w:val="14"/>
                <w:color w:val="auto"/>
              </w:rPr>
              <w:t>2013</w:t>
            </w:r>
          </w:p>
        </w:tc>
        <w:tc>
          <w:tcPr>
            <w:tcW w:w="11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0" w:type="dxa"/>
            <w:vAlign w:val="bottom"/>
            <w:tcBorders>
              <w:right w:val="single" w:sz="8" w:color="AFAFAF"/>
            </w:tcBorders>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880" w:type="dxa"/>
            <w:vAlign w:val="bottom"/>
            <w:tcBorders>
              <w:right w:val="single" w:sz="8" w:color="AFAFAF"/>
            </w:tcBorders>
          </w:tcPr>
          <w:p>
            <w:pPr>
              <w:spacing w:after="0"/>
              <w:rPr>
                <w:sz w:val="19"/>
                <w:szCs w:val="19"/>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color w:val="auto"/>
              </w:rPr>
              <w:t>W. Edmund Clark, C.M.</w:t>
            </w:r>
          </w:p>
        </w:tc>
        <w:tc>
          <w:tcPr>
            <w:tcW w:w="1260" w:type="dxa"/>
            <w:vAlign w:val="bottom"/>
          </w:tcPr>
          <w:p>
            <w:pPr>
              <w:jc w:val="center"/>
              <w:spacing w:after="0"/>
              <w:rPr>
                <w:sz w:val="20"/>
                <w:szCs w:val="20"/>
                <w:color w:val="auto"/>
              </w:rPr>
            </w:pPr>
            <w:r>
              <w:rPr>
                <w:rFonts w:ascii="Arial" w:cs="Arial" w:eastAsia="Arial" w:hAnsi="Arial"/>
                <w:sz w:val="14"/>
                <w:szCs w:val="14"/>
                <w:color w:val="auto"/>
              </w:rPr>
              <w:t>2015</w:t>
            </w:r>
          </w:p>
        </w:tc>
        <w:tc>
          <w:tcPr>
            <w:tcW w:w="1160" w:type="dxa"/>
            <w:vAlign w:val="bottom"/>
            <w:vMerge w:val="restart"/>
          </w:tcPr>
          <w:p>
            <w:pPr>
              <w:jc w:val="center"/>
              <w:ind w:right="9"/>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Pr>
          <w:p>
            <w:pPr>
              <w:jc w:val="center"/>
              <w:ind w:right="168"/>
              <w:spacing w:after="0" w:line="141" w:lineRule="exact"/>
              <w:rPr>
                <w:sz w:val="20"/>
                <w:szCs w:val="20"/>
                <w:color w:val="auto"/>
              </w:rPr>
            </w:pPr>
            <w:r>
              <w:rPr>
                <w:rFonts w:ascii="MS PGothic" w:cs="MS PGothic" w:eastAsia="MS PGothic" w:hAnsi="MS PGothic"/>
                <w:sz w:val="14"/>
                <w:szCs w:val="14"/>
                <w:color w:val="auto"/>
                <w:w w:val="85"/>
              </w:rPr>
              <w:t>✓</w:t>
            </w:r>
          </w:p>
        </w:tc>
        <w:tc>
          <w:tcPr>
            <w:tcW w:w="1000" w:type="dxa"/>
            <w:vAlign w:val="bottom"/>
            <w:tcBorders>
              <w:right w:val="single" w:sz="8" w:color="AFAFAF"/>
            </w:tcBorders>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1880" w:type="dxa"/>
            <w:vAlign w:val="bottom"/>
            <w:tcBorders>
              <w:right w:val="single" w:sz="8" w:color="AFAFAF"/>
            </w:tcBorders>
          </w:tcPr>
          <w:p>
            <w:pPr>
              <w:spacing w:after="0"/>
              <w:rPr>
                <w:sz w:val="11"/>
                <w:szCs w:val="11"/>
                <w:color w:val="auto"/>
              </w:rPr>
            </w:pPr>
          </w:p>
        </w:tc>
        <w:tc>
          <w:tcPr>
            <w:tcW w:w="25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Michael E. Daniels</w:t>
            </w:r>
          </w:p>
        </w:tc>
        <w:tc>
          <w:tcPr>
            <w:tcW w:w="1260" w:type="dxa"/>
            <w:vAlign w:val="bottom"/>
          </w:tcPr>
          <w:p>
            <w:pPr>
              <w:jc w:val="center"/>
              <w:spacing w:after="0" w:line="130" w:lineRule="exact"/>
              <w:rPr>
                <w:sz w:val="20"/>
                <w:szCs w:val="20"/>
                <w:color w:val="auto"/>
              </w:rPr>
            </w:pPr>
            <w:r>
              <w:rPr>
                <w:rFonts w:ascii="Arial" w:cs="Arial" w:eastAsia="Arial" w:hAnsi="Arial"/>
                <w:sz w:val="14"/>
                <w:szCs w:val="14"/>
                <w:color w:val="auto"/>
              </w:rPr>
              <w:t>2014</w:t>
            </w:r>
          </w:p>
        </w:tc>
        <w:tc>
          <w:tcPr>
            <w:tcW w:w="1160" w:type="dxa"/>
            <w:vAlign w:val="bottom"/>
            <w:vMerge w:val="continue"/>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tcBorders>
              <w:right w:val="single" w:sz="8" w:color="AFAFAF"/>
            </w:tcBorders>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80" w:type="dxa"/>
            <w:vAlign w:val="bottom"/>
            <w:tcBorders>
              <w:right w:val="single" w:sz="8" w:color="AFAFAF"/>
            </w:tcBorders>
          </w:tcPr>
          <w:p>
            <w:pPr>
              <w:spacing w:after="0"/>
              <w:rPr>
                <w:sz w:val="15"/>
                <w:szCs w:val="15"/>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color w:val="auto"/>
              </w:rPr>
              <w:t>Vance K. Opperman</w:t>
            </w:r>
          </w:p>
        </w:tc>
        <w:tc>
          <w:tcPr>
            <w:tcW w:w="1260" w:type="dxa"/>
            <w:vAlign w:val="bottom"/>
          </w:tcPr>
          <w:p>
            <w:pPr>
              <w:jc w:val="center"/>
              <w:spacing w:after="0"/>
              <w:rPr>
                <w:sz w:val="20"/>
                <w:szCs w:val="20"/>
                <w:color w:val="auto"/>
              </w:rPr>
            </w:pPr>
            <w:r>
              <w:rPr>
                <w:rFonts w:ascii="Arial" w:cs="Arial" w:eastAsia="Arial" w:hAnsi="Arial"/>
                <w:sz w:val="14"/>
                <w:szCs w:val="14"/>
                <w:color w:val="auto"/>
              </w:rPr>
              <w:t>1996</w:t>
            </w:r>
          </w:p>
        </w:tc>
        <w:tc>
          <w:tcPr>
            <w:tcW w:w="1160" w:type="dxa"/>
            <w:vAlign w:val="bottom"/>
          </w:tcPr>
          <w:p>
            <w:pPr>
              <w:jc w:val="center"/>
              <w:ind w:right="9"/>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Pr>
          <w:p>
            <w:pPr>
              <w:spacing w:after="0"/>
              <w:rPr>
                <w:sz w:val="15"/>
                <w:szCs w:val="15"/>
                <w:color w:val="auto"/>
              </w:rPr>
            </w:pPr>
          </w:p>
        </w:tc>
        <w:tc>
          <w:tcPr>
            <w:tcW w:w="1000" w:type="dxa"/>
            <w:vAlign w:val="bottom"/>
            <w:tcBorders>
              <w:right w:val="single" w:sz="8" w:color="AFAFAF"/>
            </w:tcBorders>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tcBorders>
              <w:right w:val="single" w:sz="8" w:color="AFAFAF"/>
            </w:tcBorders>
          </w:tcPr>
          <w:p>
            <w:pPr>
              <w:spacing w:after="0"/>
              <w:rPr>
                <w:sz w:val="15"/>
                <w:szCs w:val="15"/>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color w:val="auto"/>
              </w:rPr>
              <w:t>Kristin C. Peck</w:t>
            </w:r>
          </w:p>
        </w:tc>
        <w:tc>
          <w:tcPr>
            <w:tcW w:w="1260" w:type="dxa"/>
            <w:vAlign w:val="bottom"/>
          </w:tcPr>
          <w:p>
            <w:pPr>
              <w:jc w:val="center"/>
              <w:spacing w:after="0"/>
              <w:rPr>
                <w:sz w:val="20"/>
                <w:szCs w:val="20"/>
                <w:color w:val="auto"/>
              </w:rPr>
            </w:pPr>
            <w:r>
              <w:rPr>
                <w:rFonts w:ascii="Arial" w:cs="Arial" w:eastAsia="Arial" w:hAnsi="Arial"/>
                <w:sz w:val="14"/>
                <w:szCs w:val="14"/>
                <w:color w:val="auto"/>
              </w:rPr>
              <w:t>2016</w:t>
            </w:r>
          </w:p>
        </w:tc>
        <w:tc>
          <w:tcPr>
            <w:tcW w:w="1160" w:type="dxa"/>
            <w:vAlign w:val="bottom"/>
          </w:tcPr>
          <w:p>
            <w:pPr>
              <w:jc w:val="center"/>
              <w:ind w:right="9"/>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Pr>
          <w:p>
            <w:pPr>
              <w:spacing w:after="0"/>
              <w:rPr>
                <w:sz w:val="15"/>
                <w:szCs w:val="15"/>
                <w:color w:val="auto"/>
              </w:rPr>
            </w:pPr>
          </w:p>
        </w:tc>
        <w:tc>
          <w:tcPr>
            <w:tcW w:w="1000" w:type="dxa"/>
            <w:vAlign w:val="bottom"/>
            <w:tcBorders>
              <w:right w:val="single" w:sz="8" w:color="AFAFAF"/>
            </w:tcBorders>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880" w:type="dxa"/>
            <w:vAlign w:val="bottom"/>
            <w:tcBorders>
              <w:right w:val="single" w:sz="8" w:color="AFAFAF"/>
            </w:tcBorders>
          </w:tcPr>
          <w:p>
            <w:pPr>
              <w:spacing w:after="0"/>
              <w:rPr>
                <w:sz w:val="19"/>
                <w:szCs w:val="19"/>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color w:val="auto"/>
              </w:rPr>
              <w:t>Barry Salzberg</w:t>
            </w:r>
          </w:p>
        </w:tc>
        <w:tc>
          <w:tcPr>
            <w:tcW w:w="1260" w:type="dxa"/>
            <w:vAlign w:val="bottom"/>
          </w:tcPr>
          <w:p>
            <w:pPr>
              <w:jc w:val="center"/>
              <w:spacing w:after="0"/>
              <w:rPr>
                <w:sz w:val="20"/>
                <w:szCs w:val="20"/>
                <w:color w:val="auto"/>
              </w:rPr>
            </w:pPr>
            <w:r>
              <w:rPr>
                <w:rFonts w:ascii="Arial" w:cs="Arial" w:eastAsia="Arial" w:hAnsi="Arial"/>
                <w:sz w:val="14"/>
                <w:szCs w:val="14"/>
                <w:color w:val="auto"/>
              </w:rPr>
              <w:t>2015</w:t>
            </w:r>
          </w:p>
        </w:tc>
        <w:tc>
          <w:tcPr>
            <w:tcW w:w="1160" w:type="dxa"/>
            <w:vAlign w:val="bottom"/>
          </w:tcPr>
          <w:p>
            <w:pPr>
              <w:jc w:val="center"/>
              <w:ind w:right="9"/>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vMerge w:val="restart"/>
          </w:tcPr>
          <w:p>
            <w:pPr>
              <w:jc w:val="center"/>
              <w:ind w:right="168"/>
              <w:spacing w:after="0" w:line="141" w:lineRule="exact"/>
              <w:rPr>
                <w:sz w:val="20"/>
                <w:szCs w:val="20"/>
                <w:color w:val="auto"/>
              </w:rPr>
            </w:pPr>
            <w:r>
              <w:rPr>
                <w:rFonts w:ascii="MS PGothic" w:cs="MS PGothic" w:eastAsia="MS PGothic" w:hAnsi="MS PGothic"/>
                <w:sz w:val="14"/>
                <w:szCs w:val="14"/>
                <w:color w:val="auto"/>
                <w:w w:val="85"/>
              </w:rPr>
              <w:t>✓</w:t>
            </w:r>
          </w:p>
        </w:tc>
        <w:tc>
          <w:tcPr>
            <w:tcW w:w="1000" w:type="dxa"/>
            <w:vAlign w:val="bottom"/>
            <w:tcBorders>
              <w:right w:val="single" w:sz="8" w:color="AFAFAF"/>
            </w:tcBorders>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80" w:type="dxa"/>
            <w:vAlign w:val="bottom"/>
            <w:tcBorders>
              <w:right w:val="single" w:sz="8" w:color="AFAFAF"/>
            </w:tcBorders>
          </w:tcPr>
          <w:p>
            <w:pPr>
              <w:spacing w:after="0"/>
              <w:rPr>
                <w:sz w:val="15"/>
                <w:szCs w:val="15"/>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color w:val="auto"/>
              </w:rPr>
              <w:t>Peter J. Thomson</w:t>
            </w:r>
          </w:p>
        </w:tc>
        <w:tc>
          <w:tcPr>
            <w:tcW w:w="1260" w:type="dxa"/>
            <w:vAlign w:val="bottom"/>
          </w:tcPr>
          <w:p>
            <w:pPr>
              <w:jc w:val="center"/>
              <w:spacing w:after="0"/>
              <w:rPr>
                <w:sz w:val="20"/>
                <w:szCs w:val="20"/>
                <w:color w:val="auto"/>
              </w:rPr>
            </w:pPr>
            <w:r>
              <w:rPr>
                <w:rFonts w:ascii="Arial" w:cs="Arial" w:eastAsia="Arial" w:hAnsi="Arial"/>
                <w:sz w:val="14"/>
                <w:szCs w:val="14"/>
                <w:color w:val="auto"/>
              </w:rPr>
              <w:t>1995</w:t>
            </w:r>
          </w:p>
        </w:tc>
        <w:tc>
          <w:tcPr>
            <w:tcW w:w="1160" w:type="dxa"/>
            <w:vAlign w:val="bottom"/>
            <w:vMerge w:val="restart"/>
          </w:tcPr>
          <w:p>
            <w:pPr>
              <w:jc w:val="center"/>
              <w:ind w:right="9"/>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vMerge w:val="continue"/>
          </w:tcPr>
          <w:p>
            <w:pPr>
              <w:spacing w:after="0"/>
              <w:rPr>
                <w:sz w:val="15"/>
                <w:szCs w:val="15"/>
                <w:color w:val="auto"/>
              </w:rPr>
            </w:pPr>
          </w:p>
        </w:tc>
        <w:tc>
          <w:tcPr>
            <w:tcW w:w="1000" w:type="dxa"/>
            <w:vAlign w:val="bottom"/>
            <w:tcBorders>
              <w:right w:val="single" w:sz="8" w:color="AFAFAF"/>
            </w:tcBorders>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880" w:type="dxa"/>
            <w:vAlign w:val="bottom"/>
            <w:tcBorders>
              <w:bottom w:val="single" w:sz="8" w:color="AFAFAF"/>
              <w:right w:val="single" w:sz="8" w:color="AFAFAF"/>
            </w:tcBorders>
          </w:tcPr>
          <w:p>
            <w:pPr>
              <w:spacing w:after="0"/>
              <w:rPr>
                <w:sz w:val="13"/>
                <w:szCs w:val="13"/>
                <w:color w:val="auto"/>
              </w:rPr>
            </w:pPr>
          </w:p>
        </w:tc>
        <w:tc>
          <w:tcPr>
            <w:tcW w:w="2500" w:type="dxa"/>
            <w:vAlign w:val="bottom"/>
            <w:tcBorders>
              <w:bottom w:val="single" w:sz="8" w:color="AFAFAF"/>
            </w:tcBorders>
            <w:gridSpan w:val="2"/>
          </w:tcPr>
          <w:p>
            <w:pPr>
              <w:ind w:left="40"/>
              <w:spacing w:after="0" w:line="157" w:lineRule="exact"/>
              <w:rPr>
                <w:sz w:val="20"/>
                <w:szCs w:val="20"/>
                <w:color w:val="auto"/>
              </w:rPr>
            </w:pPr>
            <w:r>
              <w:rPr>
                <w:rFonts w:ascii="Arial" w:cs="Arial" w:eastAsia="Arial" w:hAnsi="Arial"/>
                <w:sz w:val="14"/>
                <w:szCs w:val="14"/>
                <w:color w:val="auto"/>
              </w:rPr>
              <w:t>Wulf von Schimmelmann</w:t>
            </w:r>
          </w:p>
        </w:tc>
        <w:tc>
          <w:tcPr>
            <w:tcW w:w="1260" w:type="dxa"/>
            <w:vAlign w:val="bottom"/>
            <w:tcBorders>
              <w:bottom w:val="single" w:sz="8" w:color="AFAFAF"/>
            </w:tcBorders>
          </w:tcPr>
          <w:p>
            <w:pPr>
              <w:jc w:val="center"/>
              <w:spacing w:after="0" w:line="157" w:lineRule="exact"/>
              <w:rPr>
                <w:sz w:val="20"/>
                <w:szCs w:val="20"/>
                <w:color w:val="auto"/>
              </w:rPr>
            </w:pPr>
            <w:r>
              <w:rPr>
                <w:rFonts w:ascii="Arial" w:cs="Arial" w:eastAsia="Arial" w:hAnsi="Arial"/>
                <w:sz w:val="14"/>
                <w:szCs w:val="14"/>
                <w:color w:val="auto"/>
              </w:rPr>
              <w:t>2011</w:t>
            </w:r>
          </w:p>
        </w:tc>
        <w:tc>
          <w:tcPr>
            <w:tcW w:w="1160" w:type="dxa"/>
            <w:vAlign w:val="bottom"/>
            <w:tcBorders>
              <w:bottom w:val="single" w:sz="8" w:color="AFAFAF"/>
            </w:tcBorders>
            <w:vMerge w:val="continue"/>
          </w:tcPr>
          <w:p>
            <w:pPr>
              <w:spacing w:after="0"/>
              <w:rPr>
                <w:sz w:val="13"/>
                <w:szCs w:val="13"/>
                <w:color w:val="auto"/>
              </w:rPr>
            </w:pPr>
          </w:p>
        </w:tc>
        <w:tc>
          <w:tcPr>
            <w:tcW w:w="1240" w:type="dxa"/>
            <w:vAlign w:val="bottom"/>
            <w:tcBorders>
              <w:bottom w:val="single" w:sz="8" w:color="AFAFAF"/>
            </w:tcBorders>
          </w:tcPr>
          <w:p>
            <w:pPr>
              <w:spacing w:after="0"/>
              <w:rPr>
                <w:sz w:val="13"/>
                <w:szCs w:val="13"/>
                <w:color w:val="auto"/>
              </w:rPr>
            </w:pPr>
          </w:p>
        </w:tc>
        <w:tc>
          <w:tcPr>
            <w:tcW w:w="1000" w:type="dxa"/>
            <w:vAlign w:val="bottom"/>
            <w:tcBorders>
              <w:bottom w:val="single" w:sz="8" w:color="AFAFAF"/>
              <w:right w:val="single" w:sz="8" w:color="AFAFAF"/>
            </w:tcBorders>
          </w:tcPr>
          <w:p>
            <w:pPr>
              <w:spacing w:after="0"/>
              <w:rPr>
                <w:sz w:val="13"/>
                <w:szCs w:val="13"/>
                <w:color w:val="auto"/>
              </w:rPr>
            </w:pPr>
          </w:p>
        </w:tc>
        <w:tc>
          <w:tcPr>
            <w:tcW w:w="1940" w:type="dxa"/>
            <w:vAlign w:val="bottom"/>
            <w:tcBorders>
              <w:bottom w:val="single" w:sz="8" w:color="AFAFA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8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3. Auditor</w:t>
            </w:r>
          </w:p>
        </w:tc>
        <w:tc>
          <w:tcPr>
            <w:tcW w:w="7160" w:type="dxa"/>
            <w:vAlign w:val="bottom"/>
            <w:tcBorders>
              <w:right w:val="single" w:sz="8" w:color="AFAFAF"/>
            </w:tcBorders>
            <w:gridSpan w:val="6"/>
          </w:tcPr>
          <w:p>
            <w:pPr>
              <w:ind w:left="40"/>
              <w:spacing w:after="0" w:line="160" w:lineRule="exact"/>
              <w:rPr>
                <w:sz w:val="20"/>
                <w:szCs w:val="20"/>
                <w:color w:val="auto"/>
              </w:rPr>
            </w:pPr>
            <w:r>
              <w:rPr>
                <w:rFonts w:ascii="Arial" w:cs="Arial" w:eastAsia="Arial" w:hAnsi="Arial"/>
                <w:sz w:val="14"/>
                <w:szCs w:val="14"/>
                <w:color w:val="auto"/>
              </w:rPr>
              <w:t>We are proposing to re-appoint PricewaterhouseCoopers LLP as our independent auditor for another year until</w:t>
            </w:r>
          </w:p>
        </w:tc>
        <w:tc>
          <w:tcPr>
            <w:tcW w:w="1940" w:type="dxa"/>
            <w:vAlign w:val="bottom"/>
          </w:tcPr>
          <w:p>
            <w:pPr>
              <w:ind w:left="80"/>
              <w:spacing w:after="0" w:line="160" w:lineRule="exact"/>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gridSpan w:val="6"/>
          </w:tcPr>
          <w:p>
            <w:pPr>
              <w:ind w:left="40"/>
              <w:spacing w:after="0"/>
              <w:rPr>
                <w:sz w:val="20"/>
                <w:szCs w:val="20"/>
                <w:color w:val="auto"/>
              </w:rPr>
            </w:pPr>
            <w:r>
              <w:rPr>
                <w:rFonts w:ascii="Arial" w:cs="Arial" w:eastAsia="Arial" w:hAnsi="Arial"/>
                <w:sz w:val="14"/>
                <w:szCs w:val="14"/>
                <w:color w:val="auto"/>
              </w:rPr>
              <w:t>the 2020 annual meeting of shareholders. Our Audit Committee is directly responsible for overseeing the</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880" w:type="dxa"/>
            <w:vAlign w:val="bottom"/>
            <w:tcBorders>
              <w:bottom w:val="single" w:sz="8" w:color="AFAFAF"/>
              <w:right w:val="single" w:sz="8" w:color="AFAFAF"/>
            </w:tcBorders>
          </w:tcPr>
          <w:p>
            <w:pPr>
              <w:spacing w:after="0"/>
              <w:rPr>
                <w:sz w:val="13"/>
                <w:szCs w:val="13"/>
                <w:color w:val="auto"/>
              </w:rPr>
            </w:pPr>
          </w:p>
        </w:tc>
        <w:tc>
          <w:tcPr>
            <w:tcW w:w="2500" w:type="dxa"/>
            <w:vAlign w:val="bottom"/>
            <w:tcBorders>
              <w:bottom w:val="single" w:sz="8" w:color="AFAFAF"/>
            </w:tcBorders>
            <w:gridSpan w:val="2"/>
          </w:tcPr>
          <w:p>
            <w:pPr>
              <w:ind w:left="40"/>
              <w:spacing w:after="0" w:line="157" w:lineRule="exact"/>
              <w:rPr>
                <w:sz w:val="20"/>
                <w:szCs w:val="20"/>
                <w:color w:val="auto"/>
              </w:rPr>
            </w:pPr>
            <w:r>
              <w:rPr>
                <w:rFonts w:ascii="Arial" w:cs="Arial" w:eastAsia="Arial" w:hAnsi="Arial"/>
                <w:sz w:val="14"/>
                <w:szCs w:val="14"/>
                <w:color w:val="auto"/>
              </w:rPr>
              <w:t>independent auditor during the year.</w:t>
            </w:r>
          </w:p>
        </w:tc>
        <w:tc>
          <w:tcPr>
            <w:tcW w:w="1260" w:type="dxa"/>
            <w:vAlign w:val="bottom"/>
            <w:tcBorders>
              <w:bottom w:val="single" w:sz="8" w:color="AFAFAF"/>
            </w:tcBorders>
          </w:tcPr>
          <w:p>
            <w:pPr>
              <w:spacing w:after="0"/>
              <w:rPr>
                <w:sz w:val="13"/>
                <w:szCs w:val="13"/>
                <w:color w:val="auto"/>
              </w:rPr>
            </w:pPr>
          </w:p>
        </w:tc>
        <w:tc>
          <w:tcPr>
            <w:tcW w:w="1160" w:type="dxa"/>
            <w:vAlign w:val="bottom"/>
            <w:tcBorders>
              <w:bottom w:val="single" w:sz="8" w:color="AFAFAF"/>
            </w:tcBorders>
          </w:tcPr>
          <w:p>
            <w:pPr>
              <w:spacing w:after="0"/>
              <w:rPr>
                <w:sz w:val="13"/>
                <w:szCs w:val="13"/>
                <w:color w:val="auto"/>
              </w:rPr>
            </w:pPr>
          </w:p>
        </w:tc>
        <w:tc>
          <w:tcPr>
            <w:tcW w:w="1240" w:type="dxa"/>
            <w:vAlign w:val="bottom"/>
            <w:tcBorders>
              <w:bottom w:val="single" w:sz="8" w:color="AFAFAF"/>
            </w:tcBorders>
          </w:tcPr>
          <w:p>
            <w:pPr>
              <w:spacing w:after="0"/>
              <w:rPr>
                <w:sz w:val="13"/>
                <w:szCs w:val="13"/>
                <w:color w:val="auto"/>
              </w:rPr>
            </w:pPr>
          </w:p>
        </w:tc>
        <w:tc>
          <w:tcPr>
            <w:tcW w:w="1000" w:type="dxa"/>
            <w:vAlign w:val="bottom"/>
            <w:tcBorders>
              <w:bottom w:val="single" w:sz="8" w:color="AFAFAF"/>
              <w:right w:val="single" w:sz="8" w:color="AFAFAF"/>
            </w:tcBorders>
          </w:tcPr>
          <w:p>
            <w:pPr>
              <w:spacing w:after="0"/>
              <w:rPr>
                <w:sz w:val="13"/>
                <w:szCs w:val="13"/>
                <w:color w:val="auto"/>
              </w:rPr>
            </w:pPr>
          </w:p>
        </w:tc>
        <w:tc>
          <w:tcPr>
            <w:tcW w:w="1940" w:type="dxa"/>
            <w:vAlign w:val="bottom"/>
            <w:tcBorders>
              <w:bottom w:val="single" w:sz="8" w:color="AFAFAF"/>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880" w:type="dxa"/>
            <w:vAlign w:val="bottom"/>
            <w:tcBorders>
              <w:bottom w:val="single" w:sz="8" w:color="D95A3B"/>
            </w:tcBorders>
          </w:tcPr>
          <w:p>
            <w:pPr>
              <w:spacing w:after="0"/>
              <w:rPr>
                <w:sz w:val="19"/>
                <w:szCs w:val="19"/>
                <w:color w:val="auto"/>
              </w:rPr>
            </w:pPr>
          </w:p>
        </w:tc>
        <w:tc>
          <w:tcPr>
            <w:tcW w:w="160" w:type="dxa"/>
            <w:vAlign w:val="bottom"/>
            <w:tcBorders>
              <w:bottom w:val="single" w:sz="8" w:color="D95A3B"/>
            </w:tcBorders>
          </w:tcPr>
          <w:p>
            <w:pPr>
              <w:spacing w:after="0"/>
              <w:rPr>
                <w:sz w:val="19"/>
                <w:szCs w:val="19"/>
                <w:color w:val="auto"/>
              </w:rPr>
            </w:pPr>
          </w:p>
        </w:tc>
        <w:tc>
          <w:tcPr>
            <w:tcW w:w="2340" w:type="dxa"/>
            <w:vAlign w:val="bottom"/>
            <w:tcBorders>
              <w:bottom w:val="single" w:sz="8" w:color="D95A3B"/>
            </w:tcBorders>
          </w:tcPr>
          <w:p>
            <w:pPr>
              <w:spacing w:after="0"/>
              <w:rPr>
                <w:sz w:val="19"/>
                <w:szCs w:val="19"/>
                <w:color w:val="auto"/>
              </w:rPr>
            </w:pPr>
          </w:p>
        </w:tc>
        <w:tc>
          <w:tcPr>
            <w:tcW w:w="1260" w:type="dxa"/>
            <w:vAlign w:val="bottom"/>
            <w:tcBorders>
              <w:bottom w:val="single" w:sz="8" w:color="D95A3B"/>
            </w:tcBorders>
          </w:tcPr>
          <w:p>
            <w:pPr>
              <w:spacing w:after="0"/>
              <w:rPr>
                <w:sz w:val="19"/>
                <w:szCs w:val="19"/>
                <w:color w:val="auto"/>
              </w:rPr>
            </w:pPr>
          </w:p>
        </w:tc>
        <w:tc>
          <w:tcPr>
            <w:tcW w:w="5340" w:type="dxa"/>
            <w:vAlign w:val="bottom"/>
            <w:tcBorders>
              <w:bottom w:val="single" w:sz="8" w:color="D95A3B"/>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340" w:type="dxa"/>
            <w:vAlign w:val="bottom"/>
            <w:gridSpan w:val="4"/>
          </w:tcPr>
          <w:p>
            <w:pPr>
              <w:jc w:val="center"/>
              <w:ind w:left="249"/>
              <w:spacing w:after="0"/>
              <w:rPr>
                <w:sz w:val="20"/>
                <w:szCs w:val="20"/>
                <w:color w:val="auto"/>
              </w:rPr>
            </w:pPr>
            <w:r>
              <w:rPr>
                <w:rFonts w:ascii="Arial" w:cs="Arial" w:eastAsia="Arial" w:hAnsi="Arial"/>
                <w:sz w:val="13"/>
                <w:szCs w:val="13"/>
                <w:color w:val="D95A3B"/>
              </w:rPr>
              <w:t xml:space="preserve">Management Proxy Circular and Notice of Annual Meeting of Shareholders  </w:t>
            </w:r>
            <w:r>
              <w:rPr>
                <w:rFonts w:ascii="Arial" w:cs="Arial" w:eastAsia="Arial" w:hAnsi="Arial"/>
                <w:sz w:val="13"/>
                <w:szCs w:val="13"/>
                <w:color w:val="000000"/>
              </w:rPr>
              <w:t>Page 5</w:t>
            </w:r>
          </w:p>
        </w:tc>
        <w:tc>
          <w:tcPr>
            <w:tcW w:w="0" w:type="dxa"/>
            <w:vAlign w:val="bottom"/>
          </w:tcPr>
          <w:p>
            <w:pPr>
              <w:spacing w:after="0"/>
              <w:rPr>
                <w:sz w:val="1"/>
                <w:szCs w:val="1"/>
                <w:color w:val="auto"/>
              </w:rPr>
            </w:pPr>
          </w:p>
        </w:tc>
      </w:tr>
    </w:tbl>
    <w:p>
      <w:pPr>
        <w:sectPr>
          <w:pgSz w:w="11900" w:h="16838" w:orient="portrait"/>
          <w:cols w:equalWidth="0" w:num="1">
            <w:col w:w="11200"/>
          </w:cols>
          <w:pgMar w:left="240" w:top="458"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5867400</wp:posOffset>
            </wp:positionH>
            <wp:positionV relativeFrom="paragraph">
              <wp:posOffset>452120</wp:posOffset>
            </wp:positionV>
            <wp:extent cx="8255" cy="230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230505"/>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452120</wp:posOffset>
            </wp:positionV>
            <wp:extent cx="8255" cy="2305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88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Item of Business</w:t>
            </w:r>
          </w:p>
        </w:tc>
        <w:tc>
          <w:tcPr>
            <w:tcW w:w="7160" w:type="dxa"/>
            <w:vAlign w:val="bottom"/>
            <w:tcBorders>
              <w:right w:val="single" w:sz="8" w:color="CCCCCC"/>
            </w:tcBorders>
            <w:shd w:val="clear" w:color="auto" w:fill="CCCCCC"/>
          </w:tcPr>
          <w:p>
            <w:pPr>
              <w:ind w:left="580"/>
              <w:spacing w:after="0"/>
              <w:rPr>
                <w:sz w:val="20"/>
                <w:szCs w:val="20"/>
                <w:color w:val="auto"/>
              </w:rPr>
            </w:pPr>
            <w:r>
              <w:rPr>
                <w:rFonts w:ascii="Arial" w:cs="Arial" w:eastAsia="Arial" w:hAnsi="Arial"/>
                <w:sz w:val="14"/>
                <w:szCs w:val="14"/>
                <w:b w:val="1"/>
                <w:bCs w:val="1"/>
                <w:color w:val="auto"/>
              </w:rPr>
              <w:t>Highlights</w:t>
            </w:r>
          </w:p>
        </w:tc>
        <w:tc>
          <w:tcPr>
            <w:tcW w:w="1940" w:type="dxa"/>
            <w:vAlign w:val="bottom"/>
            <w:shd w:val="clear" w:color="auto" w:fill="CCCCCC"/>
          </w:tcPr>
          <w:p>
            <w:pPr>
              <w:ind w:left="80"/>
              <w:spacing w:after="0"/>
              <w:rPr>
                <w:sz w:val="20"/>
                <w:szCs w:val="20"/>
                <w:color w:val="auto"/>
              </w:rPr>
            </w:pPr>
            <w:r>
              <w:rPr>
                <w:rFonts w:ascii="Arial" w:cs="Arial" w:eastAsia="Arial" w:hAnsi="Arial"/>
                <w:sz w:val="14"/>
                <w:szCs w:val="14"/>
                <w:b w:val="1"/>
                <w:bCs w:val="1"/>
                <w:color w:val="auto"/>
              </w:rPr>
              <w:t>Board Vote</w:t>
            </w:r>
          </w:p>
        </w:tc>
      </w:tr>
      <w:tr>
        <w:trPr>
          <w:trHeight w:val="175"/>
        </w:trPr>
        <w:tc>
          <w:tcPr>
            <w:tcW w:w="1880" w:type="dxa"/>
            <w:vAlign w:val="bottom"/>
            <w:tcBorders>
              <w:bottom w:val="single" w:sz="8" w:color="D95A3B"/>
              <w:right w:val="single" w:sz="8" w:color="CCCCCC"/>
            </w:tcBorders>
            <w:shd w:val="clear" w:color="auto" w:fill="CCCCCC"/>
          </w:tcPr>
          <w:p>
            <w:pPr>
              <w:spacing w:after="0"/>
              <w:rPr>
                <w:sz w:val="15"/>
                <w:szCs w:val="15"/>
                <w:color w:val="auto"/>
              </w:rPr>
            </w:pPr>
          </w:p>
        </w:tc>
        <w:tc>
          <w:tcPr>
            <w:tcW w:w="7160" w:type="dxa"/>
            <w:vAlign w:val="bottom"/>
            <w:tcBorders>
              <w:bottom w:val="single" w:sz="8" w:color="D95A3B"/>
              <w:right w:val="single" w:sz="8" w:color="CCCCCC"/>
            </w:tcBorders>
            <w:shd w:val="clear" w:color="auto" w:fill="CCCCCC"/>
          </w:tcPr>
          <w:p>
            <w:pPr>
              <w:spacing w:after="0"/>
              <w:rPr>
                <w:sz w:val="15"/>
                <w:szCs w:val="15"/>
                <w:color w:val="auto"/>
              </w:rPr>
            </w:pPr>
          </w:p>
        </w:tc>
        <w:tc>
          <w:tcPr>
            <w:tcW w:w="1940" w:type="dxa"/>
            <w:vAlign w:val="bottom"/>
            <w:tcBorders>
              <w:bottom w:val="single" w:sz="8" w:color="D95A3B"/>
            </w:tcBorders>
            <w:shd w:val="clear" w:color="auto" w:fill="CCCCCC"/>
          </w:tcPr>
          <w:p>
            <w:pPr>
              <w:ind w:left="80"/>
              <w:spacing w:after="0"/>
              <w:rPr>
                <w:sz w:val="20"/>
                <w:szCs w:val="20"/>
                <w:color w:val="auto"/>
              </w:rPr>
            </w:pPr>
            <w:r>
              <w:rPr>
                <w:rFonts w:ascii="Arial" w:cs="Arial" w:eastAsia="Arial" w:hAnsi="Arial"/>
                <w:sz w:val="14"/>
                <w:szCs w:val="14"/>
                <w:b w:val="1"/>
                <w:bCs w:val="1"/>
                <w:color w:val="auto"/>
              </w:rPr>
              <w:t>Recommendation</w:t>
            </w:r>
          </w:p>
        </w:tc>
      </w:tr>
      <w:tr>
        <w:trPr>
          <w:trHeight w:val="142"/>
        </w:trPr>
        <w:tc>
          <w:tcPr>
            <w:tcW w:w="188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4. Advisory resolution</w:t>
            </w:r>
          </w:p>
        </w:tc>
        <w:tc>
          <w:tcPr>
            <w:tcW w:w="7160" w:type="dxa"/>
            <w:vAlign w:val="bottom"/>
            <w:tcBorders>
              <w:right w:val="single" w:sz="8" w:color="AFAFAF"/>
            </w:tcBorders>
          </w:tcPr>
          <w:p>
            <w:pPr>
              <w:ind w:left="580"/>
              <w:spacing w:after="0" w:line="142" w:lineRule="exact"/>
              <w:rPr>
                <w:sz w:val="20"/>
                <w:szCs w:val="20"/>
                <w:color w:val="auto"/>
              </w:rPr>
            </w:pPr>
            <w:r>
              <w:rPr>
                <w:rFonts w:ascii="Arial" w:cs="Arial" w:eastAsia="Arial" w:hAnsi="Arial"/>
                <w:sz w:val="14"/>
                <w:szCs w:val="14"/>
                <w:color w:val="auto"/>
              </w:rPr>
              <w:t>We will have a non-binding advisory resolution on executive compensation, which is sometimes called</w:t>
            </w:r>
          </w:p>
        </w:tc>
        <w:tc>
          <w:tcPr>
            <w:tcW w:w="1940" w:type="dxa"/>
            <w:vAlign w:val="bottom"/>
          </w:tcPr>
          <w:p>
            <w:pPr>
              <w:ind w:left="80"/>
              <w:spacing w:after="0" w:line="142" w:lineRule="exact"/>
              <w:rPr>
                <w:sz w:val="20"/>
                <w:szCs w:val="20"/>
                <w:color w:val="auto"/>
              </w:rPr>
            </w:pPr>
            <w:r>
              <w:rPr>
                <w:rFonts w:ascii="Arial" w:cs="Arial" w:eastAsia="Arial" w:hAnsi="Arial"/>
                <w:sz w:val="14"/>
                <w:szCs w:val="14"/>
                <w:color w:val="auto"/>
              </w:rPr>
              <w:t>FOR</w:t>
            </w:r>
          </w:p>
        </w:tc>
      </w:tr>
      <w:tr>
        <w:trPr>
          <w:trHeight w:val="162"/>
        </w:trPr>
        <w:tc>
          <w:tcPr>
            <w:tcW w:w="18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on executive</w:t>
            </w: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“say on pay”. This will provide you with an opportunity to provide a view on our company’s approach to</w:t>
            </w:r>
          </w:p>
        </w:tc>
        <w:tc>
          <w:tcPr>
            <w:tcW w:w="1940" w:type="dxa"/>
            <w:vAlign w:val="bottom"/>
          </w:tcPr>
          <w:p>
            <w:pPr>
              <w:spacing w:after="0"/>
              <w:rPr>
                <w:sz w:val="14"/>
                <w:szCs w:val="14"/>
                <w:color w:val="auto"/>
              </w:rPr>
            </w:pPr>
          </w:p>
        </w:tc>
      </w:tr>
      <w:tr>
        <w:trPr>
          <w:trHeight w:val="190"/>
        </w:trPr>
        <w:tc>
          <w:tcPr>
            <w:tcW w:w="18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compensation</w:t>
            </w: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executive compensation, as described in this circular.</w:t>
            </w:r>
          </w:p>
        </w:tc>
        <w:tc>
          <w:tcPr>
            <w:tcW w:w="1940" w:type="dxa"/>
            <w:vAlign w:val="bottom"/>
          </w:tcPr>
          <w:p>
            <w:pPr>
              <w:spacing w:after="0"/>
              <w:rPr>
                <w:sz w:val="16"/>
                <w:szCs w:val="16"/>
                <w:color w:val="auto"/>
              </w:rPr>
            </w:pPr>
          </w:p>
        </w:tc>
      </w:tr>
      <w:tr>
        <w:trPr>
          <w:trHeight w:val="283"/>
        </w:trPr>
        <w:tc>
          <w:tcPr>
            <w:tcW w:w="1880" w:type="dxa"/>
            <w:vAlign w:val="bottom"/>
            <w:tcBorders>
              <w:right w:val="single" w:sz="8" w:color="AFAFAF"/>
            </w:tcBorders>
          </w:tcPr>
          <w:p>
            <w:pPr>
              <w:spacing w:after="0"/>
              <w:rPr>
                <w:sz w:val="24"/>
                <w:szCs w:val="2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“Pay for performance” is a key part of our compensation philosophy for our named executive officers.</w:t>
            </w:r>
          </w:p>
        </w:tc>
        <w:tc>
          <w:tcPr>
            <w:tcW w:w="1940" w:type="dxa"/>
            <w:vAlign w:val="bottom"/>
          </w:tcPr>
          <w:p>
            <w:pPr>
              <w:spacing w:after="0"/>
              <w:rPr>
                <w:sz w:val="24"/>
                <w:szCs w:val="24"/>
                <w:color w:val="auto"/>
              </w:rPr>
            </w:pPr>
          </w:p>
        </w:tc>
      </w:tr>
      <w:tr>
        <w:trPr>
          <w:trHeight w:val="286"/>
        </w:trPr>
        <w:tc>
          <w:tcPr>
            <w:tcW w:w="1880" w:type="dxa"/>
            <w:vAlign w:val="bottom"/>
            <w:tcBorders>
              <w:right w:val="single" w:sz="8" w:color="AFAFAF"/>
            </w:tcBorders>
          </w:tcPr>
          <w:p>
            <w:pPr>
              <w:spacing w:after="0"/>
              <w:rPr>
                <w:sz w:val="24"/>
                <w:szCs w:val="24"/>
                <w:color w:val="auto"/>
              </w:rPr>
            </w:pPr>
          </w:p>
        </w:tc>
        <w:tc>
          <w:tcPr>
            <w:tcW w:w="7160" w:type="dxa"/>
            <w:vAlign w:val="bottom"/>
            <w:tcBorders>
              <w:right w:val="single" w:sz="8" w:color="AFAFAF"/>
            </w:tcBorders>
          </w:tcPr>
          <w:p>
            <w:pPr>
              <w:ind w:left="580"/>
              <w:spacing w:after="0" w:line="161" w:lineRule="exact"/>
              <w:rPr>
                <w:sz w:val="20"/>
                <w:szCs w:val="20"/>
                <w:color w:val="auto"/>
              </w:rPr>
            </w:pPr>
            <w:r>
              <w:rPr>
                <w:rFonts w:ascii="MS PGothic" w:cs="MS PGothic" w:eastAsia="MS PGothic" w:hAnsi="MS PGothic"/>
                <w:sz w:val="14"/>
                <w:szCs w:val="14"/>
                <w:color w:val="28910A"/>
              </w:rPr>
              <w:t>✓</w:t>
            </w:r>
            <w:r>
              <w:rPr>
                <w:rFonts w:ascii="Arial" w:cs="Arial" w:eastAsia="Arial" w:hAnsi="Arial"/>
                <w:sz w:val="14"/>
                <w:szCs w:val="14"/>
                <w:b w:val="1"/>
                <w:bCs w:val="1"/>
                <w:i w:val="1"/>
                <w:iCs w:val="1"/>
                <w:color w:val="28910A"/>
              </w:rPr>
              <w:t xml:space="preserve">  2018 compensation decisions were aligned with our strategic objectives </w:t>
            </w:r>
            <w:r>
              <w:rPr>
                <w:rFonts w:ascii="Arial" w:cs="Arial" w:eastAsia="Arial" w:hAnsi="Arial"/>
                <w:sz w:val="14"/>
                <w:szCs w:val="14"/>
                <w:color w:val="000000"/>
              </w:rPr>
              <w:t>– During 2018, the</w:t>
            </w:r>
          </w:p>
        </w:tc>
        <w:tc>
          <w:tcPr>
            <w:tcW w:w="1940" w:type="dxa"/>
            <w:vAlign w:val="bottom"/>
          </w:tcPr>
          <w:p>
            <w:pPr>
              <w:spacing w:after="0"/>
              <w:rPr>
                <w:sz w:val="24"/>
                <w:szCs w:val="24"/>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Human Resources Committee of the board of directors (HR Committee) was actively engaged in</w:t>
            </w:r>
          </w:p>
        </w:tc>
        <w:tc>
          <w:tcPr>
            <w:tcW w:w="1940" w:type="dxa"/>
            <w:vAlign w:val="bottom"/>
          </w:tcPr>
          <w:p>
            <w:pPr>
              <w:spacing w:after="0"/>
              <w:rPr>
                <w:sz w:val="14"/>
                <w:szCs w:val="14"/>
                <w:color w:val="auto"/>
              </w:rPr>
            </w:pPr>
          </w:p>
        </w:tc>
      </w:tr>
      <w:tr>
        <w:trPr>
          <w:trHeight w:val="161"/>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reviewing and discussing the design and approach to our compensation, talent and culture programs to</w:t>
            </w:r>
          </w:p>
        </w:tc>
        <w:tc>
          <w:tcPr>
            <w:tcW w:w="1940" w:type="dxa"/>
            <w:vAlign w:val="bottom"/>
          </w:tcPr>
          <w:p>
            <w:pPr>
              <w:spacing w:after="0"/>
              <w:rPr>
                <w:sz w:val="14"/>
                <w:szCs w:val="14"/>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fit the Thomson Reuters of the future. In 2018, a significant portion of executive pay was at risk and</w:t>
            </w:r>
          </w:p>
        </w:tc>
        <w:tc>
          <w:tcPr>
            <w:tcW w:w="1940" w:type="dxa"/>
            <w:vAlign w:val="bottom"/>
          </w:tcPr>
          <w:p>
            <w:pPr>
              <w:spacing w:after="0"/>
              <w:rPr>
                <w:sz w:val="14"/>
                <w:szCs w:val="14"/>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linked to both operational performance and stock price. Our incentive plan goals reflected our</w:t>
            </w:r>
          </w:p>
        </w:tc>
        <w:tc>
          <w:tcPr>
            <w:tcW w:w="1940" w:type="dxa"/>
            <w:vAlign w:val="bottom"/>
          </w:tcPr>
          <w:p>
            <w:pPr>
              <w:spacing w:after="0"/>
              <w:rPr>
                <w:sz w:val="14"/>
                <w:szCs w:val="14"/>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published business outlook, operating plan and long-term strategy. Annual incentive awards focused on</w:t>
            </w:r>
          </w:p>
        </w:tc>
        <w:tc>
          <w:tcPr>
            <w:tcW w:w="1940" w:type="dxa"/>
            <w:vAlign w:val="bottom"/>
          </w:tcPr>
          <w:p>
            <w:pPr>
              <w:spacing w:after="0"/>
              <w:rPr>
                <w:sz w:val="14"/>
                <w:szCs w:val="14"/>
                <w:color w:val="auto"/>
              </w:rPr>
            </w:pPr>
          </w:p>
        </w:tc>
      </w:tr>
      <w:tr>
        <w:trPr>
          <w:trHeight w:val="17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growth objectives for the year.</w:t>
            </w:r>
          </w:p>
        </w:tc>
        <w:tc>
          <w:tcPr>
            <w:tcW w:w="1940" w:type="dxa"/>
            <w:vAlign w:val="bottom"/>
          </w:tcPr>
          <w:p>
            <w:pPr>
              <w:spacing w:after="0"/>
              <w:rPr>
                <w:sz w:val="14"/>
                <w:szCs w:val="14"/>
                <w:color w:val="auto"/>
              </w:rPr>
            </w:pPr>
          </w:p>
        </w:tc>
      </w:tr>
      <w:tr>
        <w:trPr>
          <w:trHeight w:val="286"/>
        </w:trPr>
        <w:tc>
          <w:tcPr>
            <w:tcW w:w="1880" w:type="dxa"/>
            <w:vAlign w:val="bottom"/>
            <w:tcBorders>
              <w:right w:val="single" w:sz="8" w:color="AFAFAF"/>
            </w:tcBorders>
          </w:tcPr>
          <w:p>
            <w:pPr>
              <w:spacing w:after="0"/>
              <w:rPr>
                <w:sz w:val="24"/>
                <w:szCs w:val="24"/>
                <w:color w:val="auto"/>
              </w:rPr>
            </w:pPr>
          </w:p>
        </w:tc>
        <w:tc>
          <w:tcPr>
            <w:tcW w:w="7160" w:type="dxa"/>
            <w:vAlign w:val="bottom"/>
            <w:tcBorders>
              <w:right w:val="single" w:sz="8" w:color="AFAFAF"/>
            </w:tcBorders>
          </w:tcPr>
          <w:p>
            <w:pPr>
              <w:ind w:left="580"/>
              <w:spacing w:after="0" w:line="161" w:lineRule="exact"/>
              <w:rPr>
                <w:sz w:val="20"/>
                <w:szCs w:val="20"/>
                <w:color w:val="auto"/>
              </w:rPr>
            </w:pPr>
            <w:r>
              <w:rPr>
                <w:rFonts w:ascii="MS PGothic" w:cs="MS PGothic" w:eastAsia="MS PGothic" w:hAnsi="MS PGothic"/>
                <w:sz w:val="14"/>
                <w:szCs w:val="14"/>
                <w:color w:val="28910A"/>
              </w:rPr>
              <w:t>✓</w:t>
            </w:r>
            <w:r>
              <w:rPr>
                <w:rFonts w:ascii="Arial" w:cs="Arial" w:eastAsia="Arial" w:hAnsi="Arial"/>
                <w:sz w:val="14"/>
                <w:szCs w:val="14"/>
                <w:b w:val="1"/>
                <w:bCs w:val="1"/>
                <w:i w:val="1"/>
                <w:iCs w:val="1"/>
                <w:color w:val="28910A"/>
              </w:rPr>
              <w:t xml:space="preserve">  Our compensation program is strongly aligned with shareholder return and value </w:t>
            </w:r>
            <w:r>
              <w:rPr>
                <w:rFonts w:ascii="Arial" w:cs="Arial" w:eastAsia="Arial" w:hAnsi="Arial"/>
                <w:sz w:val="14"/>
                <w:szCs w:val="14"/>
                <w:color w:val="000000"/>
              </w:rPr>
              <w:t>– Our</w:t>
            </w:r>
          </w:p>
        </w:tc>
        <w:tc>
          <w:tcPr>
            <w:tcW w:w="1940" w:type="dxa"/>
            <w:vAlign w:val="bottom"/>
          </w:tcPr>
          <w:p>
            <w:pPr>
              <w:spacing w:after="0"/>
              <w:rPr>
                <w:sz w:val="24"/>
                <w:szCs w:val="24"/>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executive officer compensation over the last five years has been strongly aligned with total shareholder</w:t>
            </w:r>
          </w:p>
        </w:tc>
        <w:tc>
          <w:tcPr>
            <w:tcW w:w="1940" w:type="dxa"/>
            <w:vAlign w:val="bottom"/>
          </w:tcPr>
          <w:p>
            <w:pPr>
              <w:spacing w:after="0"/>
              <w:rPr>
                <w:sz w:val="14"/>
                <w:szCs w:val="14"/>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return. We also require our executive officers to maintain meaningful levels of share ownership that are</w:t>
            </w:r>
          </w:p>
        </w:tc>
        <w:tc>
          <w:tcPr>
            <w:tcW w:w="1940" w:type="dxa"/>
            <w:vAlign w:val="bottom"/>
          </w:tcPr>
          <w:p>
            <w:pPr>
              <w:spacing w:after="0"/>
              <w:rPr>
                <w:sz w:val="14"/>
                <w:szCs w:val="14"/>
                <w:color w:val="auto"/>
              </w:rPr>
            </w:pPr>
          </w:p>
        </w:tc>
      </w:tr>
      <w:tr>
        <w:trPr>
          <w:trHeight w:val="161"/>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multiples of their respective base salaries, creating a strong link to our shareholders and the long-term</w:t>
            </w:r>
          </w:p>
        </w:tc>
        <w:tc>
          <w:tcPr>
            <w:tcW w:w="1940" w:type="dxa"/>
            <w:vAlign w:val="bottom"/>
          </w:tcPr>
          <w:p>
            <w:pPr>
              <w:spacing w:after="0"/>
              <w:rPr>
                <w:sz w:val="14"/>
                <w:szCs w:val="14"/>
                <w:color w:val="auto"/>
              </w:rPr>
            </w:pPr>
          </w:p>
        </w:tc>
      </w:tr>
      <w:tr>
        <w:trPr>
          <w:trHeight w:val="17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success of our company.</w:t>
            </w:r>
          </w:p>
        </w:tc>
        <w:tc>
          <w:tcPr>
            <w:tcW w:w="1940" w:type="dxa"/>
            <w:vAlign w:val="bottom"/>
          </w:tcPr>
          <w:p>
            <w:pPr>
              <w:spacing w:after="0"/>
              <w:rPr>
                <w:sz w:val="14"/>
                <w:szCs w:val="14"/>
                <w:color w:val="auto"/>
              </w:rPr>
            </w:pPr>
          </w:p>
        </w:tc>
      </w:tr>
      <w:tr>
        <w:trPr>
          <w:trHeight w:val="270"/>
        </w:trPr>
        <w:tc>
          <w:tcPr>
            <w:tcW w:w="1880" w:type="dxa"/>
            <w:vAlign w:val="bottom"/>
            <w:tcBorders>
              <w:right w:val="single" w:sz="8" w:color="AFAFAF"/>
            </w:tcBorders>
          </w:tcPr>
          <w:p>
            <w:pPr>
              <w:spacing w:after="0"/>
              <w:rPr>
                <w:sz w:val="23"/>
                <w:szCs w:val="23"/>
                <w:color w:val="auto"/>
              </w:rPr>
            </w:pPr>
          </w:p>
        </w:tc>
        <w:tc>
          <w:tcPr>
            <w:tcW w:w="7160" w:type="dxa"/>
            <w:vAlign w:val="bottom"/>
            <w:tcBorders>
              <w:right w:val="single" w:sz="8" w:color="AFAFAF"/>
            </w:tcBorders>
          </w:tcPr>
          <w:p>
            <w:pPr>
              <w:ind w:left="580"/>
              <w:spacing w:after="0" w:line="161" w:lineRule="exact"/>
              <w:rPr>
                <w:sz w:val="20"/>
                <w:szCs w:val="20"/>
                <w:color w:val="auto"/>
              </w:rPr>
            </w:pPr>
            <w:r>
              <w:rPr>
                <w:rFonts w:ascii="MS PGothic" w:cs="MS PGothic" w:eastAsia="MS PGothic" w:hAnsi="MS PGothic"/>
                <w:sz w:val="14"/>
                <w:szCs w:val="14"/>
                <w:color w:val="28910A"/>
              </w:rPr>
              <w:t>✓</w:t>
            </w:r>
            <w:r>
              <w:rPr>
                <w:rFonts w:ascii="Arial" w:cs="Arial" w:eastAsia="Arial" w:hAnsi="Arial"/>
                <w:sz w:val="14"/>
                <w:szCs w:val="14"/>
                <w:b w:val="1"/>
                <w:bCs w:val="1"/>
                <w:i w:val="1"/>
                <w:iCs w:val="1"/>
                <w:color w:val="28910A"/>
              </w:rPr>
              <w:t xml:space="preserve">  We benchmark executive compensation and performance against global peer companies</w:t>
            </w:r>
          </w:p>
        </w:tc>
        <w:tc>
          <w:tcPr>
            <w:tcW w:w="1940" w:type="dxa"/>
            <w:vAlign w:val="bottom"/>
          </w:tcPr>
          <w:p>
            <w:pPr>
              <w:spacing w:after="0"/>
              <w:rPr>
                <w:sz w:val="23"/>
                <w:szCs w:val="23"/>
                <w:color w:val="auto"/>
              </w:rPr>
            </w:pPr>
          </w:p>
        </w:tc>
      </w:tr>
      <w:tr>
        <w:trPr>
          <w:trHeight w:val="177"/>
        </w:trPr>
        <w:tc>
          <w:tcPr>
            <w:tcW w:w="1880" w:type="dxa"/>
            <w:vAlign w:val="bottom"/>
            <w:tcBorders>
              <w:right w:val="single" w:sz="8" w:color="AFAFAF"/>
            </w:tcBorders>
          </w:tcPr>
          <w:p>
            <w:pPr>
              <w:spacing w:after="0"/>
              <w:rPr>
                <w:sz w:val="15"/>
                <w:szCs w:val="15"/>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b w:val="1"/>
                <w:bCs w:val="1"/>
                <w:i w:val="1"/>
                <w:iCs w:val="1"/>
                <w:color w:val="28910A"/>
              </w:rPr>
              <w:t xml:space="preserve">that we compete with for customers and talent </w:t>
            </w:r>
            <w:r>
              <w:rPr>
                <w:rFonts w:ascii="Arial" w:cs="Arial" w:eastAsia="Arial" w:hAnsi="Arial"/>
                <w:sz w:val="14"/>
                <w:szCs w:val="14"/>
                <w:color w:val="000000"/>
              </w:rPr>
              <w:t>– In 2018, the HR Committee approved a new global</w:t>
            </w:r>
          </w:p>
        </w:tc>
        <w:tc>
          <w:tcPr>
            <w:tcW w:w="1940" w:type="dxa"/>
            <w:vAlign w:val="bottom"/>
          </w:tcPr>
          <w:p>
            <w:pPr>
              <w:spacing w:after="0"/>
              <w:rPr>
                <w:sz w:val="15"/>
                <w:szCs w:val="15"/>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peer group for executive compensation purposes to reflect our company’s smaller size once the</w:t>
            </w:r>
          </w:p>
        </w:tc>
        <w:tc>
          <w:tcPr>
            <w:tcW w:w="1940" w:type="dxa"/>
            <w:vAlign w:val="bottom"/>
          </w:tcPr>
          <w:p>
            <w:pPr>
              <w:spacing w:after="0"/>
              <w:rPr>
                <w:sz w:val="14"/>
                <w:szCs w:val="14"/>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Financial &amp; Risk (F&amp;R) transaction closed. When constructing our new global peer group, the HR</w:t>
            </w:r>
          </w:p>
        </w:tc>
        <w:tc>
          <w:tcPr>
            <w:tcW w:w="1940" w:type="dxa"/>
            <w:vAlign w:val="bottom"/>
          </w:tcPr>
          <w:p>
            <w:pPr>
              <w:spacing w:after="0"/>
              <w:rPr>
                <w:sz w:val="14"/>
                <w:szCs w:val="14"/>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Committee did not include other Canadian companies with a common Global Industry Classification</w:t>
            </w:r>
          </w:p>
        </w:tc>
        <w:tc>
          <w:tcPr>
            <w:tcW w:w="1940" w:type="dxa"/>
            <w:vAlign w:val="bottom"/>
          </w:tcPr>
          <w:p>
            <w:pPr>
              <w:spacing w:after="0"/>
              <w:rPr>
                <w:sz w:val="14"/>
                <w:szCs w:val="14"/>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System (GICS) code. While we acknowledge that proxy advisors tend to focus on these companies, we</w:t>
            </w:r>
          </w:p>
        </w:tc>
        <w:tc>
          <w:tcPr>
            <w:tcW w:w="1940" w:type="dxa"/>
            <w:vAlign w:val="bottom"/>
          </w:tcPr>
          <w:p>
            <w:pPr>
              <w:spacing w:after="0"/>
              <w:rPr>
                <w:sz w:val="14"/>
                <w:szCs w:val="14"/>
                <w:color w:val="auto"/>
              </w:rPr>
            </w:pPr>
          </w:p>
        </w:tc>
      </w:tr>
      <w:tr>
        <w:trPr>
          <w:trHeight w:val="161"/>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believe that they do not provide a meaningful or relevant comparison of our competitive market for</w:t>
            </w:r>
          </w:p>
        </w:tc>
        <w:tc>
          <w:tcPr>
            <w:tcW w:w="1940" w:type="dxa"/>
            <w:vAlign w:val="bottom"/>
          </w:tcPr>
          <w:p>
            <w:pPr>
              <w:spacing w:after="0"/>
              <w:rPr>
                <w:sz w:val="14"/>
                <w:szCs w:val="14"/>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talent given the particular executive talent pool from which we recruit and the significant differences in</w:t>
            </w:r>
          </w:p>
        </w:tc>
        <w:tc>
          <w:tcPr>
            <w:tcW w:w="1940" w:type="dxa"/>
            <w:vAlign w:val="bottom"/>
          </w:tcPr>
          <w:p>
            <w:pPr>
              <w:spacing w:after="0"/>
              <w:rPr>
                <w:sz w:val="14"/>
                <w:szCs w:val="14"/>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industries, businesses and operational strategy between our companies and other Canadian</w:t>
            </w:r>
          </w:p>
        </w:tc>
        <w:tc>
          <w:tcPr>
            <w:tcW w:w="1940" w:type="dxa"/>
            <w:vAlign w:val="bottom"/>
          </w:tcPr>
          <w:p>
            <w:pPr>
              <w:spacing w:after="0"/>
              <w:rPr>
                <w:sz w:val="14"/>
                <w:szCs w:val="14"/>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companies with a common GICS code. The HR Committee did, however, also approve a new</w:t>
            </w:r>
          </w:p>
        </w:tc>
        <w:tc>
          <w:tcPr>
            <w:tcW w:w="1940" w:type="dxa"/>
            <w:vAlign w:val="bottom"/>
          </w:tcPr>
          <w:p>
            <w:pPr>
              <w:spacing w:after="0"/>
              <w:rPr>
                <w:sz w:val="14"/>
                <w:szCs w:val="14"/>
                <w:color w:val="auto"/>
              </w:rPr>
            </w:pPr>
          </w:p>
        </w:tc>
      </w:tr>
      <w:tr>
        <w:trPr>
          <w:trHeight w:val="161"/>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Canadian peer group in 2018 given our company’s increasing presence in Toronto. This Canadian peer</w:t>
            </w:r>
          </w:p>
        </w:tc>
        <w:tc>
          <w:tcPr>
            <w:tcW w:w="1940" w:type="dxa"/>
            <w:vAlign w:val="bottom"/>
          </w:tcPr>
          <w:p>
            <w:pPr>
              <w:spacing w:after="0"/>
              <w:rPr>
                <w:sz w:val="14"/>
                <w:szCs w:val="14"/>
                <w:color w:val="auto"/>
              </w:rPr>
            </w:pPr>
          </w:p>
        </w:tc>
      </w:tr>
      <w:tr>
        <w:trPr>
          <w:trHeight w:val="17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group is also referenced by the HR Committee as part of executive compensation benchmarking.</w:t>
            </w:r>
          </w:p>
        </w:tc>
        <w:tc>
          <w:tcPr>
            <w:tcW w:w="1940" w:type="dxa"/>
            <w:vAlign w:val="bottom"/>
          </w:tcPr>
          <w:p>
            <w:pPr>
              <w:spacing w:after="0"/>
              <w:rPr>
                <w:sz w:val="14"/>
                <w:szCs w:val="14"/>
                <w:color w:val="auto"/>
              </w:rPr>
            </w:pPr>
          </w:p>
        </w:tc>
      </w:tr>
      <w:tr>
        <w:trPr>
          <w:trHeight w:val="270"/>
        </w:trPr>
        <w:tc>
          <w:tcPr>
            <w:tcW w:w="1880" w:type="dxa"/>
            <w:vAlign w:val="bottom"/>
            <w:tcBorders>
              <w:right w:val="single" w:sz="8" w:color="AFAFAF"/>
            </w:tcBorders>
          </w:tcPr>
          <w:p>
            <w:pPr>
              <w:spacing w:after="0"/>
              <w:rPr>
                <w:sz w:val="23"/>
                <w:szCs w:val="23"/>
                <w:color w:val="auto"/>
              </w:rPr>
            </w:pPr>
          </w:p>
        </w:tc>
        <w:tc>
          <w:tcPr>
            <w:tcW w:w="7160" w:type="dxa"/>
            <w:vAlign w:val="bottom"/>
            <w:tcBorders>
              <w:right w:val="single" w:sz="8" w:color="AFAFAF"/>
            </w:tcBorders>
          </w:tcPr>
          <w:p>
            <w:pPr>
              <w:ind w:left="580"/>
              <w:spacing w:after="0" w:line="161" w:lineRule="exact"/>
              <w:rPr>
                <w:sz w:val="20"/>
                <w:szCs w:val="20"/>
                <w:color w:val="auto"/>
              </w:rPr>
            </w:pPr>
            <w:r>
              <w:rPr>
                <w:rFonts w:ascii="MS PGothic" w:cs="MS PGothic" w:eastAsia="MS PGothic" w:hAnsi="MS PGothic"/>
                <w:sz w:val="14"/>
                <w:szCs w:val="14"/>
                <w:color w:val="28910A"/>
              </w:rPr>
              <w:t>✓</w:t>
            </w:r>
            <w:r>
              <w:rPr>
                <w:rFonts w:ascii="Arial" w:cs="Arial" w:eastAsia="Arial" w:hAnsi="Arial"/>
                <w:sz w:val="14"/>
                <w:szCs w:val="14"/>
                <w:b w:val="1"/>
                <w:bCs w:val="1"/>
                <w:i w:val="1"/>
                <w:iCs w:val="1"/>
                <w:color w:val="28910A"/>
              </w:rPr>
              <w:t xml:space="preserve">  Our compensation program is aligned with good governance practices and has received</w:t>
            </w:r>
          </w:p>
        </w:tc>
        <w:tc>
          <w:tcPr>
            <w:tcW w:w="1940" w:type="dxa"/>
            <w:vAlign w:val="bottom"/>
          </w:tcPr>
          <w:p>
            <w:pPr>
              <w:spacing w:after="0"/>
              <w:rPr>
                <w:sz w:val="23"/>
                <w:szCs w:val="23"/>
                <w:color w:val="auto"/>
              </w:rPr>
            </w:pPr>
          </w:p>
        </w:tc>
      </w:tr>
      <w:tr>
        <w:trPr>
          <w:trHeight w:val="177"/>
        </w:trPr>
        <w:tc>
          <w:tcPr>
            <w:tcW w:w="1880" w:type="dxa"/>
            <w:vAlign w:val="bottom"/>
            <w:tcBorders>
              <w:right w:val="single" w:sz="8" w:color="AFAFAF"/>
            </w:tcBorders>
          </w:tcPr>
          <w:p>
            <w:pPr>
              <w:spacing w:after="0"/>
              <w:rPr>
                <w:sz w:val="15"/>
                <w:szCs w:val="15"/>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b w:val="1"/>
                <w:bCs w:val="1"/>
                <w:i w:val="1"/>
                <w:iCs w:val="1"/>
                <w:color w:val="28910A"/>
              </w:rPr>
              <w:t xml:space="preserve">strong shareholder support in recent years </w:t>
            </w:r>
            <w:r>
              <w:rPr>
                <w:rFonts w:ascii="Arial" w:cs="Arial" w:eastAsia="Arial" w:hAnsi="Arial"/>
                <w:sz w:val="14"/>
                <w:szCs w:val="14"/>
                <w:color w:val="000000"/>
              </w:rPr>
              <w:t>– Our plans and programs reflect strong governance</w:t>
            </w:r>
          </w:p>
        </w:tc>
        <w:tc>
          <w:tcPr>
            <w:tcW w:w="1940" w:type="dxa"/>
            <w:vAlign w:val="bottom"/>
          </w:tcPr>
          <w:p>
            <w:pPr>
              <w:spacing w:after="0"/>
              <w:rPr>
                <w:sz w:val="15"/>
                <w:szCs w:val="15"/>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principles. The HR Committee has an independent advisor (FW Cook) for executive compensation</w:t>
            </w:r>
          </w:p>
        </w:tc>
        <w:tc>
          <w:tcPr>
            <w:tcW w:w="1940" w:type="dxa"/>
            <w:vAlign w:val="bottom"/>
          </w:tcPr>
          <w:p>
            <w:pPr>
              <w:spacing w:after="0"/>
              <w:rPr>
                <w:sz w:val="14"/>
                <w:szCs w:val="14"/>
                <w:color w:val="auto"/>
              </w:rPr>
            </w:pPr>
          </w:p>
        </w:tc>
      </w:tr>
      <w:tr>
        <w:trPr>
          <w:trHeight w:val="161"/>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matters. We also engage with our shareholders on compensation matters during the year and we</w:t>
            </w:r>
          </w:p>
        </w:tc>
        <w:tc>
          <w:tcPr>
            <w:tcW w:w="1940" w:type="dxa"/>
            <w:vAlign w:val="bottom"/>
          </w:tcPr>
          <w:p>
            <w:pPr>
              <w:spacing w:after="0"/>
              <w:rPr>
                <w:sz w:val="14"/>
                <w:szCs w:val="14"/>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provide a “say on pay” resolution each year at our annual meeting of shareholders. Over the last five</w:t>
            </w:r>
          </w:p>
        </w:tc>
        <w:tc>
          <w:tcPr>
            <w:tcW w:w="1940" w:type="dxa"/>
            <w:vAlign w:val="bottom"/>
          </w:tcPr>
          <w:p>
            <w:pPr>
              <w:spacing w:after="0"/>
              <w:rPr>
                <w:sz w:val="14"/>
                <w:szCs w:val="14"/>
                <w:color w:val="auto"/>
              </w:rPr>
            </w:pPr>
          </w:p>
        </w:tc>
      </w:tr>
      <w:tr>
        <w:trPr>
          <w:trHeight w:val="17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years, approximately 98% of votes have been cast “for” our “say on pay” advisory resolutions.</w:t>
            </w:r>
          </w:p>
        </w:tc>
        <w:tc>
          <w:tcPr>
            <w:tcW w:w="1940" w:type="dxa"/>
            <w:vAlign w:val="bottom"/>
          </w:tcPr>
          <w:p>
            <w:pPr>
              <w:spacing w:after="0"/>
              <w:rPr>
                <w:sz w:val="14"/>
                <w:szCs w:val="14"/>
                <w:color w:val="auto"/>
              </w:rPr>
            </w:pPr>
          </w:p>
        </w:tc>
      </w:tr>
      <w:tr>
        <w:trPr>
          <w:trHeight w:val="270"/>
        </w:trPr>
        <w:tc>
          <w:tcPr>
            <w:tcW w:w="1880" w:type="dxa"/>
            <w:vAlign w:val="bottom"/>
            <w:tcBorders>
              <w:right w:val="single" w:sz="8" w:color="AFAFAF"/>
            </w:tcBorders>
          </w:tcPr>
          <w:p>
            <w:pPr>
              <w:spacing w:after="0"/>
              <w:rPr>
                <w:sz w:val="23"/>
                <w:szCs w:val="23"/>
                <w:color w:val="auto"/>
              </w:rPr>
            </w:pPr>
          </w:p>
        </w:tc>
        <w:tc>
          <w:tcPr>
            <w:tcW w:w="7160" w:type="dxa"/>
            <w:vAlign w:val="bottom"/>
            <w:tcBorders>
              <w:right w:val="single" w:sz="8" w:color="AFAFAF"/>
            </w:tcBorders>
          </w:tcPr>
          <w:p>
            <w:pPr>
              <w:ind w:left="580"/>
              <w:spacing w:after="0" w:line="161" w:lineRule="exact"/>
              <w:rPr>
                <w:sz w:val="20"/>
                <w:szCs w:val="20"/>
                <w:color w:val="auto"/>
              </w:rPr>
            </w:pPr>
            <w:r>
              <w:rPr>
                <w:rFonts w:ascii="MS PGothic" w:cs="MS PGothic" w:eastAsia="MS PGothic" w:hAnsi="MS PGothic"/>
                <w:sz w:val="14"/>
                <w:szCs w:val="14"/>
                <w:color w:val="28910A"/>
              </w:rPr>
              <w:t>✓</w:t>
            </w:r>
            <w:r>
              <w:rPr>
                <w:rFonts w:ascii="Arial" w:cs="Arial" w:eastAsia="Arial" w:hAnsi="Arial"/>
                <w:sz w:val="14"/>
                <w:szCs w:val="14"/>
                <w:b w:val="1"/>
                <w:bCs w:val="1"/>
                <w:i w:val="1"/>
                <w:iCs w:val="1"/>
                <w:color w:val="28910A"/>
              </w:rPr>
              <w:t xml:space="preserve">  We do not believe that we have any problematic pay practices and risk is taken into account</w:t>
            </w:r>
          </w:p>
        </w:tc>
        <w:tc>
          <w:tcPr>
            <w:tcW w:w="1940" w:type="dxa"/>
            <w:vAlign w:val="bottom"/>
          </w:tcPr>
          <w:p>
            <w:pPr>
              <w:spacing w:after="0"/>
              <w:rPr>
                <w:sz w:val="23"/>
                <w:szCs w:val="23"/>
                <w:color w:val="auto"/>
              </w:rPr>
            </w:pPr>
          </w:p>
        </w:tc>
      </w:tr>
      <w:tr>
        <w:trPr>
          <w:trHeight w:val="178"/>
        </w:trPr>
        <w:tc>
          <w:tcPr>
            <w:tcW w:w="1880" w:type="dxa"/>
            <w:vAlign w:val="bottom"/>
            <w:tcBorders>
              <w:right w:val="single" w:sz="8" w:color="AFAFAF"/>
            </w:tcBorders>
          </w:tcPr>
          <w:p>
            <w:pPr>
              <w:spacing w:after="0"/>
              <w:rPr>
                <w:sz w:val="15"/>
                <w:szCs w:val="15"/>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b w:val="1"/>
                <w:bCs w:val="1"/>
                <w:i w:val="1"/>
                <w:iCs w:val="1"/>
                <w:color w:val="28910A"/>
              </w:rPr>
              <w:t xml:space="preserve">in our compensation programs </w:t>
            </w:r>
            <w:r>
              <w:rPr>
                <w:rFonts w:ascii="Arial" w:cs="Arial" w:eastAsia="Arial" w:hAnsi="Arial"/>
                <w:sz w:val="14"/>
                <w:szCs w:val="14"/>
                <w:color w:val="000000"/>
              </w:rPr>
              <w:t>– The HR Committee’s independent advisor is of the view that our</w:t>
            </w:r>
          </w:p>
        </w:tc>
        <w:tc>
          <w:tcPr>
            <w:tcW w:w="1940" w:type="dxa"/>
            <w:vAlign w:val="bottom"/>
          </w:tcPr>
          <w:p>
            <w:pPr>
              <w:spacing w:after="0"/>
              <w:rPr>
                <w:sz w:val="15"/>
                <w:szCs w:val="15"/>
                <w:color w:val="auto"/>
              </w:rPr>
            </w:pP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compensation program appears unlikely to create incentives for excessive risk taking and includes</w:t>
            </w:r>
          </w:p>
        </w:tc>
        <w:tc>
          <w:tcPr>
            <w:tcW w:w="1940" w:type="dxa"/>
            <w:vAlign w:val="bottom"/>
          </w:tcPr>
          <w:p>
            <w:pPr>
              <w:spacing w:after="0"/>
              <w:rPr>
                <w:sz w:val="14"/>
                <w:szCs w:val="14"/>
                <w:color w:val="auto"/>
              </w:rPr>
            </w:pPr>
          </w:p>
        </w:tc>
      </w:tr>
      <w:tr>
        <w:trPr>
          <w:trHeight w:val="17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meaningful safeguards to mitigate compensation program risk.</w:t>
            </w:r>
          </w:p>
        </w:tc>
        <w:tc>
          <w:tcPr>
            <w:tcW w:w="1940" w:type="dxa"/>
            <w:vAlign w:val="bottom"/>
          </w:tcPr>
          <w:p>
            <w:pPr>
              <w:spacing w:after="0"/>
              <w:rPr>
                <w:sz w:val="14"/>
                <w:szCs w:val="14"/>
                <w:color w:val="auto"/>
              </w:rPr>
            </w:pPr>
          </w:p>
        </w:tc>
      </w:tr>
      <w:tr>
        <w:trPr>
          <w:trHeight w:val="272"/>
        </w:trPr>
        <w:tc>
          <w:tcPr>
            <w:tcW w:w="1880" w:type="dxa"/>
            <w:vAlign w:val="bottom"/>
            <w:tcBorders>
              <w:right w:val="single" w:sz="8" w:color="AFAFAF"/>
            </w:tcBorders>
          </w:tcPr>
          <w:p>
            <w:pPr>
              <w:spacing w:after="0"/>
              <w:rPr>
                <w:sz w:val="23"/>
                <w:szCs w:val="23"/>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Please see the “Compensation Discussion and Analysis” section of the circular for additional</w:t>
            </w:r>
          </w:p>
        </w:tc>
        <w:tc>
          <w:tcPr>
            <w:tcW w:w="1940" w:type="dxa"/>
            <w:vAlign w:val="bottom"/>
          </w:tcPr>
          <w:p>
            <w:pPr>
              <w:spacing w:after="0"/>
              <w:rPr>
                <w:sz w:val="23"/>
                <w:szCs w:val="23"/>
                <w:color w:val="auto"/>
              </w:rPr>
            </w:pPr>
          </w:p>
        </w:tc>
      </w:tr>
      <w:tr>
        <w:trPr>
          <w:trHeight w:val="170"/>
        </w:trPr>
        <w:tc>
          <w:tcPr>
            <w:tcW w:w="1880" w:type="dxa"/>
            <w:vAlign w:val="bottom"/>
            <w:tcBorders>
              <w:bottom w:val="single" w:sz="8" w:color="AFAFAF"/>
              <w:right w:val="single" w:sz="8" w:color="AFAFAF"/>
            </w:tcBorders>
          </w:tcPr>
          <w:p>
            <w:pPr>
              <w:spacing w:after="0"/>
              <w:rPr>
                <w:sz w:val="14"/>
                <w:szCs w:val="14"/>
                <w:color w:val="auto"/>
              </w:rPr>
            </w:pPr>
          </w:p>
        </w:tc>
        <w:tc>
          <w:tcPr>
            <w:tcW w:w="7160" w:type="dxa"/>
            <w:vAlign w:val="bottom"/>
            <w:tcBorders>
              <w:bottom w:val="single" w:sz="8" w:color="AFAFAF"/>
              <w:right w:val="single" w:sz="8" w:color="AFAFAF"/>
            </w:tcBorders>
          </w:tcPr>
          <w:p>
            <w:pPr>
              <w:ind w:left="580"/>
              <w:spacing w:after="0"/>
              <w:rPr>
                <w:sz w:val="20"/>
                <w:szCs w:val="20"/>
                <w:color w:val="auto"/>
              </w:rPr>
            </w:pPr>
            <w:r>
              <w:rPr>
                <w:rFonts w:ascii="Arial" w:cs="Arial" w:eastAsia="Arial" w:hAnsi="Arial"/>
                <w:sz w:val="14"/>
                <w:szCs w:val="14"/>
                <w:color w:val="auto"/>
              </w:rPr>
              <w:t>information.</w:t>
            </w:r>
          </w:p>
        </w:tc>
        <w:tc>
          <w:tcPr>
            <w:tcW w:w="1940" w:type="dxa"/>
            <w:vAlign w:val="bottom"/>
            <w:tcBorders>
              <w:bottom w:val="single" w:sz="8" w:color="AFAFAF"/>
            </w:tcBorders>
          </w:tcPr>
          <w:p>
            <w:pPr>
              <w:spacing w:after="0"/>
              <w:rPr>
                <w:sz w:val="14"/>
                <w:szCs w:val="14"/>
                <w:color w:val="auto"/>
              </w:rPr>
            </w:pPr>
          </w:p>
        </w:tc>
      </w:tr>
      <w:tr>
        <w:trPr>
          <w:trHeight w:val="168"/>
        </w:trPr>
        <w:tc>
          <w:tcPr>
            <w:tcW w:w="188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5. Shareholder proposal</w:t>
            </w:r>
          </w:p>
        </w:tc>
        <w:tc>
          <w:tcPr>
            <w:tcW w:w="7160" w:type="dxa"/>
            <w:vAlign w:val="bottom"/>
            <w:tcBorders>
              <w:bottom w:val="single" w:sz="8" w:color="AFAFAF"/>
              <w:right w:val="single" w:sz="8" w:color="AFAFAF"/>
            </w:tcBorders>
          </w:tcPr>
          <w:p>
            <w:pPr>
              <w:ind w:left="580"/>
              <w:spacing w:after="0"/>
              <w:rPr>
                <w:sz w:val="20"/>
                <w:szCs w:val="20"/>
                <w:color w:val="auto"/>
              </w:rPr>
            </w:pPr>
            <w:r>
              <w:rPr>
                <w:rFonts w:ascii="Arial" w:cs="Arial" w:eastAsia="Arial" w:hAnsi="Arial"/>
                <w:sz w:val="14"/>
                <w:szCs w:val="14"/>
                <w:color w:val="auto"/>
              </w:rPr>
              <w:t>Consider the shareholder proposal set out in Appendix B of this circular.</w:t>
            </w:r>
          </w:p>
        </w:tc>
        <w:tc>
          <w:tcPr>
            <w:tcW w:w="1940" w:type="dxa"/>
            <w:vAlign w:val="bottom"/>
            <w:tcBorders>
              <w:bottom w:val="single" w:sz="8" w:color="AFAFAF"/>
            </w:tcBorders>
          </w:tcPr>
          <w:p>
            <w:pPr>
              <w:ind w:left="80"/>
              <w:spacing w:after="0"/>
              <w:rPr>
                <w:sz w:val="20"/>
                <w:szCs w:val="20"/>
                <w:color w:val="auto"/>
              </w:rPr>
            </w:pPr>
            <w:r>
              <w:rPr>
                <w:rFonts w:ascii="Arial" w:cs="Arial" w:eastAsia="Arial" w:hAnsi="Arial"/>
                <w:sz w:val="14"/>
                <w:szCs w:val="14"/>
                <w:color w:val="auto"/>
              </w:rPr>
              <w:t>AGAINST</w:t>
            </w:r>
          </w:p>
        </w:tc>
      </w:tr>
      <w:tr>
        <w:trPr>
          <w:trHeight w:val="160"/>
        </w:trPr>
        <w:tc>
          <w:tcPr>
            <w:tcW w:w="188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6. Other business</w:t>
            </w:r>
          </w:p>
        </w:tc>
        <w:tc>
          <w:tcPr>
            <w:tcW w:w="7160" w:type="dxa"/>
            <w:vAlign w:val="bottom"/>
            <w:tcBorders>
              <w:right w:val="single" w:sz="8" w:color="AFAFAF"/>
            </w:tcBorders>
          </w:tcPr>
          <w:p>
            <w:pPr>
              <w:ind w:left="580"/>
              <w:spacing w:after="0" w:line="160" w:lineRule="exact"/>
              <w:rPr>
                <w:sz w:val="20"/>
                <w:szCs w:val="20"/>
                <w:color w:val="auto"/>
              </w:rPr>
            </w:pPr>
            <w:r>
              <w:rPr>
                <w:rFonts w:ascii="Arial" w:cs="Arial" w:eastAsia="Arial" w:hAnsi="Arial"/>
                <w:sz w:val="14"/>
                <w:szCs w:val="14"/>
                <w:color w:val="auto"/>
              </w:rPr>
              <w:t>If any other items of business are properly brought before the meeting (or any adjourned or postponed</w:t>
            </w:r>
          </w:p>
        </w:tc>
        <w:tc>
          <w:tcPr>
            <w:tcW w:w="1940" w:type="dxa"/>
            <w:vAlign w:val="bottom"/>
          </w:tcPr>
          <w:p>
            <w:pPr>
              <w:ind w:left="80"/>
              <w:spacing w:after="0" w:line="160" w:lineRule="exact"/>
              <w:rPr>
                <w:sz w:val="20"/>
                <w:szCs w:val="20"/>
                <w:color w:val="auto"/>
              </w:rPr>
            </w:pPr>
            <w:r>
              <w:rPr>
                <w:rFonts w:ascii="Arial" w:cs="Arial" w:eastAsia="Arial" w:hAnsi="Arial"/>
                <w:sz w:val="14"/>
                <w:szCs w:val="14"/>
                <w:color w:val="auto"/>
              </w:rPr>
              <w:t>N/A</w:t>
            </w:r>
          </w:p>
        </w:tc>
      </w:tr>
      <w:tr>
        <w:trPr>
          <w:trHeight w:val="162"/>
        </w:trPr>
        <w:tc>
          <w:tcPr>
            <w:tcW w:w="1880" w:type="dxa"/>
            <w:vAlign w:val="bottom"/>
            <w:tcBorders>
              <w:right w:val="single" w:sz="8" w:color="AFAFAF"/>
            </w:tcBorders>
          </w:tcPr>
          <w:p>
            <w:pPr>
              <w:spacing w:after="0"/>
              <w:rPr>
                <w:sz w:val="14"/>
                <w:szCs w:val="14"/>
                <w:color w:val="auto"/>
              </w:rPr>
            </w:pPr>
          </w:p>
        </w:tc>
        <w:tc>
          <w:tcPr>
            <w:tcW w:w="7160" w:type="dxa"/>
            <w:vAlign w:val="bottom"/>
            <w:tcBorders>
              <w:right w:val="single" w:sz="8" w:color="AFAFAF"/>
            </w:tcBorders>
          </w:tcPr>
          <w:p>
            <w:pPr>
              <w:ind w:left="580"/>
              <w:spacing w:after="0"/>
              <w:rPr>
                <w:sz w:val="20"/>
                <w:szCs w:val="20"/>
                <w:color w:val="auto"/>
              </w:rPr>
            </w:pPr>
            <w:r>
              <w:rPr>
                <w:rFonts w:ascii="Arial" w:cs="Arial" w:eastAsia="Arial" w:hAnsi="Arial"/>
                <w:sz w:val="14"/>
                <w:szCs w:val="14"/>
                <w:color w:val="auto"/>
              </w:rPr>
              <w:t>meeting), shareholders will be asked to vote. We are not aware of any other items of business at this</w:t>
            </w:r>
          </w:p>
        </w:tc>
        <w:tc>
          <w:tcPr>
            <w:tcW w:w="1940" w:type="dxa"/>
            <w:vAlign w:val="bottom"/>
          </w:tcPr>
          <w:p>
            <w:pPr>
              <w:spacing w:after="0"/>
              <w:rPr>
                <w:sz w:val="14"/>
                <w:szCs w:val="14"/>
                <w:color w:val="auto"/>
              </w:rPr>
            </w:pPr>
          </w:p>
        </w:tc>
      </w:tr>
      <w:tr>
        <w:trPr>
          <w:trHeight w:val="157"/>
        </w:trPr>
        <w:tc>
          <w:tcPr>
            <w:tcW w:w="1880" w:type="dxa"/>
            <w:vAlign w:val="bottom"/>
            <w:tcBorders>
              <w:bottom w:val="single" w:sz="8" w:color="AFAFAF"/>
              <w:right w:val="single" w:sz="8" w:color="AFAFAF"/>
            </w:tcBorders>
          </w:tcPr>
          <w:p>
            <w:pPr>
              <w:spacing w:after="0"/>
              <w:rPr>
                <w:sz w:val="13"/>
                <w:szCs w:val="13"/>
                <w:color w:val="auto"/>
              </w:rPr>
            </w:pPr>
          </w:p>
        </w:tc>
        <w:tc>
          <w:tcPr>
            <w:tcW w:w="7160" w:type="dxa"/>
            <w:vAlign w:val="bottom"/>
            <w:tcBorders>
              <w:bottom w:val="single" w:sz="8" w:color="AFAFAF"/>
              <w:right w:val="single" w:sz="8" w:color="AFAFAF"/>
            </w:tcBorders>
          </w:tcPr>
          <w:p>
            <w:pPr>
              <w:ind w:left="580"/>
              <w:spacing w:after="0" w:line="157" w:lineRule="exact"/>
              <w:rPr>
                <w:sz w:val="20"/>
                <w:szCs w:val="20"/>
                <w:color w:val="auto"/>
              </w:rPr>
            </w:pPr>
            <w:r>
              <w:rPr>
                <w:rFonts w:ascii="Arial" w:cs="Arial" w:eastAsia="Arial" w:hAnsi="Arial"/>
                <w:sz w:val="14"/>
                <w:szCs w:val="14"/>
                <w:color w:val="auto"/>
              </w:rPr>
              <w:t>time.</w:t>
            </w:r>
          </w:p>
        </w:tc>
        <w:tc>
          <w:tcPr>
            <w:tcW w:w="1940" w:type="dxa"/>
            <w:vAlign w:val="bottom"/>
            <w:tcBorders>
              <w:bottom w:val="single" w:sz="8" w:color="AFAFAF"/>
            </w:tcBorders>
          </w:tcPr>
          <w:p>
            <w:pPr>
              <w:spacing w:after="0"/>
              <w:rPr>
                <w:sz w:val="13"/>
                <w:szCs w:val="13"/>
                <w:color w:val="auto"/>
              </w:rPr>
            </w:pPr>
          </w:p>
        </w:tc>
      </w:tr>
      <w:tr>
        <w:trPr>
          <w:trHeight w:val="229"/>
        </w:trPr>
        <w:tc>
          <w:tcPr>
            <w:tcW w:w="1880" w:type="dxa"/>
            <w:vAlign w:val="bottom"/>
            <w:tcBorders>
              <w:bottom w:val="single" w:sz="8" w:color="D95A3B"/>
            </w:tcBorders>
          </w:tcPr>
          <w:p>
            <w:pPr>
              <w:spacing w:after="0"/>
              <w:rPr>
                <w:sz w:val="19"/>
                <w:szCs w:val="19"/>
                <w:color w:val="auto"/>
              </w:rPr>
            </w:pPr>
          </w:p>
        </w:tc>
        <w:tc>
          <w:tcPr>
            <w:tcW w:w="7160" w:type="dxa"/>
            <w:vAlign w:val="bottom"/>
            <w:tcBorders>
              <w:bottom w:val="single" w:sz="8" w:color="D95A3B"/>
            </w:tcBorders>
          </w:tcPr>
          <w:p>
            <w:pPr>
              <w:spacing w:after="0"/>
              <w:rPr>
                <w:sz w:val="19"/>
                <w:szCs w:val="19"/>
                <w:color w:val="auto"/>
              </w:rPr>
            </w:pPr>
          </w:p>
        </w:tc>
        <w:tc>
          <w:tcPr>
            <w:tcW w:w="1940" w:type="dxa"/>
            <w:vAlign w:val="bottom"/>
            <w:tcBorders>
              <w:bottom w:val="single" w:sz="8" w:color="D95A3B"/>
            </w:tcBorders>
          </w:tcPr>
          <w:p>
            <w:pPr>
              <w:spacing w:after="0"/>
              <w:rPr>
                <w:sz w:val="19"/>
                <w:szCs w:val="19"/>
                <w:color w:val="auto"/>
              </w:rPr>
            </w:pPr>
          </w:p>
        </w:tc>
      </w:tr>
    </w:tbl>
    <w:p>
      <w:pPr>
        <w:spacing w:after="0" w:line="120"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3"/>
          <w:szCs w:val="13"/>
          <w:color w:val="auto"/>
        </w:rPr>
        <w:t>Page 6</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Voting Information</w:t>
      </w: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Who can vote at the meeting?</w:t>
      </w:r>
    </w:p>
    <w:p>
      <w:pPr>
        <w:spacing w:after="0" w:line="35" w:lineRule="exact"/>
        <w:rPr>
          <w:sz w:val="20"/>
          <w:szCs w:val="20"/>
          <w:color w:val="auto"/>
        </w:rPr>
      </w:pPr>
    </w:p>
    <w:p>
      <w:pPr>
        <w:jc w:val="both"/>
        <w:ind w:left="220"/>
        <w:spacing w:after="0" w:line="239" w:lineRule="auto"/>
        <w:rPr>
          <w:sz w:val="20"/>
          <w:szCs w:val="20"/>
          <w:color w:val="auto"/>
        </w:rPr>
      </w:pPr>
      <w:r>
        <w:rPr>
          <w:rFonts w:ascii="Arial" w:cs="Arial" w:eastAsia="Arial" w:hAnsi="Arial"/>
          <w:sz w:val="18"/>
          <w:szCs w:val="18"/>
          <w:color w:val="auto"/>
        </w:rPr>
        <w:t>If you held common shares as of 5:00 p.m. (Eastern Daylight Time) on April 11, 2019 (the record date), then you are entitled to vote at the meeting or any adjourned or postponed meeting. Each share is entitled to one vote. As of April 11, 2019, there were 500,313,308 common shares outstanding.</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also have 6,000,000 Series II preference shares outstanding, but these shares do not have voting rights at the meeting.</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How many votes are required for approval?</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simple majority (more than 50%) of votes cast, in person or by proxy, is required to approve each item of business.</w:t>
      </w:r>
    </w:p>
    <w:p>
      <w:pPr>
        <w:spacing w:after="0" w:line="22"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Woodbridge, our principal and controlling shareholder, beneficially owned approximately 66% of our outstanding common shares as of April 11, 2019. Woodbridge has advised our company that it will vote FOR the election of each director nominee, the appointment of PricewaterhouseCoopers LLP as auditor, and the advisory resolution on executive compensation and AGAINST the shareholder proposal set out in Appendix B of this circular.</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How do I vote?</w:t>
      </w:r>
    </w:p>
    <w:p>
      <w:pPr>
        <w:spacing w:after="0" w:line="13" w:lineRule="exact"/>
        <w:rPr>
          <w:sz w:val="20"/>
          <w:szCs w:val="20"/>
          <w:color w:val="auto"/>
        </w:rPr>
      </w:pPr>
    </w:p>
    <w:p>
      <w:pPr>
        <w:ind w:left="220" w:right="20"/>
        <w:spacing w:after="0" w:line="270" w:lineRule="auto"/>
        <w:rPr>
          <w:sz w:val="20"/>
          <w:szCs w:val="20"/>
          <w:color w:val="auto"/>
        </w:rPr>
      </w:pPr>
      <w:r>
        <w:rPr>
          <w:rFonts w:ascii="Arial" w:cs="Arial" w:eastAsia="Arial" w:hAnsi="Arial"/>
          <w:sz w:val="18"/>
          <w:szCs w:val="18"/>
          <w:b w:val="1"/>
          <w:bCs w:val="1"/>
          <w:color w:val="auto"/>
        </w:rPr>
        <w:t>You have two choices – you can vote by proxy, or you can attend the meeting and vote in person. The voting process is different for each choice. The voting process also depends on whether you are a registered or non-registered shareholder.</w:t>
      </w:r>
    </w:p>
    <w:p>
      <w:pPr>
        <w:spacing w:after="0" w:line="68" w:lineRule="exact"/>
        <w:rPr>
          <w:sz w:val="20"/>
          <w:szCs w:val="20"/>
          <w:color w:val="auto"/>
        </w:rPr>
      </w:pPr>
    </w:p>
    <w:p>
      <w:pPr>
        <w:ind w:left="220" w:right="380"/>
        <w:spacing w:after="0" w:line="244" w:lineRule="auto"/>
        <w:rPr>
          <w:sz w:val="20"/>
          <w:szCs w:val="20"/>
          <w:color w:val="auto"/>
        </w:rPr>
      </w:pPr>
      <w:r>
        <w:rPr>
          <w:rFonts w:ascii="Arial" w:cs="Arial" w:eastAsia="Arial" w:hAnsi="Arial"/>
          <w:sz w:val="18"/>
          <w:szCs w:val="18"/>
          <w:color w:val="auto"/>
        </w:rPr>
        <w:t>You should first determine whether you are a registered or non-registered holder of our common shares. Most of our shareholders are non-registered holders.</w:t>
      </w:r>
    </w:p>
    <w:p>
      <w:pPr>
        <w:sectPr>
          <w:pgSz w:w="11900" w:h="16838" w:orient="portrait"/>
          <w:cols w:equalWidth="0" w:num="1">
            <w:col w:w="11200"/>
          </w:cols>
          <w:pgMar w:left="240" w:top="458" w:right="459" w:bottom="1440" w:gutter="0" w:footer="0" w:header="0"/>
        </w:sectPr>
      </w:pPr>
    </w:p>
    <w:p>
      <w:pPr>
        <w:spacing w:after="0" w:line="96"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You are a registered shareholder if your name appears directly on your share certificates, or if you hold your common shares in book-entry form through the direct registration system (DRS) on the records of our transfer agent, Computershare Trust Company of Canada.</w:t>
      </w:r>
    </w:p>
    <w:p>
      <w:pPr>
        <w:spacing w:after="0" w:line="40" w:lineRule="exact"/>
        <w:rPr>
          <w:sz w:val="20"/>
          <w:szCs w:val="20"/>
          <w:color w:val="auto"/>
        </w:rPr>
      </w:pPr>
    </w:p>
    <w:p>
      <w:pPr>
        <w:ind w:right="380"/>
        <w:spacing w:after="0" w:line="244" w:lineRule="auto"/>
        <w:rPr>
          <w:sz w:val="20"/>
          <w:szCs w:val="20"/>
          <w:color w:val="auto"/>
        </w:rPr>
      </w:pPr>
      <w:r>
        <w:rPr>
          <w:rFonts w:ascii="Arial" w:cs="Arial" w:eastAsia="Arial" w:hAnsi="Arial"/>
          <w:sz w:val="18"/>
          <w:szCs w:val="18"/>
          <w:color w:val="auto"/>
        </w:rPr>
        <w:t>You are a non-registered shareholder if you own shares indirectly and the shares are registered in the name of an intermediary. For example, you are a non-registered shareholder if:</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  your common shares are held in the name of a bank, trust company, securities broker, trustee or custodian; or</w:t>
      </w:r>
    </w:p>
    <w:p>
      <w:pPr>
        <w:spacing w:after="0" w:line="75" w:lineRule="exact"/>
        <w:rPr>
          <w:sz w:val="20"/>
          <w:szCs w:val="20"/>
          <w:color w:val="auto"/>
        </w:rPr>
      </w:pPr>
    </w:p>
    <w:p>
      <w:pPr>
        <w:ind w:left="320" w:right="80" w:hanging="323"/>
        <w:spacing w:after="0" w:line="244" w:lineRule="auto"/>
        <w:rPr>
          <w:sz w:val="20"/>
          <w:szCs w:val="20"/>
          <w:color w:val="auto"/>
        </w:rPr>
      </w:pPr>
      <w:r>
        <w:rPr>
          <w:rFonts w:ascii="Arial" w:cs="Arial" w:eastAsia="Arial" w:hAnsi="Arial"/>
          <w:sz w:val="18"/>
          <w:szCs w:val="18"/>
          <w:color w:val="auto"/>
        </w:rPr>
        <w:t>— you hold Depositary Interests representing our common shares which are held in the name of Computershare Company Nominees Limited as nominee and custodian.</w:t>
      </w:r>
    </w:p>
    <w:p>
      <w:pPr>
        <w:spacing w:after="0" w:line="91"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ind w:left="220"/>
        <w:spacing w:after="0"/>
        <w:rPr>
          <w:sz w:val="20"/>
          <w:szCs w:val="20"/>
          <w:color w:val="auto"/>
        </w:rPr>
      </w:pPr>
      <w:r>
        <w:rPr>
          <w:rFonts w:ascii="Arial" w:cs="Arial" w:eastAsia="Arial" w:hAnsi="Arial"/>
          <w:sz w:val="18"/>
          <w:szCs w:val="18"/>
          <w:color w:val="auto"/>
        </w:rPr>
        <w:t>Non-registered shareholders are sometimes referred to as “beneficial owners”.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Voting by Proxy</w:t>
      </w:r>
    </w:p>
    <w:p>
      <w:pPr>
        <w:spacing w:after="0" w:line="79" w:lineRule="exact"/>
        <w:rPr>
          <w:sz w:val="20"/>
          <w:szCs w:val="20"/>
          <w:color w:val="auto"/>
        </w:rPr>
      </w:pPr>
    </w:p>
    <w:p>
      <w:pPr>
        <w:ind w:left="220" w:right="320"/>
        <w:spacing w:after="0" w:line="244" w:lineRule="auto"/>
        <w:rPr>
          <w:sz w:val="20"/>
          <w:szCs w:val="20"/>
          <w:color w:val="auto"/>
        </w:rPr>
      </w:pPr>
      <w:r>
        <w:rPr>
          <w:rFonts w:ascii="Arial" w:cs="Arial" w:eastAsia="Arial" w:hAnsi="Arial"/>
          <w:sz w:val="18"/>
          <w:szCs w:val="18"/>
          <w:color w:val="auto"/>
        </w:rPr>
        <w:t>If it is not convenient for you to attend the meeting, you may vote by proxy on the matters to be considered at the meeting. A proxy is a document that authorizes someone else to attend the meeting and cast votes for you.</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Non-registered shareholders</w:t>
      </w:r>
    </w:p>
    <w:p>
      <w:pPr>
        <w:spacing w:after="0" w:line="22" w:lineRule="exact"/>
        <w:rPr>
          <w:sz w:val="20"/>
          <w:szCs w:val="20"/>
          <w:color w:val="auto"/>
        </w:rPr>
      </w:pPr>
    </w:p>
    <w:p>
      <w:pPr>
        <w:ind w:left="220"/>
        <w:spacing w:after="0" w:line="239" w:lineRule="auto"/>
        <w:rPr>
          <w:sz w:val="20"/>
          <w:szCs w:val="20"/>
          <w:color w:val="auto"/>
        </w:rPr>
      </w:pPr>
      <w:r>
        <w:rPr>
          <w:rFonts w:ascii="Arial" w:cs="Arial" w:eastAsia="Arial" w:hAnsi="Arial"/>
          <w:sz w:val="18"/>
          <w:szCs w:val="18"/>
          <w:color w:val="auto"/>
        </w:rPr>
        <w:t>If you are a non-registered shareholder who receives a proxy form or voting instruction form (VIF), you should follow your intermediary’s instruction for completing the form. Holders of Depositary Interests will receive a voting form of instruction or direction from Computershare Investor Services PLC.</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Registered shareholders</w:t>
      </w:r>
    </w:p>
    <w:p>
      <w:pPr>
        <w:spacing w:after="0" w:line="35" w:lineRule="exact"/>
        <w:rPr>
          <w:sz w:val="20"/>
          <w:szCs w:val="20"/>
          <w:color w:val="auto"/>
        </w:rPr>
      </w:pPr>
    </w:p>
    <w:p>
      <w:pPr>
        <w:ind w:left="440" w:right="380" w:hanging="217"/>
        <w:spacing w:after="0" w:line="244" w:lineRule="auto"/>
        <w:tabs>
          <w:tab w:leader="none" w:pos="440" w:val="left"/>
        </w:tabs>
        <w:numPr>
          <w:ilvl w:val="0"/>
          <w:numId w:val="3"/>
        </w:numPr>
        <w:rPr>
          <w:rFonts w:ascii="Arial" w:cs="Arial" w:eastAsia="Arial" w:hAnsi="Arial"/>
          <w:sz w:val="18"/>
          <w:szCs w:val="18"/>
          <w:color w:val="D95A3B"/>
          <w:vertAlign w:val="superscript"/>
        </w:rPr>
      </w:pPr>
      <w:r>
        <w:rPr>
          <w:rFonts w:ascii="Arial" w:cs="Arial" w:eastAsia="Arial" w:hAnsi="Arial"/>
          <w:sz w:val="18"/>
          <w:szCs w:val="18"/>
          <w:color w:val="auto"/>
        </w:rPr>
        <w:t>You may authorize our directors who are named on the enclosed proxy form to vote your shares as your proxyholder. You may give voting instructions by mail, the Internet or telephone. Please refer to your proxy form for instructions.</w:t>
      </w:r>
    </w:p>
    <w:p>
      <w:pPr>
        <w:spacing w:after="0" w:line="82" w:lineRule="exact"/>
        <w:rPr>
          <w:rFonts w:ascii="Arial" w:cs="Arial" w:eastAsia="Arial" w:hAnsi="Arial"/>
          <w:sz w:val="18"/>
          <w:szCs w:val="18"/>
          <w:color w:val="D95A3B"/>
          <w:vertAlign w:val="superscript"/>
        </w:rPr>
      </w:pPr>
    </w:p>
    <w:p>
      <w:pPr>
        <w:ind w:left="440" w:right="40" w:hanging="217"/>
        <w:spacing w:after="0" w:line="243" w:lineRule="auto"/>
        <w:tabs>
          <w:tab w:leader="none" w:pos="440" w:val="left"/>
        </w:tabs>
        <w:numPr>
          <w:ilvl w:val="0"/>
          <w:numId w:val="3"/>
        </w:numPr>
        <w:rPr>
          <w:rFonts w:ascii="Arial" w:cs="Arial" w:eastAsia="Arial" w:hAnsi="Arial"/>
          <w:sz w:val="18"/>
          <w:szCs w:val="18"/>
          <w:color w:val="D95A3B"/>
          <w:vertAlign w:val="superscript"/>
        </w:rPr>
      </w:pPr>
      <w:r>
        <w:rPr>
          <w:rFonts w:ascii="Arial" w:cs="Arial" w:eastAsia="Arial" w:hAnsi="Arial"/>
          <w:sz w:val="18"/>
          <w:szCs w:val="18"/>
          <w:b w:val="1"/>
          <w:bCs w:val="1"/>
          <w:color w:val="auto"/>
        </w:rPr>
        <w:t xml:space="preserve">You may appoint another person to attend the meeting on your behalf and vote your shares as your proxyholder. </w:t>
      </w:r>
      <w:r>
        <w:rPr>
          <w:rFonts w:ascii="Arial" w:cs="Arial" w:eastAsia="Arial" w:hAnsi="Arial"/>
          <w:sz w:val="18"/>
          <w:szCs w:val="18"/>
          <w:color w:val="auto"/>
        </w:rPr>
        <w:t>If you choose</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you can appoint your proxy by mail or through the Internet. If you mail the proxy form, you must print that person’s name in the blank space provided on the back of the enclosed proxy form and you should indicate how you want your shares voted. Sign, date and return the proxy form in the envelope provided. If you vote through the Internet, you may also appoint another person to be your proxyholder. You may choose anyone to be your proxyholder; the person does not have to be another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118110</wp:posOffset>
            </wp:positionV>
            <wp:extent cx="697357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1" w:lineRule="exact"/>
        <w:rPr>
          <w:sz w:val="20"/>
          <w:szCs w:val="20"/>
          <w:color w:val="auto"/>
        </w:rPr>
      </w:pPr>
    </w:p>
    <w:p>
      <w:pPr>
        <w:jc w:val="right"/>
        <w:spacing w:after="0"/>
        <w:tabs>
          <w:tab w:leader="none" w:pos="40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7</w:t>
      </w:r>
    </w:p>
    <w:p>
      <w:pPr>
        <w:sectPr>
          <w:pgSz w:w="11900" w:h="16838" w:orient="portrait"/>
          <w:cols w:equalWidth="0" w:num="1">
            <w:col w:w="11200"/>
          </w:cols>
          <w:pgMar w:left="240" w:top="458"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40" w:right="160"/>
        <w:spacing w:after="0" w:line="237" w:lineRule="auto"/>
        <w:rPr>
          <w:sz w:val="20"/>
          <w:szCs w:val="20"/>
          <w:color w:val="auto"/>
        </w:rPr>
      </w:pPr>
      <w:r>
        <w:rPr>
          <w:rFonts w:ascii="Arial" w:cs="Arial" w:eastAsia="Arial" w:hAnsi="Arial"/>
          <w:sz w:val="18"/>
          <w:szCs w:val="18"/>
          <w:color w:val="auto"/>
        </w:rPr>
        <w:t>You may be able to appoint more than one proxyholder, provided that each proxyholder is entitled to exercise the rights attaching to different shares held by you. If you do appoint more than one proxyholder, you must do so by mail, and please enter the number of shares next to the proxyholder’s name that he or she is entitled to vote. The person you appoint must attend the meeting and vote on your behalf in order for your votes to be counted. Proxyholders should register with representatives of Computershare Trust Company of Canada when they arrive at the meeting.</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Voting In Person</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Non-registered shareholders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should do one of the following if you plan to attend the meeting:</w:t>
      </w:r>
    </w:p>
    <w:p>
      <w:pPr>
        <w:sectPr>
          <w:pgSz w:w="11900" w:h="16838" w:orient="portrait"/>
          <w:cols w:equalWidth="0" w:num="1">
            <w:col w:w="11200"/>
          </w:cols>
          <w:pgMar w:left="240" w:top="458" w:right="459" w:bottom="1440" w:gutter="0" w:footer="0" w:header="0"/>
        </w:sectPr>
      </w:pPr>
    </w:p>
    <w:p>
      <w:pPr>
        <w:spacing w:after="0" w:line="108"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If you have received a proxy form from your intermediary, insert your own name in the blank space provided on the proxy form to appoint yourself as proxyholder. If the intermediary has not signed the proxy form, you must sign and date it. Follow your intermediary’s instructions for returning the proxy form; or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If you have received a VIF from your intermediary, follow your intermediary’s instructions for completing the form.</w:t>
      </w:r>
    </w:p>
    <w:p>
      <w:pPr>
        <w:spacing w:after="0" w:line="110"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ind w:left="220"/>
        <w:spacing w:after="0"/>
        <w:rPr>
          <w:sz w:val="20"/>
          <w:szCs w:val="20"/>
          <w:color w:val="auto"/>
        </w:rPr>
      </w:pPr>
      <w:r>
        <w:rPr>
          <w:rFonts w:ascii="Arial" w:cs="Arial" w:eastAsia="Arial" w:hAnsi="Arial"/>
          <w:sz w:val="22"/>
          <w:szCs w:val="22"/>
          <w:color w:val="D95A3B"/>
        </w:rPr>
        <w:t>Registered shareholders</w:t>
      </w:r>
    </w:p>
    <w:p>
      <w:pPr>
        <w:spacing w:after="0" w:line="35" w:lineRule="exact"/>
        <w:rPr>
          <w:sz w:val="20"/>
          <w:szCs w:val="20"/>
          <w:color w:val="auto"/>
        </w:rPr>
      </w:pPr>
    </w:p>
    <w:p>
      <w:pPr>
        <w:ind w:left="220" w:right="340"/>
        <w:spacing w:after="0" w:line="238" w:lineRule="auto"/>
        <w:rPr>
          <w:sz w:val="20"/>
          <w:szCs w:val="20"/>
          <w:color w:val="auto"/>
        </w:rPr>
      </w:pPr>
      <w:r>
        <w:rPr>
          <w:rFonts w:ascii="Arial" w:cs="Arial" w:eastAsia="Arial" w:hAnsi="Arial"/>
          <w:sz w:val="18"/>
          <w:szCs w:val="18"/>
          <w:color w:val="auto"/>
        </w:rPr>
        <w:t>You do not need to do anything except attend the meeting. Do not complete or return your proxy form, as your vote will be taken at the meeting. You should register with representatives of Computershare Trust Company of Canada when you arrive at the meeting. If you wish to vote common shares registered in the name of a legal entity, that entity must submit a properly executed proxy form to Computershare Trust Company of Canada by the proxy cut-off time which appoints you to vote the common shares on its behalf.</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Can I vote my shares by filling out and returning the notice?</w:t>
      </w:r>
    </w:p>
    <w:p>
      <w:pPr>
        <w:spacing w:after="0" w:line="22" w:lineRule="exact"/>
        <w:rPr>
          <w:sz w:val="20"/>
          <w:szCs w:val="20"/>
          <w:color w:val="auto"/>
        </w:rPr>
      </w:pPr>
    </w:p>
    <w:p>
      <w:pPr>
        <w:ind w:left="220" w:right="260"/>
        <w:spacing w:after="0" w:line="244" w:lineRule="auto"/>
        <w:rPr>
          <w:sz w:val="20"/>
          <w:szCs w:val="20"/>
          <w:color w:val="auto"/>
        </w:rPr>
      </w:pPr>
      <w:r>
        <w:rPr>
          <w:rFonts w:ascii="Arial" w:cs="Arial" w:eastAsia="Arial" w:hAnsi="Arial"/>
          <w:sz w:val="18"/>
          <w:szCs w:val="18"/>
          <w:color w:val="auto"/>
        </w:rPr>
        <w:t>No. The notice sets forth the items to be voted on at the meeting, but you cannot vote by marking the notice and returning it. The notice provides instructions on how to vote.</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What’s the deadline for receiving my proxy or voting instructions?</w:t>
      </w:r>
    </w:p>
    <w:p>
      <w:pPr>
        <w:spacing w:after="0" w:line="35" w:lineRule="exact"/>
        <w:rPr>
          <w:sz w:val="20"/>
          <w:szCs w:val="20"/>
          <w:color w:val="auto"/>
        </w:rPr>
      </w:pPr>
    </w:p>
    <w:p>
      <w:pPr>
        <w:ind w:left="220" w:right="260"/>
        <w:spacing w:after="0" w:line="244" w:lineRule="auto"/>
        <w:rPr>
          <w:sz w:val="20"/>
          <w:szCs w:val="20"/>
          <w:color w:val="auto"/>
        </w:rPr>
      </w:pPr>
      <w:r>
        <w:rPr>
          <w:rFonts w:ascii="Arial" w:cs="Arial" w:eastAsia="Arial" w:hAnsi="Arial"/>
          <w:sz w:val="18"/>
          <w:szCs w:val="18"/>
          <w:color w:val="auto"/>
        </w:rPr>
        <w:t>If you are a registered shareholder, your proxy or voting instructions must be received by 5:00 p.m. (Eastern Daylight Time) on Monday, June 3, 2019.</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Non-registered shareholders may be subject to earlier deadlines as specified in their proxy or voting instructions.</w:t>
      </w:r>
    </w:p>
    <w:p>
      <w:pPr>
        <w:spacing w:after="0" w:line="125" w:lineRule="exact"/>
        <w:rPr>
          <w:sz w:val="20"/>
          <w:szCs w:val="20"/>
          <w:color w:val="auto"/>
        </w:rPr>
      </w:pPr>
    </w:p>
    <w:p>
      <w:pPr>
        <w:ind w:left="220" w:right="440"/>
        <w:spacing w:after="0" w:line="244" w:lineRule="auto"/>
        <w:rPr>
          <w:sz w:val="20"/>
          <w:szCs w:val="20"/>
          <w:color w:val="auto"/>
        </w:rPr>
      </w:pPr>
      <w:r>
        <w:rPr>
          <w:rFonts w:ascii="Arial" w:cs="Arial" w:eastAsia="Arial" w:hAnsi="Arial"/>
          <w:sz w:val="18"/>
          <w:szCs w:val="18"/>
          <w:color w:val="auto"/>
        </w:rPr>
        <w:t>If the meeting is adjourned or postponed, the proxy cut-off deadline will be no later than 48 hours (excluding Saturdays, Sundays and holidays) before any adjourned or postponed meeting.</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How will my shares be voted if I appoint a proxyholder?</w:t>
      </w:r>
    </w:p>
    <w:p>
      <w:pPr>
        <w:spacing w:after="0" w:line="35" w:lineRule="exact"/>
        <w:rPr>
          <w:sz w:val="20"/>
          <w:szCs w:val="20"/>
          <w:color w:val="auto"/>
        </w:rPr>
      </w:pPr>
    </w:p>
    <w:p>
      <w:pPr>
        <w:ind w:left="220" w:right="140"/>
        <w:spacing w:after="0" w:line="247" w:lineRule="auto"/>
        <w:rPr>
          <w:sz w:val="20"/>
          <w:szCs w:val="20"/>
          <w:color w:val="auto"/>
        </w:rPr>
      </w:pPr>
      <w:r>
        <w:rPr>
          <w:rFonts w:ascii="Arial" w:cs="Arial" w:eastAsia="Arial" w:hAnsi="Arial"/>
          <w:sz w:val="17"/>
          <w:szCs w:val="17"/>
          <w:color w:val="auto"/>
        </w:rPr>
        <w:t>Your proxyholder must vote your shares on each matter according to your instructions if you have properly completed and returned a proxy form. If you have not specified how to vote on a particular matter, then your proxyholder can vote your shares as he or she sees fit.</w:t>
      </w:r>
    </w:p>
    <w:p>
      <w:pPr>
        <w:spacing w:after="0" w:line="1"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b w:val="1"/>
          <w:bCs w:val="1"/>
          <w:color w:val="auto"/>
        </w:rPr>
        <w:t>If you have appointed our directors named on the enclosed proxy form as your proxyholder, and you have not specified how you want your shares to be voted, your shares will be voted FOR the election of each director nominee, the appointment of PricewaterhouseCoopers LLP as auditor, and the advisory resolution on executive compensation and AGAINST the shareholder proposal set out in Appendix B of this circular.</w:t>
      </w:r>
    </w:p>
    <w:p>
      <w:pPr>
        <w:spacing w:after="0" w:line="89" w:lineRule="exact"/>
        <w:rPr>
          <w:sz w:val="20"/>
          <w:szCs w:val="20"/>
          <w:color w:val="auto"/>
        </w:rPr>
      </w:pPr>
    </w:p>
    <w:p>
      <w:pPr>
        <w:ind w:left="220" w:right="180"/>
        <w:spacing w:after="0" w:line="237" w:lineRule="auto"/>
        <w:rPr>
          <w:sz w:val="20"/>
          <w:szCs w:val="20"/>
          <w:color w:val="auto"/>
        </w:rPr>
      </w:pPr>
      <w:r>
        <w:rPr>
          <w:rFonts w:ascii="Arial" w:cs="Arial" w:eastAsia="Arial" w:hAnsi="Arial"/>
          <w:sz w:val="22"/>
          <w:szCs w:val="22"/>
          <w:color w:val="D95A3B"/>
        </w:rPr>
        <w:t>What happens if any amendments are properly made to the items of business to be considered or if other matters are properly brought before the meeting?</w:t>
      </w:r>
    </w:p>
    <w:p>
      <w:pPr>
        <w:spacing w:after="0" w:line="17" w:lineRule="exact"/>
        <w:rPr>
          <w:sz w:val="20"/>
          <w:szCs w:val="20"/>
          <w:color w:val="auto"/>
        </w:rPr>
      </w:pPr>
    </w:p>
    <w:p>
      <w:pPr>
        <w:ind w:left="220" w:right="360"/>
        <w:spacing w:after="0" w:line="244" w:lineRule="auto"/>
        <w:rPr>
          <w:sz w:val="20"/>
          <w:szCs w:val="20"/>
          <w:color w:val="auto"/>
        </w:rPr>
      </w:pPr>
      <w:r>
        <w:rPr>
          <w:rFonts w:ascii="Arial" w:cs="Arial" w:eastAsia="Arial" w:hAnsi="Arial"/>
          <w:sz w:val="18"/>
          <w:szCs w:val="18"/>
          <w:color w:val="auto"/>
        </w:rPr>
        <w:t>Your proxyholder will have discretionary authority to vote your shares as he or she sees fit. As of the date of this circular, management knows of no such amendment, variation or other matter expected to come before the meeting.</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If I change my mind, how do I revoke my proxy or voting instructions?</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Non-registered shareholders</w:t>
      </w:r>
    </w:p>
    <w:p>
      <w:pPr>
        <w:spacing w:after="0" w:line="57"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You may revoke your proxy or voting instructions by sending written notice to your intermediary, so long as the intermediary receives your notice at least seven days before the meeting (or as otherwise instructed by your intermediary). This gives your intermediary time to submit the revocation to Computershare Trust Company of Canada. If your revocation is not received in time, your intermediary is not required to act on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0"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3"/>
          <w:szCs w:val="13"/>
          <w:color w:val="auto"/>
        </w:rPr>
        <w:t>Page 8</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Registered shareholders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You may revoke your proxy or voting instructions in any of the following ways:</w:t>
      </w:r>
    </w:p>
    <w:p>
      <w:pPr>
        <w:sectPr>
          <w:pgSz w:w="11900" w:h="16838" w:orient="portrait"/>
          <w:cols w:equalWidth="0" w:num="1">
            <w:col w:w="11200"/>
          </w:cols>
          <w:pgMar w:left="240" w:top="458" w:right="459" w:bottom="1440" w:gutter="0" w:footer="0" w:header="0"/>
        </w:sectPr>
      </w:pPr>
    </w:p>
    <w:p>
      <w:pPr>
        <w:spacing w:after="0" w:line="120"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By completing and signing a proxy form with a later date than the proxy form you previously returned, and delivering it to Computershare Trust Company of Canada at any time before 5:00 p.m. (Eastern Daylight Time) on Monday, June 3, 2019. If the meeting is adjourned or postponed, the deadline will be no later than 48 hours before any adjourned or postponed meeting;</w:t>
      </w:r>
    </w:p>
    <w:p>
      <w:pPr>
        <w:spacing w:after="0" w:line="68" w:lineRule="exact"/>
        <w:rPr>
          <w:sz w:val="20"/>
          <w:szCs w:val="20"/>
          <w:color w:val="auto"/>
        </w:rPr>
      </w:pPr>
    </w:p>
    <w:p>
      <w:pPr>
        <w:ind w:right="740"/>
        <w:spacing w:after="0" w:line="244" w:lineRule="auto"/>
        <w:rPr>
          <w:sz w:val="20"/>
          <w:szCs w:val="20"/>
          <w:color w:val="auto"/>
        </w:rPr>
      </w:pPr>
      <w:r>
        <w:rPr>
          <w:rFonts w:ascii="Arial" w:cs="Arial" w:eastAsia="Arial" w:hAnsi="Arial"/>
          <w:sz w:val="18"/>
          <w:szCs w:val="18"/>
          <w:color w:val="auto"/>
        </w:rPr>
        <w:t>By completing a written statement revoking your instructions, which is signed by you or your attorney authorized in writing, and delivering it:</w:t>
      </w:r>
    </w:p>
    <w:p>
      <w:pPr>
        <w:spacing w:after="0" w:line="64" w:lineRule="exact"/>
        <w:rPr>
          <w:sz w:val="20"/>
          <w:szCs w:val="20"/>
          <w:color w:val="auto"/>
        </w:rPr>
      </w:pPr>
    </w:p>
    <w:p>
      <w:pPr>
        <w:ind w:left="320" w:right="520" w:hanging="323"/>
        <w:spacing w:after="0" w:line="239" w:lineRule="auto"/>
        <w:rPr>
          <w:sz w:val="20"/>
          <w:szCs w:val="20"/>
          <w:color w:val="auto"/>
        </w:rPr>
      </w:pPr>
      <w:r>
        <w:rPr>
          <w:rFonts w:ascii="Arial" w:cs="Arial" w:eastAsia="Arial" w:hAnsi="Arial"/>
          <w:sz w:val="18"/>
          <w:szCs w:val="18"/>
          <w:color w:val="auto"/>
        </w:rPr>
        <w:t>— To the offices of Computershare Trust Company of Canada at any time before 5:00 p.m. (Eastern Daylight Time) on Tuesday, June 4, 2019. If the meeting is adjourned or postponed, the deadline will be no later than 48 hours before any adjourned or postponed meeting; or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To the Chair of the meeting before the meeting starts; or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In any other manner permitted by law.</w:t>
      </w:r>
    </w:p>
    <w:p>
      <w:pPr>
        <w:spacing w:after="0" w:line="97"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ind w:left="220"/>
        <w:spacing w:after="0"/>
        <w:rPr>
          <w:sz w:val="20"/>
          <w:szCs w:val="20"/>
          <w:color w:val="auto"/>
        </w:rPr>
      </w:pPr>
      <w:r>
        <w:rPr>
          <w:rFonts w:ascii="Arial" w:cs="Arial" w:eastAsia="Arial" w:hAnsi="Arial"/>
          <w:sz w:val="22"/>
          <w:szCs w:val="22"/>
          <w:color w:val="D95A3B"/>
        </w:rPr>
        <w:t>Who is soliciting my proxy and distributing proxy-related materials?</w:t>
      </w:r>
    </w:p>
    <w:p>
      <w:pPr>
        <w:spacing w:after="0" w:line="35"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Thomson Reuters management and directors may solicit your proxy for use at the meeting and any adjourned or postponed meeting. Our management and directors may solicit proxies by mail and in person. We are paying all costs of solicitation. Intermediaries will distribute proxy-related materials directly to non-objecting beneficial owners on our behalf. We are paying for intermediaries to send proxy-related materials to both non-objecting beneficial owners and objecting beneficial owners.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Is my vote confidential?</w:t>
      </w:r>
    </w:p>
    <w:p>
      <w:pPr>
        <w:spacing w:after="0" w:line="22"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Yes. Our registrar, Computershare Trust Company of Canada, independently counts and tabulates the proxies to preserve the confidentiality of individual shareholder votes. Proxies are referred to us only in cases where a shareholder clearly intends to communicate with management, in the event of questions as to the validity of a proxy or where it is necessary to do so to meet applicable legal requirements.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Voting results</w:t>
      </w:r>
    </w:p>
    <w:p>
      <w:pPr>
        <w:spacing w:after="0" w:line="13" w:lineRule="exact"/>
        <w:rPr>
          <w:sz w:val="20"/>
          <w:szCs w:val="20"/>
          <w:color w:val="auto"/>
        </w:rPr>
      </w:pPr>
    </w:p>
    <w:p>
      <w:pPr>
        <w:ind w:left="220" w:right="220"/>
        <w:spacing w:after="0" w:line="252" w:lineRule="auto"/>
        <w:rPr>
          <w:sz w:val="20"/>
          <w:szCs w:val="20"/>
          <w:color w:val="auto"/>
        </w:rPr>
      </w:pPr>
      <w:r>
        <w:rPr>
          <w:rFonts w:ascii="Arial" w:cs="Arial" w:eastAsia="Arial" w:hAnsi="Arial"/>
          <w:sz w:val="18"/>
          <w:szCs w:val="18"/>
          <w:color w:val="auto"/>
        </w:rPr>
        <w:t xml:space="preserve">Following the meeting, we will post the voting results in the “Investor Relations” section of our website, </w:t>
      </w:r>
      <w:r>
        <w:rPr>
          <w:rFonts w:ascii="Arial" w:cs="Arial" w:eastAsia="Arial" w:hAnsi="Arial"/>
          <w:sz w:val="18"/>
          <w:szCs w:val="18"/>
          <w:b w:val="1"/>
          <w:bCs w:val="1"/>
          <w:color w:val="D95A3B"/>
        </w:rPr>
        <w:t>www.thomsonreuters.com</w:t>
      </w:r>
      <w:r>
        <w:rPr>
          <w:rFonts w:ascii="Arial" w:cs="Arial" w:eastAsia="Arial" w:hAnsi="Arial"/>
          <w:sz w:val="18"/>
          <w:szCs w:val="18"/>
          <w:color w:val="auto"/>
        </w:rPr>
        <w:t xml:space="preserve">. We will also file a copy of the results with the Canadian securities regulatory authorities at </w:t>
      </w:r>
      <w:r>
        <w:rPr>
          <w:rFonts w:ascii="Arial" w:cs="Arial" w:eastAsia="Arial" w:hAnsi="Arial"/>
          <w:sz w:val="18"/>
          <w:szCs w:val="18"/>
          <w:b w:val="1"/>
          <w:bCs w:val="1"/>
          <w:color w:val="D95A3B"/>
        </w:rPr>
        <w:t>www.sedar.com</w:t>
      </w:r>
      <w:r>
        <w:rPr>
          <w:rFonts w:ascii="Arial" w:cs="Arial" w:eastAsia="Arial" w:hAnsi="Arial"/>
          <w:sz w:val="18"/>
          <w:szCs w:val="18"/>
          <w:color w:val="auto"/>
        </w:rPr>
        <w:t xml:space="preserve"> and the U.S. Securities and Exchange Commission at </w:t>
      </w:r>
      <w:r>
        <w:rPr>
          <w:rFonts w:ascii="Arial" w:cs="Arial" w:eastAsia="Arial" w:hAnsi="Arial"/>
          <w:sz w:val="18"/>
          <w:szCs w:val="18"/>
          <w:b w:val="1"/>
          <w:bCs w:val="1"/>
          <w:color w:val="D95A3B"/>
        </w:rPr>
        <w:t>www.sec.gov</w:t>
      </w:r>
      <w:r>
        <w:rPr>
          <w:rFonts w:ascii="Arial" w:cs="Arial" w:eastAsia="Arial" w:hAnsi="Arial"/>
          <w:sz w:val="18"/>
          <w:szCs w:val="18"/>
          <w:color w:val="auto"/>
        </w:rPr>
        <w:t>. For more information, see the “Additional Information”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113030</wp:posOffset>
            </wp:positionV>
            <wp:extent cx="697357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19" w:lineRule="exact"/>
        <w:rPr>
          <w:sz w:val="20"/>
          <w:szCs w:val="20"/>
          <w:color w:val="auto"/>
        </w:rPr>
      </w:pPr>
    </w:p>
    <w:p>
      <w:pPr>
        <w:jc w:val="right"/>
        <w:spacing w:after="0"/>
        <w:tabs>
          <w:tab w:leader="none" w:pos="40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9</w:t>
      </w:r>
    </w:p>
    <w:p>
      <w:pPr>
        <w:sectPr>
          <w:pgSz w:w="11900" w:h="16838" w:orient="portrait"/>
          <w:cols w:equalWidth="0" w:num="1">
            <w:col w:w="11200"/>
          </w:cols>
          <w:pgMar w:left="240" w:top="458" w:right="4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right="2080"/>
        <w:spacing w:after="0" w:line="243" w:lineRule="auto"/>
        <w:rPr>
          <w:sz w:val="20"/>
          <w:szCs w:val="20"/>
          <w:color w:val="auto"/>
        </w:rPr>
      </w:pPr>
      <w:r>
        <w:rPr>
          <w:rFonts w:ascii="Arial" w:cs="Arial" w:eastAsia="Arial" w:hAnsi="Arial"/>
          <w:sz w:val="47"/>
          <w:szCs w:val="47"/>
          <w:color w:val="D95A3B"/>
        </w:rPr>
        <w:t>Annual and Quarterly Financial Statements and Related MD&amp;A</w:t>
      </w:r>
    </w:p>
    <w:p>
      <w:pPr>
        <w:spacing w:after="0" w:line="392" w:lineRule="exact"/>
        <w:rPr>
          <w:sz w:val="20"/>
          <w:szCs w:val="20"/>
          <w:color w:val="auto"/>
        </w:rPr>
      </w:pPr>
    </w:p>
    <w:p>
      <w:pPr>
        <w:ind w:left="220" w:right="460"/>
        <w:spacing w:after="0" w:line="239" w:lineRule="auto"/>
        <w:rPr>
          <w:sz w:val="20"/>
          <w:szCs w:val="20"/>
          <w:color w:val="auto"/>
        </w:rPr>
      </w:pPr>
      <w:r>
        <w:rPr>
          <w:rFonts w:ascii="Arial" w:cs="Arial" w:eastAsia="Arial" w:hAnsi="Arial"/>
          <w:sz w:val="18"/>
          <w:szCs w:val="18"/>
          <w:color w:val="auto"/>
        </w:rPr>
        <w:t xml:space="preserve">Our annual and quarterly reports and earnings releases are available in the “Investor Relations” section of our website, </w:t>
      </w:r>
      <w:r>
        <w:rPr>
          <w:rFonts w:ascii="Arial" w:cs="Arial" w:eastAsia="Arial" w:hAnsi="Arial"/>
          <w:sz w:val="18"/>
          <w:szCs w:val="18"/>
          <w:b w:val="1"/>
          <w:bCs w:val="1"/>
          <w:color w:val="D95A3B"/>
        </w:rPr>
        <w:t>www.thomsonreuters.com</w:t>
      </w:r>
      <w:r>
        <w:rPr>
          <w:rFonts w:ascii="Arial" w:cs="Arial" w:eastAsia="Arial" w:hAnsi="Arial"/>
          <w:sz w:val="18"/>
          <w:szCs w:val="18"/>
          <w:color w:val="000000"/>
        </w:rPr>
        <w:t>. Please also see the “Electronic Delivery of Shareholder Communications” section below for information</w:t>
      </w:r>
      <w:r>
        <w:rPr>
          <w:rFonts w:ascii="Arial" w:cs="Arial" w:eastAsia="Arial" w:hAnsi="Arial"/>
          <w:sz w:val="18"/>
          <w:szCs w:val="18"/>
          <w:b w:val="1"/>
          <w:bCs w:val="1"/>
          <w:color w:val="D95A3B"/>
        </w:rPr>
        <w:t xml:space="preserve"> </w:t>
      </w:r>
      <w:r>
        <w:rPr>
          <w:rFonts w:ascii="Arial" w:cs="Arial" w:eastAsia="Arial" w:hAnsi="Arial"/>
          <w:sz w:val="18"/>
          <w:szCs w:val="18"/>
          <w:color w:val="000000"/>
        </w:rPr>
        <w:t>about electronic delivery of these reports and other shareholder communications.</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Notice-and-Access</w:t>
      </w: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Why did I receive a notice in the mail regarding the website availability of this circular and proxy materials?</w:t>
      </w:r>
    </w:p>
    <w:p>
      <w:pPr>
        <w:spacing w:after="0" w:line="35" w:lineRule="exact"/>
        <w:rPr>
          <w:sz w:val="20"/>
          <w:szCs w:val="20"/>
          <w:color w:val="auto"/>
        </w:rPr>
      </w:pPr>
    </w:p>
    <w:p>
      <w:pPr>
        <w:ind w:left="220" w:right="120"/>
        <w:spacing w:after="0" w:line="260" w:lineRule="auto"/>
        <w:rPr>
          <w:sz w:val="20"/>
          <w:szCs w:val="20"/>
          <w:color w:val="auto"/>
        </w:rPr>
      </w:pPr>
      <w:r>
        <w:rPr>
          <w:rFonts w:ascii="Arial" w:cs="Arial" w:eastAsia="Arial" w:hAnsi="Arial"/>
          <w:sz w:val="17"/>
          <w:szCs w:val="17"/>
          <w:color w:val="auto"/>
        </w:rPr>
        <w:t>We are using the “notice-and-access” system for the delivery of our proxy materials through our website, similar to last year’s meeting. Shareholders who receive a notice have the ability to access the proxy materials on our website and to request a paper copy of the proxy materials. Instructions on how to access the proxy materials through our website or to request a paper copy may be found in the notice.</w:t>
      </w:r>
    </w:p>
    <w:p>
      <w:pPr>
        <w:spacing w:after="0" w:line="78" w:lineRule="exact"/>
        <w:rPr>
          <w:sz w:val="20"/>
          <w:szCs w:val="20"/>
          <w:color w:val="auto"/>
        </w:rPr>
      </w:pPr>
    </w:p>
    <w:p>
      <w:pPr>
        <w:ind w:left="220" w:right="520"/>
        <w:spacing w:after="0" w:line="244" w:lineRule="auto"/>
        <w:rPr>
          <w:sz w:val="20"/>
          <w:szCs w:val="20"/>
          <w:color w:val="auto"/>
        </w:rPr>
      </w:pPr>
      <w:r>
        <w:rPr>
          <w:rFonts w:ascii="Arial" w:cs="Arial" w:eastAsia="Arial" w:hAnsi="Arial"/>
          <w:sz w:val="18"/>
          <w:szCs w:val="18"/>
          <w:color w:val="auto"/>
        </w:rPr>
        <w:t>Electronic delivery reduces the cost and environmental impact of producing and distributing paper copies of documents in very large quantities. It also provides shareholders with faster access to information about Thomson Reuters.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Why didn’t I receive a printed notice in the mail about the website availability of the proxy materials?</w:t>
      </w:r>
    </w:p>
    <w:p>
      <w:pPr>
        <w:spacing w:after="0" w:line="35" w:lineRule="exact"/>
        <w:rPr>
          <w:sz w:val="20"/>
          <w:szCs w:val="20"/>
          <w:color w:val="auto"/>
        </w:rPr>
      </w:pPr>
    </w:p>
    <w:p>
      <w:pPr>
        <w:ind w:left="220" w:right="300"/>
        <w:spacing w:after="0" w:line="244" w:lineRule="auto"/>
        <w:rPr>
          <w:sz w:val="20"/>
          <w:szCs w:val="20"/>
          <w:color w:val="auto"/>
        </w:rPr>
      </w:pPr>
      <w:r>
        <w:rPr>
          <w:rFonts w:ascii="Arial" w:cs="Arial" w:eastAsia="Arial" w:hAnsi="Arial"/>
          <w:sz w:val="18"/>
          <w:szCs w:val="18"/>
          <w:color w:val="auto"/>
        </w:rPr>
        <w:t>Shareholders who previously signed up for electronic delivery of our proxy materials will continue to receive them by e-mail and will not receive a printed notice in the mail.</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How do I vote under the “notice-and-access” system?</w:t>
      </w:r>
    </w:p>
    <w:p>
      <w:pPr>
        <w:spacing w:after="0" w:line="22" w:lineRule="exact"/>
        <w:rPr>
          <w:sz w:val="20"/>
          <w:szCs w:val="20"/>
          <w:color w:val="auto"/>
        </w:rPr>
      </w:pPr>
    </w:p>
    <w:p>
      <w:pPr>
        <w:ind w:left="220" w:right="280"/>
        <w:spacing w:after="0" w:line="244" w:lineRule="auto"/>
        <w:rPr>
          <w:sz w:val="20"/>
          <w:szCs w:val="20"/>
          <w:color w:val="auto"/>
        </w:rPr>
      </w:pPr>
      <w:r>
        <w:rPr>
          <w:rFonts w:ascii="Arial" w:cs="Arial" w:eastAsia="Arial" w:hAnsi="Arial"/>
          <w:sz w:val="18"/>
          <w:szCs w:val="18"/>
          <w:color w:val="auto"/>
        </w:rPr>
        <w:t>The voting process is the same as described in the “Voting Information” section of this circular. You have two choices – you can vote by proxy, or you can attend the meeting and vote in person.</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Electronic Delivery of Shareholder Communications</w:t>
      </w: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Does Thomson Reuters provide electronic delivery of shareholder communications?</w:t>
      </w:r>
    </w:p>
    <w:p>
      <w:pPr>
        <w:spacing w:after="0" w:line="35" w:lineRule="exact"/>
        <w:rPr>
          <w:sz w:val="20"/>
          <w:szCs w:val="20"/>
          <w:color w:val="auto"/>
        </w:rPr>
      </w:pPr>
    </w:p>
    <w:p>
      <w:pPr>
        <w:ind w:left="220"/>
        <w:spacing w:after="0" w:line="244" w:lineRule="auto"/>
        <w:rPr>
          <w:sz w:val="20"/>
          <w:szCs w:val="20"/>
          <w:color w:val="auto"/>
        </w:rPr>
      </w:pPr>
      <w:r>
        <w:rPr>
          <w:rFonts w:ascii="Arial" w:cs="Arial" w:eastAsia="Arial" w:hAnsi="Arial"/>
          <w:sz w:val="18"/>
          <w:szCs w:val="18"/>
          <w:color w:val="auto"/>
        </w:rPr>
        <w:t>Yes. Electronic delivery is a voluntary program for our shareholders. Under this program, an e-mail notification (with links to the documents posted on our website) is sent to you.</w:t>
      </w:r>
    </w:p>
    <w:p>
      <w:pPr>
        <w:spacing w:after="0" w:line="91" w:lineRule="exact"/>
        <w:rPr>
          <w:sz w:val="20"/>
          <w:szCs w:val="20"/>
          <w:color w:val="auto"/>
        </w:rPr>
      </w:pPr>
    </w:p>
    <w:p>
      <w:pPr>
        <w:ind w:left="220" w:right="520"/>
        <w:spacing w:after="0" w:line="244" w:lineRule="auto"/>
        <w:rPr>
          <w:sz w:val="20"/>
          <w:szCs w:val="20"/>
          <w:color w:val="auto"/>
        </w:rPr>
      </w:pPr>
      <w:r>
        <w:rPr>
          <w:rFonts w:ascii="Arial" w:cs="Arial" w:eastAsia="Arial" w:hAnsi="Arial"/>
          <w:sz w:val="18"/>
          <w:szCs w:val="18"/>
          <w:color w:val="auto"/>
        </w:rPr>
        <w:t>Electronic delivery reduces the cost and environmental impact of producing and distributing paper copies of documents in very large quantities. It also provides shareholders with faster access to information about Thomson Reuters.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How can I enroll for electronic delivery of shareholder communications?</w:t>
      </w:r>
    </w:p>
    <w:p>
      <w:pPr>
        <w:spacing w:after="0" w:line="13" w:lineRule="exact"/>
        <w:rPr>
          <w:sz w:val="20"/>
          <w:szCs w:val="20"/>
          <w:color w:val="auto"/>
        </w:rPr>
      </w:pPr>
    </w:p>
    <w:p>
      <w:pPr>
        <w:ind w:left="220" w:right="320"/>
        <w:spacing w:after="0" w:line="252" w:lineRule="auto"/>
        <w:rPr>
          <w:sz w:val="20"/>
          <w:szCs w:val="20"/>
          <w:color w:val="auto"/>
        </w:rPr>
      </w:pPr>
      <w:r>
        <w:rPr>
          <w:rFonts w:ascii="Arial" w:cs="Arial" w:eastAsia="Arial" w:hAnsi="Arial"/>
          <w:sz w:val="18"/>
          <w:szCs w:val="18"/>
          <w:color w:val="auto"/>
        </w:rPr>
        <w:t xml:space="preserve">For most non-registered shareholders (other than holders of our Depositary Interests), please go to </w:t>
      </w:r>
      <w:r>
        <w:rPr>
          <w:rFonts w:ascii="Arial" w:cs="Arial" w:eastAsia="Arial" w:hAnsi="Arial"/>
          <w:sz w:val="18"/>
          <w:szCs w:val="18"/>
          <w:b w:val="1"/>
          <w:bCs w:val="1"/>
          <w:color w:val="D95A3B"/>
        </w:rPr>
        <w:t>www.proxyvote.com</w:t>
      </w:r>
      <w:r>
        <w:rPr>
          <w:rFonts w:ascii="Arial" w:cs="Arial" w:eastAsia="Arial" w:hAnsi="Arial"/>
          <w:sz w:val="18"/>
          <w:szCs w:val="18"/>
          <w:color w:val="auto"/>
        </w:rPr>
        <w:t xml:space="preserve"> for more instructions and to register. You will need your Enrollment Number/Control Number. You can find this number on your voting instruction form/proxy form.</w:t>
      </w:r>
    </w:p>
    <w:p>
      <w:pPr>
        <w:spacing w:after="0" w:line="61" w:lineRule="exact"/>
        <w:rPr>
          <w:sz w:val="20"/>
          <w:szCs w:val="20"/>
          <w:color w:val="auto"/>
        </w:rPr>
      </w:pPr>
    </w:p>
    <w:p>
      <w:pPr>
        <w:ind w:left="220" w:right="80"/>
        <w:spacing w:after="0" w:line="270" w:lineRule="auto"/>
        <w:rPr>
          <w:sz w:val="20"/>
          <w:szCs w:val="20"/>
          <w:color w:val="auto"/>
        </w:rPr>
      </w:pPr>
      <w:r>
        <w:rPr>
          <w:rFonts w:ascii="Arial" w:cs="Arial" w:eastAsia="Arial" w:hAnsi="Arial"/>
          <w:sz w:val="18"/>
          <w:szCs w:val="18"/>
          <w:color w:val="auto"/>
        </w:rPr>
        <w:t xml:space="preserve">If you are a registered shareholder, please go to </w:t>
      </w:r>
      <w:r>
        <w:rPr>
          <w:rFonts w:ascii="Arial" w:cs="Arial" w:eastAsia="Arial" w:hAnsi="Arial"/>
          <w:sz w:val="18"/>
          <w:szCs w:val="18"/>
          <w:b w:val="1"/>
          <w:bCs w:val="1"/>
          <w:color w:val="D95A3B"/>
        </w:rPr>
        <w:t>www.investorcentre.com</w:t>
      </w:r>
      <w:r>
        <w:rPr>
          <w:rFonts w:ascii="Arial" w:cs="Arial" w:eastAsia="Arial" w:hAnsi="Arial"/>
          <w:sz w:val="18"/>
          <w:szCs w:val="18"/>
          <w:color w:val="auto"/>
        </w:rPr>
        <w:t xml:space="preserve"> (country – Canada) and click on “Sign up for eDelivery” at the bottom of the page. You will need information from your proxy form to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103505</wp:posOffset>
            </wp:positionV>
            <wp:extent cx="697357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04"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10</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Principal Shareholder and Share Capital</w:t>
      </w:r>
    </w:p>
    <w:p>
      <w:pPr>
        <w:spacing w:after="0" w:line="200" w:lineRule="exact"/>
        <w:rPr>
          <w:sz w:val="20"/>
          <w:szCs w:val="20"/>
          <w:color w:val="auto"/>
        </w:rPr>
      </w:pPr>
    </w:p>
    <w:p>
      <w:pPr>
        <w:spacing w:after="0" w:line="221" w:lineRule="exact"/>
        <w:rPr>
          <w:sz w:val="20"/>
          <w:szCs w:val="20"/>
          <w:color w:val="auto"/>
        </w:rPr>
      </w:pPr>
    </w:p>
    <w:p>
      <w:pPr>
        <w:ind w:left="220" w:right="640"/>
        <w:spacing w:after="0" w:line="244" w:lineRule="auto"/>
        <w:rPr>
          <w:sz w:val="20"/>
          <w:szCs w:val="20"/>
          <w:color w:val="auto"/>
        </w:rPr>
      </w:pPr>
      <w:r>
        <w:rPr>
          <w:rFonts w:ascii="Arial" w:cs="Arial" w:eastAsia="Arial" w:hAnsi="Arial"/>
          <w:sz w:val="18"/>
          <w:szCs w:val="18"/>
          <w:color w:val="auto"/>
        </w:rPr>
        <w:t>As of April 11, 2019, Woodbridge beneficially owned 328,297,621 of our common shares, or approximately 66% of our outstanding common shares. Woodbridge is the principal and controlling shareholder of Thomson Reuters.</w:t>
      </w:r>
    </w:p>
    <w:p>
      <w:pPr>
        <w:spacing w:after="0" w:line="91" w:lineRule="exact"/>
        <w:rPr>
          <w:sz w:val="20"/>
          <w:szCs w:val="20"/>
          <w:color w:val="auto"/>
        </w:rPr>
      </w:pPr>
    </w:p>
    <w:p>
      <w:pPr>
        <w:ind w:left="220" w:right="220"/>
        <w:spacing w:after="0" w:line="239" w:lineRule="auto"/>
        <w:rPr>
          <w:sz w:val="20"/>
          <w:szCs w:val="20"/>
          <w:color w:val="auto"/>
        </w:rPr>
      </w:pPr>
      <w:r>
        <w:rPr>
          <w:rFonts w:ascii="Arial" w:cs="Arial" w:eastAsia="Arial" w:hAnsi="Arial"/>
          <w:sz w:val="18"/>
          <w:szCs w:val="18"/>
          <w:color w:val="auto"/>
        </w:rPr>
        <w:t>Woodbridge, a private company, is the primary investment vehicle for members of the family of the late Roy H. Thomson, the first Lord Thomson of Fleet. Woodbridge is a professionally managed company that, in addition to its controlling interest in Thomson Reuters, has other substantial investments.</w:t>
      </w:r>
    </w:p>
    <w:p>
      <w:pPr>
        <w:spacing w:after="0" w:line="95"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Prior to his passing in 2006, Kenneth R. Thomson controlled our company through Woodbridge. He did so by holding shares of a holding company of Woodbridge, Thomson Investments Limited. Under his estate arrangements, the 2003 TIL Settlement, a trust of which the trust company subsidiary of a Canadian chartered bank is trustee and members of the family of the late first Lord Thomson of Fleet are beneficiaries, holds those holding company shares. Kenneth R. Thomson established these arrangements to provide for long-term stability of the business of Woodbridge. The equity of Woodbridge continues to be owned by members of successive generations of the family of the first Lord Thomson of Fleet.</w:t>
      </w:r>
    </w:p>
    <w:p>
      <w:pPr>
        <w:spacing w:after="0" w:line="98" w:lineRule="exact"/>
        <w:rPr>
          <w:sz w:val="20"/>
          <w:szCs w:val="20"/>
          <w:color w:val="auto"/>
        </w:rPr>
      </w:pPr>
    </w:p>
    <w:p>
      <w:pPr>
        <w:ind w:left="220" w:right="100"/>
        <w:spacing w:after="0" w:line="239" w:lineRule="auto"/>
        <w:rPr>
          <w:sz w:val="20"/>
          <w:szCs w:val="20"/>
          <w:color w:val="auto"/>
        </w:rPr>
      </w:pPr>
      <w:r>
        <w:rPr>
          <w:rFonts w:ascii="Arial" w:cs="Arial" w:eastAsia="Arial" w:hAnsi="Arial"/>
          <w:sz w:val="18"/>
          <w:szCs w:val="18"/>
          <w:color w:val="auto"/>
        </w:rPr>
        <w:t>Under the estate arrangements of Kenneth R. Thomson, the directors and officers of Woodbridge are responsible for its business and operations. In certain limited circumstances, including very substantial dispositions of our company’s common shares by Woodbridge, the estate arrangements provide for approval of the trustee to be obtained.</w:t>
      </w:r>
    </w:p>
    <w:p>
      <w:pPr>
        <w:spacing w:after="0" w:line="95" w:lineRule="exact"/>
        <w:rPr>
          <w:sz w:val="20"/>
          <w:szCs w:val="20"/>
          <w:color w:val="auto"/>
        </w:rPr>
      </w:pPr>
    </w:p>
    <w:p>
      <w:pPr>
        <w:ind w:left="220" w:right="600"/>
        <w:spacing w:after="0" w:line="244" w:lineRule="auto"/>
        <w:rPr>
          <w:sz w:val="20"/>
          <w:szCs w:val="20"/>
          <w:color w:val="auto"/>
        </w:rPr>
      </w:pPr>
      <w:r>
        <w:rPr>
          <w:rFonts w:ascii="Arial" w:cs="Arial" w:eastAsia="Arial" w:hAnsi="Arial"/>
          <w:sz w:val="18"/>
          <w:szCs w:val="18"/>
          <w:color w:val="auto"/>
        </w:rPr>
        <w:t>Note 31 to our 2018 annual consolidated financial statements provides information on certain transactions that we entered into with Woodbridge in 2018 and 2017.</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our knowledge, no other person beneficially owns, directly or indirectly, 10% or more of our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125730</wp:posOffset>
            </wp:positionV>
            <wp:extent cx="697357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52"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11</w:t>
      </w:r>
    </w:p>
    <w:p>
      <w:pPr>
        <w:sectPr>
          <w:pgSz w:w="11900" w:h="16838" w:orient="portrait"/>
          <w:cols w:equalWidth="0" w:num="1">
            <w:col w:w="11200"/>
          </w:cols>
          <w:pgMar w:left="240" w:top="458"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About Our Directors</w:t>
      </w: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section includes the following information:</w:t>
      </w:r>
    </w:p>
    <w:p>
      <w:pPr>
        <w:spacing w:after="0" w:line="116" w:lineRule="exact"/>
        <w:rPr>
          <w:sz w:val="20"/>
          <w:szCs w:val="20"/>
          <w:color w:val="auto"/>
        </w:rPr>
      </w:pPr>
    </w:p>
    <w:p>
      <w:pPr>
        <w:ind w:left="440" w:hanging="217"/>
        <w:spacing w:after="0"/>
        <w:tabs>
          <w:tab w:leader="none" w:pos="440" w:val="left"/>
        </w:tabs>
        <w:numPr>
          <w:ilvl w:val="0"/>
          <w:numId w:val="5"/>
        </w:numPr>
        <w:rPr>
          <w:rFonts w:ascii="Arial" w:cs="Arial" w:eastAsia="Arial" w:hAnsi="Arial"/>
          <w:sz w:val="18"/>
          <w:szCs w:val="18"/>
          <w:color w:val="D95A3B"/>
          <w:vertAlign w:val="superscript"/>
        </w:rPr>
      </w:pPr>
      <w:r>
        <w:rPr>
          <w:rFonts w:ascii="Arial" w:cs="Arial" w:eastAsia="Arial" w:hAnsi="Arial"/>
          <w:sz w:val="18"/>
          <w:szCs w:val="18"/>
          <w:color w:val="auto"/>
        </w:rPr>
        <w:t>Profiles for each director nominee;</w:t>
      </w:r>
    </w:p>
    <w:p>
      <w:pPr>
        <w:spacing w:after="0" w:line="89" w:lineRule="exact"/>
        <w:rPr>
          <w:rFonts w:ascii="Arial" w:cs="Arial" w:eastAsia="Arial" w:hAnsi="Arial"/>
          <w:sz w:val="18"/>
          <w:szCs w:val="18"/>
          <w:color w:val="D95A3B"/>
          <w:vertAlign w:val="superscript"/>
        </w:rPr>
      </w:pPr>
    </w:p>
    <w:p>
      <w:pPr>
        <w:ind w:left="440" w:hanging="217"/>
        <w:spacing w:after="0"/>
        <w:tabs>
          <w:tab w:leader="none" w:pos="440" w:val="left"/>
        </w:tabs>
        <w:numPr>
          <w:ilvl w:val="0"/>
          <w:numId w:val="5"/>
        </w:numPr>
        <w:rPr>
          <w:rFonts w:ascii="Arial" w:cs="Arial" w:eastAsia="Arial" w:hAnsi="Arial"/>
          <w:sz w:val="18"/>
          <w:szCs w:val="18"/>
          <w:color w:val="D95A3B"/>
          <w:vertAlign w:val="superscript"/>
        </w:rPr>
      </w:pPr>
      <w:r>
        <w:rPr>
          <w:rFonts w:ascii="Arial" w:cs="Arial" w:eastAsia="Arial" w:hAnsi="Arial"/>
          <w:sz w:val="18"/>
          <w:szCs w:val="18"/>
          <w:color w:val="auto"/>
        </w:rPr>
        <w:t>Compensation that we paid to our directors in 2018; and</w:t>
      </w:r>
    </w:p>
    <w:p>
      <w:pPr>
        <w:spacing w:after="0" w:line="89" w:lineRule="exact"/>
        <w:rPr>
          <w:rFonts w:ascii="Arial" w:cs="Arial" w:eastAsia="Arial" w:hAnsi="Arial"/>
          <w:sz w:val="18"/>
          <w:szCs w:val="18"/>
          <w:color w:val="D95A3B"/>
          <w:vertAlign w:val="superscript"/>
        </w:rPr>
      </w:pPr>
    </w:p>
    <w:p>
      <w:pPr>
        <w:ind w:left="440" w:hanging="217"/>
        <w:spacing w:after="0"/>
        <w:tabs>
          <w:tab w:leader="none" w:pos="440" w:val="left"/>
        </w:tabs>
        <w:numPr>
          <w:ilvl w:val="0"/>
          <w:numId w:val="5"/>
        </w:numPr>
        <w:rPr>
          <w:rFonts w:ascii="Arial" w:cs="Arial" w:eastAsia="Arial" w:hAnsi="Arial"/>
          <w:sz w:val="18"/>
          <w:szCs w:val="18"/>
          <w:color w:val="D95A3B"/>
          <w:vertAlign w:val="superscript"/>
        </w:rPr>
      </w:pPr>
      <w:r>
        <w:rPr>
          <w:rFonts w:ascii="Arial" w:cs="Arial" w:eastAsia="Arial" w:hAnsi="Arial"/>
          <w:sz w:val="18"/>
          <w:szCs w:val="18"/>
          <w:color w:val="auto"/>
        </w:rPr>
        <w:t>Our corporate governance structure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99695</wp:posOffset>
            </wp:positionV>
            <wp:extent cx="69735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57" w:lineRule="exact"/>
        <w:rPr>
          <w:sz w:val="20"/>
          <w:szCs w:val="20"/>
          <w:color w:val="auto"/>
        </w:rPr>
      </w:pPr>
    </w:p>
    <w:p>
      <w:pPr>
        <w:ind w:left="220"/>
        <w:spacing w:after="0"/>
        <w:rPr>
          <w:sz w:val="20"/>
          <w:szCs w:val="20"/>
          <w:color w:val="auto"/>
        </w:rPr>
      </w:pPr>
      <w:r>
        <w:rPr>
          <w:rFonts w:ascii="Arial" w:cs="Arial" w:eastAsia="Arial" w:hAnsi="Arial"/>
          <w:sz w:val="27"/>
          <w:szCs w:val="27"/>
          <w:color w:val="D95A3B"/>
        </w:rPr>
        <w:t>HIGHLIGHTS</w:t>
      </w:r>
    </w:p>
    <w:p>
      <w:pPr>
        <w:spacing w:after="0" w:line="120" w:lineRule="exact"/>
        <w:rPr>
          <w:sz w:val="20"/>
          <w:szCs w:val="20"/>
          <w:color w:val="auto"/>
        </w:rPr>
      </w:pPr>
    </w:p>
    <w:p>
      <w:pPr>
        <w:ind w:left="440" w:hanging="217"/>
        <w:spacing w:after="0"/>
        <w:tabs>
          <w:tab w:leader="none" w:pos="440" w:val="left"/>
        </w:tabs>
        <w:numPr>
          <w:ilvl w:val="0"/>
          <w:numId w:val="6"/>
        </w:numPr>
        <w:rPr>
          <w:rFonts w:ascii="Arial" w:cs="Arial" w:eastAsia="Arial" w:hAnsi="Arial"/>
          <w:sz w:val="18"/>
          <w:szCs w:val="18"/>
          <w:color w:val="D95A3B"/>
          <w:vertAlign w:val="superscript"/>
        </w:rPr>
      </w:pPr>
      <w:r>
        <w:rPr>
          <w:rFonts w:ascii="Arial" w:cs="Arial" w:eastAsia="Arial" w:hAnsi="Arial"/>
          <w:sz w:val="27"/>
          <w:szCs w:val="27"/>
          <w:color w:val="auto"/>
        </w:rPr>
        <w:t>A majority of our directors are independent;</w:t>
      </w:r>
    </w:p>
    <w:p>
      <w:pPr>
        <w:spacing w:after="0" w:line="120" w:lineRule="exact"/>
        <w:rPr>
          <w:rFonts w:ascii="Arial" w:cs="Arial" w:eastAsia="Arial" w:hAnsi="Arial"/>
          <w:sz w:val="18"/>
          <w:szCs w:val="18"/>
          <w:color w:val="D95A3B"/>
          <w:vertAlign w:val="superscript"/>
        </w:rPr>
      </w:pPr>
    </w:p>
    <w:p>
      <w:pPr>
        <w:ind w:left="440" w:hanging="217"/>
        <w:spacing w:after="0"/>
        <w:tabs>
          <w:tab w:leader="none" w:pos="440" w:val="left"/>
        </w:tabs>
        <w:numPr>
          <w:ilvl w:val="0"/>
          <w:numId w:val="6"/>
        </w:numPr>
        <w:rPr>
          <w:rFonts w:ascii="Arial" w:cs="Arial" w:eastAsia="Arial" w:hAnsi="Arial"/>
          <w:sz w:val="18"/>
          <w:szCs w:val="18"/>
          <w:color w:val="D95A3B"/>
          <w:vertAlign w:val="superscript"/>
        </w:rPr>
      </w:pPr>
      <w:r>
        <w:rPr>
          <w:rFonts w:ascii="Arial" w:cs="Arial" w:eastAsia="Arial" w:hAnsi="Arial"/>
          <w:sz w:val="27"/>
          <w:szCs w:val="27"/>
          <w:color w:val="auto"/>
        </w:rPr>
        <w:t>The roles and responsibilities of the Chairman and the CEO are separate; and</w:t>
      </w:r>
    </w:p>
    <w:p>
      <w:pPr>
        <w:spacing w:after="0" w:line="120" w:lineRule="exact"/>
        <w:rPr>
          <w:rFonts w:ascii="Arial" w:cs="Arial" w:eastAsia="Arial" w:hAnsi="Arial"/>
          <w:sz w:val="18"/>
          <w:szCs w:val="18"/>
          <w:color w:val="D95A3B"/>
          <w:vertAlign w:val="superscript"/>
        </w:rPr>
      </w:pPr>
    </w:p>
    <w:p>
      <w:pPr>
        <w:ind w:left="440" w:hanging="217"/>
        <w:spacing w:after="0"/>
        <w:tabs>
          <w:tab w:leader="none" w:pos="440" w:val="left"/>
        </w:tabs>
        <w:numPr>
          <w:ilvl w:val="0"/>
          <w:numId w:val="6"/>
        </w:numPr>
        <w:rPr>
          <w:rFonts w:ascii="Arial" w:cs="Arial" w:eastAsia="Arial" w:hAnsi="Arial"/>
          <w:sz w:val="18"/>
          <w:szCs w:val="18"/>
          <w:color w:val="D95A3B"/>
          <w:vertAlign w:val="superscript"/>
        </w:rPr>
      </w:pPr>
      <w:r>
        <w:rPr>
          <w:rFonts w:ascii="Arial" w:cs="Arial" w:eastAsia="Arial" w:hAnsi="Arial"/>
          <w:sz w:val="27"/>
          <w:szCs w:val="27"/>
          <w:color w:val="auto"/>
        </w:rPr>
        <w:t>All of the nominees are currently directors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205105</wp:posOffset>
            </wp:positionV>
            <wp:extent cx="69735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Voting</w:t>
      </w:r>
    </w:p>
    <w:p>
      <w:pPr>
        <w:spacing w:after="0" w:line="35" w:lineRule="exact"/>
        <w:rPr>
          <w:sz w:val="20"/>
          <w:szCs w:val="20"/>
          <w:color w:val="auto"/>
        </w:rPr>
      </w:pPr>
    </w:p>
    <w:p>
      <w:pPr>
        <w:ind w:left="220" w:right="240"/>
        <w:spacing w:after="0" w:line="239" w:lineRule="auto"/>
        <w:rPr>
          <w:sz w:val="20"/>
          <w:szCs w:val="20"/>
          <w:color w:val="auto"/>
        </w:rPr>
      </w:pPr>
      <w:r>
        <w:rPr>
          <w:rFonts w:ascii="Arial" w:cs="Arial" w:eastAsia="Arial" w:hAnsi="Arial"/>
          <w:sz w:val="18"/>
          <w:szCs w:val="18"/>
          <w:color w:val="auto"/>
        </w:rPr>
        <w:t>You will be asked to vote for each director on an individual basis. Each nominee is proposed to be elected for a term ending at our 2020 annual meeting of shareholders. All of the nominees are currently directors of our company who were elected at our 2018 annual and special meeting of shareholders. Profiles for each nominee are provided on the following pages.</w:t>
      </w:r>
    </w:p>
    <w:p>
      <w:pPr>
        <w:spacing w:after="0" w:line="73" w:lineRule="exact"/>
        <w:rPr>
          <w:sz w:val="20"/>
          <w:szCs w:val="20"/>
          <w:color w:val="auto"/>
        </w:rPr>
      </w:pPr>
    </w:p>
    <w:p>
      <w:pPr>
        <w:ind w:left="220" w:right="200"/>
        <w:spacing w:after="0" w:line="252" w:lineRule="auto"/>
        <w:rPr>
          <w:sz w:val="20"/>
          <w:szCs w:val="20"/>
          <w:color w:val="auto"/>
        </w:rPr>
      </w:pPr>
      <w:r>
        <w:rPr>
          <w:rFonts w:ascii="Arial" w:cs="Arial" w:eastAsia="Arial" w:hAnsi="Arial"/>
          <w:sz w:val="18"/>
          <w:szCs w:val="18"/>
          <w:b w:val="1"/>
          <w:bCs w:val="1"/>
          <w:color w:val="auto"/>
        </w:rPr>
        <w:t>The board unanimously recommends that you vote FOR the election of the following 11 nominees to the Thomson Reuters board of directors: David Thomson, James C. Smith, Sheila C. Bair, David W. Binet, W. Edmund Clark, C.M., Michael E. Daniels, Vance K. Opperman, Kristin C. Peck, Barry Salzberg, Peter J. Thomson and Wulf von Schimmelmann.</w:t>
      </w:r>
    </w:p>
    <w:p>
      <w:pPr>
        <w:spacing w:after="0" w:line="83" w:lineRule="exact"/>
        <w:rPr>
          <w:sz w:val="20"/>
          <w:szCs w:val="20"/>
          <w:color w:val="auto"/>
        </w:rPr>
      </w:pPr>
    </w:p>
    <w:p>
      <w:pPr>
        <w:ind w:left="220"/>
        <w:spacing w:after="0" w:line="244" w:lineRule="auto"/>
        <w:rPr>
          <w:sz w:val="20"/>
          <w:szCs w:val="20"/>
          <w:color w:val="auto"/>
        </w:rPr>
      </w:pPr>
      <w:r>
        <w:rPr>
          <w:rFonts w:ascii="Arial" w:cs="Arial" w:eastAsia="Arial" w:hAnsi="Arial"/>
          <w:sz w:val="18"/>
          <w:szCs w:val="18"/>
          <w:color w:val="auto"/>
        </w:rPr>
        <w:t>Management does not believe that any of the nominees will be unable to serve as a director but, if this should occur for any reason prior to the meeting, the persons named in the enclosed proxy form may vote for another nominee at their discretion.</w:t>
      </w:r>
    </w:p>
    <w:p>
      <w:pPr>
        <w:spacing w:after="0" w:line="91" w:lineRule="exact"/>
        <w:rPr>
          <w:sz w:val="20"/>
          <w:szCs w:val="20"/>
          <w:color w:val="auto"/>
        </w:rPr>
      </w:pPr>
    </w:p>
    <w:p>
      <w:pPr>
        <w:ind w:left="220" w:right="140"/>
        <w:spacing w:after="0" w:line="239" w:lineRule="auto"/>
        <w:rPr>
          <w:sz w:val="20"/>
          <w:szCs w:val="20"/>
          <w:color w:val="auto"/>
        </w:rPr>
      </w:pPr>
      <w:r>
        <w:rPr>
          <w:rFonts w:ascii="Arial" w:cs="Arial" w:eastAsia="Arial" w:hAnsi="Arial"/>
          <w:sz w:val="18"/>
          <w:szCs w:val="18"/>
          <w:color w:val="auto"/>
        </w:rPr>
        <w:t>Following the meeting, we will issue a press release that includes the number of votes cast for and withheld from each individual director. At last year’s annual meeting, our director nominees received an average of 98% “for” votes. Additional information is provided in each nominee’s profile on the following pages.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Majority voting policy</w:t>
      </w:r>
    </w:p>
    <w:p>
      <w:pPr>
        <w:spacing w:after="0" w:line="22" w:lineRule="exact"/>
        <w:rPr>
          <w:sz w:val="20"/>
          <w:szCs w:val="20"/>
          <w:color w:val="auto"/>
        </w:rPr>
      </w:pPr>
    </w:p>
    <w:p>
      <w:pPr>
        <w:ind w:left="220" w:right="140"/>
        <w:spacing w:after="0" w:line="236" w:lineRule="auto"/>
        <w:rPr>
          <w:sz w:val="20"/>
          <w:szCs w:val="20"/>
          <w:color w:val="auto"/>
        </w:rPr>
      </w:pPr>
      <w:r>
        <w:rPr>
          <w:rFonts w:ascii="Arial" w:cs="Arial" w:eastAsia="Arial" w:hAnsi="Arial"/>
          <w:sz w:val="18"/>
          <w:szCs w:val="18"/>
          <w:color w:val="auto"/>
        </w:rPr>
        <w:t>We have a majority voting policy that applies to the election of directors at the annual meeting of shareholders. This means that if a director receives more “withhold” votes than “for” votes at the meeting, then the director will immediately tender his or her resignation to the Chairman. This would be effective if accepted by the board. The Corporate Governance Committee will consider a director’s offer to resign and make a recommendation to the board as to whether to accept it. The board will accept resignations, except in exceptional circumstances. The board will have 90 days from the annual meeting to make and publicly disclose its decision by news release either to accept or reject the resignation (including reasons for rejecting the resignation, if applicable).</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Director qualifications</w:t>
      </w:r>
    </w:p>
    <w:p>
      <w:pPr>
        <w:spacing w:after="0" w:line="35" w:lineRule="exact"/>
        <w:rPr>
          <w:sz w:val="20"/>
          <w:szCs w:val="20"/>
          <w:color w:val="auto"/>
        </w:rPr>
      </w:pPr>
    </w:p>
    <w:p>
      <w:pPr>
        <w:ind w:left="220" w:right="220"/>
        <w:spacing w:after="0" w:line="236" w:lineRule="auto"/>
        <w:rPr>
          <w:sz w:val="20"/>
          <w:szCs w:val="20"/>
          <w:color w:val="auto"/>
        </w:rPr>
      </w:pPr>
      <w:r>
        <w:rPr>
          <w:rFonts w:ascii="Arial" w:cs="Arial" w:eastAsia="Arial" w:hAnsi="Arial"/>
          <w:sz w:val="18"/>
          <w:szCs w:val="18"/>
          <w:color w:val="auto"/>
        </w:rPr>
        <w:t>We believe that all of the director nominees possess character, integrity, judgment, business experience, a record of achievement and other skills and talents which enhance the board and the overall management of the business and affairs of Thomson Reuters. Each director nominee has an understanding of our company’s principal operational and financial objectives, plans and strategies, financial position and performance and the performance of Thomson Reuters relative to our principal competitors. The Corporate Governance Committee considered these qualifications in determining to recommend the director nominees for election. Additional information is provided in the individual director nominee profiles below and in the “Board Committees – Corporate Governance Committee” section of this circular, which contains a “skills matrix” highlighting individual director nominee 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121285</wp:posOffset>
            </wp:positionV>
            <wp:extent cx="697357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2"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12</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Independence</w:t>
      </w:r>
    </w:p>
    <w:p>
      <w:pPr>
        <w:spacing w:after="0" w:line="35"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A majority of the board is independent. Under the corporate governance guidelines adopted by the board, a director is not considered independent unless the board affirmatively determines that the director has no “material relationship” with Thomson Reuters. In determining the independence of directors, the board considers all relevant facts and circumstances. In March 2019, the board conducted its annual assessment of the independence of each of its current members and determined that six of the 11 directors (approximately 55%) serving on the board are independent.</w:t>
      </w:r>
    </w:p>
    <w:p>
      <w:pPr>
        <w:spacing w:after="0" w:line="95" w:lineRule="exact"/>
        <w:rPr>
          <w:sz w:val="20"/>
          <w:szCs w:val="20"/>
          <w:color w:val="auto"/>
        </w:rPr>
      </w:pPr>
    </w:p>
    <w:p>
      <w:pPr>
        <w:jc w:val="both"/>
        <w:ind w:left="220" w:right="100"/>
        <w:spacing w:after="0" w:line="239" w:lineRule="auto"/>
        <w:rPr>
          <w:sz w:val="20"/>
          <w:szCs w:val="20"/>
          <w:color w:val="auto"/>
        </w:rPr>
      </w:pPr>
      <w:r>
        <w:rPr>
          <w:rFonts w:ascii="Arial" w:cs="Arial" w:eastAsia="Arial" w:hAnsi="Arial"/>
          <w:sz w:val="18"/>
          <w:szCs w:val="18"/>
          <w:color w:val="auto"/>
        </w:rPr>
        <w:t>In determining independence, the board examined and relied on the applicable definitions of “independent” in the NYSE listing standards and Canadian Securities Administrators’ National Instrument 58-101. The board also reviewed the results of questionnaires completed by directors.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order for the board to function independently from management:</w:t>
      </w:r>
    </w:p>
    <w:p>
      <w:pPr>
        <w:sectPr>
          <w:pgSz w:w="11900" w:h="16838" w:orient="portrait"/>
          <w:cols w:equalWidth="0" w:num="1">
            <w:col w:w="11200"/>
          </w:cols>
          <w:pgMar w:left="240" w:top="458" w:right="459" w:bottom="1440" w:gutter="0" w:footer="0" w:header="0"/>
        </w:sectPr>
      </w:pPr>
    </w:p>
    <w:p>
      <w:pPr>
        <w:spacing w:after="0" w:line="108"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2540"/>
        <w:spacing w:after="0" w:line="343" w:lineRule="auto"/>
        <w:rPr>
          <w:sz w:val="20"/>
          <w:szCs w:val="20"/>
          <w:color w:val="auto"/>
        </w:rPr>
      </w:pPr>
      <w:r>
        <w:rPr>
          <w:rFonts w:ascii="Arial" w:cs="Arial" w:eastAsia="Arial" w:hAnsi="Arial"/>
          <w:sz w:val="18"/>
          <w:szCs w:val="18"/>
          <w:color w:val="auto"/>
        </w:rPr>
        <w:t>The roles and responsibilities of the Chairman (David Thomson) and the CEO (Jim Smith) are separate; We have a Lead Independent Director (Vance K. Opperman); and</w:t>
      </w:r>
    </w:p>
    <w:p>
      <w:pPr>
        <w:spacing w:after="0" w:line="1" w:lineRule="exact"/>
        <w:rPr>
          <w:sz w:val="20"/>
          <w:szCs w:val="20"/>
          <w:color w:val="auto"/>
        </w:rPr>
      </w:pPr>
    </w:p>
    <w:p>
      <w:pPr>
        <w:ind w:right="420"/>
        <w:spacing w:after="0" w:line="244" w:lineRule="auto"/>
        <w:rPr>
          <w:sz w:val="20"/>
          <w:szCs w:val="20"/>
          <w:color w:val="auto"/>
        </w:rPr>
      </w:pPr>
      <w:r>
        <w:rPr>
          <w:rFonts w:ascii="Arial" w:cs="Arial" w:eastAsia="Arial" w:hAnsi="Arial"/>
          <w:sz w:val="18"/>
          <w:szCs w:val="18"/>
          <w:color w:val="auto"/>
        </w:rPr>
        <w:t>The Audit Committee is comprised entirely of independent directors (as required by applicable law) and the Corporate Governance Committee, Human Resources Committee and Risk Committee each have a majority of independent directors.</w:t>
      </w:r>
    </w:p>
    <w:p>
      <w:pPr>
        <w:spacing w:after="0" w:line="200"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spacing w:after="0" w:line="26"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1560" w:type="dxa"/>
            <w:vAlign w:val="bottom"/>
            <w:shd w:val="clear" w:color="auto" w:fill="E5E5E5"/>
          </w:tcPr>
          <w:p>
            <w:pPr>
              <w:spacing w:after="0"/>
              <w:rPr>
                <w:sz w:val="16"/>
                <w:szCs w:val="16"/>
                <w:color w:val="auto"/>
              </w:rPr>
            </w:pPr>
          </w:p>
        </w:tc>
        <w:tc>
          <w:tcPr>
            <w:tcW w:w="1400" w:type="dxa"/>
            <w:vAlign w:val="bottom"/>
            <w:shd w:val="clear" w:color="auto" w:fill="E5E5E5"/>
          </w:tcPr>
          <w:p>
            <w:pPr>
              <w:spacing w:after="0"/>
              <w:rPr>
                <w:sz w:val="16"/>
                <w:szCs w:val="16"/>
                <w:color w:val="auto"/>
              </w:rPr>
            </w:pPr>
          </w:p>
        </w:tc>
        <w:tc>
          <w:tcPr>
            <w:tcW w:w="5060" w:type="dxa"/>
            <w:vAlign w:val="bottom"/>
            <w:gridSpan w:val="2"/>
            <w:shd w:val="clear" w:color="auto" w:fill="E5E5E5"/>
          </w:tcPr>
          <w:p>
            <w:pPr>
              <w:ind w:left="280"/>
              <w:spacing w:after="0"/>
              <w:rPr>
                <w:sz w:val="20"/>
                <w:szCs w:val="20"/>
                <w:color w:val="auto"/>
              </w:rPr>
            </w:pPr>
            <w:r>
              <w:rPr>
                <w:rFonts w:ascii="Arial" w:cs="Arial" w:eastAsia="Arial" w:hAnsi="Arial"/>
                <w:sz w:val="15"/>
                <w:szCs w:val="15"/>
                <w:b w:val="1"/>
                <w:bCs w:val="1"/>
                <w:color w:val="auto"/>
              </w:rPr>
              <w:t>Director Independence</w:t>
            </w:r>
          </w:p>
        </w:tc>
      </w:tr>
      <w:tr>
        <w:trPr>
          <w:trHeight w:val="188"/>
        </w:trPr>
        <w:tc>
          <w:tcPr>
            <w:tcW w:w="2960" w:type="dxa"/>
            <w:vAlign w:val="bottom"/>
            <w:tcBorders>
              <w:bottom w:val="single" w:sz="8" w:color="D95A3B"/>
            </w:tcBorders>
            <w:shd w:val="clear" w:color="auto" w:fill="CCCCCC"/>
          </w:tcPr>
          <w:p>
            <w:pPr>
              <w:spacing w:after="0"/>
              <w:rPr>
                <w:sz w:val="20"/>
                <w:szCs w:val="20"/>
                <w:color w:val="auto"/>
              </w:rPr>
            </w:pPr>
            <w:r>
              <w:rPr>
                <w:rFonts w:ascii="Arial" w:cs="Arial" w:eastAsia="Arial" w:hAnsi="Arial"/>
                <w:sz w:val="15"/>
                <w:szCs w:val="15"/>
                <w:b w:val="1"/>
                <w:bCs w:val="1"/>
                <w:color w:val="auto"/>
              </w:rPr>
              <w:t>Name of Director Nominee</w:t>
            </w:r>
          </w:p>
        </w:tc>
        <w:tc>
          <w:tcPr>
            <w:tcW w:w="1560" w:type="dxa"/>
            <w:vAlign w:val="bottom"/>
            <w:tcBorders>
              <w:bottom w:val="single" w:sz="8" w:color="D95A3B"/>
            </w:tcBorders>
            <w:shd w:val="clear" w:color="auto" w:fill="CCCCCC"/>
          </w:tcPr>
          <w:p>
            <w:pPr>
              <w:ind w:left="360"/>
              <w:spacing w:after="0"/>
              <w:rPr>
                <w:sz w:val="20"/>
                <w:szCs w:val="20"/>
                <w:color w:val="auto"/>
              </w:rPr>
            </w:pPr>
            <w:r>
              <w:rPr>
                <w:rFonts w:ascii="Arial" w:cs="Arial" w:eastAsia="Arial" w:hAnsi="Arial"/>
                <w:sz w:val="15"/>
                <w:szCs w:val="15"/>
                <w:b w:val="1"/>
                <w:bCs w:val="1"/>
                <w:color w:val="auto"/>
              </w:rPr>
              <w:t>Management</w:t>
            </w:r>
          </w:p>
        </w:tc>
        <w:tc>
          <w:tcPr>
            <w:tcW w:w="1400" w:type="dxa"/>
            <w:vAlign w:val="bottom"/>
            <w:tcBorders>
              <w:bottom w:val="single" w:sz="8" w:color="D95A3B"/>
            </w:tcBorders>
            <w:shd w:val="clear" w:color="auto" w:fill="CCCCCC"/>
          </w:tcPr>
          <w:p>
            <w:pPr>
              <w:ind w:left="280"/>
              <w:spacing w:after="0"/>
              <w:rPr>
                <w:sz w:val="20"/>
                <w:szCs w:val="20"/>
                <w:color w:val="auto"/>
              </w:rPr>
            </w:pPr>
            <w:r>
              <w:rPr>
                <w:rFonts w:ascii="Arial" w:cs="Arial" w:eastAsia="Arial" w:hAnsi="Arial"/>
                <w:sz w:val="15"/>
                <w:szCs w:val="15"/>
                <w:b w:val="1"/>
                <w:bCs w:val="1"/>
                <w:color w:val="auto"/>
              </w:rPr>
              <w:t>Independent</w:t>
            </w:r>
          </w:p>
        </w:tc>
        <w:tc>
          <w:tcPr>
            <w:tcW w:w="1540" w:type="dxa"/>
            <w:vAlign w:val="bottom"/>
            <w:tcBorders>
              <w:bottom w:val="single" w:sz="8" w:color="D95A3B"/>
            </w:tcBorders>
            <w:shd w:val="clear" w:color="auto" w:fill="CCCCCC"/>
          </w:tcPr>
          <w:p>
            <w:pPr>
              <w:ind w:left="220"/>
              <w:spacing w:after="0"/>
              <w:rPr>
                <w:sz w:val="20"/>
                <w:szCs w:val="20"/>
                <w:color w:val="auto"/>
              </w:rPr>
            </w:pPr>
            <w:r>
              <w:rPr>
                <w:rFonts w:ascii="Arial" w:cs="Arial" w:eastAsia="Arial" w:hAnsi="Arial"/>
                <w:sz w:val="15"/>
                <w:szCs w:val="15"/>
                <w:b w:val="1"/>
                <w:bCs w:val="1"/>
                <w:color w:val="auto"/>
              </w:rPr>
              <w:t>Not Independent</w:t>
            </w:r>
          </w:p>
        </w:tc>
        <w:tc>
          <w:tcPr>
            <w:tcW w:w="3520" w:type="dxa"/>
            <w:vAlign w:val="bottom"/>
            <w:tcBorders>
              <w:bottom w:val="single" w:sz="8" w:color="D95A3B"/>
            </w:tcBorders>
            <w:shd w:val="clear" w:color="auto" w:fill="CCCCCC"/>
          </w:tcPr>
          <w:p>
            <w:pPr>
              <w:ind w:left="140"/>
              <w:spacing w:after="0"/>
              <w:rPr>
                <w:sz w:val="20"/>
                <w:szCs w:val="20"/>
                <w:color w:val="auto"/>
              </w:rPr>
            </w:pPr>
            <w:r>
              <w:rPr>
                <w:rFonts w:ascii="Arial" w:cs="Arial" w:eastAsia="Arial" w:hAnsi="Arial"/>
                <w:sz w:val="15"/>
                <w:szCs w:val="15"/>
                <w:b w:val="1"/>
                <w:bCs w:val="1"/>
                <w:color w:val="auto"/>
              </w:rPr>
              <w:t>Reason for Non-Independence</w:t>
            </w:r>
          </w:p>
        </w:tc>
      </w:tr>
      <w:tr>
        <w:trPr>
          <w:trHeight w:val="168"/>
        </w:trPr>
        <w:tc>
          <w:tcPr>
            <w:tcW w:w="29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David Thomson</w:t>
            </w:r>
          </w:p>
        </w:tc>
        <w:tc>
          <w:tcPr>
            <w:tcW w:w="1560" w:type="dxa"/>
            <w:vAlign w:val="bottom"/>
            <w:tcBorders>
              <w:bottom w:val="single" w:sz="8" w:color="AFAFAF"/>
            </w:tcBorders>
          </w:tcPr>
          <w:p>
            <w:pPr>
              <w:spacing w:after="0"/>
              <w:rPr>
                <w:sz w:val="14"/>
                <w:szCs w:val="14"/>
                <w:color w:val="auto"/>
              </w:rPr>
            </w:pPr>
          </w:p>
        </w:tc>
        <w:tc>
          <w:tcPr>
            <w:tcW w:w="1400" w:type="dxa"/>
            <w:vAlign w:val="bottom"/>
            <w:tcBorders>
              <w:bottom w:val="single" w:sz="8" w:color="AFAFAF"/>
            </w:tcBorders>
          </w:tcPr>
          <w:p>
            <w:pPr>
              <w:spacing w:after="0"/>
              <w:rPr>
                <w:sz w:val="14"/>
                <w:szCs w:val="14"/>
                <w:color w:val="auto"/>
              </w:rPr>
            </w:pPr>
          </w:p>
        </w:tc>
        <w:tc>
          <w:tcPr>
            <w:tcW w:w="1540" w:type="dxa"/>
            <w:vAlign w:val="bottom"/>
            <w:tcBorders>
              <w:bottom w:val="single" w:sz="8" w:color="AFAFAF"/>
            </w:tcBorders>
          </w:tcPr>
          <w:p>
            <w:pPr>
              <w:jc w:val="center"/>
              <w:ind w:left="27"/>
              <w:spacing w:after="0" w:line="141" w:lineRule="exact"/>
              <w:rPr>
                <w:sz w:val="20"/>
                <w:szCs w:val="20"/>
                <w:color w:val="auto"/>
              </w:rPr>
            </w:pPr>
            <w:r>
              <w:rPr>
                <w:rFonts w:ascii="MS PGothic" w:cs="MS PGothic" w:eastAsia="MS PGothic" w:hAnsi="MS PGothic"/>
                <w:sz w:val="14"/>
                <w:szCs w:val="14"/>
                <w:color w:val="auto"/>
                <w:w w:val="85"/>
              </w:rPr>
              <w:t>✓</w:t>
            </w:r>
          </w:p>
        </w:tc>
        <w:tc>
          <w:tcPr>
            <w:tcW w:w="3520" w:type="dxa"/>
            <w:vAlign w:val="bottom"/>
            <w:tcBorders>
              <w:bottom w:val="single" w:sz="8" w:color="AFAFAF"/>
            </w:tcBorders>
          </w:tcPr>
          <w:p>
            <w:pPr>
              <w:ind w:left="140"/>
              <w:spacing w:after="0"/>
              <w:rPr>
                <w:sz w:val="20"/>
                <w:szCs w:val="20"/>
                <w:color w:val="auto"/>
              </w:rPr>
            </w:pPr>
            <w:r>
              <w:rPr>
                <w:rFonts w:ascii="Arial" w:cs="Arial" w:eastAsia="Arial" w:hAnsi="Arial"/>
                <w:sz w:val="14"/>
                <w:szCs w:val="14"/>
                <w:color w:val="auto"/>
              </w:rPr>
              <w:t>A Chairman of Woodbridge</w:t>
            </w:r>
          </w:p>
        </w:tc>
      </w:tr>
      <w:tr>
        <w:trPr>
          <w:trHeight w:val="160"/>
        </w:trPr>
        <w:tc>
          <w:tcPr>
            <w:tcW w:w="2960" w:type="dxa"/>
            <w:vAlign w:val="bottom"/>
          </w:tcPr>
          <w:p>
            <w:pPr>
              <w:spacing w:after="0" w:line="160" w:lineRule="exact"/>
              <w:rPr>
                <w:sz w:val="20"/>
                <w:szCs w:val="20"/>
                <w:color w:val="auto"/>
              </w:rPr>
            </w:pPr>
            <w:r>
              <w:rPr>
                <w:rFonts w:ascii="Arial" w:cs="Arial" w:eastAsia="Arial" w:hAnsi="Arial"/>
                <w:sz w:val="14"/>
                <w:szCs w:val="14"/>
                <w:b w:val="1"/>
                <w:bCs w:val="1"/>
                <w:color w:val="auto"/>
              </w:rPr>
              <w:t>James C. Smith</w:t>
            </w:r>
          </w:p>
        </w:tc>
        <w:tc>
          <w:tcPr>
            <w:tcW w:w="1560" w:type="dxa"/>
            <w:vAlign w:val="bottom"/>
          </w:tcPr>
          <w:p>
            <w:pPr>
              <w:jc w:val="center"/>
              <w:ind w:left="7"/>
              <w:spacing w:after="0" w:line="141" w:lineRule="exact"/>
              <w:rPr>
                <w:sz w:val="20"/>
                <w:szCs w:val="20"/>
                <w:color w:val="auto"/>
              </w:rPr>
            </w:pPr>
            <w:r>
              <w:rPr>
                <w:rFonts w:ascii="MS PGothic" w:cs="MS PGothic" w:eastAsia="MS PGothic" w:hAnsi="MS PGothic"/>
                <w:sz w:val="14"/>
                <w:szCs w:val="14"/>
                <w:color w:val="auto"/>
                <w:w w:val="85"/>
              </w:rPr>
              <w:t>✓</w:t>
            </w:r>
          </w:p>
        </w:tc>
        <w:tc>
          <w:tcPr>
            <w:tcW w:w="1400" w:type="dxa"/>
            <w:vAlign w:val="bottom"/>
          </w:tcPr>
          <w:p>
            <w:pPr>
              <w:spacing w:after="0"/>
              <w:rPr>
                <w:sz w:val="13"/>
                <w:szCs w:val="13"/>
                <w:color w:val="auto"/>
              </w:rPr>
            </w:pPr>
          </w:p>
        </w:tc>
        <w:tc>
          <w:tcPr>
            <w:tcW w:w="1540" w:type="dxa"/>
            <w:vAlign w:val="bottom"/>
          </w:tcPr>
          <w:p>
            <w:pPr>
              <w:jc w:val="center"/>
              <w:ind w:left="27"/>
              <w:spacing w:after="0" w:line="141" w:lineRule="exact"/>
              <w:rPr>
                <w:sz w:val="20"/>
                <w:szCs w:val="20"/>
                <w:color w:val="auto"/>
              </w:rPr>
            </w:pPr>
            <w:r>
              <w:rPr>
                <w:rFonts w:ascii="MS PGothic" w:cs="MS PGothic" w:eastAsia="MS PGothic" w:hAnsi="MS PGothic"/>
                <w:sz w:val="14"/>
                <w:szCs w:val="14"/>
                <w:color w:val="auto"/>
                <w:w w:val="85"/>
              </w:rPr>
              <w:t>✓</w:t>
            </w:r>
          </w:p>
        </w:tc>
        <w:tc>
          <w:tcPr>
            <w:tcW w:w="3520" w:type="dxa"/>
            <w:vAlign w:val="bottom"/>
          </w:tcPr>
          <w:p>
            <w:pPr>
              <w:ind w:left="140"/>
              <w:spacing w:after="0" w:line="160" w:lineRule="exact"/>
              <w:rPr>
                <w:sz w:val="20"/>
                <w:szCs w:val="20"/>
                <w:color w:val="auto"/>
              </w:rPr>
            </w:pPr>
            <w:r>
              <w:rPr>
                <w:rFonts w:ascii="Arial" w:cs="Arial" w:eastAsia="Arial" w:hAnsi="Arial"/>
                <w:sz w:val="14"/>
                <w:szCs w:val="14"/>
                <w:color w:val="auto"/>
              </w:rPr>
              <w:t>President &amp; Chief Executive Officer of Thomson</w:t>
            </w:r>
          </w:p>
        </w:tc>
      </w:tr>
      <w:tr>
        <w:trPr>
          <w:trHeight w:val="157"/>
        </w:trPr>
        <w:tc>
          <w:tcPr>
            <w:tcW w:w="2960" w:type="dxa"/>
            <w:vAlign w:val="bottom"/>
            <w:tcBorders>
              <w:bottom w:val="single" w:sz="8" w:color="AFAFAF"/>
            </w:tcBorders>
          </w:tcPr>
          <w:p>
            <w:pPr>
              <w:spacing w:after="0"/>
              <w:rPr>
                <w:sz w:val="13"/>
                <w:szCs w:val="13"/>
                <w:color w:val="auto"/>
              </w:rPr>
            </w:pPr>
          </w:p>
        </w:tc>
        <w:tc>
          <w:tcPr>
            <w:tcW w:w="1560" w:type="dxa"/>
            <w:vAlign w:val="bottom"/>
            <w:tcBorders>
              <w:bottom w:val="single" w:sz="8" w:color="AFAFAF"/>
            </w:tcBorders>
          </w:tcPr>
          <w:p>
            <w:pPr>
              <w:spacing w:after="0"/>
              <w:rPr>
                <w:sz w:val="13"/>
                <w:szCs w:val="13"/>
                <w:color w:val="auto"/>
              </w:rPr>
            </w:pPr>
          </w:p>
        </w:tc>
        <w:tc>
          <w:tcPr>
            <w:tcW w:w="1400" w:type="dxa"/>
            <w:vAlign w:val="bottom"/>
            <w:tcBorders>
              <w:bottom w:val="single" w:sz="8" w:color="AFAFAF"/>
            </w:tcBorders>
          </w:tcPr>
          <w:p>
            <w:pPr>
              <w:spacing w:after="0"/>
              <w:rPr>
                <w:sz w:val="13"/>
                <w:szCs w:val="13"/>
                <w:color w:val="auto"/>
              </w:rPr>
            </w:pPr>
          </w:p>
        </w:tc>
        <w:tc>
          <w:tcPr>
            <w:tcW w:w="1540" w:type="dxa"/>
            <w:vAlign w:val="bottom"/>
            <w:tcBorders>
              <w:bottom w:val="single" w:sz="8" w:color="AFAFAF"/>
            </w:tcBorders>
          </w:tcPr>
          <w:p>
            <w:pPr>
              <w:spacing w:after="0"/>
              <w:rPr>
                <w:sz w:val="13"/>
                <w:szCs w:val="13"/>
                <w:color w:val="auto"/>
              </w:rPr>
            </w:pPr>
          </w:p>
        </w:tc>
        <w:tc>
          <w:tcPr>
            <w:tcW w:w="3520" w:type="dxa"/>
            <w:vAlign w:val="bottom"/>
            <w:tcBorders>
              <w:bottom w:val="single" w:sz="8" w:color="AFAFAF"/>
            </w:tcBorders>
          </w:tcPr>
          <w:p>
            <w:pPr>
              <w:ind w:left="140"/>
              <w:spacing w:after="0" w:line="157" w:lineRule="exact"/>
              <w:rPr>
                <w:sz w:val="20"/>
                <w:szCs w:val="20"/>
                <w:color w:val="auto"/>
              </w:rPr>
            </w:pPr>
            <w:r>
              <w:rPr>
                <w:rFonts w:ascii="Arial" w:cs="Arial" w:eastAsia="Arial" w:hAnsi="Arial"/>
                <w:sz w:val="14"/>
                <w:szCs w:val="14"/>
                <w:color w:val="auto"/>
              </w:rPr>
              <w:t>Reuters</w:t>
            </w:r>
          </w:p>
        </w:tc>
      </w:tr>
      <w:tr>
        <w:trPr>
          <w:trHeight w:val="168"/>
        </w:trPr>
        <w:tc>
          <w:tcPr>
            <w:tcW w:w="29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Sheila C. Bair</w:t>
            </w:r>
          </w:p>
        </w:tc>
        <w:tc>
          <w:tcPr>
            <w:tcW w:w="1560" w:type="dxa"/>
            <w:vAlign w:val="bottom"/>
            <w:tcBorders>
              <w:bottom w:val="single" w:sz="8" w:color="AFAFAF"/>
            </w:tcBorders>
          </w:tcPr>
          <w:p>
            <w:pPr>
              <w:spacing w:after="0"/>
              <w:rPr>
                <w:sz w:val="14"/>
                <w:szCs w:val="14"/>
                <w:color w:val="auto"/>
              </w:rPr>
            </w:pPr>
          </w:p>
        </w:tc>
        <w:tc>
          <w:tcPr>
            <w:tcW w:w="1400" w:type="dxa"/>
            <w:vAlign w:val="bottom"/>
            <w:tcBorders>
              <w:bottom w:val="single" w:sz="8" w:color="AFAFAF"/>
            </w:tcBorders>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1540" w:type="dxa"/>
            <w:vAlign w:val="bottom"/>
            <w:tcBorders>
              <w:bottom w:val="single" w:sz="8" w:color="AFAFAF"/>
            </w:tcBorders>
          </w:tcPr>
          <w:p>
            <w:pPr>
              <w:spacing w:after="0"/>
              <w:rPr>
                <w:sz w:val="14"/>
                <w:szCs w:val="14"/>
                <w:color w:val="auto"/>
              </w:rPr>
            </w:pPr>
          </w:p>
        </w:tc>
        <w:tc>
          <w:tcPr>
            <w:tcW w:w="3520" w:type="dxa"/>
            <w:vAlign w:val="bottom"/>
            <w:tcBorders>
              <w:bottom w:val="single" w:sz="8" w:color="AFAFAF"/>
            </w:tcBorders>
          </w:tcPr>
          <w:p>
            <w:pPr>
              <w:spacing w:after="0"/>
              <w:rPr>
                <w:sz w:val="14"/>
                <w:szCs w:val="14"/>
                <w:color w:val="auto"/>
              </w:rPr>
            </w:pPr>
          </w:p>
        </w:tc>
      </w:tr>
      <w:tr>
        <w:trPr>
          <w:trHeight w:val="168"/>
        </w:trPr>
        <w:tc>
          <w:tcPr>
            <w:tcW w:w="29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David W. Binet</w:t>
            </w:r>
          </w:p>
        </w:tc>
        <w:tc>
          <w:tcPr>
            <w:tcW w:w="1560" w:type="dxa"/>
            <w:vAlign w:val="bottom"/>
            <w:tcBorders>
              <w:bottom w:val="single" w:sz="8" w:color="AFAFAF"/>
            </w:tcBorders>
          </w:tcPr>
          <w:p>
            <w:pPr>
              <w:spacing w:after="0"/>
              <w:rPr>
                <w:sz w:val="14"/>
                <w:szCs w:val="14"/>
                <w:color w:val="auto"/>
              </w:rPr>
            </w:pPr>
          </w:p>
        </w:tc>
        <w:tc>
          <w:tcPr>
            <w:tcW w:w="1400" w:type="dxa"/>
            <w:vAlign w:val="bottom"/>
            <w:tcBorders>
              <w:bottom w:val="single" w:sz="8" w:color="AFAFAF"/>
            </w:tcBorders>
          </w:tcPr>
          <w:p>
            <w:pPr>
              <w:spacing w:after="0"/>
              <w:rPr>
                <w:sz w:val="14"/>
                <w:szCs w:val="14"/>
                <w:color w:val="auto"/>
              </w:rPr>
            </w:pPr>
          </w:p>
        </w:tc>
        <w:tc>
          <w:tcPr>
            <w:tcW w:w="1540" w:type="dxa"/>
            <w:vAlign w:val="bottom"/>
            <w:tcBorders>
              <w:bottom w:val="single" w:sz="8" w:color="AFAFAF"/>
            </w:tcBorders>
          </w:tcPr>
          <w:p>
            <w:pPr>
              <w:jc w:val="center"/>
              <w:ind w:left="27"/>
              <w:spacing w:after="0" w:line="141" w:lineRule="exact"/>
              <w:rPr>
                <w:sz w:val="20"/>
                <w:szCs w:val="20"/>
                <w:color w:val="auto"/>
              </w:rPr>
            </w:pPr>
            <w:r>
              <w:rPr>
                <w:rFonts w:ascii="MS PGothic" w:cs="MS PGothic" w:eastAsia="MS PGothic" w:hAnsi="MS PGothic"/>
                <w:sz w:val="14"/>
                <w:szCs w:val="14"/>
                <w:color w:val="auto"/>
                <w:w w:val="85"/>
              </w:rPr>
              <w:t>✓</w:t>
            </w:r>
          </w:p>
        </w:tc>
        <w:tc>
          <w:tcPr>
            <w:tcW w:w="3520" w:type="dxa"/>
            <w:vAlign w:val="bottom"/>
            <w:tcBorders>
              <w:bottom w:val="single" w:sz="8" w:color="AFAFAF"/>
            </w:tcBorders>
          </w:tcPr>
          <w:p>
            <w:pPr>
              <w:ind w:left="140"/>
              <w:spacing w:after="0"/>
              <w:rPr>
                <w:sz w:val="20"/>
                <w:szCs w:val="20"/>
                <w:color w:val="auto"/>
              </w:rPr>
            </w:pPr>
            <w:r>
              <w:rPr>
                <w:rFonts w:ascii="Arial" w:cs="Arial" w:eastAsia="Arial" w:hAnsi="Arial"/>
                <w:sz w:val="14"/>
                <w:szCs w:val="14"/>
                <w:color w:val="auto"/>
              </w:rPr>
              <w:t>President of Woodbridge</w:t>
            </w:r>
          </w:p>
        </w:tc>
      </w:tr>
      <w:tr>
        <w:trPr>
          <w:trHeight w:val="160"/>
        </w:trPr>
        <w:tc>
          <w:tcPr>
            <w:tcW w:w="2960" w:type="dxa"/>
            <w:vAlign w:val="bottom"/>
          </w:tcPr>
          <w:p>
            <w:pPr>
              <w:spacing w:after="0" w:line="160" w:lineRule="exact"/>
              <w:rPr>
                <w:sz w:val="20"/>
                <w:szCs w:val="20"/>
                <w:color w:val="auto"/>
              </w:rPr>
            </w:pPr>
            <w:r>
              <w:rPr>
                <w:rFonts w:ascii="Arial" w:cs="Arial" w:eastAsia="Arial" w:hAnsi="Arial"/>
                <w:sz w:val="14"/>
                <w:szCs w:val="14"/>
                <w:b w:val="1"/>
                <w:bCs w:val="1"/>
                <w:color w:val="auto"/>
              </w:rPr>
              <w:t>W. Edmund Clark, C.M.</w:t>
            </w:r>
          </w:p>
        </w:tc>
        <w:tc>
          <w:tcPr>
            <w:tcW w:w="15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40" w:type="dxa"/>
            <w:vAlign w:val="bottom"/>
          </w:tcPr>
          <w:p>
            <w:pPr>
              <w:jc w:val="center"/>
              <w:ind w:left="27"/>
              <w:spacing w:after="0" w:line="141" w:lineRule="exact"/>
              <w:rPr>
                <w:sz w:val="20"/>
                <w:szCs w:val="20"/>
                <w:color w:val="auto"/>
              </w:rPr>
            </w:pPr>
            <w:r>
              <w:rPr>
                <w:rFonts w:ascii="MS PGothic" w:cs="MS PGothic" w:eastAsia="MS PGothic" w:hAnsi="MS PGothic"/>
                <w:sz w:val="14"/>
                <w:szCs w:val="14"/>
                <w:color w:val="auto"/>
                <w:w w:val="85"/>
              </w:rPr>
              <w:t>✓</w:t>
            </w:r>
          </w:p>
        </w:tc>
        <w:tc>
          <w:tcPr>
            <w:tcW w:w="3520" w:type="dxa"/>
            <w:vAlign w:val="bottom"/>
          </w:tcPr>
          <w:p>
            <w:pPr>
              <w:ind w:left="140"/>
              <w:spacing w:after="0" w:line="160" w:lineRule="exact"/>
              <w:rPr>
                <w:sz w:val="20"/>
                <w:szCs w:val="20"/>
                <w:color w:val="auto"/>
              </w:rPr>
            </w:pPr>
            <w:r>
              <w:rPr>
                <w:rFonts w:ascii="Arial" w:cs="Arial" w:eastAsia="Arial" w:hAnsi="Arial"/>
                <w:sz w:val="14"/>
                <w:szCs w:val="14"/>
                <w:color w:val="auto"/>
              </w:rPr>
              <w:t>Advisor to the trustee of the 2003 TIL Settlement and</w:t>
            </w:r>
          </w:p>
        </w:tc>
      </w:tr>
      <w:tr>
        <w:trPr>
          <w:trHeight w:val="157"/>
        </w:trPr>
        <w:tc>
          <w:tcPr>
            <w:tcW w:w="2960" w:type="dxa"/>
            <w:vAlign w:val="bottom"/>
            <w:tcBorders>
              <w:bottom w:val="single" w:sz="8" w:color="AFAFAF"/>
            </w:tcBorders>
          </w:tcPr>
          <w:p>
            <w:pPr>
              <w:spacing w:after="0"/>
              <w:rPr>
                <w:sz w:val="13"/>
                <w:szCs w:val="13"/>
                <w:color w:val="auto"/>
              </w:rPr>
            </w:pPr>
          </w:p>
        </w:tc>
        <w:tc>
          <w:tcPr>
            <w:tcW w:w="1560" w:type="dxa"/>
            <w:vAlign w:val="bottom"/>
            <w:tcBorders>
              <w:bottom w:val="single" w:sz="8" w:color="AFAFAF"/>
            </w:tcBorders>
          </w:tcPr>
          <w:p>
            <w:pPr>
              <w:spacing w:after="0"/>
              <w:rPr>
                <w:sz w:val="13"/>
                <w:szCs w:val="13"/>
                <w:color w:val="auto"/>
              </w:rPr>
            </w:pPr>
          </w:p>
        </w:tc>
        <w:tc>
          <w:tcPr>
            <w:tcW w:w="1400" w:type="dxa"/>
            <w:vAlign w:val="bottom"/>
            <w:tcBorders>
              <w:bottom w:val="single" w:sz="8" w:color="AFAFAF"/>
            </w:tcBorders>
          </w:tcPr>
          <w:p>
            <w:pPr>
              <w:spacing w:after="0"/>
              <w:rPr>
                <w:sz w:val="13"/>
                <w:szCs w:val="13"/>
                <w:color w:val="auto"/>
              </w:rPr>
            </w:pPr>
          </w:p>
        </w:tc>
        <w:tc>
          <w:tcPr>
            <w:tcW w:w="1540" w:type="dxa"/>
            <w:vAlign w:val="bottom"/>
            <w:tcBorders>
              <w:bottom w:val="single" w:sz="8" w:color="AFAFAF"/>
            </w:tcBorders>
          </w:tcPr>
          <w:p>
            <w:pPr>
              <w:spacing w:after="0"/>
              <w:rPr>
                <w:sz w:val="13"/>
                <w:szCs w:val="13"/>
                <w:color w:val="auto"/>
              </w:rPr>
            </w:pPr>
          </w:p>
        </w:tc>
        <w:tc>
          <w:tcPr>
            <w:tcW w:w="3520" w:type="dxa"/>
            <w:vAlign w:val="bottom"/>
            <w:tcBorders>
              <w:bottom w:val="single" w:sz="8" w:color="AFAFAF"/>
            </w:tcBorders>
          </w:tcPr>
          <w:p>
            <w:pPr>
              <w:ind w:left="140"/>
              <w:spacing w:after="0" w:line="157" w:lineRule="exact"/>
              <w:rPr>
                <w:sz w:val="20"/>
                <w:szCs w:val="20"/>
                <w:color w:val="auto"/>
              </w:rPr>
            </w:pPr>
            <w:r>
              <w:rPr>
                <w:rFonts w:ascii="Arial" w:cs="Arial" w:eastAsia="Arial" w:hAnsi="Arial"/>
                <w:sz w:val="14"/>
                <w:szCs w:val="14"/>
                <w:color w:val="auto"/>
              </w:rPr>
              <w:t>Woodbridge</w:t>
            </w:r>
          </w:p>
        </w:tc>
      </w:tr>
      <w:tr>
        <w:trPr>
          <w:trHeight w:val="168"/>
        </w:trPr>
        <w:tc>
          <w:tcPr>
            <w:tcW w:w="29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Michael E. Daniels</w:t>
            </w:r>
          </w:p>
        </w:tc>
        <w:tc>
          <w:tcPr>
            <w:tcW w:w="1560" w:type="dxa"/>
            <w:vAlign w:val="bottom"/>
            <w:tcBorders>
              <w:bottom w:val="single" w:sz="8" w:color="AFAFAF"/>
            </w:tcBorders>
          </w:tcPr>
          <w:p>
            <w:pPr>
              <w:spacing w:after="0"/>
              <w:rPr>
                <w:sz w:val="14"/>
                <w:szCs w:val="14"/>
                <w:color w:val="auto"/>
              </w:rPr>
            </w:pPr>
          </w:p>
        </w:tc>
        <w:tc>
          <w:tcPr>
            <w:tcW w:w="1400" w:type="dxa"/>
            <w:vAlign w:val="bottom"/>
            <w:tcBorders>
              <w:bottom w:val="single" w:sz="8" w:color="AFAFAF"/>
            </w:tcBorders>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1540" w:type="dxa"/>
            <w:vAlign w:val="bottom"/>
            <w:tcBorders>
              <w:bottom w:val="single" w:sz="8" w:color="AFAFAF"/>
            </w:tcBorders>
          </w:tcPr>
          <w:p>
            <w:pPr>
              <w:spacing w:after="0"/>
              <w:rPr>
                <w:sz w:val="14"/>
                <w:szCs w:val="14"/>
                <w:color w:val="auto"/>
              </w:rPr>
            </w:pPr>
          </w:p>
        </w:tc>
        <w:tc>
          <w:tcPr>
            <w:tcW w:w="3520" w:type="dxa"/>
            <w:vAlign w:val="bottom"/>
            <w:tcBorders>
              <w:bottom w:val="single" w:sz="8" w:color="AFAFAF"/>
            </w:tcBorders>
          </w:tcPr>
          <w:p>
            <w:pPr>
              <w:spacing w:after="0"/>
              <w:rPr>
                <w:sz w:val="14"/>
                <w:szCs w:val="14"/>
                <w:color w:val="auto"/>
              </w:rPr>
            </w:pPr>
          </w:p>
        </w:tc>
      </w:tr>
      <w:tr>
        <w:trPr>
          <w:trHeight w:val="168"/>
        </w:trPr>
        <w:tc>
          <w:tcPr>
            <w:tcW w:w="29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Vance K. Opperman</w:t>
            </w:r>
          </w:p>
        </w:tc>
        <w:tc>
          <w:tcPr>
            <w:tcW w:w="1560" w:type="dxa"/>
            <w:vAlign w:val="bottom"/>
            <w:tcBorders>
              <w:bottom w:val="single" w:sz="8" w:color="AFAFAF"/>
            </w:tcBorders>
          </w:tcPr>
          <w:p>
            <w:pPr>
              <w:spacing w:after="0"/>
              <w:rPr>
                <w:sz w:val="14"/>
                <w:szCs w:val="14"/>
                <w:color w:val="auto"/>
              </w:rPr>
            </w:pPr>
          </w:p>
        </w:tc>
        <w:tc>
          <w:tcPr>
            <w:tcW w:w="1400" w:type="dxa"/>
            <w:vAlign w:val="bottom"/>
            <w:tcBorders>
              <w:bottom w:val="single" w:sz="8" w:color="AFAFAF"/>
            </w:tcBorders>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1540" w:type="dxa"/>
            <w:vAlign w:val="bottom"/>
            <w:tcBorders>
              <w:bottom w:val="single" w:sz="8" w:color="AFAFAF"/>
            </w:tcBorders>
          </w:tcPr>
          <w:p>
            <w:pPr>
              <w:spacing w:after="0"/>
              <w:rPr>
                <w:sz w:val="14"/>
                <w:szCs w:val="14"/>
                <w:color w:val="auto"/>
              </w:rPr>
            </w:pPr>
          </w:p>
        </w:tc>
        <w:tc>
          <w:tcPr>
            <w:tcW w:w="3520" w:type="dxa"/>
            <w:vAlign w:val="bottom"/>
            <w:tcBorders>
              <w:bottom w:val="single" w:sz="8" w:color="AFAFAF"/>
            </w:tcBorders>
          </w:tcPr>
          <w:p>
            <w:pPr>
              <w:spacing w:after="0"/>
              <w:rPr>
                <w:sz w:val="14"/>
                <w:szCs w:val="14"/>
                <w:color w:val="auto"/>
              </w:rPr>
            </w:pPr>
          </w:p>
        </w:tc>
      </w:tr>
      <w:tr>
        <w:trPr>
          <w:trHeight w:val="168"/>
        </w:trPr>
        <w:tc>
          <w:tcPr>
            <w:tcW w:w="29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Kristin C. Peck</w:t>
            </w:r>
          </w:p>
        </w:tc>
        <w:tc>
          <w:tcPr>
            <w:tcW w:w="1560" w:type="dxa"/>
            <w:vAlign w:val="bottom"/>
            <w:tcBorders>
              <w:bottom w:val="single" w:sz="8" w:color="AFAFAF"/>
            </w:tcBorders>
          </w:tcPr>
          <w:p>
            <w:pPr>
              <w:spacing w:after="0"/>
              <w:rPr>
                <w:sz w:val="14"/>
                <w:szCs w:val="14"/>
                <w:color w:val="auto"/>
              </w:rPr>
            </w:pPr>
          </w:p>
        </w:tc>
        <w:tc>
          <w:tcPr>
            <w:tcW w:w="1400" w:type="dxa"/>
            <w:vAlign w:val="bottom"/>
            <w:tcBorders>
              <w:bottom w:val="single" w:sz="8" w:color="AFAFAF"/>
            </w:tcBorders>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1540" w:type="dxa"/>
            <w:vAlign w:val="bottom"/>
            <w:tcBorders>
              <w:bottom w:val="single" w:sz="8" w:color="AFAFAF"/>
            </w:tcBorders>
          </w:tcPr>
          <w:p>
            <w:pPr>
              <w:spacing w:after="0"/>
              <w:rPr>
                <w:sz w:val="14"/>
                <w:szCs w:val="14"/>
                <w:color w:val="auto"/>
              </w:rPr>
            </w:pPr>
          </w:p>
        </w:tc>
        <w:tc>
          <w:tcPr>
            <w:tcW w:w="3520" w:type="dxa"/>
            <w:vAlign w:val="bottom"/>
            <w:tcBorders>
              <w:bottom w:val="single" w:sz="8" w:color="AFAFAF"/>
            </w:tcBorders>
          </w:tcPr>
          <w:p>
            <w:pPr>
              <w:spacing w:after="0"/>
              <w:rPr>
                <w:sz w:val="14"/>
                <w:szCs w:val="14"/>
                <w:color w:val="auto"/>
              </w:rPr>
            </w:pPr>
          </w:p>
        </w:tc>
      </w:tr>
      <w:tr>
        <w:trPr>
          <w:trHeight w:val="168"/>
        </w:trPr>
        <w:tc>
          <w:tcPr>
            <w:tcW w:w="29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Barry Salzberg</w:t>
            </w:r>
          </w:p>
        </w:tc>
        <w:tc>
          <w:tcPr>
            <w:tcW w:w="1560" w:type="dxa"/>
            <w:vAlign w:val="bottom"/>
            <w:tcBorders>
              <w:bottom w:val="single" w:sz="8" w:color="AFAFAF"/>
            </w:tcBorders>
          </w:tcPr>
          <w:p>
            <w:pPr>
              <w:spacing w:after="0"/>
              <w:rPr>
                <w:sz w:val="14"/>
                <w:szCs w:val="14"/>
                <w:color w:val="auto"/>
              </w:rPr>
            </w:pPr>
          </w:p>
        </w:tc>
        <w:tc>
          <w:tcPr>
            <w:tcW w:w="1400" w:type="dxa"/>
            <w:vAlign w:val="bottom"/>
            <w:tcBorders>
              <w:bottom w:val="single" w:sz="8" w:color="AFAFAF"/>
            </w:tcBorders>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1540" w:type="dxa"/>
            <w:vAlign w:val="bottom"/>
            <w:tcBorders>
              <w:bottom w:val="single" w:sz="8" w:color="AFAFAF"/>
            </w:tcBorders>
          </w:tcPr>
          <w:p>
            <w:pPr>
              <w:spacing w:after="0"/>
              <w:rPr>
                <w:sz w:val="14"/>
                <w:szCs w:val="14"/>
                <w:color w:val="auto"/>
              </w:rPr>
            </w:pPr>
          </w:p>
        </w:tc>
        <w:tc>
          <w:tcPr>
            <w:tcW w:w="3520" w:type="dxa"/>
            <w:vAlign w:val="bottom"/>
            <w:tcBorders>
              <w:bottom w:val="single" w:sz="8" w:color="AFAFAF"/>
            </w:tcBorders>
          </w:tcPr>
          <w:p>
            <w:pPr>
              <w:spacing w:after="0"/>
              <w:rPr>
                <w:sz w:val="14"/>
                <w:szCs w:val="14"/>
                <w:color w:val="auto"/>
              </w:rPr>
            </w:pPr>
          </w:p>
        </w:tc>
      </w:tr>
      <w:tr>
        <w:trPr>
          <w:trHeight w:val="168"/>
        </w:trPr>
        <w:tc>
          <w:tcPr>
            <w:tcW w:w="29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Peter J. Thomson</w:t>
            </w:r>
          </w:p>
        </w:tc>
        <w:tc>
          <w:tcPr>
            <w:tcW w:w="1560" w:type="dxa"/>
            <w:vAlign w:val="bottom"/>
            <w:tcBorders>
              <w:bottom w:val="single" w:sz="8" w:color="AFAFAF"/>
            </w:tcBorders>
          </w:tcPr>
          <w:p>
            <w:pPr>
              <w:spacing w:after="0"/>
              <w:rPr>
                <w:sz w:val="14"/>
                <w:szCs w:val="14"/>
                <w:color w:val="auto"/>
              </w:rPr>
            </w:pPr>
          </w:p>
        </w:tc>
        <w:tc>
          <w:tcPr>
            <w:tcW w:w="1400" w:type="dxa"/>
            <w:vAlign w:val="bottom"/>
            <w:tcBorders>
              <w:bottom w:val="single" w:sz="8" w:color="AFAFAF"/>
            </w:tcBorders>
          </w:tcPr>
          <w:p>
            <w:pPr>
              <w:spacing w:after="0"/>
              <w:rPr>
                <w:sz w:val="14"/>
                <w:szCs w:val="14"/>
                <w:color w:val="auto"/>
              </w:rPr>
            </w:pPr>
          </w:p>
        </w:tc>
        <w:tc>
          <w:tcPr>
            <w:tcW w:w="1540" w:type="dxa"/>
            <w:vAlign w:val="bottom"/>
            <w:tcBorders>
              <w:bottom w:val="single" w:sz="8" w:color="AFAFAF"/>
            </w:tcBorders>
          </w:tcPr>
          <w:p>
            <w:pPr>
              <w:jc w:val="center"/>
              <w:ind w:left="27"/>
              <w:spacing w:after="0" w:line="141" w:lineRule="exact"/>
              <w:rPr>
                <w:sz w:val="20"/>
                <w:szCs w:val="20"/>
                <w:color w:val="auto"/>
              </w:rPr>
            </w:pPr>
            <w:r>
              <w:rPr>
                <w:rFonts w:ascii="MS PGothic" w:cs="MS PGothic" w:eastAsia="MS PGothic" w:hAnsi="MS PGothic"/>
                <w:sz w:val="14"/>
                <w:szCs w:val="14"/>
                <w:color w:val="auto"/>
                <w:w w:val="85"/>
              </w:rPr>
              <w:t>✓</w:t>
            </w:r>
          </w:p>
        </w:tc>
        <w:tc>
          <w:tcPr>
            <w:tcW w:w="3520" w:type="dxa"/>
            <w:vAlign w:val="bottom"/>
            <w:tcBorders>
              <w:bottom w:val="single" w:sz="8" w:color="AFAFAF"/>
            </w:tcBorders>
          </w:tcPr>
          <w:p>
            <w:pPr>
              <w:ind w:left="140"/>
              <w:spacing w:after="0"/>
              <w:rPr>
                <w:sz w:val="20"/>
                <w:szCs w:val="20"/>
                <w:color w:val="auto"/>
              </w:rPr>
            </w:pPr>
            <w:r>
              <w:rPr>
                <w:rFonts w:ascii="Arial" w:cs="Arial" w:eastAsia="Arial" w:hAnsi="Arial"/>
                <w:sz w:val="14"/>
                <w:szCs w:val="14"/>
                <w:color w:val="auto"/>
              </w:rPr>
              <w:t>A Chairman of Woodbridge</w:t>
            </w:r>
          </w:p>
        </w:tc>
      </w:tr>
      <w:tr>
        <w:trPr>
          <w:trHeight w:val="168"/>
        </w:trPr>
        <w:tc>
          <w:tcPr>
            <w:tcW w:w="2960" w:type="dxa"/>
            <w:vAlign w:val="bottom"/>
            <w:tcBorders>
              <w:bottom w:val="single" w:sz="8" w:color="D95A3B"/>
            </w:tcBorders>
          </w:tcPr>
          <w:p>
            <w:pPr>
              <w:spacing w:after="0"/>
              <w:rPr>
                <w:sz w:val="20"/>
                <w:szCs w:val="20"/>
                <w:color w:val="auto"/>
              </w:rPr>
            </w:pPr>
            <w:r>
              <w:rPr>
                <w:rFonts w:ascii="Arial" w:cs="Arial" w:eastAsia="Arial" w:hAnsi="Arial"/>
                <w:sz w:val="14"/>
                <w:szCs w:val="14"/>
                <w:b w:val="1"/>
                <w:bCs w:val="1"/>
                <w:color w:val="auto"/>
              </w:rPr>
              <w:t>Wulf von Schimmelmann</w:t>
            </w:r>
          </w:p>
        </w:tc>
        <w:tc>
          <w:tcPr>
            <w:tcW w:w="1560" w:type="dxa"/>
            <w:vAlign w:val="bottom"/>
            <w:tcBorders>
              <w:bottom w:val="single" w:sz="8" w:color="D95A3B"/>
            </w:tcBorders>
          </w:tcPr>
          <w:p>
            <w:pPr>
              <w:spacing w:after="0"/>
              <w:rPr>
                <w:sz w:val="14"/>
                <w:szCs w:val="14"/>
                <w:color w:val="auto"/>
              </w:rPr>
            </w:pPr>
          </w:p>
        </w:tc>
        <w:tc>
          <w:tcPr>
            <w:tcW w:w="1400" w:type="dxa"/>
            <w:vAlign w:val="bottom"/>
            <w:tcBorders>
              <w:bottom w:val="single" w:sz="8" w:color="D95A3B"/>
            </w:tcBorders>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1540" w:type="dxa"/>
            <w:vAlign w:val="bottom"/>
            <w:tcBorders>
              <w:bottom w:val="single" w:sz="8" w:color="D95A3B"/>
            </w:tcBorders>
          </w:tcPr>
          <w:p>
            <w:pPr>
              <w:spacing w:after="0"/>
              <w:rPr>
                <w:sz w:val="14"/>
                <w:szCs w:val="14"/>
                <w:color w:val="auto"/>
              </w:rPr>
            </w:pPr>
          </w:p>
        </w:tc>
        <w:tc>
          <w:tcPr>
            <w:tcW w:w="3520" w:type="dxa"/>
            <w:vAlign w:val="bottom"/>
            <w:tcBorders>
              <w:bottom w:val="single" w:sz="8" w:color="D95A3B"/>
            </w:tcBorders>
          </w:tcPr>
          <w:p>
            <w:pPr>
              <w:spacing w:after="0"/>
              <w:rPr>
                <w:sz w:val="14"/>
                <w:szCs w:val="14"/>
                <w:color w:val="auto"/>
              </w:rPr>
            </w:pPr>
          </w:p>
        </w:tc>
      </w:tr>
      <w:tr>
        <w:trPr>
          <w:trHeight w:val="155"/>
        </w:trPr>
        <w:tc>
          <w:tcPr>
            <w:tcW w:w="2960" w:type="dxa"/>
            <w:vAlign w:val="bottom"/>
            <w:tcBorders>
              <w:bottom w:val="single" w:sz="8" w:color="D95A3B"/>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1560" w:type="dxa"/>
            <w:vAlign w:val="bottom"/>
            <w:tcBorders>
              <w:bottom w:val="single" w:sz="8" w:color="D95A3B"/>
            </w:tcBorders>
          </w:tcPr>
          <w:p>
            <w:pPr>
              <w:jc w:val="right"/>
              <w:ind w:right="627"/>
              <w:spacing w:after="0" w:line="155" w:lineRule="exact"/>
              <w:rPr>
                <w:sz w:val="20"/>
                <w:szCs w:val="20"/>
                <w:color w:val="auto"/>
              </w:rPr>
            </w:pPr>
            <w:r>
              <w:rPr>
                <w:rFonts w:ascii="Arial" w:cs="Arial" w:eastAsia="Arial" w:hAnsi="Arial"/>
                <w:sz w:val="14"/>
                <w:szCs w:val="14"/>
                <w:b w:val="1"/>
                <w:bCs w:val="1"/>
                <w:color w:val="auto"/>
              </w:rPr>
              <w:t>1</w:t>
            </w:r>
          </w:p>
        </w:tc>
        <w:tc>
          <w:tcPr>
            <w:tcW w:w="1400" w:type="dxa"/>
            <w:vAlign w:val="bottom"/>
            <w:tcBorders>
              <w:bottom w:val="single" w:sz="8" w:color="D95A3B"/>
            </w:tcBorders>
          </w:tcPr>
          <w:p>
            <w:pPr>
              <w:jc w:val="center"/>
              <w:ind w:left="8"/>
              <w:spacing w:after="0" w:line="155" w:lineRule="exact"/>
              <w:rPr>
                <w:sz w:val="20"/>
                <w:szCs w:val="20"/>
                <w:color w:val="auto"/>
              </w:rPr>
            </w:pPr>
            <w:r>
              <w:rPr>
                <w:rFonts w:ascii="Arial" w:cs="Arial" w:eastAsia="Arial" w:hAnsi="Arial"/>
                <w:sz w:val="14"/>
                <w:szCs w:val="14"/>
                <w:b w:val="1"/>
                <w:bCs w:val="1"/>
                <w:color w:val="auto"/>
              </w:rPr>
              <w:t>6</w:t>
            </w:r>
          </w:p>
        </w:tc>
        <w:tc>
          <w:tcPr>
            <w:tcW w:w="1540" w:type="dxa"/>
            <w:vAlign w:val="bottom"/>
            <w:tcBorders>
              <w:bottom w:val="single" w:sz="8" w:color="D95A3B"/>
            </w:tcBorders>
          </w:tcPr>
          <w:p>
            <w:pPr>
              <w:jc w:val="center"/>
              <w:ind w:left="27"/>
              <w:spacing w:after="0" w:line="155" w:lineRule="exact"/>
              <w:rPr>
                <w:sz w:val="20"/>
                <w:szCs w:val="20"/>
                <w:color w:val="auto"/>
              </w:rPr>
            </w:pPr>
            <w:r>
              <w:rPr>
                <w:rFonts w:ascii="Arial" w:cs="Arial" w:eastAsia="Arial" w:hAnsi="Arial"/>
                <w:sz w:val="14"/>
                <w:szCs w:val="14"/>
                <w:b w:val="1"/>
                <w:bCs w:val="1"/>
                <w:color w:val="auto"/>
              </w:rPr>
              <w:t>5</w:t>
            </w:r>
          </w:p>
        </w:tc>
        <w:tc>
          <w:tcPr>
            <w:tcW w:w="3520" w:type="dxa"/>
            <w:vAlign w:val="bottom"/>
            <w:tcBorders>
              <w:bottom w:val="single" w:sz="8" w:color="D95A3B"/>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4867275</wp:posOffset>
            </wp:positionH>
            <wp:positionV relativeFrom="paragraph">
              <wp:posOffset>-1742440</wp:posOffset>
            </wp:positionV>
            <wp:extent cx="8255" cy="128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-1742440</wp:posOffset>
            </wp:positionV>
            <wp:extent cx="8255" cy="1282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-1742440</wp:posOffset>
            </wp:positionV>
            <wp:extent cx="8255" cy="1282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-1742440</wp:posOffset>
            </wp:positionV>
            <wp:extent cx="8255" cy="128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128270"/>
                    </a:xfrm>
                    <a:prstGeom prst="rect">
                      <a:avLst/>
                    </a:prstGeom>
                    <a:noFill/>
                  </pic:spPr>
                </pic:pic>
              </a:graphicData>
            </a:graphic>
          </wp:anchor>
        </w:drawing>
      </w:r>
    </w:p>
    <w:p>
      <w:pPr>
        <w:spacing w:after="0" w:line="87" w:lineRule="exact"/>
        <w:rPr>
          <w:sz w:val="20"/>
          <w:szCs w:val="20"/>
          <w:color w:val="auto"/>
        </w:rPr>
      </w:pPr>
    </w:p>
    <w:p>
      <w:pPr>
        <w:ind w:left="220" w:right="280"/>
        <w:spacing w:after="0" w:line="239" w:lineRule="auto"/>
        <w:rPr>
          <w:sz w:val="20"/>
          <w:szCs w:val="20"/>
          <w:color w:val="auto"/>
        </w:rPr>
      </w:pPr>
      <w:r>
        <w:rPr>
          <w:rFonts w:ascii="Arial" w:cs="Arial" w:eastAsia="Arial" w:hAnsi="Arial"/>
          <w:sz w:val="18"/>
          <w:szCs w:val="18"/>
          <w:color w:val="auto"/>
        </w:rPr>
        <w:t>None of Messrs. D. Thomson, Binet or P. Thomson is a member of Thomson Reuters executive management team. With its substantial equity investment in Thomson Reuters, Woodbridge considers that its interests as a shareholder are aligned with those of all other shareholders.</w:t>
      </w:r>
    </w:p>
    <w:p>
      <w:pPr>
        <w:spacing w:after="0" w:line="95" w:lineRule="exact"/>
        <w:rPr>
          <w:sz w:val="20"/>
          <w:szCs w:val="20"/>
          <w:color w:val="auto"/>
        </w:rPr>
      </w:pPr>
    </w:p>
    <w:p>
      <w:pPr>
        <w:ind w:left="220" w:right="120"/>
        <w:spacing w:after="0" w:line="239" w:lineRule="auto"/>
        <w:rPr>
          <w:sz w:val="20"/>
          <w:szCs w:val="20"/>
          <w:color w:val="auto"/>
        </w:rPr>
      </w:pPr>
      <w:r>
        <w:rPr>
          <w:rFonts w:ascii="Arial" w:cs="Arial" w:eastAsia="Arial" w:hAnsi="Arial"/>
          <w:sz w:val="18"/>
          <w:szCs w:val="18"/>
          <w:color w:val="auto"/>
        </w:rPr>
        <w:t>In determining the independence of directors, the board also considers that in the normal course of business, we provide services to, and receive services from, companies with which some of the independent directors are affiliated. Based on the specific facts and circumstances, the board determined in March 2019 that these relationships were immaterial.</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Interlocking Directorships</w:t>
      </w:r>
    </w:p>
    <w:p>
      <w:pPr>
        <w:spacing w:after="0" w:line="35" w:lineRule="exact"/>
        <w:rPr>
          <w:sz w:val="20"/>
          <w:szCs w:val="20"/>
          <w:color w:val="auto"/>
        </w:rPr>
      </w:pPr>
    </w:p>
    <w:p>
      <w:pPr>
        <w:ind w:left="220" w:right="180"/>
        <w:spacing w:after="0" w:line="239" w:lineRule="auto"/>
        <w:rPr>
          <w:sz w:val="20"/>
          <w:szCs w:val="20"/>
          <w:color w:val="auto"/>
        </w:rPr>
      </w:pPr>
      <w:r>
        <w:rPr>
          <w:rFonts w:ascii="Arial" w:cs="Arial" w:eastAsia="Arial" w:hAnsi="Arial"/>
          <w:sz w:val="18"/>
          <w:szCs w:val="18"/>
          <w:color w:val="auto"/>
        </w:rPr>
        <w:t>We do not have any director nominees who serve together on boards of other public companies. The board has adopted a policy that no more than two of our directors may serve together on the boards of other public companies without the consent of the Corporate Governance Committee.</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Service on Other Boards</w:t>
      </w:r>
    </w:p>
    <w:p>
      <w:pPr>
        <w:spacing w:after="0" w:line="22" w:lineRule="exact"/>
        <w:rPr>
          <w:sz w:val="20"/>
          <w:szCs w:val="20"/>
          <w:color w:val="auto"/>
        </w:rPr>
      </w:pPr>
    </w:p>
    <w:p>
      <w:pPr>
        <w:ind w:left="220" w:right="120"/>
        <w:spacing w:after="0" w:line="237" w:lineRule="auto"/>
        <w:rPr>
          <w:sz w:val="20"/>
          <w:szCs w:val="20"/>
          <w:color w:val="auto"/>
        </w:rPr>
      </w:pPr>
      <w:r>
        <w:rPr>
          <w:rFonts w:ascii="Arial" w:cs="Arial" w:eastAsia="Arial" w:hAnsi="Arial"/>
          <w:sz w:val="18"/>
          <w:szCs w:val="18"/>
          <w:color w:val="auto"/>
        </w:rPr>
        <w:t>Our directors are not restricted from serving on the boards of other public or private companies so long as their commitments do not materially interfere with or are not incompatible with, their ability to fulfill their duties as a member of our company’s board. However, directors must receive approval from the Chair of the Corporate Governance Committee in advance of accepting an invitation to serve on the board of another public company and must notify the Chair of the Corporate Governance Committee in connection with accepting an invitation to serve on the board of a for-profit private company that is not a family business.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120650</wp:posOffset>
            </wp:positionV>
            <wp:extent cx="697357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4" w:lineRule="exact"/>
        <w:rPr>
          <w:sz w:val="20"/>
          <w:szCs w:val="20"/>
          <w:color w:val="auto"/>
        </w:rPr>
      </w:pPr>
    </w:p>
    <w:p>
      <w:pPr>
        <w:ind w:left="6100"/>
        <w:spacing w:after="0"/>
        <w:tabs>
          <w:tab w:leader="none" w:pos="106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13</w:t>
      </w:r>
    </w:p>
    <w:p>
      <w:pPr>
        <w:sectPr>
          <w:pgSz w:w="11900" w:h="16838" w:orient="portrait"/>
          <w:cols w:equalWidth="0" w:num="1">
            <w:col w:w="11200"/>
          </w:cols>
          <w:pgMar w:left="240" w:top="458" w:right="4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right="40"/>
        <w:spacing w:after="0" w:line="239" w:lineRule="auto"/>
        <w:rPr>
          <w:sz w:val="20"/>
          <w:szCs w:val="20"/>
          <w:color w:val="auto"/>
        </w:rPr>
      </w:pPr>
      <w:r>
        <w:rPr>
          <w:rFonts w:ascii="Arial" w:cs="Arial" w:eastAsia="Arial" w:hAnsi="Arial"/>
          <w:sz w:val="18"/>
          <w:szCs w:val="18"/>
          <w:color w:val="auto"/>
        </w:rPr>
        <w:t>Corporate Governance Committee monitors the outside boards that our directors sit on to determine if there are circumstances that would impact a director’s ability to exercise independent judgment and to ensure that a director has sufficient time to fulfill his or her commitments to Thomson Reuters.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Tenure</w:t>
      </w:r>
    </w:p>
    <w:p>
      <w:pPr>
        <w:spacing w:after="0" w:line="35" w:lineRule="exact"/>
        <w:rPr>
          <w:sz w:val="20"/>
          <w:szCs w:val="20"/>
          <w:color w:val="auto"/>
        </w:rPr>
      </w:pPr>
    </w:p>
    <w:p>
      <w:pPr>
        <w:ind w:left="220" w:right="160"/>
        <w:spacing w:after="0" w:line="237" w:lineRule="auto"/>
        <w:rPr>
          <w:sz w:val="20"/>
          <w:szCs w:val="20"/>
          <w:color w:val="auto"/>
        </w:rPr>
      </w:pPr>
      <w:r>
        <w:rPr>
          <w:rFonts w:ascii="Arial" w:cs="Arial" w:eastAsia="Arial" w:hAnsi="Arial"/>
          <w:sz w:val="18"/>
          <w:szCs w:val="18"/>
          <w:color w:val="auto"/>
        </w:rPr>
        <w:t>Our board has not adopted a mandatory retirement age or term limits for individual directors. We believe that individuals can continue to remain effective directors beyond a mandated retirement age or maximum period of service. Without having a mandatory retirement age or term limits, we have experienced turnover on our board that has brought directors with new perspectives and approaches. This has complemented the depth of knowledge and insight about our company and business operations that some of our more long-standing directors have developed over time.</w:t>
      </w:r>
    </w:p>
    <w:p>
      <w:pPr>
        <w:spacing w:after="0" w:line="95" w:lineRule="exact"/>
        <w:rPr>
          <w:sz w:val="20"/>
          <w:szCs w:val="20"/>
          <w:color w:val="auto"/>
        </w:rPr>
      </w:pPr>
    </w:p>
    <w:p>
      <w:pPr>
        <w:ind w:left="220" w:right="360"/>
        <w:spacing w:after="0" w:line="244" w:lineRule="auto"/>
        <w:rPr>
          <w:sz w:val="20"/>
          <w:szCs w:val="20"/>
          <w:color w:val="auto"/>
        </w:rPr>
      </w:pPr>
      <w:r>
        <w:rPr>
          <w:rFonts w:ascii="Arial" w:cs="Arial" w:eastAsia="Arial" w:hAnsi="Arial"/>
          <w:sz w:val="18"/>
          <w:szCs w:val="18"/>
          <w:color w:val="auto"/>
        </w:rPr>
        <w:t>Of the 11 directors proposed to be elected at this year’s meeting, only three (approximately 27%) were members of our board in 2008 when Thomson Reuters was formed. The following table shows the tenure of our director nominees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143510</wp:posOffset>
            </wp:positionV>
            <wp:extent cx="6973570" cy="1316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73570" cy="131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20" w:right="920"/>
        <w:spacing w:after="0" w:line="275" w:lineRule="auto"/>
        <w:rPr>
          <w:sz w:val="20"/>
          <w:szCs w:val="20"/>
          <w:color w:val="auto"/>
        </w:rPr>
      </w:pPr>
      <w:r>
        <w:rPr>
          <w:rFonts w:ascii="Arial" w:cs="Arial" w:eastAsia="Arial" w:hAnsi="Arial"/>
          <w:sz w:val="27"/>
          <w:szCs w:val="27"/>
          <w:color w:val="auto"/>
        </w:rPr>
        <w:t xml:space="preserve">The average tenure of all director nominees is </w:t>
      </w:r>
      <w:r>
        <w:rPr>
          <w:rFonts w:ascii="Arial" w:cs="Arial" w:eastAsia="Arial" w:hAnsi="Arial"/>
          <w:sz w:val="27"/>
          <w:szCs w:val="27"/>
          <w:b w:val="1"/>
          <w:bCs w:val="1"/>
          <w:color w:val="D95A3B"/>
        </w:rPr>
        <w:t>10.9 years</w:t>
      </w:r>
      <w:r>
        <w:rPr>
          <w:rFonts w:ascii="Arial" w:cs="Arial" w:eastAsia="Arial" w:hAnsi="Arial"/>
          <w:sz w:val="27"/>
          <w:szCs w:val="27"/>
          <w:color w:val="auto"/>
        </w:rPr>
        <w:t xml:space="preserve"> and the average tenure of nominees who are considered independent is </w:t>
      </w:r>
      <w:r>
        <w:rPr>
          <w:rFonts w:ascii="Arial" w:cs="Arial" w:eastAsia="Arial" w:hAnsi="Arial"/>
          <w:sz w:val="27"/>
          <w:szCs w:val="27"/>
          <w:b w:val="1"/>
          <w:bCs w:val="1"/>
          <w:color w:val="D95A3B"/>
        </w:rPr>
        <w:t>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194310</wp:posOffset>
            </wp:positionV>
            <wp:extent cx="69735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20"/>
        <w:spacing w:after="0" w:line="244" w:lineRule="auto"/>
        <w:rPr>
          <w:sz w:val="20"/>
          <w:szCs w:val="20"/>
          <w:color w:val="auto"/>
        </w:rPr>
      </w:pPr>
      <w:r>
        <w:rPr>
          <w:rFonts w:ascii="Arial" w:cs="Arial" w:eastAsia="Arial" w:hAnsi="Arial"/>
          <w:sz w:val="18"/>
          <w:szCs w:val="18"/>
          <w:color w:val="auto"/>
        </w:rPr>
        <w:t>Two of our directors who have been members of the board for more than 10 years (David Thomson and Peter Thomson) are affiliated with our company’s principal shareholder, Woodbridge.</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Countries of Residence</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the countries where our director nominees ordinarily reside.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151130</wp:posOffset>
            </wp:positionV>
            <wp:extent cx="2478405" cy="12223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78405" cy="122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Nominee Information</w:t>
      </w:r>
    </w:p>
    <w:p>
      <w:pPr>
        <w:spacing w:after="0" w:line="79" w:lineRule="exact"/>
        <w:rPr>
          <w:sz w:val="20"/>
          <w:szCs w:val="20"/>
          <w:color w:val="auto"/>
        </w:rPr>
      </w:pPr>
    </w:p>
    <w:p>
      <w:pPr>
        <w:ind w:left="220" w:right="20"/>
        <w:spacing w:after="0" w:line="256" w:lineRule="auto"/>
        <w:rPr>
          <w:sz w:val="20"/>
          <w:szCs w:val="20"/>
          <w:color w:val="auto"/>
        </w:rPr>
      </w:pPr>
      <w:r>
        <w:rPr>
          <w:rFonts w:ascii="Arial" w:cs="Arial" w:eastAsia="Arial" w:hAnsi="Arial"/>
          <w:sz w:val="17"/>
          <w:szCs w:val="17"/>
          <w:color w:val="auto"/>
        </w:rPr>
        <w:t>The following provides information regarding the 11 director nominees who are proposed to be elected at the meeting, including a brief biography, city and country of residence, the year that they were appointed to our board, independence status, primary areas of expertise, committee membership, attendance at board and committee meetings in 2018 and ownership of Thomson Reuters securities. This information also reflects the percentage of “for” votes received by each director at our 2018 annual and special meeting of shareholders.</w:t>
      </w:r>
    </w:p>
    <w:p>
      <w:pPr>
        <w:spacing w:after="0" w:line="81"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In the director nominee profiles on the following pages, “securities held” by a director nominee includes common shares over which a director nominee exercised control or direction, and the number of restricted share units (RSUs), deferred share units (DSUs) and options held by, or credited to, each individual as of April 11, 2019. Information regarding common shares beneficially owned does not include shares that may be obtained through the exercise or vesting of options, RSUs or DSUs. Each director nominee provided us with information about how many common shares he or she beneficially 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120650</wp:posOffset>
            </wp:positionV>
            <wp:extent cx="697357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ectPr>
          <w:pgSz w:w="11900" w:h="16838" w:orient="portrait"/>
          <w:cols w:equalWidth="0" w:num="1">
            <w:col w:w="11160"/>
          </w:cols>
          <w:pgMar w:left="240" w:top="458" w:right="499" w:bottom="1440" w:gutter="0" w:footer="0" w:header="0"/>
        </w:sectPr>
      </w:pPr>
    </w:p>
    <w:p>
      <w:pPr>
        <w:spacing w:after="0" w:line="351"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14</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160"/>
          </w:cols>
          <w:pgMar w:left="240" w:top="458" w:right="4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20" w:right="160"/>
        <w:spacing w:after="0" w:line="239" w:lineRule="auto"/>
        <w:rPr>
          <w:sz w:val="20"/>
          <w:szCs w:val="20"/>
          <w:color w:val="auto"/>
        </w:rPr>
      </w:pPr>
      <w:r>
        <w:rPr>
          <w:rFonts w:ascii="Arial" w:cs="Arial" w:eastAsia="Arial" w:hAnsi="Arial"/>
          <w:sz w:val="18"/>
          <w:szCs w:val="18"/>
          <w:color w:val="auto"/>
        </w:rPr>
        <w:t>The market value of shares beneficially owned is based on the closing price of our common shares on the New York Stock Exchange (NYSE) on April 11, 2019, which was $59.03. The market value of DSUs is also based on the closing price of our common shares on the NYSE on that date.</w:t>
      </w:r>
    </w:p>
    <w:p>
      <w:pPr>
        <w:spacing w:after="0" w:line="95" w:lineRule="exact"/>
        <w:rPr>
          <w:sz w:val="20"/>
          <w:szCs w:val="20"/>
          <w:color w:val="auto"/>
        </w:rPr>
      </w:pPr>
    </w:p>
    <w:p>
      <w:pPr>
        <w:ind w:left="220" w:right="420"/>
        <w:spacing w:after="0" w:line="239" w:lineRule="auto"/>
        <w:rPr>
          <w:sz w:val="20"/>
          <w:szCs w:val="20"/>
          <w:color w:val="auto"/>
        </w:rPr>
      </w:pPr>
      <w:r>
        <w:rPr>
          <w:rFonts w:ascii="Arial" w:cs="Arial" w:eastAsia="Arial" w:hAnsi="Arial"/>
          <w:sz w:val="18"/>
          <w:szCs w:val="18"/>
          <w:color w:val="auto"/>
        </w:rPr>
        <w:t>We have also included information about each director nominee’s ownership of Thomson Reuters common shares and DSUs as of April 11, 2019 as a multiple of their annual retainer. All of our directors exceeded their ownership guideline as of such date. Additional information about director share ownership guidelines is provided later in this section.</w:t>
      </w:r>
    </w:p>
    <w:p>
      <w:pPr>
        <w:sectPr>
          <w:pgSz w:w="11900" w:h="16838" w:orient="portrait"/>
          <w:cols w:equalWidth="0" w:num="1">
            <w:col w:w="11200"/>
          </w:cols>
          <w:pgMar w:left="240" w:top="45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David Thomson</w:t>
      </w:r>
      <w:r>
        <w:rPr>
          <w:rFonts w:ascii="Arial" w:cs="Arial" w:eastAsia="Arial" w:hAnsi="Arial"/>
          <w:sz w:val="11"/>
          <w:szCs w:val="11"/>
          <w:b w:val="1"/>
          <w:bCs w:val="1"/>
          <w:color w:val="auto"/>
        </w:rPr>
        <w:t>1</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Age: 61</w:t>
      </w:r>
    </w:p>
    <w:p>
      <w:pPr>
        <w:spacing w:after="0" w:line="66" w:lineRule="exact"/>
        <w:rPr>
          <w:sz w:val="20"/>
          <w:szCs w:val="20"/>
          <w:color w:val="auto"/>
        </w:rPr>
      </w:pPr>
    </w:p>
    <w:p>
      <w:pPr>
        <w:ind w:left="320" w:right="380"/>
        <w:spacing w:after="0" w:line="345" w:lineRule="auto"/>
        <w:rPr>
          <w:sz w:val="20"/>
          <w:szCs w:val="20"/>
          <w:color w:val="auto"/>
        </w:rPr>
      </w:pPr>
      <w:r>
        <w:rPr>
          <w:rFonts w:ascii="Arial" w:cs="Arial" w:eastAsia="Arial" w:hAnsi="Arial"/>
          <w:sz w:val="13"/>
          <w:szCs w:val="13"/>
          <w:color w:val="auto"/>
        </w:rPr>
        <w:t>Toronto, Ontario, Canada Director since 1988 Non-independent</w:t>
      </w:r>
    </w:p>
    <w:p>
      <w:pPr>
        <w:spacing w:after="0" w:line="1" w:lineRule="exact"/>
        <w:rPr>
          <w:sz w:val="20"/>
          <w:szCs w:val="20"/>
          <w:color w:val="auto"/>
        </w:rPr>
      </w:pPr>
    </w:p>
    <w:p>
      <w:pPr>
        <w:ind w:left="320"/>
        <w:spacing w:after="0" w:line="247" w:lineRule="auto"/>
        <w:rPr>
          <w:sz w:val="20"/>
          <w:szCs w:val="20"/>
          <w:color w:val="auto"/>
        </w:rPr>
      </w:pPr>
      <w:r>
        <w:rPr>
          <w:rFonts w:ascii="Arial" w:cs="Arial" w:eastAsia="Arial" w:hAnsi="Arial"/>
          <w:sz w:val="13"/>
          <w:szCs w:val="13"/>
          <w:color w:val="auto"/>
        </w:rPr>
        <w:t>Primary areas of expertise: investment management, retail, media/publishing</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2018 votes for: 98.90%</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-125095</wp:posOffset>
            </wp:positionV>
            <wp:extent cx="6973570" cy="2256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73570" cy="2256155"/>
                    </a:xfrm>
                    <a:prstGeom prst="rect">
                      <a:avLst/>
                    </a:prstGeom>
                    <a:noFill/>
                  </pic:spPr>
                </pic:pic>
              </a:graphicData>
            </a:graphic>
          </wp:anchor>
        </w:drawing>
      </w:r>
    </w:p>
    <w:p>
      <w:pPr>
        <w:spacing w:after="0" w:line="43" w:lineRule="exact"/>
        <w:rPr>
          <w:sz w:val="20"/>
          <w:szCs w:val="20"/>
          <w:color w:val="auto"/>
        </w:rPr>
      </w:pPr>
    </w:p>
    <w:p>
      <w:pPr>
        <w:ind w:left="60" w:right="80"/>
        <w:spacing w:after="0" w:line="248" w:lineRule="auto"/>
        <w:rPr>
          <w:sz w:val="20"/>
          <w:szCs w:val="20"/>
          <w:color w:val="auto"/>
        </w:rPr>
      </w:pPr>
      <w:r>
        <w:rPr>
          <w:rFonts w:ascii="Arial" w:cs="Arial" w:eastAsia="Arial" w:hAnsi="Arial"/>
          <w:sz w:val="14"/>
          <w:szCs w:val="14"/>
          <w:color w:val="auto"/>
        </w:rPr>
        <w:t>David Thomson is Chairman of Thomson Reuters. He is also a Chairman of Woodbridge, the Thomson family investment company, and Chairman of The Globe and Mail Inc., a Canadian media company. Mr. Thomson is an active private investor with a focus on real estate and serves on the boards of several private companies. Mr. Thomson has a MA from Cambridge University.</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ind w:left="60"/>
              <w:spacing w:after="0"/>
              <w:rPr>
                <w:sz w:val="20"/>
                <w:szCs w:val="20"/>
                <w:color w:val="auto"/>
              </w:rPr>
            </w:pPr>
            <w:r>
              <w:rPr>
                <w:rFonts w:ascii="Arial" w:cs="Arial" w:eastAsia="Arial" w:hAnsi="Arial"/>
                <w:sz w:val="14"/>
                <w:szCs w:val="14"/>
                <w:b w:val="1"/>
                <w:bCs w:val="1"/>
                <w:color w:val="auto"/>
              </w:rPr>
              <w:t>Board/committee</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8"/>
        </w:trPr>
        <w:tc>
          <w:tcPr>
            <w:tcW w:w="286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membership</w:t>
            </w:r>
          </w:p>
        </w:tc>
        <w:tc>
          <w:tcPr>
            <w:tcW w:w="1780" w:type="dxa"/>
            <w:vAlign w:val="bottom"/>
            <w:tcBorders>
              <w:bottom w:val="single" w:sz="8" w:color="AFAFAF"/>
            </w:tcBorders>
            <w:gridSpan w:val="2"/>
          </w:tcPr>
          <w:p>
            <w:pPr>
              <w:ind w:left="360"/>
              <w:spacing w:after="0"/>
              <w:rPr>
                <w:sz w:val="20"/>
                <w:szCs w:val="20"/>
                <w:color w:val="auto"/>
              </w:rPr>
            </w:pPr>
            <w:r>
              <w:rPr>
                <w:rFonts w:ascii="Arial" w:cs="Arial" w:eastAsia="Arial" w:hAnsi="Arial"/>
                <w:sz w:val="14"/>
                <w:szCs w:val="14"/>
                <w:b w:val="1"/>
                <w:bCs w:val="1"/>
                <w:color w:val="auto"/>
              </w:rPr>
              <w:t>2018 attendance</w:t>
            </w:r>
          </w:p>
        </w:tc>
        <w:tc>
          <w:tcPr>
            <w:tcW w:w="3820" w:type="dxa"/>
            <w:vAlign w:val="bottom"/>
            <w:tcBorders>
              <w:bottom w:val="single" w:sz="8" w:color="AFAFAF"/>
            </w:tcBorders>
            <w:gridSpan w:val="3"/>
          </w:tcPr>
          <w:p>
            <w:pPr>
              <w:ind w:left="6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182"/>
        </w:trPr>
        <w:tc>
          <w:tcPr>
            <w:tcW w:w="2860" w:type="dxa"/>
            <w:vAlign w:val="bottom"/>
            <w:tcBorders>
              <w:bottom w:val="single" w:sz="8" w:color="AFAFAF"/>
            </w:tcBorders>
          </w:tcPr>
          <w:p>
            <w:pPr>
              <w:ind w:left="60"/>
              <w:spacing w:after="0"/>
              <w:rPr>
                <w:sz w:val="20"/>
                <w:szCs w:val="20"/>
                <w:color w:val="auto"/>
              </w:rPr>
            </w:pPr>
            <w:r>
              <w:rPr>
                <w:rFonts w:ascii="Arial" w:cs="Arial" w:eastAsia="Arial" w:hAnsi="Arial"/>
                <w:sz w:val="14"/>
                <w:szCs w:val="14"/>
                <w:color w:val="auto"/>
              </w:rPr>
              <w:t>Board</w:t>
            </w:r>
          </w:p>
        </w:tc>
        <w:tc>
          <w:tcPr>
            <w:tcW w:w="940" w:type="dxa"/>
            <w:vAlign w:val="bottom"/>
            <w:tcBorders>
              <w:bottom w:val="single" w:sz="8" w:color="AFAFAF"/>
            </w:tcBorders>
          </w:tcPr>
          <w:p>
            <w:pPr>
              <w:ind w:left="360"/>
              <w:spacing w:after="0"/>
              <w:rPr>
                <w:sz w:val="20"/>
                <w:szCs w:val="20"/>
                <w:color w:val="auto"/>
              </w:rPr>
            </w:pPr>
            <w:r>
              <w:rPr>
                <w:rFonts w:ascii="Arial" w:cs="Arial" w:eastAsia="Arial" w:hAnsi="Arial"/>
                <w:sz w:val="14"/>
                <w:szCs w:val="14"/>
                <w:color w:val="auto"/>
              </w:rPr>
              <w:t>15 of 15</w:t>
            </w:r>
          </w:p>
        </w:tc>
        <w:tc>
          <w:tcPr>
            <w:tcW w:w="840" w:type="dxa"/>
            <w:vAlign w:val="bottom"/>
            <w:tcBorders>
              <w:bottom w:val="single" w:sz="8" w:color="AFAFAF"/>
            </w:tcBorders>
          </w:tcPr>
          <w:p>
            <w:pPr>
              <w:ind w:left="60"/>
              <w:spacing w:after="0"/>
              <w:rPr>
                <w:sz w:val="20"/>
                <w:szCs w:val="20"/>
                <w:color w:val="auto"/>
              </w:rPr>
            </w:pPr>
            <w:r>
              <w:rPr>
                <w:rFonts w:ascii="Arial" w:cs="Arial" w:eastAsia="Arial" w:hAnsi="Arial"/>
                <w:sz w:val="14"/>
                <w:szCs w:val="14"/>
                <w:color w:val="auto"/>
              </w:rPr>
              <w:t>100%</w:t>
            </w:r>
          </w:p>
        </w:tc>
        <w:tc>
          <w:tcPr>
            <w:tcW w:w="600" w:type="dxa"/>
            <w:vAlign w:val="bottom"/>
            <w:tcBorders>
              <w:bottom w:val="single" w:sz="8" w:color="AFAFAF"/>
            </w:tcBorders>
          </w:tcPr>
          <w:p>
            <w:pPr>
              <w:spacing w:after="0"/>
              <w:rPr>
                <w:sz w:val="15"/>
                <w:szCs w:val="15"/>
                <w:color w:val="auto"/>
              </w:rPr>
            </w:pPr>
          </w:p>
        </w:tc>
        <w:tc>
          <w:tcPr>
            <w:tcW w:w="1820" w:type="dxa"/>
            <w:vAlign w:val="bottom"/>
            <w:tcBorders>
              <w:bottom w:val="single" w:sz="8" w:color="AFAFAF"/>
            </w:tcBorders>
          </w:tcPr>
          <w:p>
            <w:pPr>
              <w:ind w:left="4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FAFAF"/>
            </w:tcBorders>
          </w:tcPr>
          <w:p>
            <w:pPr>
              <w:spacing w:after="0"/>
              <w:rPr>
                <w:sz w:val="15"/>
                <w:szCs w:val="15"/>
                <w:color w:val="auto"/>
              </w:rPr>
            </w:pPr>
          </w:p>
        </w:tc>
      </w:tr>
      <w:tr>
        <w:trPr>
          <w:trHeight w:val="182"/>
        </w:trPr>
        <w:tc>
          <w:tcPr>
            <w:tcW w:w="286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Total</w:t>
            </w:r>
          </w:p>
        </w:tc>
        <w:tc>
          <w:tcPr>
            <w:tcW w:w="940" w:type="dxa"/>
            <w:vAlign w:val="bottom"/>
            <w:tcBorders>
              <w:bottom w:val="single" w:sz="8" w:color="AFAFAF"/>
            </w:tcBorders>
          </w:tcPr>
          <w:p>
            <w:pPr>
              <w:ind w:left="360"/>
              <w:spacing w:after="0"/>
              <w:rPr>
                <w:sz w:val="20"/>
                <w:szCs w:val="20"/>
                <w:color w:val="auto"/>
              </w:rPr>
            </w:pPr>
            <w:r>
              <w:rPr>
                <w:rFonts w:ascii="Arial" w:cs="Arial" w:eastAsia="Arial" w:hAnsi="Arial"/>
                <w:sz w:val="14"/>
                <w:szCs w:val="14"/>
                <w:b w:val="1"/>
                <w:bCs w:val="1"/>
                <w:color w:val="auto"/>
              </w:rPr>
              <w:t>15 of 15</w:t>
            </w:r>
          </w:p>
        </w:tc>
        <w:tc>
          <w:tcPr>
            <w:tcW w:w="84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100%</w:t>
            </w:r>
          </w:p>
        </w:tc>
        <w:tc>
          <w:tcPr>
            <w:tcW w:w="600" w:type="dxa"/>
            <w:vAlign w:val="bottom"/>
            <w:tcBorders>
              <w:bottom w:val="single" w:sz="8" w:color="AFAFAF"/>
            </w:tcBorders>
          </w:tcPr>
          <w:p>
            <w:pPr>
              <w:spacing w:after="0"/>
              <w:rPr>
                <w:sz w:val="15"/>
                <w:szCs w:val="15"/>
                <w:color w:val="auto"/>
              </w:rPr>
            </w:pPr>
          </w:p>
        </w:tc>
        <w:tc>
          <w:tcPr>
            <w:tcW w:w="1820" w:type="dxa"/>
            <w:vAlign w:val="bottom"/>
            <w:tcBorders>
              <w:bottom w:val="single" w:sz="8" w:color="AFAFAF"/>
            </w:tcBorders>
          </w:tcPr>
          <w:p>
            <w:pPr>
              <w:spacing w:after="0"/>
              <w:rPr>
                <w:sz w:val="15"/>
                <w:szCs w:val="15"/>
                <w:color w:val="auto"/>
              </w:rPr>
            </w:pPr>
          </w:p>
        </w:tc>
        <w:tc>
          <w:tcPr>
            <w:tcW w:w="1400" w:type="dxa"/>
            <w:vAlign w:val="bottom"/>
            <w:tcBorders>
              <w:bottom w:val="single" w:sz="8" w:color="AFAFAF"/>
            </w:tcBorders>
          </w:tcPr>
          <w:p>
            <w:pPr>
              <w:spacing w:after="0"/>
              <w:rPr>
                <w:sz w:val="15"/>
                <w:szCs w:val="15"/>
                <w:color w:val="auto"/>
              </w:rPr>
            </w:pPr>
          </w:p>
        </w:tc>
      </w:tr>
      <w:tr>
        <w:trPr>
          <w:trHeight w:val="209"/>
        </w:trPr>
        <w:tc>
          <w:tcPr>
            <w:tcW w:w="2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tcPr>
          <w:p>
            <w:pPr>
              <w:ind w:left="40"/>
              <w:spacing w:after="0"/>
              <w:rPr>
                <w:sz w:val="20"/>
                <w:szCs w:val="20"/>
                <w:color w:val="auto"/>
              </w:rPr>
            </w:pPr>
            <w:r>
              <w:rPr>
                <w:rFonts w:ascii="Arial" w:cs="Arial" w:eastAsia="Arial" w:hAnsi="Arial"/>
                <w:sz w:val="14"/>
                <w:szCs w:val="14"/>
                <w:b w:val="1"/>
                <w:bCs w:val="1"/>
                <w:color w:val="auto"/>
              </w:rPr>
              <w:t>Total shares Total market</w:t>
            </w:r>
          </w:p>
        </w:tc>
        <w:tc>
          <w:tcPr>
            <w:tcW w:w="1400" w:type="dxa"/>
            <w:vAlign w:val="bottom"/>
          </w:tcPr>
          <w:p>
            <w:pPr>
              <w:ind w:left="80"/>
              <w:spacing w:after="0"/>
              <w:rPr>
                <w:sz w:val="20"/>
                <w:szCs w:val="20"/>
                <w:color w:val="auto"/>
              </w:rPr>
            </w:pPr>
            <w:r>
              <w:rPr>
                <w:rFonts w:ascii="Arial" w:cs="Arial" w:eastAsia="Arial" w:hAnsi="Arial"/>
                <w:sz w:val="14"/>
                <w:szCs w:val="14"/>
                <w:b w:val="1"/>
                <w:bCs w:val="1"/>
                <w:color w:val="auto"/>
              </w:rPr>
              <w:t>Ownership multiple</w:t>
            </w:r>
          </w:p>
        </w:tc>
      </w:tr>
      <w:tr>
        <w:trPr>
          <w:trHeight w:val="188"/>
        </w:trPr>
        <w:tc>
          <w:tcPr>
            <w:tcW w:w="2860" w:type="dxa"/>
            <w:vAlign w:val="bottom"/>
            <w:tcBorders>
              <w:bottom w:val="single" w:sz="8" w:color="AFAFAF"/>
            </w:tcBorders>
          </w:tcPr>
          <w:p>
            <w:pPr>
              <w:ind w:left="60"/>
              <w:spacing w:after="0" w:line="189" w:lineRule="exact"/>
              <w:rPr>
                <w:sz w:val="20"/>
                <w:szCs w:val="20"/>
                <w:color w:val="auto"/>
              </w:rPr>
            </w:pPr>
            <w:r>
              <w:rPr>
                <w:rFonts w:ascii="Arial" w:cs="Arial" w:eastAsia="Arial" w:hAnsi="Arial"/>
                <w:sz w:val="13"/>
                <w:szCs w:val="13"/>
                <w:b w:val="1"/>
                <w:bCs w:val="1"/>
                <w:color w:val="auto"/>
              </w:rPr>
              <w:t>Securities held (number and value)</w:t>
            </w:r>
            <w:r>
              <w:rPr>
                <w:rFonts w:ascii="Arial" w:cs="Arial" w:eastAsia="Arial" w:hAnsi="Arial"/>
                <w:sz w:val="21"/>
                <w:szCs w:val="21"/>
                <w:b w:val="1"/>
                <w:bCs w:val="1"/>
                <w:color w:val="auto"/>
                <w:vertAlign w:val="superscript"/>
              </w:rPr>
              <w:t>2</w:t>
            </w:r>
          </w:p>
        </w:tc>
        <w:tc>
          <w:tcPr>
            <w:tcW w:w="940" w:type="dxa"/>
            <w:vAlign w:val="bottom"/>
            <w:tcBorders>
              <w:bottom w:val="single" w:sz="8" w:color="AFAFAF"/>
            </w:tcBorders>
          </w:tcPr>
          <w:p>
            <w:pPr>
              <w:spacing w:after="0"/>
              <w:rPr>
                <w:sz w:val="16"/>
                <w:szCs w:val="16"/>
                <w:color w:val="auto"/>
              </w:rPr>
            </w:pPr>
          </w:p>
        </w:tc>
        <w:tc>
          <w:tcPr>
            <w:tcW w:w="840" w:type="dxa"/>
            <w:vAlign w:val="bottom"/>
            <w:tcBorders>
              <w:bottom w:val="single" w:sz="8" w:color="AFAFAF"/>
            </w:tcBorders>
          </w:tcPr>
          <w:p>
            <w:pPr>
              <w:spacing w:after="0"/>
              <w:rPr>
                <w:sz w:val="16"/>
                <w:szCs w:val="16"/>
                <w:color w:val="auto"/>
              </w:rPr>
            </w:pPr>
          </w:p>
        </w:tc>
        <w:tc>
          <w:tcPr>
            <w:tcW w:w="600" w:type="dxa"/>
            <w:vAlign w:val="bottom"/>
            <w:tcBorders>
              <w:bottom w:val="single" w:sz="8" w:color="AFAFAF"/>
            </w:tcBorders>
          </w:tcPr>
          <w:p>
            <w:pPr>
              <w:spacing w:after="0"/>
              <w:rPr>
                <w:sz w:val="16"/>
                <w:szCs w:val="16"/>
                <w:color w:val="auto"/>
              </w:rPr>
            </w:pPr>
          </w:p>
        </w:tc>
        <w:tc>
          <w:tcPr>
            <w:tcW w:w="182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and DSUs   value</w:t>
            </w:r>
          </w:p>
        </w:tc>
        <w:tc>
          <w:tcPr>
            <w:tcW w:w="1400" w:type="dxa"/>
            <w:vAlign w:val="bottom"/>
            <w:tcBorders>
              <w:bottom w:val="single" w:sz="8" w:color="AFAFAF"/>
            </w:tcBorders>
          </w:tcPr>
          <w:p>
            <w:pPr>
              <w:ind w:left="80"/>
              <w:spacing w:after="0"/>
              <w:rPr>
                <w:sz w:val="20"/>
                <w:szCs w:val="20"/>
                <w:color w:val="auto"/>
              </w:rPr>
            </w:pPr>
            <w:r>
              <w:rPr>
                <w:rFonts w:ascii="Arial" w:cs="Arial" w:eastAsia="Arial" w:hAnsi="Arial"/>
                <w:sz w:val="14"/>
                <w:szCs w:val="14"/>
                <w:b w:val="1"/>
                <w:bCs w:val="1"/>
                <w:color w:val="auto"/>
              </w:rPr>
              <w:t>of annual retainer</w:t>
            </w:r>
          </w:p>
        </w:tc>
      </w:tr>
      <w:tr>
        <w:trPr>
          <w:trHeight w:val="214"/>
        </w:trPr>
        <w:tc>
          <w:tcPr>
            <w:tcW w:w="2860" w:type="dxa"/>
            <w:vAlign w:val="bottom"/>
          </w:tcPr>
          <w:p>
            <w:pPr>
              <w:ind w:left="60"/>
              <w:spacing w:after="0"/>
              <w:rPr>
                <w:sz w:val="20"/>
                <w:szCs w:val="20"/>
                <w:color w:val="auto"/>
              </w:rPr>
            </w:pPr>
            <w:r>
              <w:rPr>
                <w:rFonts w:ascii="Arial" w:cs="Arial" w:eastAsia="Arial" w:hAnsi="Arial"/>
                <w:sz w:val="14"/>
                <w:szCs w:val="14"/>
                <w:color w:val="auto"/>
              </w:rPr>
              <w:t>Common shares</w:t>
            </w:r>
          </w:p>
        </w:tc>
        <w:tc>
          <w:tcPr>
            <w:tcW w:w="940" w:type="dxa"/>
            <w:vAlign w:val="bottom"/>
          </w:tcPr>
          <w:p>
            <w:pPr>
              <w:ind w:left="360"/>
              <w:spacing w:after="0"/>
              <w:rPr>
                <w:sz w:val="20"/>
                <w:szCs w:val="20"/>
                <w:color w:val="auto"/>
              </w:rPr>
            </w:pPr>
            <w:r>
              <w:rPr>
                <w:rFonts w:ascii="Arial" w:cs="Arial" w:eastAsia="Arial" w:hAnsi="Arial"/>
                <w:sz w:val="14"/>
                <w:szCs w:val="14"/>
                <w:color w:val="auto"/>
              </w:rPr>
              <w:t>RSUs</w:t>
            </w:r>
          </w:p>
        </w:tc>
        <w:tc>
          <w:tcPr>
            <w:tcW w:w="840" w:type="dxa"/>
            <w:vAlign w:val="bottom"/>
          </w:tcPr>
          <w:p>
            <w:pPr>
              <w:ind w:left="60"/>
              <w:spacing w:after="0"/>
              <w:rPr>
                <w:sz w:val="20"/>
                <w:szCs w:val="20"/>
                <w:color w:val="auto"/>
              </w:rPr>
            </w:pPr>
            <w:r>
              <w:rPr>
                <w:rFonts w:ascii="Arial" w:cs="Arial" w:eastAsia="Arial" w:hAnsi="Arial"/>
                <w:sz w:val="14"/>
                <w:szCs w:val="14"/>
                <w:color w:val="auto"/>
              </w:rPr>
              <w:t>DSUs</w:t>
            </w:r>
          </w:p>
        </w:tc>
        <w:tc>
          <w:tcPr>
            <w:tcW w:w="600" w:type="dxa"/>
            <w:vAlign w:val="bottom"/>
          </w:tcPr>
          <w:p>
            <w:pPr>
              <w:jc w:val="center"/>
              <w:spacing w:after="0"/>
              <w:rPr>
                <w:sz w:val="20"/>
                <w:szCs w:val="20"/>
                <w:color w:val="auto"/>
              </w:rPr>
            </w:pPr>
            <w:r>
              <w:rPr>
                <w:rFonts w:ascii="Arial" w:cs="Arial" w:eastAsia="Arial" w:hAnsi="Arial"/>
                <w:sz w:val="14"/>
                <w:szCs w:val="14"/>
                <w:color w:val="auto"/>
              </w:rPr>
              <w:t>Options</w:t>
            </w:r>
          </w:p>
        </w:tc>
        <w:tc>
          <w:tcPr>
            <w:tcW w:w="18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0"/>
        </w:trPr>
        <w:tc>
          <w:tcPr>
            <w:tcW w:w="2860" w:type="dxa"/>
            <w:vAlign w:val="bottom"/>
            <w:tcBorders>
              <w:bottom w:val="single" w:sz="8" w:color="AFAFAF"/>
            </w:tcBorders>
          </w:tcPr>
          <w:p>
            <w:pPr>
              <w:ind w:left="15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ind w:left="5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FAFAF"/>
            </w:tcBorders>
          </w:tcPr>
          <w:p>
            <w:pPr>
              <w:ind w:left="60"/>
              <w:spacing w:after="0"/>
              <w:rPr>
                <w:sz w:val="20"/>
                <w:szCs w:val="20"/>
                <w:color w:val="auto"/>
              </w:rPr>
            </w:pPr>
            <w:r>
              <w:rPr>
                <w:rFonts w:ascii="Arial" w:cs="Arial" w:eastAsia="Arial" w:hAnsi="Arial"/>
                <w:sz w:val="14"/>
                <w:szCs w:val="14"/>
                <w:color w:val="auto"/>
              </w:rPr>
              <w:t>83,085</w:t>
            </w:r>
          </w:p>
        </w:tc>
        <w:tc>
          <w:tcPr>
            <w:tcW w:w="6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83,085</w:t>
            </w:r>
          </w:p>
        </w:tc>
        <w:tc>
          <w:tcPr>
            <w:tcW w:w="1400" w:type="dxa"/>
            <w:vAlign w:val="bottom"/>
            <w:tcBorders>
              <w:bottom w:val="single" w:sz="8" w:color="AFAFAF"/>
            </w:tcBorders>
          </w:tcPr>
          <w:p>
            <w:pPr>
              <w:spacing w:after="0"/>
              <w:rPr>
                <w:sz w:val="14"/>
                <w:szCs w:val="14"/>
                <w:color w:val="auto"/>
              </w:rPr>
            </w:pPr>
          </w:p>
        </w:tc>
      </w:tr>
      <w:tr>
        <w:trPr>
          <w:trHeight w:val="182"/>
        </w:trPr>
        <w:tc>
          <w:tcPr>
            <w:tcW w:w="2860" w:type="dxa"/>
            <w:vAlign w:val="bottom"/>
            <w:tcBorders>
              <w:bottom w:val="single" w:sz="8" w:color="AFAFAF"/>
            </w:tcBorders>
          </w:tcPr>
          <w:p>
            <w:pPr>
              <w:ind w:left="15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ind w:left="5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FAFAF"/>
            </w:tcBorders>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4,904,508</w:t>
            </w:r>
          </w:p>
        </w:tc>
        <w:tc>
          <w:tcPr>
            <w:tcW w:w="6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4,904,508</w:t>
            </w:r>
          </w:p>
        </w:tc>
        <w:tc>
          <w:tcPr>
            <w:tcW w:w="1400" w:type="dxa"/>
            <w:vAlign w:val="bottom"/>
            <w:tcBorders>
              <w:bottom w:val="single" w:sz="8" w:color="AFAFAF"/>
            </w:tcBorders>
          </w:tcPr>
          <w:p>
            <w:pPr>
              <w:ind w:left="700"/>
              <w:spacing w:after="0"/>
              <w:rPr>
                <w:sz w:val="20"/>
                <w:szCs w:val="20"/>
                <w:color w:val="auto"/>
              </w:rPr>
            </w:pPr>
            <w:r>
              <w:rPr>
                <w:rFonts w:ascii="Arial" w:cs="Arial" w:eastAsia="Arial" w:hAnsi="Arial"/>
                <w:sz w:val="14"/>
                <w:szCs w:val="14"/>
                <w:color w:val="auto"/>
              </w:rPr>
              <w:t>–</w:t>
            </w:r>
          </w:p>
        </w:tc>
      </w:tr>
    </w:tbl>
    <w:p>
      <w:pPr>
        <w:spacing w:after="0" w:line="10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1 David Thomson and Peter Thomson, both of whom are nominees, are brothers.</w:t>
      </w:r>
    </w:p>
    <w:p>
      <w:pPr>
        <w:ind w:left="140" w:right="120"/>
        <w:spacing w:after="0" w:line="247" w:lineRule="auto"/>
        <w:rPr>
          <w:sz w:val="20"/>
          <w:szCs w:val="20"/>
          <w:color w:val="auto"/>
        </w:rPr>
      </w:pPr>
      <w:r>
        <w:rPr>
          <w:rFonts w:ascii="Arial" w:cs="Arial" w:eastAsia="Arial" w:hAnsi="Arial"/>
          <w:sz w:val="13"/>
          <w:szCs w:val="13"/>
          <w:color w:val="auto"/>
        </w:rPr>
        <w:t>2 David Thomson and Peter Thomson are substantial shareholders of our company as members of the family that owns the equity of Woodbridge, our principal shareholder. For additional information, please see the “Principal Shareholder and Share Capital”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-1270</wp:posOffset>
            </wp:positionV>
            <wp:extent cx="6973570" cy="2990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73570" cy="2990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40"/>
            <w:col w:w="8460"/>
          </w:cols>
          <w:pgMar w:left="240" w:top="45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James C. Smith</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Age: 59</w:t>
      </w:r>
    </w:p>
    <w:p>
      <w:pPr>
        <w:spacing w:after="0" w:line="66" w:lineRule="exact"/>
        <w:rPr>
          <w:sz w:val="20"/>
          <w:szCs w:val="20"/>
          <w:color w:val="auto"/>
        </w:rPr>
      </w:pPr>
    </w:p>
    <w:p>
      <w:pPr>
        <w:ind w:left="320" w:right="500"/>
        <w:spacing w:after="0" w:line="345" w:lineRule="auto"/>
        <w:rPr>
          <w:sz w:val="20"/>
          <w:szCs w:val="20"/>
          <w:color w:val="auto"/>
        </w:rPr>
      </w:pPr>
      <w:r>
        <w:rPr>
          <w:rFonts w:ascii="Arial" w:cs="Arial" w:eastAsia="Arial" w:hAnsi="Arial"/>
          <w:sz w:val="13"/>
          <w:szCs w:val="13"/>
          <w:color w:val="auto"/>
        </w:rPr>
        <w:t>Toronto, Ontario, Canada Director since 2012 Non-independent</w:t>
      </w:r>
    </w:p>
    <w:p>
      <w:pPr>
        <w:spacing w:after="0" w:line="1" w:lineRule="exact"/>
        <w:rPr>
          <w:sz w:val="20"/>
          <w:szCs w:val="20"/>
          <w:color w:val="auto"/>
        </w:rPr>
      </w:pPr>
    </w:p>
    <w:p>
      <w:pPr>
        <w:ind w:left="320"/>
        <w:spacing w:after="0" w:line="247" w:lineRule="auto"/>
        <w:rPr>
          <w:sz w:val="20"/>
          <w:szCs w:val="20"/>
          <w:color w:val="auto"/>
        </w:rPr>
      </w:pPr>
      <w:r>
        <w:rPr>
          <w:rFonts w:ascii="Arial" w:cs="Arial" w:eastAsia="Arial" w:hAnsi="Arial"/>
          <w:sz w:val="13"/>
          <w:szCs w:val="13"/>
          <w:color w:val="auto"/>
        </w:rPr>
        <w:t>Primary areas of expertise: operations, international business and media/publishing</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2018 votes for: 99.24%</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James C. Smith</w:t>
      </w:r>
    </w:p>
    <w:p>
      <w:pPr>
        <w:spacing w:after="0" w:line="63" w:lineRule="exact"/>
        <w:rPr>
          <w:sz w:val="20"/>
          <w:szCs w:val="20"/>
          <w:color w:val="auto"/>
        </w:rPr>
      </w:pPr>
    </w:p>
    <w:p>
      <w:pPr>
        <w:ind w:left="40"/>
        <w:spacing w:after="0" w:line="243" w:lineRule="auto"/>
        <w:rPr>
          <w:sz w:val="20"/>
          <w:szCs w:val="20"/>
          <w:color w:val="auto"/>
        </w:rPr>
      </w:pPr>
      <w:r>
        <w:rPr>
          <w:rFonts w:ascii="Arial" w:cs="Arial" w:eastAsia="Arial" w:hAnsi="Arial"/>
          <w:sz w:val="14"/>
          <w:szCs w:val="14"/>
          <w:color w:val="auto"/>
        </w:rPr>
        <w:t>James C. Smith has been President &amp; Chief Executive Officer since January 2012. Mr. Smith was Chief Operating Officer of Thomson Reuters from September 2011 to December 2011 and Chief Executive Officer of Thomson Reuters Professional division from April 2008 to September 2011. Prior to the acquisition of Reuters Group PLC (Reuters) by The Thomson Corporation (Thomson) in April 2008, he served as Chief Operating Officer of Thomson and as President and Chief Executive Officer of Thomson Learning’s Academic and Reference Group. Mr. Smith joined the Thomson Newspaper Group in 1987. He held several staff and operating positions, culminating in his role as head of operations for Thomson Newspapers in the U.S. With the sale of the Thomson Newspaper Group in 2000, he joined Thomson in 2001 as Executive Vice President. He began his career as a journalist and held several editorial and general management positions prior to joining Thomson. Mr. Smith received a BA from Marshall University.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ind w:left="40"/>
              <w:spacing w:after="0"/>
              <w:rPr>
                <w:sz w:val="20"/>
                <w:szCs w:val="20"/>
                <w:color w:val="auto"/>
              </w:rPr>
            </w:pPr>
            <w:r>
              <w:rPr>
                <w:rFonts w:ascii="Arial" w:cs="Arial" w:eastAsia="Arial" w:hAnsi="Arial"/>
                <w:sz w:val="14"/>
                <w:szCs w:val="14"/>
                <w:b w:val="1"/>
                <w:bCs w:val="1"/>
                <w:color w:val="auto"/>
              </w:rPr>
              <w:t>Board/committee</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8"/>
        </w:trPr>
        <w:tc>
          <w:tcPr>
            <w:tcW w:w="300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membership</w:t>
            </w:r>
          </w:p>
        </w:tc>
        <w:tc>
          <w:tcPr>
            <w:tcW w:w="1560" w:type="dxa"/>
            <w:vAlign w:val="bottom"/>
            <w:tcBorders>
              <w:bottom w:val="single" w:sz="8" w:color="AFAFAF"/>
            </w:tcBorders>
            <w:gridSpan w:val="2"/>
          </w:tcPr>
          <w:p>
            <w:pPr>
              <w:ind w:left="120"/>
              <w:spacing w:after="0"/>
              <w:rPr>
                <w:sz w:val="20"/>
                <w:szCs w:val="20"/>
                <w:color w:val="auto"/>
              </w:rPr>
            </w:pPr>
            <w:r>
              <w:rPr>
                <w:rFonts w:ascii="Arial" w:cs="Arial" w:eastAsia="Arial" w:hAnsi="Arial"/>
                <w:sz w:val="14"/>
                <w:szCs w:val="14"/>
                <w:b w:val="1"/>
                <w:bCs w:val="1"/>
                <w:color w:val="auto"/>
              </w:rPr>
              <w:t>2018 attendance</w:t>
            </w:r>
          </w:p>
        </w:tc>
        <w:tc>
          <w:tcPr>
            <w:tcW w:w="4000" w:type="dxa"/>
            <w:vAlign w:val="bottom"/>
            <w:tcBorders>
              <w:bottom w:val="single" w:sz="8" w:color="AFAFAF"/>
            </w:tcBorders>
            <w:gridSpan w:val="3"/>
          </w:tcPr>
          <w:p>
            <w:pPr>
              <w:ind w:left="8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155"/>
        </w:trPr>
        <w:tc>
          <w:tcPr>
            <w:tcW w:w="3000" w:type="dxa"/>
            <w:vAlign w:val="bottom"/>
          </w:tcPr>
          <w:p>
            <w:pPr>
              <w:ind w:left="40"/>
              <w:spacing w:after="0" w:line="155" w:lineRule="exact"/>
              <w:rPr>
                <w:sz w:val="20"/>
                <w:szCs w:val="20"/>
                <w:color w:val="auto"/>
              </w:rPr>
            </w:pPr>
            <w:r>
              <w:rPr>
                <w:rFonts w:ascii="Arial" w:cs="Arial" w:eastAsia="Arial" w:hAnsi="Arial"/>
                <w:sz w:val="11"/>
                <w:szCs w:val="11"/>
                <w:color w:val="auto"/>
              </w:rPr>
              <w:t>Board</w:t>
            </w:r>
            <w:r>
              <w:rPr>
                <w:rFonts w:ascii="Arial" w:cs="Arial" w:eastAsia="Arial" w:hAnsi="Arial"/>
                <w:sz w:val="17"/>
                <w:szCs w:val="17"/>
                <w:color w:val="auto"/>
                <w:vertAlign w:val="superscript"/>
              </w:rPr>
              <w:t>1</w:t>
            </w:r>
          </w:p>
        </w:tc>
        <w:tc>
          <w:tcPr>
            <w:tcW w:w="660" w:type="dxa"/>
            <w:vAlign w:val="bottom"/>
            <w:tcBorders>
              <w:bottom w:val="single" w:sz="8" w:color="AFAFAF"/>
            </w:tcBorders>
          </w:tcPr>
          <w:p>
            <w:pPr>
              <w:ind w:left="120"/>
              <w:spacing w:after="0" w:line="155" w:lineRule="exact"/>
              <w:rPr>
                <w:sz w:val="20"/>
                <w:szCs w:val="20"/>
                <w:color w:val="auto"/>
              </w:rPr>
            </w:pPr>
            <w:r>
              <w:rPr>
                <w:rFonts w:ascii="Arial" w:cs="Arial" w:eastAsia="Arial" w:hAnsi="Arial"/>
                <w:sz w:val="14"/>
                <w:szCs w:val="14"/>
                <w:color w:val="auto"/>
              </w:rPr>
              <w:t>9 of 15</w:t>
            </w:r>
          </w:p>
        </w:tc>
        <w:tc>
          <w:tcPr>
            <w:tcW w:w="900" w:type="dxa"/>
            <w:vAlign w:val="bottom"/>
            <w:tcBorders>
              <w:bottom w:val="single" w:sz="8" w:color="AFAFAF"/>
            </w:tcBorders>
          </w:tcPr>
          <w:p>
            <w:pPr>
              <w:ind w:left="40"/>
              <w:spacing w:after="0" w:line="155" w:lineRule="exact"/>
              <w:rPr>
                <w:sz w:val="20"/>
                <w:szCs w:val="20"/>
                <w:color w:val="auto"/>
              </w:rPr>
            </w:pPr>
            <w:r>
              <w:rPr>
                <w:rFonts w:ascii="Arial" w:cs="Arial" w:eastAsia="Arial" w:hAnsi="Arial"/>
                <w:sz w:val="14"/>
                <w:szCs w:val="14"/>
                <w:color w:val="auto"/>
              </w:rPr>
              <w:t>60%</w:t>
            </w:r>
          </w:p>
        </w:tc>
        <w:tc>
          <w:tcPr>
            <w:tcW w:w="740" w:type="dxa"/>
            <w:vAlign w:val="bottom"/>
            <w:tcBorders>
              <w:bottom w:val="single" w:sz="8" w:color="AFAFAF"/>
            </w:tcBorders>
          </w:tcPr>
          <w:p>
            <w:pPr>
              <w:ind w:left="80"/>
              <w:spacing w:after="0" w:line="155" w:lineRule="exact"/>
              <w:rPr>
                <w:sz w:val="20"/>
                <w:szCs w:val="20"/>
                <w:color w:val="auto"/>
              </w:rPr>
            </w:pPr>
            <w:r>
              <w:rPr>
                <w:rFonts w:ascii="Arial" w:cs="Arial" w:eastAsia="Arial" w:hAnsi="Arial"/>
                <w:sz w:val="14"/>
                <w:szCs w:val="14"/>
                <w:color w:val="auto"/>
              </w:rPr>
              <w:t>Pfizer Inc.</w:t>
            </w:r>
          </w:p>
        </w:tc>
        <w:tc>
          <w:tcPr>
            <w:tcW w:w="1840" w:type="dxa"/>
            <w:vAlign w:val="bottom"/>
            <w:tcBorders>
              <w:bottom w:val="single" w:sz="8" w:color="AFAFAF"/>
            </w:tcBorders>
          </w:tcPr>
          <w:p>
            <w:pPr>
              <w:spacing w:after="0"/>
              <w:rPr>
                <w:sz w:val="13"/>
                <w:szCs w:val="13"/>
                <w:color w:val="auto"/>
              </w:rPr>
            </w:pPr>
          </w:p>
        </w:tc>
        <w:tc>
          <w:tcPr>
            <w:tcW w:w="1420" w:type="dxa"/>
            <w:vAlign w:val="bottom"/>
            <w:tcBorders>
              <w:bottom w:val="single" w:sz="8" w:color="AFAFAF"/>
            </w:tcBorders>
          </w:tcPr>
          <w:p>
            <w:pPr>
              <w:spacing w:after="0"/>
              <w:rPr>
                <w:sz w:val="13"/>
                <w:szCs w:val="13"/>
                <w:color w:val="auto"/>
              </w:rPr>
            </w:pPr>
          </w:p>
        </w:tc>
      </w:tr>
      <w:tr>
        <w:trPr>
          <w:trHeight w:val="155"/>
        </w:trPr>
        <w:tc>
          <w:tcPr>
            <w:tcW w:w="3000" w:type="dxa"/>
            <w:vAlign w:val="bottom"/>
            <w:tcBorders>
              <w:bottom w:val="single" w:sz="8" w:color="AFAFAF"/>
            </w:tcBorders>
          </w:tcPr>
          <w:p>
            <w:pPr>
              <w:ind w:left="40"/>
              <w:spacing w:after="0" w:line="155" w:lineRule="exact"/>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FAFAF"/>
            </w:tcBorders>
          </w:tcPr>
          <w:p>
            <w:pPr>
              <w:ind w:left="120"/>
              <w:spacing w:after="0" w:line="155" w:lineRule="exact"/>
              <w:rPr>
                <w:sz w:val="20"/>
                <w:szCs w:val="20"/>
                <w:color w:val="auto"/>
              </w:rPr>
            </w:pPr>
            <w:r>
              <w:rPr>
                <w:rFonts w:ascii="Arial" w:cs="Arial" w:eastAsia="Arial" w:hAnsi="Arial"/>
                <w:sz w:val="14"/>
                <w:szCs w:val="14"/>
                <w:b w:val="1"/>
                <w:bCs w:val="1"/>
                <w:color w:val="auto"/>
              </w:rPr>
              <w:t>9 of 15</w:t>
            </w:r>
          </w:p>
        </w:tc>
        <w:tc>
          <w:tcPr>
            <w:tcW w:w="900" w:type="dxa"/>
            <w:vAlign w:val="bottom"/>
            <w:tcBorders>
              <w:bottom w:val="single" w:sz="8" w:color="AFAFAF"/>
            </w:tcBorders>
          </w:tcPr>
          <w:p>
            <w:pPr>
              <w:ind w:left="40"/>
              <w:spacing w:after="0" w:line="155" w:lineRule="exact"/>
              <w:rPr>
                <w:sz w:val="20"/>
                <w:szCs w:val="20"/>
                <w:color w:val="auto"/>
              </w:rPr>
            </w:pPr>
            <w:r>
              <w:rPr>
                <w:rFonts w:ascii="Arial" w:cs="Arial" w:eastAsia="Arial" w:hAnsi="Arial"/>
                <w:sz w:val="14"/>
                <w:szCs w:val="14"/>
                <w:b w:val="1"/>
                <w:bCs w:val="1"/>
                <w:color w:val="auto"/>
              </w:rPr>
              <w:t>60%</w:t>
            </w:r>
          </w:p>
        </w:tc>
        <w:tc>
          <w:tcPr>
            <w:tcW w:w="740" w:type="dxa"/>
            <w:vAlign w:val="bottom"/>
            <w:tcBorders>
              <w:bottom w:val="single" w:sz="8" w:color="AFAFAF"/>
            </w:tcBorders>
          </w:tcPr>
          <w:p>
            <w:pPr>
              <w:spacing w:after="0"/>
              <w:rPr>
                <w:sz w:val="13"/>
                <w:szCs w:val="13"/>
                <w:color w:val="auto"/>
              </w:rPr>
            </w:pPr>
          </w:p>
        </w:tc>
        <w:tc>
          <w:tcPr>
            <w:tcW w:w="1840" w:type="dxa"/>
            <w:vAlign w:val="bottom"/>
            <w:tcBorders>
              <w:bottom w:val="single" w:sz="8" w:color="AFAFAF"/>
            </w:tcBorders>
          </w:tcPr>
          <w:p>
            <w:pPr>
              <w:spacing w:after="0"/>
              <w:rPr>
                <w:sz w:val="13"/>
                <w:szCs w:val="13"/>
                <w:color w:val="auto"/>
              </w:rPr>
            </w:pPr>
          </w:p>
        </w:tc>
        <w:tc>
          <w:tcPr>
            <w:tcW w:w="1420" w:type="dxa"/>
            <w:vAlign w:val="bottom"/>
            <w:tcBorders>
              <w:bottom w:val="single" w:sz="8" w:color="AFAFAF"/>
            </w:tcBorders>
          </w:tcPr>
          <w:p>
            <w:pPr>
              <w:spacing w:after="0"/>
              <w:rPr>
                <w:sz w:val="13"/>
                <w:szCs w:val="13"/>
                <w:color w:val="auto"/>
              </w:rPr>
            </w:pPr>
          </w:p>
        </w:tc>
      </w:tr>
      <w:tr>
        <w:trPr>
          <w:trHeight w:val="142"/>
        </w:trPr>
        <w:tc>
          <w:tcPr>
            <w:tcW w:w="3000" w:type="dxa"/>
            <w:vAlign w:val="bottom"/>
          </w:tcPr>
          <w:p>
            <w:pPr>
              <w:ind w:left="40"/>
              <w:spacing w:after="0" w:line="141" w:lineRule="exact"/>
              <w:rPr>
                <w:sz w:val="20"/>
                <w:szCs w:val="20"/>
                <w:color w:val="auto"/>
              </w:rPr>
            </w:pPr>
            <w:r>
              <w:rPr>
                <w:rFonts w:ascii="Arial" w:cs="Arial" w:eastAsia="Arial" w:hAnsi="Arial"/>
                <w:sz w:val="14"/>
                <w:szCs w:val="14"/>
                <w:b w:val="1"/>
                <w:bCs w:val="1"/>
                <w:color w:val="auto"/>
              </w:rPr>
              <w:t>Securities held</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40" w:type="dxa"/>
            <w:vAlign w:val="bottom"/>
          </w:tcPr>
          <w:p>
            <w:pPr>
              <w:ind w:left="40"/>
              <w:spacing w:after="0" w:line="141" w:lineRule="exact"/>
              <w:rPr>
                <w:sz w:val="20"/>
                <w:szCs w:val="20"/>
                <w:color w:val="auto"/>
              </w:rPr>
            </w:pPr>
            <w:r>
              <w:rPr>
                <w:rFonts w:ascii="Arial" w:cs="Arial" w:eastAsia="Arial" w:hAnsi="Arial"/>
                <w:sz w:val="14"/>
                <w:szCs w:val="14"/>
                <w:b w:val="1"/>
                <w:bCs w:val="1"/>
                <w:color w:val="auto"/>
              </w:rPr>
              <w:t>Total shares Total market</w:t>
            </w:r>
          </w:p>
        </w:tc>
        <w:tc>
          <w:tcPr>
            <w:tcW w:w="1420" w:type="dxa"/>
            <w:vAlign w:val="bottom"/>
          </w:tcPr>
          <w:p>
            <w:pPr>
              <w:ind w:left="100"/>
              <w:spacing w:after="0" w:line="141" w:lineRule="exact"/>
              <w:rPr>
                <w:sz w:val="20"/>
                <w:szCs w:val="20"/>
                <w:color w:val="auto"/>
              </w:rPr>
            </w:pPr>
            <w:r>
              <w:rPr>
                <w:rFonts w:ascii="Arial" w:cs="Arial" w:eastAsia="Arial" w:hAnsi="Arial"/>
                <w:sz w:val="14"/>
                <w:szCs w:val="14"/>
                <w:b w:val="1"/>
                <w:bCs w:val="1"/>
                <w:color w:val="auto"/>
              </w:rPr>
              <w:t>Ownership multiple</w:t>
            </w:r>
          </w:p>
        </w:tc>
      </w:tr>
      <w:tr>
        <w:trPr>
          <w:trHeight w:val="188"/>
        </w:trPr>
        <w:tc>
          <w:tcPr>
            <w:tcW w:w="300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(number and value)</w:t>
            </w:r>
          </w:p>
        </w:tc>
        <w:tc>
          <w:tcPr>
            <w:tcW w:w="660" w:type="dxa"/>
            <w:vAlign w:val="bottom"/>
            <w:tcBorders>
              <w:bottom w:val="single" w:sz="8" w:color="AFAFAF"/>
            </w:tcBorders>
          </w:tcPr>
          <w:p>
            <w:pPr>
              <w:spacing w:after="0"/>
              <w:rPr>
                <w:sz w:val="16"/>
                <w:szCs w:val="16"/>
                <w:color w:val="auto"/>
              </w:rPr>
            </w:pPr>
          </w:p>
        </w:tc>
        <w:tc>
          <w:tcPr>
            <w:tcW w:w="900" w:type="dxa"/>
            <w:vAlign w:val="bottom"/>
            <w:tcBorders>
              <w:bottom w:val="single" w:sz="8" w:color="AFAFAF"/>
            </w:tcBorders>
          </w:tcPr>
          <w:p>
            <w:pPr>
              <w:spacing w:after="0"/>
              <w:rPr>
                <w:sz w:val="16"/>
                <w:szCs w:val="16"/>
                <w:color w:val="auto"/>
              </w:rPr>
            </w:pPr>
          </w:p>
        </w:tc>
        <w:tc>
          <w:tcPr>
            <w:tcW w:w="740" w:type="dxa"/>
            <w:vAlign w:val="bottom"/>
            <w:tcBorders>
              <w:bottom w:val="single" w:sz="8" w:color="AFAFAF"/>
            </w:tcBorders>
          </w:tcPr>
          <w:p>
            <w:pPr>
              <w:spacing w:after="0"/>
              <w:rPr>
                <w:sz w:val="16"/>
                <w:szCs w:val="16"/>
                <w:color w:val="auto"/>
              </w:rPr>
            </w:pPr>
          </w:p>
        </w:tc>
        <w:tc>
          <w:tcPr>
            <w:tcW w:w="1840" w:type="dxa"/>
            <w:vAlign w:val="bottom"/>
            <w:tcBorders>
              <w:bottom w:val="single" w:sz="8" w:color="AFAFAF"/>
            </w:tcBorders>
          </w:tcPr>
          <w:p>
            <w:pPr>
              <w:ind w:left="40"/>
              <w:spacing w:after="0" w:line="189" w:lineRule="exact"/>
              <w:rPr>
                <w:sz w:val="20"/>
                <w:szCs w:val="20"/>
                <w:color w:val="auto"/>
              </w:rPr>
            </w:pPr>
            <w:r>
              <w:rPr>
                <w:rFonts w:ascii="Arial" w:cs="Arial" w:eastAsia="Arial" w:hAnsi="Arial"/>
                <w:sz w:val="13"/>
                <w:szCs w:val="13"/>
                <w:b w:val="1"/>
                <w:bCs w:val="1"/>
                <w:color w:val="auto"/>
              </w:rPr>
              <w:t>and DSUs   value</w:t>
            </w:r>
            <w:r>
              <w:rPr>
                <w:rFonts w:ascii="Arial" w:cs="Arial" w:eastAsia="Arial" w:hAnsi="Arial"/>
                <w:sz w:val="21"/>
                <w:szCs w:val="21"/>
                <w:b w:val="1"/>
                <w:bCs w:val="1"/>
                <w:color w:val="auto"/>
                <w:vertAlign w:val="superscript"/>
              </w:rPr>
              <w:t>2</w:t>
            </w:r>
          </w:p>
        </w:tc>
        <w:tc>
          <w:tcPr>
            <w:tcW w:w="1420" w:type="dxa"/>
            <w:vAlign w:val="bottom"/>
            <w:tcBorders>
              <w:bottom w:val="single" w:sz="8" w:color="AFAFAF"/>
            </w:tcBorders>
          </w:tcPr>
          <w:p>
            <w:pPr>
              <w:ind w:left="100"/>
              <w:spacing w:after="0" w:line="189" w:lineRule="exact"/>
              <w:rPr>
                <w:sz w:val="20"/>
                <w:szCs w:val="20"/>
                <w:color w:val="auto"/>
              </w:rPr>
            </w:pPr>
            <w:r>
              <w:rPr>
                <w:rFonts w:ascii="Arial" w:cs="Arial" w:eastAsia="Arial" w:hAnsi="Arial"/>
                <w:sz w:val="13"/>
                <w:szCs w:val="13"/>
                <w:b w:val="1"/>
                <w:bCs w:val="1"/>
                <w:color w:val="auto"/>
              </w:rPr>
              <w:t>of base salary</w:t>
            </w:r>
            <w:r>
              <w:rPr>
                <w:rFonts w:ascii="Arial" w:cs="Arial" w:eastAsia="Arial" w:hAnsi="Arial"/>
                <w:sz w:val="21"/>
                <w:szCs w:val="21"/>
                <w:b w:val="1"/>
                <w:bCs w:val="1"/>
                <w:color w:val="auto"/>
                <w:vertAlign w:val="superscript"/>
              </w:rPr>
              <w:t>3</w:t>
            </w:r>
          </w:p>
        </w:tc>
      </w:tr>
      <w:tr>
        <w:trPr>
          <w:trHeight w:val="160"/>
        </w:trPr>
        <w:tc>
          <w:tcPr>
            <w:tcW w:w="3000" w:type="dxa"/>
            <w:vAlign w:val="bottom"/>
          </w:tcPr>
          <w:p>
            <w:pPr>
              <w:ind w:left="40"/>
              <w:spacing w:after="0" w:line="160" w:lineRule="exact"/>
              <w:rPr>
                <w:sz w:val="20"/>
                <w:szCs w:val="20"/>
                <w:color w:val="auto"/>
              </w:rPr>
            </w:pPr>
            <w:r>
              <w:rPr>
                <w:rFonts w:ascii="Arial" w:cs="Arial" w:eastAsia="Arial" w:hAnsi="Arial"/>
                <w:sz w:val="14"/>
                <w:szCs w:val="14"/>
                <w:color w:val="auto"/>
              </w:rPr>
              <w:t>Common shares</w:t>
            </w:r>
          </w:p>
        </w:tc>
        <w:tc>
          <w:tcPr>
            <w:tcW w:w="660" w:type="dxa"/>
            <w:vAlign w:val="bottom"/>
          </w:tcPr>
          <w:p>
            <w:pPr>
              <w:ind w:left="120"/>
              <w:spacing w:after="0" w:line="160" w:lineRule="exact"/>
              <w:rPr>
                <w:sz w:val="20"/>
                <w:szCs w:val="20"/>
                <w:color w:val="auto"/>
              </w:rPr>
            </w:pPr>
            <w:r>
              <w:rPr>
                <w:rFonts w:ascii="Arial" w:cs="Arial" w:eastAsia="Arial" w:hAnsi="Arial"/>
                <w:sz w:val="14"/>
                <w:szCs w:val="14"/>
                <w:color w:val="auto"/>
              </w:rPr>
              <w:t>RSUs</w:t>
            </w:r>
          </w:p>
        </w:tc>
        <w:tc>
          <w:tcPr>
            <w:tcW w:w="900" w:type="dxa"/>
            <w:vAlign w:val="bottom"/>
          </w:tcPr>
          <w:p>
            <w:pPr>
              <w:ind w:left="40"/>
              <w:spacing w:after="0" w:line="160" w:lineRule="exact"/>
              <w:rPr>
                <w:sz w:val="20"/>
                <w:szCs w:val="20"/>
                <w:color w:val="auto"/>
              </w:rPr>
            </w:pPr>
            <w:r>
              <w:rPr>
                <w:rFonts w:ascii="Arial" w:cs="Arial" w:eastAsia="Arial" w:hAnsi="Arial"/>
                <w:sz w:val="14"/>
                <w:szCs w:val="14"/>
                <w:color w:val="auto"/>
              </w:rPr>
              <w:t>DSUs</w:t>
            </w:r>
          </w:p>
        </w:tc>
        <w:tc>
          <w:tcPr>
            <w:tcW w:w="740" w:type="dxa"/>
            <w:vAlign w:val="bottom"/>
          </w:tcPr>
          <w:p>
            <w:pPr>
              <w:ind w:left="80"/>
              <w:spacing w:after="0" w:line="160" w:lineRule="exact"/>
              <w:rPr>
                <w:sz w:val="20"/>
                <w:szCs w:val="20"/>
                <w:color w:val="auto"/>
              </w:rPr>
            </w:pPr>
            <w:r>
              <w:rPr>
                <w:rFonts w:ascii="Arial" w:cs="Arial" w:eastAsia="Arial" w:hAnsi="Arial"/>
                <w:sz w:val="14"/>
                <w:szCs w:val="14"/>
                <w:color w:val="auto"/>
              </w:rPr>
              <w:t>Options</w:t>
            </w:r>
          </w:p>
        </w:tc>
        <w:tc>
          <w:tcPr>
            <w:tcW w:w="18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0"/>
        </w:trPr>
        <w:tc>
          <w:tcPr>
            <w:tcW w:w="300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487,750</w:t>
            </w:r>
          </w:p>
        </w:tc>
        <w:tc>
          <w:tcPr>
            <w:tcW w:w="660" w:type="dxa"/>
            <w:vAlign w:val="bottom"/>
            <w:tcBorders>
              <w:bottom w:val="single" w:sz="8" w:color="AFAFAF"/>
            </w:tcBorders>
          </w:tcPr>
          <w:p>
            <w:pPr>
              <w:ind w:left="120"/>
              <w:spacing w:after="0"/>
              <w:rPr>
                <w:sz w:val="20"/>
                <w:szCs w:val="20"/>
                <w:color w:val="auto"/>
              </w:rPr>
            </w:pPr>
            <w:r>
              <w:rPr>
                <w:rFonts w:ascii="Arial" w:cs="Arial" w:eastAsia="Arial" w:hAnsi="Arial"/>
                <w:sz w:val="14"/>
                <w:szCs w:val="14"/>
                <w:color w:val="auto"/>
              </w:rPr>
              <w:t>346,469</w:t>
            </w:r>
          </w:p>
        </w:tc>
        <w:tc>
          <w:tcPr>
            <w:tcW w:w="90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204,155</w:t>
            </w:r>
          </w:p>
        </w:tc>
        <w:tc>
          <w:tcPr>
            <w:tcW w:w="740" w:type="dxa"/>
            <w:vAlign w:val="bottom"/>
            <w:tcBorders>
              <w:bottom w:val="single" w:sz="8" w:color="AFAFAF"/>
            </w:tcBorders>
          </w:tcPr>
          <w:p>
            <w:pPr>
              <w:ind w:left="80"/>
              <w:spacing w:after="0"/>
              <w:rPr>
                <w:sz w:val="20"/>
                <w:szCs w:val="20"/>
                <w:color w:val="auto"/>
              </w:rPr>
            </w:pPr>
            <w:r>
              <w:rPr>
                <w:rFonts w:ascii="Arial" w:cs="Arial" w:eastAsia="Arial" w:hAnsi="Arial"/>
                <w:sz w:val="14"/>
                <w:szCs w:val="14"/>
                <w:color w:val="auto"/>
              </w:rPr>
              <w:t>4,883,042</w:t>
            </w:r>
          </w:p>
        </w:tc>
        <w:tc>
          <w:tcPr>
            <w:tcW w:w="184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691,905</w:t>
            </w:r>
          </w:p>
        </w:tc>
        <w:tc>
          <w:tcPr>
            <w:tcW w:w="1420" w:type="dxa"/>
            <w:vAlign w:val="bottom"/>
            <w:tcBorders>
              <w:bottom w:val="single" w:sz="8" w:color="AFAFAF"/>
            </w:tcBorders>
          </w:tcPr>
          <w:p>
            <w:pPr>
              <w:spacing w:after="0"/>
              <w:rPr>
                <w:sz w:val="14"/>
                <w:szCs w:val="14"/>
                <w:color w:val="auto"/>
              </w:rPr>
            </w:pPr>
          </w:p>
        </w:tc>
      </w:tr>
      <w:tr>
        <w:trPr>
          <w:trHeight w:val="168"/>
        </w:trPr>
        <w:tc>
          <w:tcPr>
            <w:tcW w:w="300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28,791,883</w:t>
            </w:r>
          </w:p>
        </w:tc>
        <w:tc>
          <w:tcPr>
            <w:tcW w:w="660" w:type="dxa"/>
            <w:vAlign w:val="bottom"/>
          </w:tcPr>
          <w:p>
            <w:pPr>
              <w:ind w:left="340"/>
              <w:spacing w:after="0"/>
              <w:rPr>
                <w:sz w:val="20"/>
                <w:szCs w:val="20"/>
                <w:color w:val="auto"/>
              </w:rPr>
            </w:pPr>
            <w:r>
              <w:rPr>
                <w:rFonts w:ascii="Arial" w:cs="Arial" w:eastAsia="Arial" w:hAnsi="Arial"/>
                <w:sz w:val="14"/>
                <w:szCs w:val="14"/>
                <w:color w:val="auto"/>
              </w:rPr>
              <w:t>–</w:t>
            </w:r>
          </w:p>
        </w:tc>
        <w:tc>
          <w:tcPr>
            <w:tcW w:w="90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11,976,656</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5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40,843,152</w:t>
            </w:r>
          </w:p>
        </w:tc>
        <w:tc>
          <w:tcPr>
            <w:tcW w:w="1420" w:type="dxa"/>
            <w:vAlign w:val="bottom"/>
          </w:tcPr>
          <w:p>
            <w:pPr>
              <w:ind w:left="100"/>
              <w:spacing w:after="0"/>
              <w:rPr>
                <w:sz w:val="20"/>
                <w:szCs w:val="20"/>
                <w:color w:val="auto"/>
              </w:rPr>
            </w:pPr>
            <w:r>
              <w:rPr>
                <w:rFonts w:ascii="Arial" w:cs="Arial" w:eastAsia="Arial" w:hAnsi="Arial"/>
                <w:sz w:val="14"/>
                <w:szCs w:val="14"/>
                <w:i w:val="1"/>
                <w:iCs w:val="1"/>
                <w:color w:val="auto"/>
              </w:rPr>
              <w:t>25.5x</w:t>
            </w:r>
          </w:p>
        </w:tc>
      </w:tr>
    </w:tbl>
    <w:p>
      <w:pPr>
        <w:ind w:left="140" w:right="240" w:hanging="4"/>
        <w:spacing w:after="0" w:line="243" w:lineRule="auto"/>
        <w:tabs>
          <w:tab w:leader="none" w:pos="290" w:val="left"/>
        </w:tabs>
        <w:numPr>
          <w:ilvl w:val="0"/>
          <w:numId w:val="7"/>
        </w:numPr>
        <w:rPr>
          <w:rFonts w:ascii="Arial" w:cs="Arial" w:eastAsia="Arial" w:hAnsi="Arial"/>
          <w:sz w:val="13"/>
          <w:szCs w:val="13"/>
          <w:color w:val="auto"/>
        </w:rPr>
      </w:pPr>
      <w:r>
        <w:rPr>
          <w:rFonts w:ascii="Arial" w:cs="Arial" w:eastAsia="Arial" w:hAnsi="Arial"/>
          <w:sz w:val="13"/>
          <w:szCs w:val="13"/>
          <w:color w:val="auto"/>
        </w:rPr>
        <w:t>Mr. Smith missed several board meetings due to an illness in the first half of 2018. Only one of those meetings was regularly scheduled and four of the meetings that Mr. Smith missed were held in February for directors to be updated on his health. Other than meetings that Mr. Smith missed due to illness, his attendance at our board meetings in 2018 was 100%. Mr. Smith had 100% attendance at 42 board meetings from his initial appointment in 2012 through the end of 2017.</w:t>
      </w:r>
    </w:p>
    <w:p>
      <w:pPr>
        <w:ind w:left="140" w:right="60"/>
        <w:spacing w:after="0" w:line="248" w:lineRule="auto"/>
        <w:rPr>
          <w:rFonts w:ascii="Arial" w:cs="Arial" w:eastAsia="Arial" w:hAnsi="Arial"/>
          <w:sz w:val="13"/>
          <w:szCs w:val="13"/>
          <w:color w:val="auto"/>
        </w:rPr>
      </w:pPr>
      <w:r>
        <w:rPr>
          <w:rFonts w:ascii="Arial" w:cs="Arial" w:eastAsia="Arial" w:hAnsi="Arial"/>
          <w:sz w:val="13"/>
          <w:szCs w:val="13"/>
          <w:color w:val="auto"/>
        </w:rPr>
        <w:t>2 154,490 of Mr. Smith’s 346,469 RSUs are time based restricted share units (TRSUs). As of April 11, 2019, the value of Mr. Smith’s TRSUs was $9,119,545 and the total market value of his common shares, DSUs and TRSUs was $49,888,083.</w:t>
      </w:r>
    </w:p>
    <w:p>
      <w:pPr>
        <w:ind w:left="140"/>
        <w:spacing w:after="0"/>
        <w:rPr>
          <w:rFonts w:ascii="Arial" w:cs="Arial" w:eastAsia="Arial" w:hAnsi="Arial"/>
          <w:sz w:val="13"/>
          <w:szCs w:val="13"/>
          <w:color w:val="auto"/>
        </w:rPr>
      </w:pPr>
      <w:r>
        <w:rPr>
          <w:rFonts w:ascii="Arial" w:cs="Arial" w:eastAsia="Arial" w:hAnsi="Arial"/>
          <w:sz w:val="13"/>
          <w:szCs w:val="13"/>
          <w:color w:val="auto"/>
        </w:rPr>
        <w:t>3 Reflects Mr. Smith’s ratio under his executive ownership guidelines, which is based on a multiple of his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8255</wp:posOffset>
            </wp:positionV>
            <wp:extent cx="69735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column">
              <wp:posOffset>-1534160</wp:posOffset>
            </wp:positionH>
            <wp:positionV relativeFrom="paragraph">
              <wp:posOffset>144780</wp:posOffset>
            </wp:positionV>
            <wp:extent cx="697357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320"/>
            <w:col w:w="8560"/>
          </w:cols>
          <w:pgMar w:left="240" w:top="458" w:right="459" w:bottom="1440" w:gutter="0" w:footer="0" w:header="0"/>
          <w:type w:val="continuous"/>
        </w:sectPr>
      </w:pPr>
    </w:p>
    <w:p>
      <w:pPr>
        <w:spacing w:after="0" w:line="202" w:lineRule="exact"/>
        <w:rPr>
          <w:sz w:val="20"/>
          <w:szCs w:val="20"/>
          <w:color w:val="auto"/>
        </w:rPr>
      </w:pPr>
    </w:p>
    <w:p>
      <w:pPr>
        <w:ind w:left="6100"/>
        <w:spacing w:after="0"/>
        <w:tabs>
          <w:tab w:leader="none" w:pos="106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15</w:t>
      </w:r>
    </w:p>
    <w:p>
      <w:pPr>
        <w:sectPr>
          <w:pgSz w:w="11900" w:h="16838" w:orient="portrait"/>
          <w:cols w:equalWidth="0" w:num="1">
            <w:col w:w="11200"/>
          </w:cols>
          <w:pgMar w:left="240" w:top="458" w:right="45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Sheila C. Bair</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Age: 65</w:t>
      </w:r>
    </w:p>
    <w:p>
      <w:pPr>
        <w:spacing w:after="0" w:line="66" w:lineRule="exact"/>
        <w:rPr>
          <w:sz w:val="20"/>
          <w:szCs w:val="20"/>
          <w:color w:val="auto"/>
        </w:rPr>
      </w:pPr>
    </w:p>
    <w:p>
      <w:pPr>
        <w:ind w:left="320" w:right="420"/>
        <w:spacing w:after="0" w:line="257" w:lineRule="auto"/>
        <w:rPr>
          <w:sz w:val="20"/>
          <w:szCs w:val="20"/>
          <w:color w:val="auto"/>
        </w:rPr>
      </w:pPr>
      <w:r>
        <w:rPr>
          <w:rFonts w:ascii="Arial" w:cs="Arial" w:eastAsia="Arial" w:hAnsi="Arial"/>
          <w:sz w:val="13"/>
          <w:szCs w:val="13"/>
          <w:color w:val="auto"/>
        </w:rPr>
        <w:t>Kennedyville, Maryland, United States</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Director since 2014</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Independent</w:t>
      </w:r>
    </w:p>
    <w:p>
      <w:pPr>
        <w:spacing w:after="0" w:line="66" w:lineRule="exact"/>
        <w:rPr>
          <w:sz w:val="20"/>
          <w:szCs w:val="20"/>
          <w:color w:val="auto"/>
        </w:rPr>
      </w:pPr>
    </w:p>
    <w:p>
      <w:pPr>
        <w:ind w:left="320"/>
        <w:spacing w:after="0" w:line="247" w:lineRule="auto"/>
        <w:rPr>
          <w:sz w:val="20"/>
          <w:szCs w:val="20"/>
          <w:color w:val="auto"/>
        </w:rPr>
      </w:pPr>
      <w:r>
        <w:rPr>
          <w:rFonts w:ascii="Arial" w:cs="Arial" w:eastAsia="Arial" w:hAnsi="Arial"/>
          <w:sz w:val="13"/>
          <w:szCs w:val="13"/>
          <w:color w:val="auto"/>
        </w:rPr>
        <w:t>Primary areas of expertise: international business, finance, operations, legal</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2018 votes for: 99.82%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Sheila C. Bair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-1584960</wp:posOffset>
            </wp:positionH>
            <wp:positionV relativeFrom="paragraph">
              <wp:posOffset>-125095</wp:posOffset>
            </wp:positionV>
            <wp:extent cx="6973570" cy="2469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73570" cy="2469515"/>
                    </a:xfrm>
                    <a:prstGeom prst="rect">
                      <a:avLst/>
                    </a:prstGeom>
                    <a:noFill/>
                  </pic:spPr>
                </pic:pic>
              </a:graphicData>
            </a:graphic>
          </wp:anchor>
        </w:drawing>
      </w:r>
    </w:p>
    <w:p>
      <w:pPr>
        <w:spacing w:after="0" w:line="43" w:lineRule="exact"/>
        <w:rPr>
          <w:sz w:val="20"/>
          <w:szCs w:val="20"/>
          <w:color w:val="auto"/>
        </w:rPr>
      </w:pPr>
    </w:p>
    <w:p>
      <w:pPr>
        <w:ind w:left="40"/>
        <w:spacing w:after="0" w:line="243" w:lineRule="auto"/>
        <w:rPr>
          <w:sz w:val="20"/>
          <w:szCs w:val="20"/>
          <w:color w:val="auto"/>
        </w:rPr>
      </w:pPr>
      <w:r>
        <w:rPr>
          <w:rFonts w:ascii="Arial" w:cs="Arial" w:eastAsia="Arial" w:hAnsi="Arial"/>
          <w:sz w:val="14"/>
          <w:szCs w:val="14"/>
          <w:color w:val="auto"/>
        </w:rPr>
        <w:t>Sheila C. Bair is a corporate director. Ms. Bair was President of Washington College from August 2015 to June 2017. Prior to that, she was Senior Advisor to The Pew Charitable Trusts for four years. Ms. Bair was also Senior Advisor to DLA Piper, an international law firm. Ms. Bair was the Chair of the Federal Deposit Insurance Corporation from June 2006 to July 2011. From 2002 to 2006, she was the Dean’s Professor of Financial Regulatory Policy for the Isenberg School of Management at the University of Massachusetts-Amherst. She also served as Assistant Secretary for Financial Institutions at the U.S. Department of the Treasury from 2001 to 2002, Senior Vice President for Government Relations of the New York Stock Exchange from 1995 to 2000, Commissioner of the Commodity Futures Trading Commission from 1991 to 1995, and as counsel to Kansas Republican Senate Majority Leader Bob Dole from 1981 to 1988. Ms. Bair has a bachelor’s degree and law degree from the University of Kansas.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ind w:left="40"/>
              <w:spacing w:after="0"/>
              <w:rPr>
                <w:sz w:val="20"/>
                <w:szCs w:val="20"/>
                <w:color w:val="auto"/>
              </w:rPr>
            </w:pPr>
            <w:r>
              <w:rPr>
                <w:rFonts w:ascii="Arial" w:cs="Arial" w:eastAsia="Arial" w:hAnsi="Arial"/>
                <w:sz w:val="14"/>
                <w:szCs w:val="14"/>
                <w:b w:val="1"/>
                <w:bCs w:val="1"/>
                <w:color w:val="auto"/>
              </w:rPr>
              <w:t>Board/committee</w:t>
            </w:r>
          </w:p>
        </w:tc>
        <w:tc>
          <w:tcPr>
            <w:tcW w:w="1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8"/>
        </w:trPr>
        <w:tc>
          <w:tcPr>
            <w:tcW w:w="246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membership</w:t>
            </w:r>
          </w:p>
        </w:tc>
        <w:tc>
          <w:tcPr>
            <w:tcW w:w="2080" w:type="dxa"/>
            <w:vAlign w:val="bottom"/>
            <w:tcBorders>
              <w:bottom w:val="single" w:sz="8" w:color="AFAFAF"/>
            </w:tcBorders>
            <w:gridSpan w:val="2"/>
          </w:tcPr>
          <w:p>
            <w:pPr>
              <w:ind w:left="820"/>
              <w:spacing w:after="0"/>
              <w:rPr>
                <w:sz w:val="20"/>
                <w:szCs w:val="20"/>
                <w:color w:val="auto"/>
              </w:rPr>
            </w:pPr>
            <w:r>
              <w:rPr>
                <w:rFonts w:ascii="Arial" w:cs="Arial" w:eastAsia="Arial" w:hAnsi="Arial"/>
                <w:sz w:val="14"/>
                <w:szCs w:val="14"/>
                <w:b w:val="1"/>
                <w:bCs w:val="1"/>
                <w:color w:val="auto"/>
              </w:rPr>
              <w:t>2018 attendance</w:t>
            </w:r>
          </w:p>
        </w:tc>
        <w:tc>
          <w:tcPr>
            <w:tcW w:w="3940" w:type="dxa"/>
            <w:vAlign w:val="bottom"/>
            <w:tcBorders>
              <w:bottom w:val="single" w:sz="8" w:color="AFAFAF"/>
            </w:tcBorders>
            <w:gridSpan w:val="4"/>
          </w:tcPr>
          <w:p>
            <w:pPr>
              <w:ind w:left="4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160"/>
        </w:trPr>
        <w:tc>
          <w:tcPr>
            <w:tcW w:w="2460" w:type="dxa"/>
            <w:vAlign w:val="bottom"/>
          </w:tcPr>
          <w:p>
            <w:pPr>
              <w:ind w:left="40"/>
              <w:spacing w:after="0" w:line="160" w:lineRule="exact"/>
              <w:rPr>
                <w:sz w:val="20"/>
                <w:szCs w:val="20"/>
                <w:color w:val="auto"/>
              </w:rPr>
            </w:pPr>
            <w:r>
              <w:rPr>
                <w:rFonts w:ascii="Arial" w:cs="Arial" w:eastAsia="Arial" w:hAnsi="Arial"/>
                <w:sz w:val="14"/>
                <w:szCs w:val="14"/>
                <w:color w:val="auto"/>
              </w:rPr>
              <w:t>Board</w:t>
            </w:r>
          </w:p>
        </w:tc>
        <w:tc>
          <w:tcPr>
            <w:tcW w:w="1400" w:type="dxa"/>
            <w:vAlign w:val="bottom"/>
          </w:tcPr>
          <w:p>
            <w:pPr>
              <w:ind w:left="820"/>
              <w:spacing w:after="0" w:line="160" w:lineRule="exact"/>
              <w:rPr>
                <w:sz w:val="20"/>
                <w:szCs w:val="20"/>
                <w:color w:val="auto"/>
              </w:rPr>
            </w:pPr>
            <w:r>
              <w:rPr>
                <w:rFonts w:ascii="Arial" w:cs="Arial" w:eastAsia="Arial" w:hAnsi="Arial"/>
                <w:sz w:val="14"/>
                <w:szCs w:val="14"/>
                <w:color w:val="auto"/>
              </w:rPr>
              <w:t>15 of 15</w:t>
            </w:r>
          </w:p>
        </w:tc>
        <w:tc>
          <w:tcPr>
            <w:tcW w:w="680" w:type="dxa"/>
            <w:vAlign w:val="bottom"/>
          </w:tcPr>
          <w:p>
            <w:pPr>
              <w:ind w:left="40"/>
              <w:spacing w:after="0" w:line="160" w:lineRule="exact"/>
              <w:rPr>
                <w:sz w:val="20"/>
                <w:szCs w:val="20"/>
                <w:color w:val="auto"/>
              </w:rPr>
            </w:pPr>
            <w:r>
              <w:rPr>
                <w:rFonts w:ascii="Arial" w:cs="Arial" w:eastAsia="Arial" w:hAnsi="Arial"/>
                <w:sz w:val="14"/>
                <w:szCs w:val="14"/>
                <w:color w:val="auto"/>
              </w:rPr>
              <w:t>100%</w:t>
            </w:r>
          </w:p>
        </w:tc>
        <w:tc>
          <w:tcPr>
            <w:tcW w:w="2560" w:type="dxa"/>
            <w:vAlign w:val="bottom"/>
            <w:gridSpan w:val="3"/>
          </w:tcPr>
          <w:p>
            <w:pPr>
              <w:ind w:left="40"/>
              <w:spacing w:after="0" w:line="160" w:lineRule="exact"/>
              <w:rPr>
                <w:sz w:val="20"/>
                <w:szCs w:val="20"/>
                <w:color w:val="auto"/>
              </w:rPr>
            </w:pPr>
            <w:r>
              <w:rPr>
                <w:rFonts w:ascii="Arial" w:cs="Arial" w:eastAsia="Arial" w:hAnsi="Arial"/>
                <w:sz w:val="14"/>
                <w:szCs w:val="14"/>
                <w:color w:val="auto"/>
              </w:rPr>
              <w:t>Host Hotels &amp; Resorts Inc.</w:t>
            </w:r>
          </w:p>
        </w:tc>
        <w:tc>
          <w:tcPr>
            <w:tcW w:w="1380" w:type="dxa"/>
            <w:vAlign w:val="bottom"/>
          </w:tcPr>
          <w:p>
            <w:pPr>
              <w:spacing w:after="0"/>
              <w:rPr>
                <w:sz w:val="13"/>
                <w:szCs w:val="13"/>
                <w:color w:val="auto"/>
              </w:rPr>
            </w:pPr>
          </w:p>
        </w:tc>
      </w:tr>
      <w:tr>
        <w:trPr>
          <w:trHeight w:val="172"/>
        </w:trPr>
        <w:tc>
          <w:tcPr>
            <w:tcW w:w="2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40" w:type="dxa"/>
            <w:vAlign w:val="bottom"/>
            <w:gridSpan w:val="4"/>
          </w:tcPr>
          <w:p>
            <w:pPr>
              <w:ind w:left="40"/>
              <w:spacing w:after="0"/>
              <w:rPr>
                <w:sz w:val="20"/>
                <w:szCs w:val="20"/>
                <w:color w:val="auto"/>
              </w:rPr>
            </w:pPr>
            <w:r>
              <w:rPr>
                <w:rFonts w:ascii="Arial" w:cs="Arial" w:eastAsia="Arial" w:hAnsi="Arial"/>
                <w:sz w:val="14"/>
                <w:szCs w:val="14"/>
                <w:color w:val="auto"/>
              </w:rPr>
              <w:t>Industrial and Commercial Bank of China Ltd.</w:t>
            </w:r>
          </w:p>
        </w:tc>
      </w:tr>
      <w:tr>
        <w:trPr>
          <w:trHeight w:val="165"/>
        </w:trPr>
        <w:tc>
          <w:tcPr>
            <w:tcW w:w="2460" w:type="dxa"/>
            <w:vAlign w:val="bottom"/>
          </w:tcPr>
          <w:p>
            <w:pPr>
              <w:ind w:left="40"/>
              <w:spacing w:after="0"/>
              <w:rPr>
                <w:sz w:val="20"/>
                <w:szCs w:val="20"/>
                <w:color w:val="auto"/>
              </w:rPr>
            </w:pPr>
            <w:r>
              <w:rPr>
                <w:rFonts w:ascii="Arial" w:cs="Arial" w:eastAsia="Arial" w:hAnsi="Arial"/>
                <w:sz w:val="14"/>
                <w:szCs w:val="14"/>
                <w:color w:val="auto"/>
              </w:rPr>
              <w:t>Audit Committee</w:t>
            </w:r>
          </w:p>
        </w:tc>
        <w:tc>
          <w:tcPr>
            <w:tcW w:w="1400" w:type="dxa"/>
            <w:vAlign w:val="bottom"/>
          </w:tcPr>
          <w:p>
            <w:pPr>
              <w:ind w:left="820"/>
              <w:spacing w:after="0"/>
              <w:rPr>
                <w:sz w:val="20"/>
                <w:szCs w:val="20"/>
                <w:color w:val="auto"/>
              </w:rPr>
            </w:pPr>
            <w:r>
              <w:rPr>
                <w:rFonts w:ascii="Arial" w:cs="Arial" w:eastAsia="Arial" w:hAnsi="Arial"/>
                <w:sz w:val="14"/>
                <w:szCs w:val="14"/>
                <w:color w:val="auto"/>
              </w:rPr>
              <w:t>8 of 8</w:t>
            </w:r>
          </w:p>
        </w:tc>
        <w:tc>
          <w:tcPr>
            <w:tcW w:w="680" w:type="dxa"/>
            <w:vAlign w:val="bottom"/>
          </w:tcPr>
          <w:p>
            <w:pPr>
              <w:ind w:left="40"/>
              <w:spacing w:after="0"/>
              <w:rPr>
                <w:sz w:val="20"/>
                <w:szCs w:val="20"/>
                <w:color w:val="auto"/>
              </w:rPr>
            </w:pPr>
            <w:r>
              <w:rPr>
                <w:rFonts w:ascii="Arial" w:cs="Arial" w:eastAsia="Arial" w:hAnsi="Arial"/>
                <w:sz w:val="14"/>
                <w:szCs w:val="14"/>
                <w:color w:val="auto"/>
              </w:rPr>
              <w:t>100%</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2460" w:type="dxa"/>
            <w:vAlign w:val="bottom"/>
          </w:tcPr>
          <w:p>
            <w:pPr>
              <w:ind w:left="40"/>
              <w:spacing w:after="0"/>
              <w:rPr>
                <w:sz w:val="20"/>
                <w:szCs w:val="20"/>
                <w:color w:val="auto"/>
              </w:rPr>
            </w:pPr>
            <w:r>
              <w:rPr>
                <w:rFonts w:ascii="Arial" w:cs="Arial" w:eastAsia="Arial" w:hAnsi="Arial"/>
                <w:sz w:val="14"/>
                <w:szCs w:val="14"/>
                <w:color w:val="auto"/>
              </w:rPr>
              <w:t>Risk Committee</w:t>
            </w:r>
          </w:p>
        </w:tc>
        <w:tc>
          <w:tcPr>
            <w:tcW w:w="1400" w:type="dxa"/>
            <w:vAlign w:val="bottom"/>
          </w:tcPr>
          <w:p>
            <w:pPr>
              <w:ind w:left="820"/>
              <w:spacing w:after="0"/>
              <w:rPr>
                <w:sz w:val="20"/>
                <w:szCs w:val="20"/>
                <w:color w:val="auto"/>
              </w:rPr>
            </w:pPr>
            <w:r>
              <w:rPr>
                <w:rFonts w:ascii="Arial" w:cs="Arial" w:eastAsia="Arial" w:hAnsi="Arial"/>
                <w:sz w:val="14"/>
                <w:szCs w:val="14"/>
                <w:color w:val="auto"/>
              </w:rPr>
              <w:t>1 of 1</w:t>
            </w:r>
          </w:p>
        </w:tc>
        <w:tc>
          <w:tcPr>
            <w:tcW w:w="680" w:type="dxa"/>
            <w:vAlign w:val="bottom"/>
          </w:tcPr>
          <w:p>
            <w:pPr>
              <w:ind w:left="40"/>
              <w:spacing w:after="0"/>
              <w:rPr>
                <w:sz w:val="20"/>
                <w:szCs w:val="20"/>
                <w:color w:val="auto"/>
              </w:rPr>
            </w:pPr>
            <w:r>
              <w:rPr>
                <w:rFonts w:ascii="Arial" w:cs="Arial" w:eastAsia="Arial" w:hAnsi="Arial"/>
                <w:sz w:val="14"/>
                <w:szCs w:val="14"/>
                <w:color w:val="auto"/>
              </w:rPr>
              <w:t>100%</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57"/>
        </w:trPr>
        <w:tc>
          <w:tcPr>
            <w:tcW w:w="2460" w:type="dxa"/>
            <w:vAlign w:val="bottom"/>
            <w:tcBorders>
              <w:bottom w:val="single" w:sz="8" w:color="AFAFAF"/>
            </w:tcBorders>
          </w:tcPr>
          <w:p>
            <w:pPr>
              <w:ind w:left="40"/>
              <w:spacing w:after="0" w:line="157" w:lineRule="exact"/>
              <w:rPr>
                <w:sz w:val="20"/>
                <w:szCs w:val="20"/>
                <w:color w:val="auto"/>
              </w:rPr>
            </w:pPr>
            <w:r>
              <w:rPr>
                <w:rFonts w:ascii="Arial" w:cs="Arial" w:eastAsia="Arial" w:hAnsi="Arial"/>
                <w:sz w:val="14"/>
                <w:szCs w:val="14"/>
                <w:color w:val="auto"/>
              </w:rPr>
              <w:t>Special Committee</w:t>
            </w:r>
          </w:p>
        </w:tc>
        <w:tc>
          <w:tcPr>
            <w:tcW w:w="1400" w:type="dxa"/>
            <w:vAlign w:val="bottom"/>
            <w:tcBorders>
              <w:bottom w:val="single" w:sz="8" w:color="AFAFAF"/>
            </w:tcBorders>
          </w:tcPr>
          <w:p>
            <w:pPr>
              <w:ind w:left="820"/>
              <w:spacing w:after="0" w:line="157" w:lineRule="exact"/>
              <w:rPr>
                <w:sz w:val="20"/>
                <w:szCs w:val="20"/>
                <w:color w:val="auto"/>
              </w:rPr>
            </w:pPr>
            <w:r>
              <w:rPr>
                <w:rFonts w:ascii="Arial" w:cs="Arial" w:eastAsia="Arial" w:hAnsi="Arial"/>
                <w:sz w:val="14"/>
                <w:szCs w:val="14"/>
                <w:color w:val="auto"/>
              </w:rPr>
              <w:t>3 of 3</w:t>
            </w:r>
          </w:p>
        </w:tc>
        <w:tc>
          <w:tcPr>
            <w:tcW w:w="680" w:type="dxa"/>
            <w:vAlign w:val="bottom"/>
            <w:tcBorders>
              <w:bottom w:val="single" w:sz="8" w:color="AFAFAF"/>
            </w:tcBorders>
          </w:tcPr>
          <w:p>
            <w:pPr>
              <w:ind w:left="40"/>
              <w:spacing w:after="0" w:line="157" w:lineRule="exact"/>
              <w:rPr>
                <w:sz w:val="20"/>
                <w:szCs w:val="20"/>
                <w:color w:val="auto"/>
              </w:rPr>
            </w:pPr>
            <w:r>
              <w:rPr>
                <w:rFonts w:ascii="Arial" w:cs="Arial" w:eastAsia="Arial" w:hAnsi="Arial"/>
                <w:sz w:val="14"/>
                <w:szCs w:val="14"/>
                <w:color w:val="auto"/>
              </w:rPr>
              <w:t>100%</w:t>
            </w:r>
          </w:p>
        </w:tc>
        <w:tc>
          <w:tcPr>
            <w:tcW w:w="700" w:type="dxa"/>
            <w:vAlign w:val="bottom"/>
            <w:tcBorders>
              <w:bottom w:val="single" w:sz="8" w:color="AFAFAF"/>
            </w:tcBorders>
          </w:tcPr>
          <w:p>
            <w:pPr>
              <w:spacing w:after="0"/>
              <w:rPr>
                <w:sz w:val="13"/>
                <w:szCs w:val="13"/>
                <w:color w:val="auto"/>
              </w:rPr>
            </w:pPr>
          </w:p>
        </w:tc>
        <w:tc>
          <w:tcPr>
            <w:tcW w:w="940" w:type="dxa"/>
            <w:vAlign w:val="bottom"/>
            <w:tcBorders>
              <w:bottom w:val="single" w:sz="8" w:color="AFAFAF"/>
            </w:tcBorders>
          </w:tcPr>
          <w:p>
            <w:pPr>
              <w:spacing w:after="0"/>
              <w:rPr>
                <w:sz w:val="13"/>
                <w:szCs w:val="13"/>
                <w:color w:val="auto"/>
              </w:rPr>
            </w:pPr>
          </w:p>
        </w:tc>
        <w:tc>
          <w:tcPr>
            <w:tcW w:w="920" w:type="dxa"/>
            <w:vAlign w:val="bottom"/>
            <w:tcBorders>
              <w:bottom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r>
      <w:tr>
        <w:trPr>
          <w:trHeight w:val="155"/>
        </w:trPr>
        <w:tc>
          <w:tcPr>
            <w:tcW w:w="2460" w:type="dxa"/>
            <w:vAlign w:val="bottom"/>
            <w:tcBorders>
              <w:bottom w:val="single" w:sz="8" w:color="AFAFAF"/>
            </w:tcBorders>
          </w:tcPr>
          <w:p>
            <w:pPr>
              <w:ind w:left="40"/>
              <w:spacing w:after="0" w:line="155" w:lineRule="exact"/>
              <w:rPr>
                <w:sz w:val="20"/>
                <w:szCs w:val="20"/>
                <w:color w:val="auto"/>
              </w:rPr>
            </w:pPr>
            <w:r>
              <w:rPr>
                <w:rFonts w:ascii="Arial" w:cs="Arial" w:eastAsia="Arial" w:hAnsi="Arial"/>
                <w:sz w:val="14"/>
                <w:szCs w:val="14"/>
                <w:b w:val="1"/>
                <w:bCs w:val="1"/>
                <w:color w:val="auto"/>
              </w:rPr>
              <w:t>Total</w:t>
            </w:r>
          </w:p>
        </w:tc>
        <w:tc>
          <w:tcPr>
            <w:tcW w:w="1400" w:type="dxa"/>
            <w:vAlign w:val="bottom"/>
            <w:tcBorders>
              <w:bottom w:val="single" w:sz="8" w:color="AFAFAF"/>
            </w:tcBorders>
          </w:tcPr>
          <w:p>
            <w:pPr>
              <w:ind w:left="820"/>
              <w:spacing w:after="0" w:line="155" w:lineRule="exact"/>
              <w:rPr>
                <w:sz w:val="20"/>
                <w:szCs w:val="20"/>
                <w:color w:val="auto"/>
              </w:rPr>
            </w:pPr>
            <w:r>
              <w:rPr>
                <w:rFonts w:ascii="Arial" w:cs="Arial" w:eastAsia="Arial" w:hAnsi="Arial"/>
                <w:sz w:val="14"/>
                <w:szCs w:val="14"/>
                <w:b w:val="1"/>
                <w:bCs w:val="1"/>
                <w:color w:val="auto"/>
              </w:rPr>
              <w:t>27 of 27</w:t>
            </w:r>
          </w:p>
        </w:tc>
        <w:tc>
          <w:tcPr>
            <w:tcW w:w="680" w:type="dxa"/>
            <w:vAlign w:val="bottom"/>
            <w:tcBorders>
              <w:bottom w:val="single" w:sz="8" w:color="AFAFAF"/>
            </w:tcBorders>
          </w:tcPr>
          <w:p>
            <w:pPr>
              <w:ind w:left="40"/>
              <w:spacing w:after="0" w:line="155" w:lineRule="exact"/>
              <w:rPr>
                <w:sz w:val="20"/>
                <w:szCs w:val="20"/>
                <w:color w:val="auto"/>
              </w:rPr>
            </w:pPr>
            <w:r>
              <w:rPr>
                <w:rFonts w:ascii="Arial" w:cs="Arial" w:eastAsia="Arial" w:hAnsi="Arial"/>
                <w:sz w:val="14"/>
                <w:szCs w:val="14"/>
                <w:b w:val="1"/>
                <w:bCs w:val="1"/>
                <w:color w:val="auto"/>
              </w:rPr>
              <w:t>100%</w:t>
            </w:r>
          </w:p>
        </w:tc>
        <w:tc>
          <w:tcPr>
            <w:tcW w:w="700" w:type="dxa"/>
            <w:vAlign w:val="bottom"/>
            <w:tcBorders>
              <w:bottom w:val="single" w:sz="8" w:color="AFAFAF"/>
            </w:tcBorders>
          </w:tcPr>
          <w:p>
            <w:pPr>
              <w:spacing w:after="0"/>
              <w:rPr>
                <w:sz w:val="13"/>
                <w:szCs w:val="13"/>
                <w:color w:val="auto"/>
              </w:rPr>
            </w:pPr>
          </w:p>
        </w:tc>
        <w:tc>
          <w:tcPr>
            <w:tcW w:w="940" w:type="dxa"/>
            <w:vAlign w:val="bottom"/>
            <w:tcBorders>
              <w:bottom w:val="single" w:sz="8" w:color="AFAFAF"/>
            </w:tcBorders>
          </w:tcPr>
          <w:p>
            <w:pPr>
              <w:spacing w:after="0"/>
              <w:rPr>
                <w:sz w:val="13"/>
                <w:szCs w:val="13"/>
                <w:color w:val="auto"/>
              </w:rPr>
            </w:pPr>
          </w:p>
        </w:tc>
        <w:tc>
          <w:tcPr>
            <w:tcW w:w="920" w:type="dxa"/>
            <w:vAlign w:val="bottom"/>
            <w:tcBorders>
              <w:bottom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r>
      <w:tr>
        <w:trPr>
          <w:trHeight w:val="142"/>
        </w:trPr>
        <w:tc>
          <w:tcPr>
            <w:tcW w:w="24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Securities held</w:t>
            </w:r>
          </w:p>
        </w:tc>
        <w:tc>
          <w:tcPr>
            <w:tcW w:w="1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 shares</w:t>
            </w:r>
          </w:p>
        </w:tc>
        <w:tc>
          <w:tcPr>
            <w:tcW w:w="9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Ownership multiple</w:t>
            </w:r>
          </w:p>
        </w:tc>
      </w:tr>
      <w:tr>
        <w:trPr>
          <w:trHeight w:val="175"/>
        </w:trPr>
        <w:tc>
          <w:tcPr>
            <w:tcW w:w="246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(number and value)</w:t>
            </w:r>
          </w:p>
        </w:tc>
        <w:tc>
          <w:tcPr>
            <w:tcW w:w="1400" w:type="dxa"/>
            <w:vAlign w:val="bottom"/>
            <w:tcBorders>
              <w:bottom w:val="single" w:sz="8" w:color="AFAFAF"/>
            </w:tcBorders>
          </w:tcPr>
          <w:p>
            <w:pPr>
              <w:spacing w:after="0"/>
              <w:rPr>
                <w:sz w:val="15"/>
                <w:szCs w:val="15"/>
                <w:color w:val="auto"/>
              </w:rPr>
            </w:pPr>
          </w:p>
        </w:tc>
        <w:tc>
          <w:tcPr>
            <w:tcW w:w="680" w:type="dxa"/>
            <w:vAlign w:val="bottom"/>
            <w:tcBorders>
              <w:bottom w:val="single" w:sz="8" w:color="AFAFAF"/>
            </w:tcBorders>
          </w:tcPr>
          <w:p>
            <w:pPr>
              <w:spacing w:after="0"/>
              <w:rPr>
                <w:sz w:val="15"/>
                <w:szCs w:val="15"/>
                <w:color w:val="auto"/>
              </w:rPr>
            </w:pPr>
          </w:p>
        </w:tc>
        <w:tc>
          <w:tcPr>
            <w:tcW w:w="700" w:type="dxa"/>
            <w:vAlign w:val="bottom"/>
            <w:tcBorders>
              <w:bottom w:val="single" w:sz="8" w:color="AFAFAF"/>
            </w:tcBorders>
          </w:tcPr>
          <w:p>
            <w:pPr>
              <w:spacing w:after="0"/>
              <w:rPr>
                <w:sz w:val="15"/>
                <w:szCs w:val="15"/>
                <w:color w:val="auto"/>
              </w:rPr>
            </w:pPr>
          </w:p>
        </w:tc>
        <w:tc>
          <w:tcPr>
            <w:tcW w:w="94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and DSUs</w:t>
            </w:r>
          </w:p>
        </w:tc>
        <w:tc>
          <w:tcPr>
            <w:tcW w:w="92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160"/>
        </w:trPr>
        <w:tc>
          <w:tcPr>
            <w:tcW w:w="2460" w:type="dxa"/>
            <w:vAlign w:val="bottom"/>
          </w:tcPr>
          <w:p>
            <w:pPr>
              <w:ind w:left="40"/>
              <w:spacing w:after="0" w:line="160" w:lineRule="exact"/>
              <w:rPr>
                <w:sz w:val="20"/>
                <w:szCs w:val="20"/>
                <w:color w:val="auto"/>
              </w:rPr>
            </w:pPr>
            <w:r>
              <w:rPr>
                <w:rFonts w:ascii="Arial" w:cs="Arial" w:eastAsia="Arial" w:hAnsi="Arial"/>
                <w:sz w:val="14"/>
                <w:szCs w:val="14"/>
                <w:color w:val="auto"/>
              </w:rPr>
              <w:t>Common shares</w:t>
            </w:r>
          </w:p>
        </w:tc>
        <w:tc>
          <w:tcPr>
            <w:tcW w:w="1400" w:type="dxa"/>
            <w:vAlign w:val="bottom"/>
          </w:tcPr>
          <w:p>
            <w:pPr>
              <w:ind w:left="820"/>
              <w:spacing w:after="0" w:line="160" w:lineRule="exact"/>
              <w:rPr>
                <w:sz w:val="20"/>
                <w:szCs w:val="20"/>
                <w:color w:val="auto"/>
              </w:rPr>
            </w:pPr>
            <w:r>
              <w:rPr>
                <w:rFonts w:ascii="Arial" w:cs="Arial" w:eastAsia="Arial" w:hAnsi="Arial"/>
                <w:sz w:val="14"/>
                <w:szCs w:val="14"/>
                <w:color w:val="auto"/>
              </w:rPr>
              <w:t>RSUs</w:t>
            </w:r>
          </w:p>
        </w:tc>
        <w:tc>
          <w:tcPr>
            <w:tcW w:w="680" w:type="dxa"/>
            <w:vAlign w:val="bottom"/>
          </w:tcPr>
          <w:p>
            <w:pPr>
              <w:ind w:left="40"/>
              <w:spacing w:after="0" w:line="160" w:lineRule="exact"/>
              <w:rPr>
                <w:sz w:val="20"/>
                <w:szCs w:val="20"/>
                <w:color w:val="auto"/>
              </w:rPr>
            </w:pPr>
            <w:r>
              <w:rPr>
                <w:rFonts w:ascii="Arial" w:cs="Arial" w:eastAsia="Arial" w:hAnsi="Arial"/>
                <w:sz w:val="14"/>
                <w:szCs w:val="14"/>
                <w:color w:val="auto"/>
              </w:rPr>
              <w:t>DSUs</w:t>
            </w:r>
          </w:p>
        </w:tc>
        <w:tc>
          <w:tcPr>
            <w:tcW w:w="700" w:type="dxa"/>
            <w:vAlign w:val="bottom"/>
          </w:tcPr>
          <w:p>
            <w:pPr>
              <w:jc w:val="center"/>
              <w:spacing w:after="0" w:line="160" w:lineRule="exact"/>
              <w:rPr>
                <w:sz w:val="20"/>
                <w:szCs w:val="20"/>
                <w:color w:val="auto"/>
              </w:rPr>
            </w:pPr>
            <w:r>
              <w:rPr>
                <w:rFonts w:ascii="Arial" w:cs="Arial" w:eastAsia="Arial" w:hAnsi="Arial"/>
                <w:sz w:val="14"/>
                <w:szCs w:val="14"/>
                <w:color w:val="auto"/>
              </w:rPr>
              <w:t>Options</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70"/>
        </w:trPr>
        <w:tc>
          <w:tcPr>
            <w:tcW w:w="2460" w:type="dxa"/>
            <w:vAlign w:val="bottom"/>
            <w:tcBorders>
              <w:bottom w:val="single" w:sz="8" w:color="AFAFAF"/>
            </w:tcBorders>
          </w:tcPr>
          <w:p>
            <w:pPr>
              <w:ind w:left="158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FAFAF"/>
            </w:tcBorders>
          </w:tcPr>
          <w:p>
            <w:pPr>
              <w:ind w:left="10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16,444</w:t>
            </w:r>
          </w:p>
        </w:tc>
        <w:tc>
          <w:tcPr>
            <w:tcW w:w="7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ind w:left="60"/>
              <w:spacing w:after="0"/>
              <w:rPr>
                <w:sz w:val="20"/>
                <w:szCs w:val="20"/>
                <w:color w:val="auto"/>
              </w:rPr>
            </w:pPr>
            <w:r>
              <w:rPr>
                <w:rFonts w:ascii="Arial" w:cs="Arial" w:eastAsia="Arial" w:hAnsi="Arial"/>
                <w:sz w:val="14"/>
                <w:szCs w:val="14"/>
                <w:color w:val="auto"/>
              </w:rPr>
              <w:t>16,444</w:t>
            </w:r>
          </w:p>
        </w:tc>
        <w:tc>
          <w:tcPr>
            <w:tcW w:w="920" w:type="dxa"/>
            <w:vAlign w:val="bottom"/>
            <w:tcBorders>
              <w:bottom w:val="single" w:sz="8" w:color="AFAFAF"/>
            </w:tcBorders>
          </w:tcPr>
          <w:p>
            <w:pPr>
              <w:spacing w:after="0"/>
              <w:rPr>
                <w:sz w:val="14"/>
                <w:szCs w:val="14"/>
                <w:color w:val="auto"/>
              </w:rPr>
            </w:pPr>
          </w:p>
        </w:tc>
        <w:tc>
          <w:tcPr>
            <w:tcW w:w="1380" w:type="dxa"/>
            <w:vAlign w:val="bottom"/>
            <w:tcBorders>
              <w:bottom w:val="single" w:sz="8" w:color="AFAFAF"/>
            </w:tcBorders>
          </w:tcPr>
          <w:p>
            <w:pPr>
              <w:spacing w:after="0"/>
              <w:rPr>
                <w:sz w:val="14"/>
                <w:szCs w:val="14"/>
                <w:color w:val="auto"/>
              </w:rPr>
            </w:pPr>
          </w:p>
        </w:tc>
      </w:tr>
      <w:tr>
        <w:trPr>
          <w:trHeight w:val="179"/>
        </w:trPr>
        <w:tc>
          <w:tcPr>
            <w:tcW w:w="2460" w:type="dxa"/>
            <w:vAlign w:val="bottom"/>
          </w:tcPr>
          <w:p>
            <w:pPr>
              <w:ind w:left="1580"/>
              <w:spacing w:after="0"/>
              <w:rPr>
                <w:sz w:val="20"/>
                <w:szCs w:val="20"/>
                <w:color w:val="auto"/>
              </w:rPr>
            </w:pPr>
            <w:r>
              <w:rPr>
                <w:rFonts w:ascii="Arial" w:cs="Arial" w:eastAsia="Arial" w:hAnsi="Arial"/>
                <w:sz w:val="14"/>
                <w:szCs w:val="14"/>
                <w:color w:val="auto"/>
              </w:rPr>
              <w:t>–</w:t>
            </w:r>
          </w:p>
        </w:tc>
        <w:tc>
          <w:tcPr>
            <w:tcW w:w="1400" w:type="dxa"/>
            <w:vAlign w:val="bottom"/>
          </w:tcPr>
          <w:p>
            <w:pPr>
              <w:ind w:left="1040"/>
              <w:spacing w:after="0"/>
              <w:rPr>
                <w:sz w:val="20"/>
                <w:szCs w:val="20"/>
                <w:color w:val="auto"/>
              </w:rPr>
            </w:pP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970,689</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970,689</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4.9x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-1584960</wp:posOffset>
            </wp:positionH>
            <wp:positionV relativeFrom="paragraph">
              <wp:posOffset>-14605</wp:posOffset>
            </wp:positionV>
            <wp:extent cx="69735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560"/>
            <w:col w:w="8480"/>
          </w:cols>
          <w:pgMar w:left="240" w:top="45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David W. Binet</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Age: 61</w:t>
      </w:r>
    </w:p>
    <w:p>
      <w:pPr>
        <w:spacing w:after="0" w:line="66" w:lineRule="exact"/>
        <w:rPr>
          <w:sz w:val="20"/>
          <w:szCs w:val="20"/>
          <w:color w:val="auto"/>
        </w:rPr>
      </w:pPr>
    </w:p>
    <w:p>
      <w:pPr>
        <w:ind w:left="320" w:right="460"/>
        <w:spacing w:after="0" w:line="345" w:lineRule="auto"/>
        <w:rPr>
          <w:sz w:val="20"/>
          <w:szCs w:val="20"/>
          <w:color w:val="auto"/>
        </w:rPr>
      </w:pPr>
      <w:r>
        <w:rPr>
          <w:rFonts w:ascii="Arial" w:cs="Arial" w:eastAsia="Arial" w:hAnsi="Arial"/>
          <w:sz w:val="13"/>
          <w:szCs w:val="13"/>
          <w:color w:val="auto"/>
        </w:rPr>
        <w:t>Toronto, Ontario, Canada Director since 2013 Non-independent</w:t>
      </w:r>
    </w:p>
    <w:p>
      <w:pPr>
        <w:spacing w:after="0" w:line="1" w:lineRule="exact"/>
        <w:rPr>
          <w:sz w:val="20"/>
          <w:szCs w:val="20"/>
          <w:color w:val="auto"/>
        </w:rPr>
      </w:pPr>
    </w:p>
    <w:p>
      <w:pPr>
        <w:ind w:left="320"/>
        <w:spacing w:after="0" w:line="247" w:lineRule="auto"/>
        <w:rPr>
          <w:sz w:val="20"/>
          <w:szCs w:val="20"/>
          <w:color w:val="auto"/>
        </w:rPr>
      </w:pPr>
      <w:r>
        <w:rPr>
          <w:rFonts w:ascii="Arial" w:cs="Arial" w:eastAsia="Arial" w:hAnsi="Arial"/>
          <w:sz w:val="13"/>
          <w:szCs w:val="13"/>
          <w:color w:val="auto"/>
        </w:rPr>
        <w:t>Primary areas of expertise: legal, media/publishing, investment management</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2018 votes for: 95.40%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David W. Binet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-1584960</wp:posOffset>
            </wp:positionH>
            <wp:positionV relativeFrom="paragraph">
              <wp:posOffset>-125095</wp:posOffset>
            </wp:positionV>
            <wp:extent cx="6973570" cy="2221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73570" cy="2221865"/>
                    </a:xfrm>
                    <a:prstGeom prst="rect">
                      <a:avLst/>
                    </a:prstGeom>
                    <a:noFill/>
                  </pic:spPr>
                </pic:pic>
              </a:graphicData>
            </a:graphic>
          </wp:anchor>
        </w:drawing>
      </w:r>
    </w:p>
    <w:p>
      <w:pPr>
        <w:spacing w:after="0" w:line="43" w:lineRule="exact"/>
        <w:rPr>
          <w:sz w:val="20"/>
          <w:szCs w:val="20"/>
          <w:color w:val="auto"/>
        </w:rPr>
      </w:pPr>
    </w:p>
    <w:p>
      <w:pPr>
        <w:ind w:left="40" w:right="20"/>
        <w:spacing w:after="0" w:line="243" w:lineRule="auto"/>
        <w:rPr>
          <w:sz w:val="20"/>
          <w:szCs w:val="20"/>
          <w:color w:val="auto"/>
        </w:rPr>
      </w:pPr>
      <w:r>
        <w:rPr>
          <w:rFonts w:ascii="Arial" w:cs="Arial" w:eastAsia="Arial" w:hAnsi="Arial"/>
          <w:sz w:val="14"/>
          <w:szCs w:val="14"/>
          <w:color w:val="auto"/>
        </w:rPr>
        <w:t>David W. Binet is Deputy Chairman of Thomson Reuters. He is also President and Chief Executive Officer and a director of Woodbridge, the Thomson family investment company. Prior to January 1, 2013, he held a number of senior positions at Woodbridge between 1999 and 2012, including Chief Operating Officer. Mr. Binet is a director of The Globe and Mail Inc., a Canadian media company and of a number of other companies in which Woodbridge is invested. Mr. Binet is also Chairman of the Thomson Reuters Foundation. Prior to joining Woodbridge in 1999, he was a partner at a major law firm. Mr. Binet has a law degree from McGill University, a BA from Queen’s University and a graduate degree in journalism from Northwestern University.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ind w:left="40"/>
              <w:spacing w:after="0"/>
              <w:rPr>
                <w:sz w:val="20"/>
                <w:szCs w:val="20"/>
                <w:color w:val="auto"/>
              </w:rPr>
            </w:pPr>
            <w:r>
              <w:rPr>
                <w:rFonts w:ascii="Arial" w:cs="Arial" w:eastAsia="Arial" w:hAnsi="Arial"/>
                <w:sz w:val="14"/>
                <w:szCs w:val="14"/>
                <w:b w:val="1"/>
                <w:bCs w:val="1"/>
                <w:color w:val="auto"/>
              </w:rPr>
              <w:t>Board/committee</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8"/>
        </w:trPr>
        <w:tc>
          <w:tcPr>
            <w:tcW w:w="258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membership</w:t>
            </w:r>
          </w:p>
        </w:tc>
        <w:tc>
          <w:tcPr>
            <w:tcW w:w="1960" w:type="dxa"/>
            <w:vAlign w:val="bottom"/>
            <w:tcBorders>
              <w:bottom w:val="single" w:sz="8" w:color="AFAFAF"/>
            </w:tcBorders>
            <w:gridSpan w:val="2"/>
          </w:tcPr>
          <w:p>
            <w:pPr>
              <w:ind w:left="620"/>
              <w:spacing w:after="0"/>
              <w:rPr>
                <w:sz w:val="20"/>
                <w:szCs w:val="20"/>
                <w:color w:val="auto"/>
              </w:rPr>
            </w:pPr>
            <w:r>
              <w:rPr>
                <w:rFonts w:ascii="Arial" w:cs="Arial" w:eastAsia="Arial" w:hAnsi="Arial"/>
                <w:sz w:val="14"/>
                <w:szCs w:val="14"/>
                <w:b w:val="1"/>
                <w:bCs w:val="1"/>
                <w:color w:val="auto"/>
              </w:rPr>
              <w:t>2018 attendance</w:t>
            </w:r>
          </w:p>
        </w:tc>
        <w:tc>
          <w:tcPr>
            <w:tcW w:w="3940" w:type="dxa"/>
            <w:vAlign w:val="bottom"/>
            <w:tcBorders>
              <w:bottom w:val="single" w:sz="8" w:color="AFAFAF"/>
            </w:tcBorders>
            <w:gridSpan w:val="4"/>
          </w:tcPr>
          <w:p>
            <w:pPr>
              <w:ind w:left="4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170"/>
        </w:trPr>
        <w:tc>
          <w:tcPr>
            <w:tcW w:w="2580" w:type="dxa"/>
            <w:vAlign w:val="bottom"/>
          </w:tcPr>
          <w:p>
            <w:pPr>
              <w:ind w:left="40"/>
              <w:spacing w:after="0"/>
              <w:rPr>
                <w:sz w:val="20"/>
                <w:szCs w:val="20"/>
                <w:color w:val="auto"/>
              </w:rPr>
            </w:pPr>
            <w:r>
              <w:rPr>
                <w:rFonts w:ascii="Arial" w:cs="Arial" w:eastAsia="Arial" w:hAnsi="Arial"/>
                <w:sz w:val="14"/>
                <w:szCs w:val="14"/>
                <w:color w:val="auto"/>
              </w:rPr>
              <w:t>Board</w:t>
            </w:r>
          </w:p>
        </w:tc>
        <w:tc>
          <w:tcPr>
            <w:tcW w:w="1180" w:type="dxa"/>
            <w:vAlign w:val="bottom"/>
          </w:tcPr>
          <w:p>
            <w:pPr>
              <w:ind w:left="620"/>
              <w:spacing w:after="0"/>
              <w:rPr>
                <w:sz w:val="20"/>
                <w:szCs w:val="20"/>
                <w:color w:val="auto"/>
              </w:rPr>
            </w:pPr>
            <w:r>
              <w:rPr>
                <w:rFonts w:ascii="Arial" w:cs="Arial" w:eastAsia="Arial" w:hAnsi="Arial"/>
                <w:sz w:val="14"/>
                <w:szCs w:val="14"/>
                <w:color w:val="auto"/>
              </w:rPr>
              <w:t>15 of 15</w:t>
            </w:r>
          </w:p>
        </w:tc>
        <w:tc>
          <w:tcPr>
            <w:tcW w:w="780" w:type="dxa"/>
            <w:vAlign w:val="bottom"/>
          </w:tcPr>
          <w:p>
            <w:pPr>
              <w:ind w:left="20"/>
              <w:spacing w:after="0"/>
              <w:rPr>
                <w:sz w:val="20"/>
                <w:szCs w:val="20"/>
                <w:color w:val="auto"/>
              </w:rPr>
            </w:pPr>
            <w:r>
              <w:rPr>
                <w:rFonts w:ascii="Arial" w:cs="Arial" w:eastAsia="Arial" w:hAnsi="Arial"/>
                <w:sz w:val="14"/>
                <w:szCs w:val="14"/>
                <w:color w:val="auto"/>
              </w:rPr>
              <w:t>100%</w:t>
            </w:r>
          </w:p>
        </w:tc>
        <w:tc>
          <w:tcPr>
            <w:tcW w:w="700" w:type="dxa"/>
            <w:vAlign w:val="bottom"/>
          </w:tcPr>
          <w:p>
            <w:pPr>
              <w:spacing w:after="0"/>
              <w:rPr>
                <w:sz w:val="14"/>
                <w:szCs w:val="14"/>
                <w:color w:val="auto"/>
              </w:rPr>
            </w:pPr>
          </w:p>
        </w:tc>
        <w:tc>
          <w:tcPr>
            <w:tcW w:w="940" w:type="dxa"/>
            <w:vAlign w:val="bottom"/>
          </w:tcPr>
          <w:p>
            <w:pPr>
              <w:ind w:left="5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5"/>
        </w:trPr>
        <w:tc>
          <w:tcPr>
            <w:tcW w:w="2580" w:type="dxa"/>
            <w:vAlign w:val="bottom"/>
          </w:tcPr>
          <w:p>
            <w:pPr>
              <w:ind w:left="40"/>
              <w:spacing w:after="0"/>
              <w:rPr>
                <w:sz w:val="20"/>
                <w:szCs w:val="20"/>
                <w:color w:val="auto"/>
              </w:rPr>
            </w:pPr>
            <w:r>
              <w:rPr>
                <w:rFonts w:ascii="Arial" w:cs="Arial" w:eastAsia="Arial" w:hAnsi="Arial"/>
                <w:sz w:val="14"/>
                <w:szCs w:val="14"/>
                <w:color w:val="auto"/>
              </w:rPr>
              <w:t>Corp. Governance Committee</w:t>
            </w:r>
          </w:p>
        </w:tc>
        <w:tc>
          <w:tcPr>
            <w:tcW w:w="1180" w:type="dxa"/>
            <w:vAlign w:val="bottom"/>
          </w:tcPr>
          <w:p>
            <w:pPr>
              <w:ind w:left="620"/>
              <w:spacing w:after="0"/>
              <w:rPr>
                <w:sz w:val="20"/>
                <w:szCs w:val="20"/>
                <w:color w:val="auto"/>
              </w:rPr>
            </w:pPr>
            <w:r>
              <w:rPr>
                <w:rFonts w:ascii="Arial" w:cs="Arial" w:eastAsia="Arial" w:hAnsi="Arial"/>
                <w:sz w:val="14"/>
                <w:szCs w:val="14"/>
                <w:color w:val="auto"/>
              </w:rPr>
              <w:t>5 of 5</w:t>
            </w:r>
          </w:p>
        </w:tc>
        <w:tc>
          <w:tcPr>
            <w:tcW w:w="780" w:type="dxa"/>
            <w:vAlign w:val="bottom"/>
          </w:tcPr>
          <w:p>
            <w:pPr>
              <w:ind w:left="20"/>
              <w:spacing w:after="0"/>
              <w:rPr>
                <w:sz w:val="20"/>
                <w:szCs w:val="20"/>
                <w:color w:val="auto"/>
              </w:rPr>
            </w:pPr>
            <w:r>
              <w:rPr>
                <w:rFonts w:ascii="Arial" w:cs="Arial" w:eastAsia="Arial" w:hAnsi="Arial"/>
                <w:sz w:val="14"/>
                <w:szCs w:val="14"/>
                <w:color w:val="auto"/>
              </w:rPr>
              <w:t>100%</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2580" w:type="dxa"/>
            <w:vAlign w:val="bottom"/>
          </w:tcPr>
          <w:p>
            <w:pPr>
              <w:ind w:left="40"/>
              <w:spacing w:after="0"/>
              <w:rPr>
                <w:sz w:val="20"/>
                <w:szCs w:val="20"/>
                <w:color w:val="auto"/>
              </w:rPr>
            </w:pPr>
            <w:r>
              <w:rPr>
                <w:rFonts w:ascii="Arial" w:cs="Arial" w:eastAsia="Arial" w:hAnsi="Arial"/>
                <w:sz w:val="14"/>
                <w:szCs w:val="14"/>
                <w:color w:val="auto"/>
              </w:rPr>
              <w:t>HR Committee</w:t>
            </w:r>
          </w:p>
        </w:tc>
        <w:tc>
          <w:tcPr>
            <w:tcW w:w="1180" w:type="dxa"/>
            <w:vAlign w:val="bottom"/>
          </w:tcPr>
          <w:p>
            <w:pPr>
              <w:ind w:left="620"/>
              <w:spacing w:after="0"/>
              <w:rPr>
                <w:sz w:val="20"/>
                <w:szCs w:val="20"/>
                <w:color w:val="auto"/>
              </w:rPr>
            </w:pPr>
            <w:r>
              <w:rPr>
                <w:rFonts w:ascii="Arial" w:cs="Arial" w:eastAsia="Arial" w:hAnsi="Arial"/>
                <w:sz w:val="14"/>
                <w:szCs w:val="14"/>
                <w:color w:val="auto"/>
              </w:rPr>
              <w:t>8 of 8</w:t>
            </w:r>
          </w:p>
        </w:tc>
        <w:tc>
          <w:tcPr>
            <w:tcW w:w="780" w:type="dxa"/>
            <w:vAlign w:val="bottom"/>
          </w:tcPr>
          <w:p>
            <w:pPr>
              <w:ind w:left="20"/>
              <w:spacing w:after="0"/>
              <w:rPr>
                <w:sz w:val="20"/>
                <w:szCs w:val="20"/>
                <w:color w:val="auto"/>
              </w:rPr>
            </w:pPr>
            <w:r>
              <w:rPr>
                <w:rFonts w:ascii="Arial" w:cs="Arial" w:eastAsia="Arial" w:hAnsi="Arial"/>
                <w:sz w:val="14"/>
                <w:szCs w:val="14"/>
                <w:color w:val="auto"/>
              </w:rPr>
              <w:t>100%</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57"/>
        </w:trPr>
        <w:tc>
          <w:tcPr>
            <w:tcW w:w="2580" w:type="dxa"/>
            <w:vAlign w:val="bottom"/>
            <w:tcBorders>
              <w:bottom w:val="single" w:sz="8" w:color="AFAFAF"/>
            </w:tcBorders>
          </w:tcPr>
          <w:p>
            <w:pPr>
              <w:ind w:left="40"/>
              <w:spacing w:after="0" w:line="157" w:lineRule="exact"/>
              <w:rPr>
                <w:sz w:val="20"/>
                <w:szCs w:val="20"/>
                <w:color w:val="auto"/>
              </w:rPr>
            </w:pPr>
            <w:r>
              <w:rPr>
                <w:rFonts w:ascii="Arial" w:cs="Arial" w:eastAsia="Arial" w:hAnsi="Arial"/>
                <w:sz w:val="14"/>
                <w:szCs w:val="14"/>
                <w:color w:val="auto"/>
              </w:rPr>
              <w:t>Risk Committee</w:t>
            </w:r>
          </w:p>
        </w:tc>
        <w:tc>
          <w:tcPr>
            <w:tcW w:w="1180" w:type="dxa"/>
            <w:vAlign w:val="bottom"/>
            <w:tcBorders>
              <w:bottom w:val="single" w:sz="8" w:color="AFAFAF"/>
            </w:tcBorders>
          </w:tcPr>
          <w:p>
            <w:pPr>
              <w:ind w:left="620"/>
              <w:spacing w:after="0" w:line="157" w:lineRule="exact"/>
              <w:rPr>
                <w:sz w:val="20"/>
                <w:szCs w:val="20"/>
                <w:color w:val="auto"/>
              </w:rPr>
            </w:pPr>
            <w:r>
              <w:rPr>
                <w:rFonts w:ascii="Arial" w:cs="Arial" w:eastAsia="Arial" w:hAnsi="Arial"/>
                <w:sz w:val="14"/>
                <w:szCs w:val="14"/>
                <w:color w:val="auto"/>
              </w:rPr>
              <w:t>1 of 1</w:t>
            </w:r>
          </w:p>
        </w:tc>
        <w:tc>
          <w:tcPr>
            <w:tcW w:w="780" w:type="dxa"/>
            <w:vAlign w:val="bottom"/>
            <w:tcBorders>
              <w:bottom w:val="single" w:sz="8" w:color="AFAFAF"/>
            </w:tcBorders>
          </w:tcPr>
          <w:p>
            <w:pPr>
              <w:ind w:left="20"/>
              <w:spacing w:after="0" w:line="157" w:lineRule="exact"/>
              <w:rPr>
                <w:sz w:val="20"/>
                <w:szCs w:val="20"/>
                <w:color w:val="auto"/>
              </w:rPr>
            </w:pPr>
            <w:r>
              <w:rPr>
                <w:rFonts w:ascii="Arial" w:cs="Arial" w:eastAsia="Arial" w:hAnsi="Arial"/>
                <w:sz w:val="14"/>
                <w:szCs w:val="14"/>
                <w:color w:val="auto"/>
              </w:rPr>
              <w:t>100%</w:t>
            </w:r>
          </w:p>
        </w:tc>
        <w:tc>
          <w:tcPr>
            <w:tcW w:w="700" w:type="dxa"/>
            <w:vAlign w:val="bottom"/>
            <w:tcBorders>
              <w:bottom w:val="single" w:sz="8" w:color="AFAFAF"/>
            </w:tcBorders>
          </w:tcPr>
          <w:p>
            <w:pPr>
              <w:spacing w:after="0"/>
              <w:rPr>
                <w:sz w:val="13"/>
                <w:szCs w:val="13"/>
                <w:color w:val="auto"/>
              </w:rPr>
            </w:pPr>
          </w:p>
        </w:tc>
        <w:tc>
          <w:tcPr>
            <w:tcW w:w="940" w:type="dxa"/>
            <w:vAlign w:val="bottom"/>
            <w:tcBorders>
              <w:bottom w:val="single" w:sz="8" w:color="AFAFAF"/>
            </w:tcBorders>
          </w:tcPr>
          <w:p>
            <w:pPr>
              <w:spacing w:after="0"/>
              <w:rPr>
                <w:sz w:val="13"/>
                <w:szCs w:val="13"/>
                <w:color w:val="auto"/>
              </w:rPr>
            </w:pPr>
          </w:p>
        </w:tc>
        <w:tc>
          <w:tcPr>
            <w:tcW w:w="920" w:type="dxa"/>
            <w:vAlign w:val="bottom"/>
            <w:tcBorders>
              <w:bottom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r>
      <w:tr>
        <w:trPr>
          <w:trHeight w:val="168"/>
        </w:trPr>
        <w:tc>
          <w:tcPr>
            <w:tcW w:w="258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Total</w:t>
            </w:r>
          </w:p>
        </w:tc>
        <w:tc>
          <w:tcPr>
            <w:tcW w:w="1180" w:type="dxa"/>
            <w:vAlign w:val="bottom"/>
            <w:tcBorders>
              <w:bottom w:val="single" w:sz="8" w:color="AFAFAF"/>
            </w:tcBorders>
          </w:tcPr>
          <w:p>
            <w:pPr>
              <w:ind w:left="620"/>
              <w:spacing w:after="0"/>
              <w:rPr>
                <w:sz w:val="20"/>
                <w:szCs w:val="20"/>
                <w:color w:val="auto"/>
              </w:rPr>
            </w:pPr>
            <w:r>
              <w:rPr>
                <w:rFonts w:ascii="Arial" w:cs="Arial" w:eastAsia="Arial" w:hAnsi="Arial"/>
                <w:sz w:val="14"/>
                <w:szCs w:val="14"/>
                <w:b w:val="1"/>
                <w:bCs w:val="1"/>
                <w:color w:val="auto"/>
              </w:rPr>
              <w:t>29 of 29</w:t>
            </w:r>
          </w:p>
        </w:tc>
        <w:tc>
          <w:tcPr>
            <w:tcW w:w="780" w:type="dxa"/>
            <w:vAlign w:val="bottom"/>
            <w:tcBorders>
              <w:bottom w:val="single" w:sz="8" w:color="AFAFAF"/>
            </w:tcBorders>
          </w:tcPr>
          <w:p>
            <w:pPr>
              <w:ind w:left="20"/>
              <w:spacing w:after="0"/>
              <w:rPr>
                <w:sz w:val="20"/>
                <w:szCs w:val="20"/>
                <w:color w:val="auto"/>
              </w:rPr>
            </w:pPr>
            <w:r>
              <w:rPr>
                <w:rFonts w:ascii="Arial" w:cs="Arial" w:eastAsia="Arial" w:hAnsi="Arial"/>
                <w:sz w:val="14"/>
                <w:szCs w:val="14"/>
                <w:b w:val="1"/>
                <w:bCs w:val="1"/>
                <w:color w:val="auto"/>
              </w:rPr>
              <w:t>100%</w:t>
            </w:r>
          </w:p>
        </w:tc>
        <w:tc>
          <w:tcPr>
            <w:tcW w:w="700" w:type="dxa"/>
            <w:vAlign w:val="bottom"/>
            <w:tcBorders>
              <w:bottom w:val="single" w:sz="8" w:color="AFAFAF"/>
            </w:tcBorders>
          </w:tcPr>
          <w:p>
            <w:pPr>
              <w:spacing w:after="0"/>
              <w:rPr>
                <w:sz w:val="14"/>
                <w:szCs w:val="14"/>
                <w:color w:val="auto"/>
              </w:rPr>
            </w:pPr>
          </w:p>
        </w:tc>
        <w:tc>
          <w:tcPr>
            <w:tcW w:w="940" w:type="dxa"/>
            <w:vAlign w:val="bottom"/>
            <w:tcBorders>
              <w:bottom w:val="single" w:sz="8" w:color="AFAFAF"/>
            </w:tcBorders>
          </w:tcPr>
          <w:p>
            <w:pPr>
              <w:spacing w:after="0"/>
              <w:rPr>
                <w:sz w:val="14"/>
                <w:szCs w:val="14"/>
                <w:color w:val="auto"/>
              </w:rPr>
            </w:pPr>
          </w:p>
        </w:tc>
        <w:tc>
          <w:tcPr>
            <w:tcW w:w="920" w:type="dxa"/>
            <w:vAlign w:val="bottom"/>
            <w:tcBorders>
              <w:bottom w:val="single" w:sz="8" w:color="AFAFAF"/>
            </w:tcBorders>
          </w:tcPr>
          <w:p>
            <w:pPr>
              <w:spacing w:after="0"/>
              <w:rPr>
                <w:sz w:val="14"/>
                <w:szCs w:val="14"/>
                <w:color w:val="auto"/>
              </w:rPr>
            </w:pPr>
          </w:p>
        </w:tc>
        <w:tc>
          <w:tcPr>
            <w:tcW w:w="1380" w:type="dxa"/>
            <w:vAlign w:val="bottom"/>
            <w:tcBorders>
              <w:bottom w:val="single" w:sz="8" w:color="AFAFAF"/>
            </w:tcBorders>
          </w:tcPr>
          <w:p>
            <w:pPr>
              <w:spacing w:after="0"/>
              <w:rPr>
                <w:sz w:val="14"/>
                <w:szCs w:val="14"/>
                <w:color w:val="auto"/>
              </w:rPr>
            </w:pPr>
          </w:p>
        </w:tc>
      </w:tr>
      <w:tr>
        <w:trPr>
          <w:trHeight w:val="142"/>
        </w:trPr>
        <w:tc>
          <w:tcPr>
            <w:tcW w:w="25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Securities held</w:t>
            </w: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 shares</w:t>
            </w:r>
          </w:p>
        </w:tc>
        <w:tc>
          <w:tcPr>
            <w:tcW w:w="9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Ownership multiple</w:t>
            </w:r>
          </w:p>
        </w:tc>
      </w:tr>
      <w:tr>
        <w:trPr>
          <w:trHeight w:val="188"/>
        </w:trPr>
        <w:tc>
          <w:tcPr>
            <w:tcW w:w="258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(number and value)</w:t>
            </w:r>
          </w:p>
        </w:tc>
        <w:tc>
          <w:tcPr>
            <w:tcW w:w="1180" w:type="dxa"/>
            <w:vAlign w:val="bottom"/>
            <w:tcBorders>
              <w:bottom w:val="single" w:sz="8" w:color="AFAFAF"/>
            </w:tcBorders>
          </w:tcPr>
          <w:p>
            <w:pPr>
              <w:spacing w:after="0"/>
              <w:rPr>
                <w:sz w:val="16"/>
                <w:szCs w:val="16"/>
                <w:color w:val="auto"/>
              </w:rPr>
            </w:pPr>
          </w:p>
        </w:tc>
        <w:tc>
          <w:tcPr>
            <w:tcW w:w="780" w:type="dxa"/>
            <w:vAlign w:val="bottom"/>
            <w:tcBorders>
              <w:bottom w:val="single" w:sz="8" w:color="AFAFAF"/>
            </w:tcBorders>
          </w:tcPr>
          <w:p>
            <w:pPr>
              <w:spacing w:after="0"/>
              <w:rPr>
                <w:sz w:val="16"/>
                <w:szCs w:val="16"/>
                <w:color w:val="auto"/>
              </w:rPr>
            </w:pPr>
          </w:p>
        </w:tc>
        <w:tc>
          <w:tcPr>
            <w:tcW w:w="700" w:type="dxa"/>
            <w:vAlign w:val="bottom"/>
            <w:tcBorders>
              <w:bottom w:val="single" w:sz="8" w:color="AFAFAF"/>
            </w:tcBorders>
          </w:tcPr>
          <w:p>
            <w:pPr>
              <w:spacing w:after="0"/>
              <w:rPr>
                <w:sz w:val="16"/>
                <w:szCs w:val="16"/>
                <w:color w:val="auto"/>
              </w:rPr>
            </w:pPr>
          </w:p>
        </w:tc>
        <w:tc>
          <w:tcPr>
            <w:tcW w:w="94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and DSUs</w:t>
            </w:r>
          </w:p>
        </w:tc>
        <w:tc>
          <w:tcPr>
            <w:tcW w:w="92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173"/>
        </w:trPr>
        <w:tc>
          <w:tcPr>
            <w:tcW w:w="2580" w:type="dxa"/>
            <w:vAlign w:val="bottom"/>
          </w:tcPr>
          <w:p>
            <w:pPr>
              <w:ind w:left="40"/>
              <w:spacing w:after="0"/>
              <w:rPr>
                <w:sz w:val="20"/>
                <w:szCs w:val="20"/>
                <w:color w:val="auto"/>
              </w:rPr>
            </w:pPr>
            <w:r>
              <w:rPr>
                <w:rFonts w:ascii="Arial" w:cs="Arial" w:eastAsia="Arial" w:hAnsi="Arial"/>
                <w:sz w:val="14"/>
                <w:szCs w:val="14"/>
                <w:color w:val="auto"/>
              </w:rPr>
              <w:t>Common shares</w:t>
            </w:r>
          </w:p>
        </w:tc>
        <w:tc>
          <w:tcPr>
            <w:tcW w:w="1180" w:type="dxa"/>
            <w:vAlign w:val="bottom"/>
          </w:tcPr>
          <w:p>
            <w:pPr>
              <w:ind w:left="620"/>
              <w:spacing w:after="0"/>
              <w:rPr>
                <w:sz w:val="20"/>
                <w:szCs w:val="20"/>
                <w:color w:val="auto"/>
              </w:rPr>
            </w:pPr>
            <w:r>
              <w:rPr>
                <w:rFonts w:ascii="Arial" w:cs="Arial" w:eastAsia="Arial" w:hAnsi="Arial"/>
                <w:sz w:val="14"/>
                <w:szCs w:val="14"/>
                <w:color w:val="auto"/>
              </w:rPr>
              <w:t>RSUs</w:t>
            </w:r>
          </w:p>
        </w:tc>
        <w:tc>
          <w:tcPr>
            <w:tcW w:w="780" w:type="dxa"/>
            <w:vAlign w:val="bottom"/>
          </w:tcPr>
          <w:p>
            <w:pPr>
              <w:ind w:left="20"/>
              <w:spacing w:after="0"/>
              <w:rPr>
                <w:sz w:val="20"/>
                <w:szCs w:val="20"/>
                <w:color w:val="auto"/>
              </w:rPr>
            </w:pPr>
            <w:r>
              <w:rPr>
                <w:rFonts w:ascii="Arial" w:cs="Arial" w:eastAsia="Arial" w:hAnsi="Arial"/>
                <w:sz w:val="14"/>
                <w:szCs w:val="14"/>
                <w:color w:val="auto"/>
              </w:rPr>
              <w:t>DSUs</w:t>
            </w:r>
          </w:p>
        </w:tc>
        <w:tc>
          <w:tcPr>
            <w:tcW w:w="700" w:type="dxa"/>
            <w:vAlign w:val="bottom"/>
          </w:tcPr>
          <w:p>
            <w:pPr>
              <w:jc w:val="center"/>
              <w:spacing w:after="0"/>
              <w:rPr>
                <w:sz w:val="20"/>
                <w:szCs w:val="20"/>
                <w:color w:val="auto"/>
              </w:rPr>
            </w:pPr>
            <w:r>
              <w:rPr>
                <w:rFonts w:ascii="Arial" w:cs="Arial" w:eastAsia="Arial" w:hAnsi="Arial"/>
                <w:sz w:val="14"/>
                <w:szCs w:val="14"/>
                <w:color w:val="auto"/>
              </w:rPr>
              <w:t>Options</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0"/>
        </w:trPr>
        <w:tc>
          <w:tcPr>
            <w:tcW w:w="258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261,176</w:t>
            </w:r>
          </w:p>
        </w:tc>
        <w:tc>
          <w:tcPr>
            <w:tcW w:w="1180" w:type="dxa"/>
            <w:vAlign w:val="bottom"/>
            <w:tcBorders>
              <w:bottom w:val="single" w:sz="8" w:color="AFAFAF"/>
            </w:tcBorders>
          </w:tcPr>
          <w:p>
            <w:pPr>
              <w:ind w:left="8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FAFAF"/>
            </w:tcBorders>
          </w:tcPr>
          <w:p>
            <w:pPr>
              <w:ind w:left="20"/>
              <w:spacing w:after="0"/>
              <w:rPr>
                <w:sz w:val="20"/>
                <w:szCs w:val="20"/>
                <w:color w:val="auto"/>
              </w:rPr>
            </w:pPr>
            <w:r>
              <w:rPr>
                <w:rFonts w:ascii="Arial" w:cs="Arial" w:eastAsia="Arial" w:hAnsi="Arial"/>
                <w:sz w:val="14"/>
                <w:szCs w:val="14"/>
                <w:color w:val="auto"/>
              </w:rPr>
              <w:t>27,208</w:t>
            </w:r>
          </w:p>
        </w:tc>
        <w:tc>
          <w:tcPr>
            <w:tcW w:w="7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ind w:left="60"/>
              <w:spacing w:after="0"/>
              <w:rPr>
                <w:sz w:val="20"/>
                <w:szCs w:val="20"/>
                <w:color w:val="auto"/>
              </w:rPr>
            </w:pPr>
            <w:r>
              <w:rPr>
                <w:rFonts w:ascii="Arial" w:cs="Arial" w:eastAsia="Arial" w:hAnsi="Arial"/>
                <w:sz w:val="14"/>
                <w:szCs w:val="14"/>
                <w:color w:val="auto"/>
              </w:rPr>
              <w:t>288,384</w:t>
            </w:r>
          </w:p>
        </w:tc>
        <w:tc>
          <w:tcPr>
            <w:tcW w:w="920" w:type="dxa"/>
            <w:vAlign w:val="bottom"/>
            <w:tcBorders>
              <w:bottom w:val="single" w:sz="8" w:color="AFAFAF"/>
            </w:tcBorders>
          </w:tcPr>
          <w:p>
            <w:pPr>
              <w:spacing w:after="0"/>
              <w:rPr>
                <w:sz w:val="14"/>
                <w:szCs w:val="14"/>
                <w:color w:val="auto"/>
              </w:rPr>
            </w:pPr>
          </w:p>
        </w:tc>
        <w:tc>
          <w:tcPr>
            <w:tcW w:w="1380" w:type="dxa"/>
            <w:vAlign w:val="bottom"/>
            <w:tcBorders>
              <w:bottom w:val="single" w:sz="8" w:color="AFAFAF"/>
            </w:tcBorders>
          </w:tcPr>
          <w:p>
            <w:pPr>
              <w:spacing w:after="0"/>
              <w:rPr>
                <w:sz w:val="14"/>
                <w:szCs w:val="14"/>
                <w:color w:val="auto"/>
              </w:rPr>
            </w:pPr>
          </w:p>
        </w:tc>
      </w:tr>
      <w:tr>
        <w:trPr>
          <w:trHeight w:val="184"/>
        </w:trPr>
        <w:tc>
          <w:tcPr>
            <w:tcW w:w="258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15,417,219</w:t>
            </w:r>
          </w:p>
        </w:tc>
        <w:tc>
          <w:tcPr>
            <w:tcW w:w="1180" w:type="dxa"/>
            <w:vAlign w:val="bottom"/>
          </w:tcPr>
          <w:p>
            <w:pPr>
              <w:ind w:left="840"/>
              <w:spacing w:after="0"/>
              <w:rPr>
                <w:sz w:val="20"/>
                <w:szCs w:val="20"/>
                <w:color w:val="auto"/>
              </w:rPr>
            </w:pPr>
            <w:r>
              <w:rPr>
                <w:rFonts w:ascii="Arial" w:cs="Arial" w:eastAsia="Arial" w:hAnsi="Arial"/>
                <w:sz w:val="14"/>
                <w:szCs w:val="14"/>
                <w:color w:val="auto"/>
              </w:rPr>
              <w:t>–</w:t>
            </w:r>
          </w:p>
        </w:tc>
        <w:tc>
          <w:tcPr>
            <w:tcW w:w="78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1,606,088</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17,023,308</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85.1x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-1584960</wp:posOffset>
            </wp:positionH>
            <wp:positionV relativeFrom="paragraph">
              <wp:posOffset>-8890</wp:posOffset>
            </wp:positionV>
            <wp:extent cx="69735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column">
              <wp:posOffset>-1584960</wp:posOffset>
            </wp:positionH>
            <wp:positionV relativeFrom="paragraph">
              <wp:posOffset>127000</wp:posOffset>
            </wp:positionV>
            <wp:extent cx="697357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440"/>
            <w:col w:w="8480"/>
          </w:cols>
          <w:pgMar w:left="240" w:top="458" w:right="459" w:bottom="1440" w:gutter="0" w:footer="0" w:header="0"/>
          <w:type w:val="continuous"/>
        </w:sectPr>
      </w:pPr>
    </w:p>
    <w:p>
      <w:pPr>
        <w:spacing w:after="0" w:line="175"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16</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type w:val="continuous"/>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219075</wp:posOffset>
            </wp:positionV>
            <wp:extent cx="6973570" cy="2221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73570" cy="2221865"/>
                    </a:xfrm>
                    <a:prstGeom prst="rect">
                      <a:avLst/>
                    </a:prstGeom>
                    <a:noFill/>
                  </pic:spPr>
                </pic:pic>
              </a:graphicData>
            </a:graphic>
          </wp:anchor>
        </w:drawing>
      </w:r>
    </w:p>
    <w:p>
      <w:pPr>
        <w:sectPr>
          <w:pgSz w:w="11900" w:h="16838" w:orient="portrait"/>
          <w:cols w:equalWidth="0" w:num="1">
            <w:col w:w="11200"/>
          </w:cols>
          <w:pgMar w:left="240" w:top="45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W. Edmund Clark, C.M.</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Age: 71</w:t>
      </w:r>
    </w:p>
    <w:p>
      <w:pPr>
        <w:spacing w:after="0" w:line="66" w:lineRule="exact"/>
        <w:rPr>
          <w:sz w:val="20"/>
          <w:szCs w:val="20"/>
          <w:color w:val="auto"/>
        </w:rPr>
      </w:pPr>
    </w:p>
    <w:p>
      <w:pPr>
        <w:ind w:left="320" w:right="260"/>
        <w:spacing w:after="0" w:line="345" w:lineRule="auto"/>
        <w:rPr>
          <w:sz w:val="20"/>
          <w:szCs w:val="20"/>
          <w:color w:val="auto"/>
        </w:rPr>
      </w:pPr>
      <w:r>
        <w:rPr>
          <w:rFonts w:ascii="Arial" w:cs="Arial" w:eastAsia="Arial" w:hAnsi="Arial"/>
          <w:sz w:val="13"/>
          <w:szCs w:val="13"/>
          <w:color w:val="auto"/>
        </w:rPr>
        <w:t>Toronto, Ontario, Canada Director since 2015 Non-independent</w:t>
      </w:r>
    </w:p>
    <w:p>
      <w:pPr>
        <w:spacing w:after="0" w:line="1" w:lineRule="exact"/>
        <w:rPr>
          <w:sz w:val="20"/>
          <w:szCs w:val="20"/>
          <w:color w:val="auto"/>
        </w:rPr>
      </w:pPr>
    </w:p>
    <w:p>
      <w:pPr>
        <w:ind w:left="320"/>
        <w:spacing w:after="0" w:line="247" w:lineRule="auto"/>
        <w:rPr>
          <w:sz w:val="20"/>
          <w:szCs w:val="20"/>
          <w:color w:val="auto"/>
        </w:rPr>
      </w:pPr>
      <w:r>
        <w:rPr>
          <w:rFonts w:ascii="Arial" w:cs="Arial" w:eastAsia="Arial" w:hAnsi="Arial"/>
          <w:sz w:val="13"/>
          <w:szCs w:val="13"/>
          <w:color w:val="auto"/>
        </w:rPr>
        <w:t>Primary areas of expertise: executive leadership, finance, human resources, strategy</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2018 votes for: 93.05%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 Edmund Clark, C.M.</w:t>
      </w:r>
    </w:p>
    <w:p>
      <w:pPr>
        <w:spacing w:after="0" w:line="63" w:lineRule="exact"/>
        <w:rPr>
          <w:sz w:val="20"/>
          <w:szCs w:val="20"/>
          <w:color w:val="auto"/>
        </w:rPr>
      </w:pPr>
    </w:p>
    <w:p>
      <w:pPr>
        <w:ind w:left="60" w:right="120"/>
        <w:spacing w:after="0" w:line="243" w:lineRule="auto"/>
        <w:rPr>
          <w:sz w:val="20"/>
          <w:szCs w:val="20"/>
          <w:color w:val="auto"/>
        </w:rPr>
      </w:pPr>
      <w:r>
        <w:rPr>
          <w:rFonts w:ascii="Arial" w:cs="Arial" w:eastAsia="Arial" w:hAnsi="Arial"/>
          <w:sz w:val="14"/>
          <w:szCs w:val="14"/>
          <w:color w:val="auto"/>
        </w:rPr>
        <w:t>W. Edmund Clark is a corporate director. Mr. Clark served as Group President and Chief Executive Officer of TD Bank Group from 2002 until his retirement in November 2014. Mr. Clark was inducted as a Companion of the Canadian Order of the Business Hall of Fame in 2016. In 2014, Mr. Clark was elected to the Board of Trustees of the Brookings Institute. He is also Chair of the Vector Institute for Artificial Intelligence. Mr. Clark has a BA from the University of Toronto, and an MA and Doctorate in Economics from Harvard University. He has also received honorary degrees from Mount Allison University, Queen’s University, Western University and the University of Toronto. In 2010, he was made an Officer of the Order of Canada, one of the country’s highest distinctions.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Board/committee</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8"/>
        </w:trPr>
        <w:tc>
          <w:tcPr>
            <w:tcW w:w="262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membership</w:t>
            </w:r>
          </w:p>
        </w:tc>
        <w:tc>
          <w:tcPr>
            <w:tcW w:w="2000" w:type="dxa"/>
            <w:vAlign w:val="bottom"/>
            <w:tcBorders>
              <w:bottom w:val="single" w:sz="8" w:color="AFAFAF"/>
            </w:tcBorders>
            <w:gridSpan w:val="2"/>
          </w:tcPr>
          <w:p>
            <w:pPr>
              <w:ind w:left="660"/>
              <w:spacing w:after="0"/>
              <w:rPr>
                <w:sz w:val="20"/>
                <w:szCs w:val="20"/>
                <w:color w:val="auto"/>
              </w:rPr>
            </w:pPr>
            <w:r>
              <w:rPr>
                <w:rFonts w:ascii="Arial" w:cs="Arial" w:eastAsia="Arial" w:hAnsi="Arial"/>
                <w:sz w:val="14"/>
                <w:szCs w:val="14"/>
                <w:b w:val="1"/>
                <w:bCs w:val="1"/>
                <w:color w:val="auto"/>
              </w:rPr>
              <w:t>2018 attendance</w:t>
            </w:r>
          </w:p>
        </w:tc>
        <w:tc>
          <w:tcPr>
            <w:tcW w:w="3840" w:type="dxa"/>
            <w:vAlign w:val="bottom"/>
            <w:tcBorders>
              <w:bottom w:val="single" w:sz="8" w:color="AFAFAF"/>
            </w:tcBorders>
            <w:gridSpan w:val="3"/>
          </w:tcPr>
          <w:p>
            <w:pPr>
              <w:ind w:left="2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170"/>
        </w:trPr>
        <w:tc>
          <w:tcPr>
            <w:tcW w:w="2620" w:type="dxa"/>
            <w:vAlign w:val="bottom"/>
          </w:tcPr>
          <w:p>
            <w:pPr>
              <w:ind w:left="60"/>
              <w:spacing w:after="0"/>
              <w:rPr>
                <w:sz w:val="20"/>
                <w:szCs w:val="20"/>
                <w:color w:val="auto"/>
              </w:rPr>
            </w:pPr>
            <w:r>
              <w:rPr>
                <w:rFonts w:ascii="Arial" w:cs="Arial" w:eastAsia="Arial" w:hAnsi="Arial"/>
                <w:sz w:val="14"/>
                <w:szCs w:val="14"/>
                <w:color w:val="auto"/>
              </w:rPr>
              <w:t>Board</w:t>
            </w:r>
          </w:p>
        </w:tc>
        <w:tc>
          <w:tcPr>
            <w:tcW w:w="1220" w:type="dxa"/>
            <w:vAlign w:val="bottom"/>
          </w:tcPr>
          <w:p>
            <w:pPr>
              <w:ind w:left="660"/>
              <w:spacing w:after="0"/>
              <w:rPr>
                <w:sz w:val="20"/>
                <w:szCs w:val="20"/>
                <w:color w:val="auto"/>
              </w:rPr>
            </w:pPr>
            <w:r>
              <w:rPr>
                <w:rFonts w:ascii="Arial" w:cs="Arial" w:eastAsia="Arial" w:hAnsi="Arial"/>
                <w:sz w:val="14"/>
                <w:szCs w:val="14"/>
                <w:color w:val="auto"/>
              </w:rPr>
              <w:t>15 of 15</w:t>
            </w:r>
          </w:p>
        </w:tc>
        <w:tc>
          <w:tcPr>
            <w:tcW w:w="780" w:type="dxa"/>
            <w:vAlign w:val="bottom"/>
          </w:tcPr>
          <w:p>
            <w:pPr>
              <w:ind w:left="20"/>
              <w:spacing w:after="0"/>
              <w:rPr>
                <w:sz w:val="20"/>
                <w:szCs w:val="20"/>
                <w:color w:val="auto"/>
              </w:rPr>
            </w:pPr>
            <w:r>
              <w:rPr>
                <w:rFonts w:ascii="Arial" w:cs="Arial" w:eastAsia="Arial" w:hAnsi="Arial"/>
                <w:sz w:val="14"/>
                <w:szCs w:val="14"/>
                <w:color w:val="auto"/>
              </w:rPr>
              <w:t>100%</w:t>
            </w:r>
          </w:p>
        </w:tc>
        <w:tc>
          <w:tcPr>
            <w:tcW w:w="620" w:type="dxa"/>
            <w:vAlign w:val="bottom"/>
          </w:tcPr>
          <w:p>
            <w:pPr>
              <w:spacing w:after="0"/>
              <w:rPr>
                <w:sz w:val="14"/>
                <w:szCs w:val="14"/>
                <w:color w:val="auto"/>
              </w:rPr>
            </w:pPr>
          </w:p>
        </w:tc>
        <w:tc>
          <w:tcPr>
            <w:tcW w:w="1840" w:type="dxa"/>
            <w:vAlign w:val="bottom"/>
          </w:tcPr>
          <w:p>
            <w:pPr>
              <w:ind w:left="580"/>
              <w:spacing w:after="0"/>
              <w:rPr>
                <w:sz w:val="20"/>
                <w:szCs w:val="20"/>
                <w:color w:val="auto"/>
              </w:rPr>
            </w:pPr>
            <w:r>
              <w:rPr>
                <w:rFonts w:ascii="Arial" w:cs="Arial" w:eastAsia="Arial" w:hAnsi="Arial"/>
                <w:sz w:val="14"/>
                <w:szCs w:val="14"/>
                <w:color w:val="auto"/>
              </w:rPr>
              <w:t>–</w:t>
            </w:r>
          </w:p>
        </w:tc>
        <w:tc>
          <w:tcPr>
            <w:tcW w:w="1380" w:type="dxa"/>
            <w:vAlign w:val="bottom"/>
          </w:tcPr>
          <w:p>
            <w:pPr>
              <w:spacing w:after="0"/>
              <w:rPr>
                <w:sz w:val="14"/>
                <w:szCs w:val="14"/>
                <w:color w:val="auto"/>
              </w:rPr>
            </w:pPr>
          </w:p>
        </w:tc>
      </w:tr>
      <w:tr>
        <w:trPr>
          <w:trHeight w:val="165"/>
        </w:trPr>
        <w:tc>
          <w:tcPr>
            <w:tcW w:w="2620" w:type="dxa"/>
            <w:vAlign w:val="bottom"/>
          </w:tcPr>
          <w:p>
            <w:pPr>
              <w:ind w:left="60"/>
              <w:spacing w:after="0"/>
              <w:rPr>
                <w:sz w:val="20"/>
                <w:szCs w:val="20"/>
                <w:color w:val="auto"/>
              </w:rPr>
            </w:pPr>
            <w:r>
              <w:rPr>
                <w:rFonts w:ascii="Arial" w:cs="Arial" w:eastAsia="Arial" w:hAnsi="Arial"/>
                <w:sz w:val="14"/>
                <w:szCs w:val="14"/>
                <w:color w:val="auto"/>
              </w:rPr>
              <w:t>Corp. Governance Committee</w:t>
            </w:r>
          </w:p>
        </w:tc>
        <w:tc>
          <w:tcPr>
            <w:tcW w:w="1220" w:type="dxa"/>
            <w:vAlign w:val="bottom"/>
          </w:tcPr>
          <w:p>
            <w:pPr>
              <w:ind w:left="660"/>
              <w:spacing w:after="0"/>
              <w:rPr>
                <w:sz w:val="20"/>
                <w:szCs w:val="20"/>
                <w:color w:val="auto"/>
              </w:rPr>
            </w:pPr>
            <w:r>
              <w:rPr>
                <w:rFonts w:ascii="Arial" w:cs="Arial" w:eastAsia="Arial" w:hAnsi="Arial"/>
                <w:sz w:val="14"/>
                <w:szCs w:val="14"/>
                <w:color w:val="auto"/>
              </w:rPr>
              <w:t>5 of 5</w:t>
            </w:r>
          </w:p>
        </w:tc>
        <w:tc>
          <w:tcPr>
            <w:tcW w:w="780" w:type="dxa"/>
            <w:vAlign w:val="bottom"/>
          </w:tcPr>
          <w:p>
            <w:pPr>
              <w:ind w:left="20"/>
              <w:spacing w:after="0"/>
              <w:rPr>
                <w:sz w:val="20"/>
                <w:szCs w:val="20"/>
                <w:color w:val="auto"/>
              </w:rPr>
            </w:pPr>
            <w:r>
              <w:rPr>
                <w:rFonts w:ascii="Arial" w:cs="Arial" w:eastAsia="Arial" w:hAnsi="Arial"/>
                <w:sz w:val="14"/>
                <w:szCs w:val="14"/>
                <w:color w:val="auto"/>
              </w:rPr>
              <w:t>100%</w:t>
            </w:r>
          </w:p>
        </w:tc>
        <w:tc>
          <w:tcPr>
            <w:tcW w:w="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57"/>
        </w:trPr>
        <w:tc>
          <w:tcPr>
            <w:tcW w:w="2620" w:type="dxa"/>
            <w:vAlign w:val="bottom"/>
            <w:tcBorders>
              <w:bottom w:val="single" w:sz="8" w:color="AFAFAF"/>
            </w:tcBorders>
          </w:tcPr>
          <w:p>
            <w:pPr>
              <w:ind w:left="60"/>
              <w:spacing w:after="0" w:line="157" w:lineRule="exact"/>
              <w:rPr>
                <w:sz w:val="20"/>
                <w:szCs w:val="20"/>
                <w:color w:val="auto"/>
              </w:rPr>
            </w:pPr>
            <w:r>
              <w:rPr>
                <w:rFonts w:ascii="Arial" w:cs="Arial" w:eastAsia="Arial" w:hAnsi="Arial"/>
                <w:sz w:val="14"/>
                <w:szCs w:val="14"/>
                <w:color w:val="auto"/>
              </w:rPr>
              <w:t>HR Committee</w:t>
            </w:r>
          </w:p>
        </w:tc>
        <w:tc>
          <w:tcPr>
            <w:tcW w:w="1220" w:type="dxa"/>
            <w:vAlign w:val="bottom"/>
            <w:tcBorders>
              <w:bottom w:val="single" w:sz="8" w:color="AFAFAF"/>
            </w:tcBorders>
          </w:tcPr>
          <w:p>
            <w:pPr>
              <w:ind w:left="660"/>
              <w:spacing w:after="0" w:line="157" w:lineRule="exact"/>
              <w:rPr>
                <w:sz w:val="20"/>
                <w:szCs w:val="20"/>
                <w:color w:val="auto"/>
              </w:rPr>
            </w:pPr>
            <w:r>
              <w:rPr>
                <w:rFonts w:ascii="Arial" w:cs="Arial" w:eastAsia="Arial" w:hAnsi="Arial"/>
                <w:sz w:val="14"/>
                <w:szCs w:val="14"/>
                <w:color w:val="auto"/>
              </w:rPr>
              <w:t>8 of 8</w:t>
            </w:r>
          </w:p>
        </w:tc>
        <w:tc>
          <w:tcPr>
            <w:tcW w:w="780" w:type="dxa"/>
            <w:vAlign w:val="bottom"/>
            <w:tcBorders>
              <w:bottom w:val="single" w:sz="8" w:color="AFAFAF"/>
            </w:tcBorders>
          </w:tcPr>
          <w:p>
            <w:pPr>
              <w:ind w:left="20"/>
              <w:spacing w:after="0" w:line="157" w:lineRule="exact"/>
              <w:rPr>
                <w:sz w:val="20"/>
                <w:szCs w:val="20"/>
                <w:color w:val="auto"/>
              </w:rPr>
            </w:pPr>
            <w:r>
              <w:rPr>
                <w:rFonts w:ascii="Arial" w:cs="Arial" w:eastAsia="Arial" w:hAnsi="Arial"/>
                <w:sz w:val="14"/>
                <w:szCs w:val="14"/>
                <w:color w:val="auto"/>
              </w:rPr>
              <w:t>100%</w:t>
            </w:r>
          </w:p>
        </w:tc>
        <w:tc>
          <w:tcPr>
            <w:tcW w:w="620" w:type="dxa"/>
            <w:vAlign w:val="bottom"/>
            <w:tcBorders>
              <w:bottom w:val="single" w:sz="8" w:color="AFAFAF"/>
            </w:tcBorders>
          </w:tcPr>
          <w:p>
            <w:pPr>
              <w:spacing w:after="0"/>
              <w:rPr>
                <w:sz w:val="13"/>
                <w:szCs w:val="13"/>
                <w:color w:val="auto"/>
              </w:rPr>
            </w:pPr>
          </w:p>
        </w:tc>
        <w:tc>
          <w:tcPr>
            <w:tcW w:w="1840" w:type="dxa"/>
            <w:vAlign w:val="bottom"/>
            <w:tcBorders>
              <w:bottom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r>
      <w:tr>
        <w:trPr>
          <w:trHeight w:val="168"/>
        </w:trPr>
        <w:tc>
          <w:tcPr>
            <w:tcW w:w="262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Total</w:t>
            </w:r>
          </w:p>
        </w:tc>
        <w:tc>
          <w:tcPr>
            <w:tcW w:w="1220" w:type="dxa"/>
            <w:vAlign w:val="bottom"/>
            <w:tcBorders>
              <w:bottom w:val="single" w:sz="8" w:color="AFAFAF"/>
            </w:tcBorders>
          </w:tcPr>
          <w:p>
            <w:pPr>
              <w:ind w:left="660"/>
              <w:spacing w:after="0"/>
              <w:rPr>
                <w:sz w:val="20"/>
                <w:szCs w:val="20"/>
                <w:color w:val="auto"/>
              </w:rPr>
            </w:pPr>
            <w:r>
              <w:rPr>
                <w:rFonts w:ascii="Arial" w:cs="Arial" w:eastAsia="Arial" w:hAnsi="Arial"/>
                <w:sz w:val="14"/>
                <w:szCs w:val="14"/>
                <w:b w:val="1"/>
                <w:bCs w:val="1"/>
                <w:color w:val="auto"/>
              </w:rPr>
              <w:t>28 of 28</w:t>
            </w:r>
          </w:p>
        </w:tc>
        <w:tc>
          <w:tcPr>
            <w:tcW w:w="780" w:type="dxa"/>
            <w:vAlign w:val="bottom"/>
            <w:tcBorders>
              <w:bottom w:val="single" w:sz="8" w:color="AFAFAF"/>
            </w:tcBorders>
          </w:tcPr>
          <w:p>
            <w:pPr>
              <w:ind w:left="20"/>
              <w:spacing w:after="0"/>
              <w:rPr>
                <w:sz w:val="20"/>
                <w:szCs w:val="20"/>
                <w:color w:val="auto"/>
              </w:rPr>
            </w:pPr>
            <w:r>
              <w:rPr>
                <w:rFonts w:ascii="Arial" w:cs="Arial" w:eastAsia="Arial" w:hAnsi="Arial"/>
                <w:sz w:val="14"/>
                <w:szCs w:val="14"/>
                <w:b w:val="1"/>
                <w:bCs w:val="1"/>
                <w:color w:val="auto"/>
              </w:rPr>
              <w:t>100%</w:t>
            </w:r>
          </w:p>
        </w:tc>
        <w:tc>
          <w:tcPr>
            <w:tcW w:w="620" w:type="dxa"/>
            <w:vAlign w:val="bottom"/>
            <w:tcBorders>
              <w:bottom w:val="single" w:sz="8" w:color="AFAFAF"/>
            </w:tcBorders>
          </w:tcPr>
          <w:p>
            <w:pPr>
              <w:spacing w:after="0"/>
              <w:rPr>
                <w:sz w:val="14"/>
                <w:szCs w:val="14"/>
                <w:color w:val="auto"/>
              </w:rPr>
            </w:pPr>
          </w:p>
        </w:tc>
        <w:tc>
          <w:tcPr>
            <w:tcW w:w="1840" w:type="dxa"/>
            <w:vAlign w:val="bottom"/>
            <w:tcBorders>
              <w:bottom w:val="single" w:sz="8" w:color="AFAFAF"/>
            </w:tcBorders>
          </w:tcPr>
          <w:p>
            <w:pPr>
              <w:spacing w:after="0"/>
              <w:rPr>
                <w:sz w:val="14"/>
                <w:szCs w:val="14"/>
                <w:color w:val="auto"/>
              </w:rPr>
            </w:pPr>
          </w:p>
        </w:tc>
        <w:tc>
          <w:tcPr>
            <w:tcW w:w="1380" w:type="dxa"/>
            <w:vAlign w:val="bottom"/>
            <w:tcBorders>
              <w:bottom w:val="single" w:sz="8" w:color="AFAFAF"/>
            </w:tcBorders>
          </w:tcPr>
          <w:p>
            <w:pPr>
              <w:spacing w:after="0"/>
              <w:rPr>
                <w:sz w:val="14"/>
                <w:szCs w:val="14"/>
                <w:color w:val="auto"/>
              </w:rPr>
            </w:pPr>
          </w:p>
        </w:tc>
      </w:tr>
      <w:tr>
        <w:trPr>
          <w:trHeight w:val="155"/>
        </w:trPr>
        <w:tc>
          <w:tcPr>
            <w:tcW w:w="262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Securities held</w:t>
            </w: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Total shares Total market Ownership multiple</w:t>
            </w:r>
          </w:p>
        </w:tc>
      </w:tr>
      <w:tr>
        <w:trPr>
          <w:trHeight w:val="188"/>
        </w:trPr>
        <w:tc>
          <w:tcPr>
            <w:tcW w:w="262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(number and value)</w:t>
            </w:r>
          </w:p>
        </w:tc>
        <w:tc>
          <w:tcPr>
            <w:tcW w:w="1220" w:type="dxa"/>
            <w:vAlign w:val="bottom"/>
            <w:tcBorders>
              <w:bottom w:val="single" w:sz="8" w:color="AFAFAF"/>
            </w:tcBorders>
          </w:tcPr>
          <w:p>
            <w:pPr>
              <w:spacing w:after="0"/>
              <w:rPr>
                <w:sz w:val="16"/>
                <w:szCs w:val="16"/>
                <w:color w:val="auto"/>
              </w:rPr>
            </w:pPr>
          </w:p>
        </w:tc>
        <w:tc>
          <w:tcPr>
            <w:tcW w:w="780" w:type="dxa"/>
            <w:vAlign w:val="bottom"/>
            <w:tcBorders>
              <w:bottom w:val="single" w:sz="8" w:color="AFAFAF"/>
            </w:tcBorders>
          </w:tcPr>
          <w:p>
            <w:pPr>
              <w:spacing w:after="0"/>
              <w:rPr>
                <w:sz w:val="16"/>
                <w:szCs w:val="16"/>
                <w:color w:val="auto"/>
              </w:rPr>
            </w:pPr>
          </w:p>
        </w:tc>
        <w:tc>
          <w:tcPr>
            <w:tcW w:w="620" w:type="dxa"/>
            <w:vAlign w:val="bottom"/>
            <w:tcBorders>
              <w:bottom w:val="single" w:sz="8" w:color="AFAFAF"/>
            </w:tcBorders>
          </w:tcPr>
          <w:p>
            <w:pPr>
              <w:spacing w:after="0"/>
              <w:rPr>
                <w:sz w:val="16"/>
                <w:szCs w:val="16"/>
                <w:color w:val="auto"/>
              </w:rPr>
            </w:pPr>
          </w:p>
        </w:tc>
        <w:tc>
          <w:tcPr>
            <w:tcW w:w="1840" w:type="dxa"/>
            <w:vAlign w:val="bottom"/>
            <w:tcBorders>
              <w:bottom w:val="single" w:sz="8" w:color="AFAFAF"/>
            </w:tcBorders>
          </w:tcPr>
          <w:p>
            <w:pPr>
              <w:ind w:left="100"/>
              <w:spacing w:after="0"/>
              <w:rPr>
                <w:sz w:val="20"/>
                <w:szCs w:val="20"/>
                <w:color w:val="auto"/>
              </w:rPr>
            </w:pPr>
            <w:r>
              <w:rPr>
                <w:rFonts w:ascii="Arial" w:cs="Arial" w:eastAsia="Arial" w:hAnsi="Arial"/>
                <w:sz w:val="14"/>
                <w:szCs w:val="14"/>
                <w:b w:val="1"/>
                <w:bCs w:val="1"/>
                <w:color w:val="auto"/>
              </w:rPr>
              <w:t>and DSUs   value</w:t>
            </w:r>
          </w:p>
        </w:tc>
        <w:tc>
          <w:tcPr>
            <w:tcW w:w="13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173"/>
        </w:trPr>
        <w:tc>
          <w:tcPr>
            <w:tcW w:w="2620" w:type="dxa"/>
            <w:vAlign w:val="bottom"/>
          </w:tcPr>
          <w:p>
            <w:pPr>
              <w:ind w:left="60"/>
              <w:spacing w:after="0"/>
              <w:rPr>
                <w:sz w:val="20"/>
                <w:szCs w:val="20"/>
                <w:color w:val="auto"/>
              </w:rPr>
            </w:pPr>
            <w:r>
              <w:rPr>
                <w:rFonts w:ascii="Arial" w:cs="Arial" w:eastAsia="Arial" w:hAnsi="Arial"/>
                <w:sz w:val="14"/>
                <w:szCs w:val="14"/>
                <w:color w:val="auto"/>
              </w:rPr>
              <w:t>Common shares</w:t>
            </w:r>
          </w:p>
        </w:tc>
        <w:tc>
          <w:tcPr>
            <w:tcW w:w="1220" w:type="dxa"/>
            <w:vAlign w:val="bottom"/>
          </w:tcPr>
          <w:p>
            <w:pPr>
              <w:ind w:left="660"/>
              <w:spacing w:after="0"/>
              <w:rPr>
                <w:sz w:val="20"/>
                <w:szCs w:val="20"/>
                <w:color w:val="auto"/>
              </w:rPr>
            </w:pPr>
            <w:r>
              <w:rPr>
                <w:rFonts w:ascii="Arial" w:cs="Arial" w:eastAsia="Arial" w:hAnsi="Arial"/>
                <w:sz w:val="14"/>
                <w:szCs w:val="14"/>
                <w:color w:val="auto"/>
              </w:rPr>
              <w:t>RSUs</w:t>
            </w:r>
          </w:p>
        </w:tc>
        <w:tc>
          <w:tcPr>
            <w:tcW w:w="780" w:type="dxa"/>
            <w:vAlign w:val="bottom"/>
          </w:tcPr>
          <w:p>
            <w:pPr>
              <w:ind w:left="20"/>
              <w:spacing w:after="0"/>
              <w:rPr>
                <w:sz w:val="20"/>
                <w:szCs w:val="20"/>
                <w:color w:val="auto"/>
              </w:rPr>
            </w:pPr>
            <w:r>
              <w:rPr>
                <w:rFonts w:ascii="Arial" w:cs="Arial" w:eastAsia="Arial" w:hAnsi="Arial"/>
                <w:sz w:val="14"/>
                <w:szCs w:val="14"/>
                <w:color w:val="auto"/>
              </w:rPr>
              <w:t>DSUs</w:t>
            </w:r>
          </w:p>
        </w:tc>
        <w:tc>
          <w:tcPr>
            <w:tcW w:w="620" w:type="dxa"/>
            <w:vAlign w:val="bottom"/>
          </w:tcPr>
          <w:p>
            <w:pPr>
              <w:ind w:left="20"/>
              <w:spacing w:after="0"/>
              <w:rPr>
                <w:sz w:val="20"/>
                <w:szCs w:val="20"/>
                <w:color w:val="auto"/>
              </w:rPr>
            </w:pPr>
            <w:r>
              <w:rPr>
                <w:rFonts w:ascii="Arial" w:cs="Arial" w:eastAsia="Arial" w:hAnsi="Arial"/>
                <w:sz w:val="14"/>
                <w:szCs w:val="14"/>
                <w:color w:val="auto"/>
              </w:rPr>
              <w:t>Options</w:t>
            </w:r>
          </w:p>
        </w:tc>
        <w:tc>
          <w:tcPr>
            <w:tcW w:w="18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0"/>
        </w:trPr>
        <w:tc>
          <w:tcPr>
            <w:tcW w:w="2620" w:type="dxa"/>
            <w:vAlign w:val="bottom"/>
            <w:tcBorders>
              <w:bottom w:val="single" w:sz="8" w:color="AFAFAF"/>
            </w:tcBorders>
          </w:tcPr>
          <w:p>
            <w:pPr>
              <w:ind w:left="60"/>
              <w:spacing w:after="0"/>
              <w:rPr>
                <w:sz w:val="20"/>
                <w:szCs w:val="20"/>
                <w:color w:val="auto"/>
              </w:rPr>
            </w:pPr>
            <w:r>
              <w:rPr>
                <w:rFonts w:ascii="Arial" w:cs="Arial" w:eastAsia="Arial" w:hAnsi="Arial"/>
                <w:sz w:val="14"/>
                <w:szCs w:val="14"/>
                <w:color w:val="auto"/>
              </w:rPr>
              <w:t>36,316</w:t>
            </w:r>
          </w:p>
        </w:tc>
        <w:tc>
          <w:tcPr>
            <w:tcW w:w="1220" w:type="dxa"/>
            <w:vAlign w:val="bottom"/>
            <w:tcBorders>
              <w:bottom w:val="single" w:sz="8" w:color="AFAFAF"/>
            </w:tcBorders>
          </w:tcPr>
          <w:p>
            <w:pPr>
              <w:ind w:left="8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FAFAF"/>
            </w:tcBorders>
          </w:tcPr>
          <w:p>
            <w:pPr>
              <w:ind w:left="20"/>
              <w:spacing w:after="0"/>
              <w:rPr>
                <w:sz w:val="20"/>
                <w:szCs w:val="20"/>
                <w:color w:val="auto"/>
              </w:rPr>
            </w:pPr>
            <w:r>
              <w:rPr>
                <w:rFonts w:ascii="Arial" w:cs="Arial" w:eastAsia="Arial" w:hAnsi="Arial"/>
                <w:sz w:val="14"/>
                <w:szCs w:val="14"/>
                <w:color w:val="auto"/>
              </w:rPr>
              <w:t>20,608</w:t>
            </w:r>
          </w:p>
        </w:tc>
        <w:tc>
          <w:tcPr>
            <w:tcW w:w="620" w:type="dxa"/>
            <w:vAlign w:val="bottom"/>
            <w:tcBorders>
              <w:bottom w:val="single" w:sz="8" w:color="AFAFAF"/>
            </w:tcBorders>
          </w:tcPr>
          <w:p>
            <w:pPr>
              <w:ind w:left="30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FAFAF"/>
            </w:tcBorders>
          </w:tcPr>
          <w:p>
            <w:pPr>
              <w:ind w:left="100"/>
              <w:spacing w:after="0"/>
              <w:rPr>
                <w:sz w:val="20"/>
                <w:szCs w:val="20"/>
                <w:color w:val="auto"/>
              </w:rPr>
            </w:pPr>
            <w:r>
              <w:rPr>
                <w:rFonts w:ascii="Arial" w:cs="Arial" w:eastAsia="Arial" w:hAnsi="Arial"/>
                <w:sz w:val="14"/>
                <w:szCs w:val="14"/>
                <w:color w:val="auto"/>
              </w:rPr>
              <w:t>56,924</w:t>
            </w:r>
          </w:p>
        </w:tc>
        <w:tc>
          <w:tcPr>
            <w:tcW w:w="1380" w:type="dxa"/>
            <w:vAlign w:val="bottom"/>
            <w:tcBorders>
              <w:bottom w:val="single" w:sz="8" w:color="AFAFAF"/>
            </w:tcBorders>
          </w:tcPr>
          <w:p>
            <w:pPr>
              <w:spacing w:after="0"/>
              <w:rPr>
                <w:sz w:val="14"/>
                <w:szCs w:val="14"/>
                <w:color w:val="auto"/>
              </w:rPr>
            </w:pPr>
          </w:p>
        </w:tc>
      </w:tr>
      <w:tr>
        <w:trPr>
          <w:trHeight w:val="183"/>
        </w:trPr>
        <w:tc>
          <w:tcPr>
            <w:tcW w:w="262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2,143,733</w:t>
            </w:r>
          </w:p>
        </w:tc>
        <w:tc>
          <w:tcPr>
            <w:tcW w:w="1220" w:type="dxa"/>
            <w:vAlign w:val="bottom"/>
          </w:tcPr>
          <w:p>
            <w:pPr>
              <w:ind w:left="880"/>
              <w:spacing w:after="0"/>
              <w:rPr>
                <w:sz w:val="20"/>
                <w:szCs w:val="20"/>
                <w:color w:val="auto"/>
              </w:rPr>
            </w:pPr>
            <w:r>
              <w:rPr>
                <w:rFonts w:ascii="Arial" w:cs="Arial" w:eastAsia="Arial" w:hAnsi="Arial"/>
                <w:sz w:val="14"/>
                <w:szCs w:val="14"/>
                <w:color w:val="auto"/>
              </w:rPr>
              <w:t>–</w:t>
            </w:r>
          </w:p>
        </w:tc>
        <w:tc>
          <w:tcPr>
            <w:tcW w:w="78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1,216,490</w:t>
            </w:r>
          </w:p>
        </w:tc>
        <w:tc>
          <w:tcPr>
            <w:tcW w:w="620" w:type="dxa"/>
            <w:vAlign w:val="bottom"/>
          </w:tcPr>
          <w:p>
            <w:pPr>
              <w:ind w:left="300"/>
              <w:spacing w:after="0"/>
              <w:rPr>
                <w:sz w:val="20"/>
                <w:szCs w:val="20"/>
                <w:color w:val="auto"/>
              </w:rPr>
            </w:pPr>
            <w:r>
              <w:rPr>
                <w:rFonts w:ascii="Arial" w:cs="Arial" w:eastAsia="Arial" w:hAnsi="Arial"/>
                <w:sz w:val="14"/>
                <w:szCs w:val="14"/>
                <w:color w:val="auto"/>
              </w:rPr>
              <w:t>–</w:t>
            </w:r>
          </w:p>
        </w:tc>
        <w:tc>
          <w:tcPr>
            <w:tcW w:w="1840" w:type="dxa"/>
            <w:vAlign w:val="bottom"/>
          </w:tcPr>
          <w:p>
            <w:pPr>
              <w:ind w:left="10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3,360,224</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16.8x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-8890</wp:posOffset>
            </wp:positionV>
            <wp:extent cx="6973570" cy="25038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73570" cy="25038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660"/>
            <w:col w:w="8460"/>
          </w:cols>
          <w:pgMar w:left="240" w:top="45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Michael E. Daniels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Age: 64</w:t>
      </w:r>
    </w:p>
    <w:p>
      <w:pPr>
        <w:spacing w:after="0" w:line="66" w:lineRule="exact"/>
        <w:rPr>
          <w:sz w:val="20"/>
          <w:szCs w:val="20"/>
          <w:color w:val="auto"/>
        </w:rPr>
      </w:pPr>
    </w:p>
    <w:p>
      <w:pPr>
        <w:ind w:left="320"/>
        <w:spacing w:after="0" w:line="257" w:lineRule="auto"/>
        <w:rPr>
          <w:sz w:val="20"/>
          <w:szCs w:val="20"/>
          <w:color w:val="auto"/>
        </w:rPr>
      </w:pPr>
      <w:r>
        <w:rPr>
          <w:rFonts w:ascii="Arial" w:cs="Arial" w:eastAsia="Arial" w:hAnsi="Arial"/>
          <w:sz w:val="13"/>
          <w:szCs w:val="13"/>
          <w:color w:val="auto"/>
        </w:rPr>
        <w:t>Hilton Head Island, South Carolina, United States</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Director since 2014</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Independent</w:t>
      </w:r>
    </w:p>
    <w:p>
      <w:pPr>
        <w:spacing w:after="0" w:line="66" w:lineRule="exact"/>
        <w:rPr>
          <w:sz w:val="20"/>
          <w:szCs w:val="20"/>
          <w:color w:val="auto"/>
        </w:rPr>
      </w:pPr>
    </w:p>
    <w:p>
      <w:pPr>
        <w:ind w:left="320" w:right="260"/>
        <w:spacing w:after="0" w:line="247" w:lineRule="auto"/>
        <w:rPr>
          <w:sz w:val="20"/>
          <w:szCs w:val="20"/>
          <w:color w:val="auto"/>
        </w:rPr>
      </w:pPr>
      <w:r>
        <w:rPr>
          <w:rFonts w:ascii="Arial" w:cs="Arial" w:eastAsia="Arial" w:hAnsi="Arial"/>
          <w:sz w:val="13"/>
          <w:szCs w:val="13"/>
          <w:color w:val="auto"/>
        </w:rPr>
        <w:t>Primary areas of expertise: international business, finance, operations, technology</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2018 votes for: 98.45%</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Michael E. Daniels</w:t>
      </w:r>
    </w:p>
    <w:p>
      <w:pPr>
        <w:spacing w:after="0" w:line="63" w:lineRule="exact"/>
        <w:rPr>
          <w:sz w:val="20"/>
          <w:szCs w:val="20"/>
          <w:color w:val="auto"/>
        </w:rPr>
      </w:pPr>
    </w:p>
    <w:p>
      <w:pPr>
        <w:ind w:left="60" w:right="100"/>
        <w:spacing w:after="0" w:line="244" w:lineRule="auto"/>
        <w:rPr>
          <w:sz w:val="20"/>
          <w:szCs w:val="20"/>
          <w:color w:val="auto"/>
        </w:rPr>
      </w:pPr>
      <w:r>
        <w:rPr>
          <w:rFonts w:ascii="Arial" w:cs="Arial" w:eastAsia="Arial" w:hAnsi="Arial"/>
          <w:sz w:val="14"/>
          <w:szCs w:val="14"/>
          <w:color w:val="auto"/>
        </w:rPr>
        <w:t>Michael E. Daniels is a corporate director. In March 2013, Mr. Daniels retired as Senior Vice President and Group Executive IBM Services after 36 years with the company where he directed IBM’s consulting, systems integration, application management, cloud computing and outsourcing services around the globe. Mr. Daniels also held a number of senior leadership positions in his career at IBM, including General Manager of Sales and Distribution Operations of the Americas as well as leading Global Services in the Asia Pacific region. Mr. Daniels has a bachelor’s degree in political science from Holy Cross College.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ind w:left="60"/>
              <w:spacing w:after="0"/>
              <w:rPr>
                <w:sz w:val="20"/>
                <w:szCs w:val="20"/>
                <w:color w:val="auto"/>
              </w:rPr>
            </w:pPr>
            <w:r>
              <w:rPr>
                <w:rFonts w:ascii="Arial" w:cs="Arial" w:eastAsia="Arial" w:hAnsi="Arial"/>
                <w:sz w:val="14"/>
                <w:szCs w:val="14"/>
                <w:b w:val="1"/>
                <w:bCs w:val="1"/>
                <w:color w:val="auto"/>
              </w:rPr>
              <w:t>Board/committee</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8"/>
        </w:trPr>
        <w:tc>
          <w:tcPr>
            <w:tcW w:w="25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membership</w:t>
            </w:r>
          </w:p>
        </w:tc>
        <w:tc>
          <w:tcPr>
            <w:tcW w:w="2000" w:type="dxa"/>
            <w:vAlign w:val="bottom"/>
            <w:tcBorders>
              <w:bottom w:val="single" w:sz="8" w:color="AFAFAF"/>
            </w:tcBorders>
            <w:gridSpan w:val="2"/>
          </w:tcPr>
          <w:p>
            <w:pPr>
              <w:ind w:left="620"/>
              <w:spacing w:after="0"/>
              <w:rPr>
                <w:sz w:val="20"/>
                <w:szCs w:val="20"/>
                <w:color w:val="auto"/>
              </w:rPr>
            </w:pPr>
            <w:r>
              <w:rPr>
                <w:rFonts w:ascii="Arial" w:cs="Arial" w:eastAsia="Arial" w:hAnsi="Arial"/>
                <w:sz w:val="14"/>
                <w:szCs w:val="14"/>
                <w:b w:val="1"/>
                <w:bCs w:val="1"/>
                <w:color w:val="auto"/>
              </w:rPr>
              <w:t>2018 attendance</w:t>
            </w:r>
          </w:p>
        </w:tc>
        <w:tc>
          <w:tcPr>
            <w:tcW w:w="3940" w:type="dxa"/>
            <w:vAlign w:val="bottom"/>
            <w:tcBorders>
              <w:bottom w:val="single" w:sz="8" w:color="AFAFAF"/>
            </w:tcBorders>
            <w:gridSpan w:val="4"/>
          </w:tcPr>
          <w:p>
            <w:pPr>
              <w:ind w:left="4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160"/>
        </w:trPr>
        <w:tc>
          <w:tcPr>
            <w:tcW w:w="2580" w:type="dxa"/>
            <w:vAlign w:val="bottom"/>
          </w:tcPr>
          <w:p>
            <w:pPr>
              <w:ind w:left="60"/>
              <w:spacing w:after="0" w:line="160" w:lineRule="exact"/>
              <w:rPr>
                <w:sz w:val="20"/>
                <w:szCs w:val="20"/>
                <w:color w:val="auto"/>
              </w:rPr>
            </w:pPr>
            <w:r>
              <w:rPr>
                <w:rFonts w:ascii="Arial" w:cs="Arial" w:eastAsia="Arial" w:hAnsi="Arial"/>
                <w:sz w:val="14"/>
                <w:szCs w:val="14"/>
                <w:color w:val="auto"/>
              </w:rPr>
              <w:t>Board</w:t>
            </w:r>
          </w:p>
        </w:tc>
        <w:tc>
          <w:tcPr>
            <w:tcW w:w="1200" w:type="dxa"/>
            <w:vAlign w:val="bottom"/>
          </w:tcPr>
          <w:p>
            <w:pPr>
              <w:ind w:left="620"/>
              <w:spacing w:after="0" w:line="160" w:lineRule="exact"/>
              <w:rPr>
                <w:sz w:val="20"/>
                <w:szCs w:val="20"/>
                <w:color w:val="auto"/>
              </w:rPr>
            </w:pPr>
            <w:r>
              <w:rPr>
                <w:rFonts w:ascii="Arial" w:cs="Arial" w:eastAsia="Arial" w:hAnsi="Arial"/>
                <w:sz w:val="14"/>
                <w:szCs w:val="14"/>
                <w:color w:val="auto"/>
              </w:rPr>
              <w:t>14 of 15</w:t>
            </w:r>
          </w:p>
        </w:tc>
        <w:tc>
          <w:tcPr>
            <w:tcW w:w="800" w:type="dxa"/>
            <w:vAlign w:val="bottom"/>
          </w:tcPr>
          <w:p>
            <w:pPr>
              <w:ind w:left="40"/>
              <w:spacing w:after="0" w:line="160" w:lineRule="exact"/>
              <w:rPr>
                <w:sz w:val="20"/>
                <w:szCs w:val="20"/>
                <w:color w:val="auto"/>
              </w:rPr>
            </w:pPr>
            <w:r>
              <w:rPr>
                <w:rFonts w:ascii="Arial" w:cs="Arial" w:eastAsia="Arial" w:hAnsi="Arial"/>
                <w:sz w:val="14"/>
                <w:szCs w:val="14"/>
                <w:color w:val="auto"/>
              </w:rPr>
              <w:t>93%</w:t>
            </w:r>
          </w:p>
        </w:tc>
        <w:tc>
          <w:tcPr>
            <w:tcW w:w="2560" w:type="dxa"/>
            <w:vAlign w:val="bottom"/>
            <w:gridSpan w:val="3"/>
          </w:tcPr>
          <w:p>
            <w:pPr>
              <w:ind w:left="40"/>
              <w:spacing w:after="0" w:line="160" w:lineRule="exact"/>
              <w:rPr>
                <w:sz w:val="20"/>
                <w:szCs w:val="20"/>
                <w:color w:val="auto"/>
              </w:rPr>
            </w:pPr>
            <w:r>
              <w:rPr>
                <w:rFonts w:ascii="Arial" w:cs="Arial" w:eastAsia="Arial" w:hAnsi="Arial"/>
                <w:sz w:val="14"/>
                <w:szCs w:val="14"/>
                <w:color w:val="auto"/>
              </w:rPr>
              <w:t>SS&amp;C Technologies Holdings, Inc.</w:t>
            </w:r>
          </w:p>
        </w:tc>
        <w:tc>
          <w:tcPr>
            <w:tcW w:w="1380" w:type="dxa"/>
            <w:vAlign w:val="bottom"/>
          </w:tcPr>
          <w:p>
            <w:pPr>
              <w:spacing w:after="0"/>
              <w:rPr>
                <w:sz w:val="13"/>
                <w:szCs w:val="13"/>
                <w:color w:val="auto"/>
              </w:rPr>
            </w:pPr>
          </w:p>
        </w:tc>
      </w:tr>
      <w:tr>
        <w:trPr>
          <w:trHeight w:val="161"/>
        </w:trPr>
        <w:tc>
          <w:tcPr>
            <w:tcW w:w="2580" w:type="dxa"/>
            <w:vAlign w:val="bottom"/>
          </w:tcPr>
          <w:p>
            <w:pPr>
              <w:ind w:left="60"/>
              <w:spacing w:after="0"/>
              <w:rPr>
                <w:sz w:val="20"/>
                <w:szCs w:val="20"/>
                <w:color w:val="auto"/>
              </w:rPr>
            </w:pPr>
            <w:r>
              <w:rPr>
                <w:rFonts w:ascii="Arial" w:cs="Arial" w:eastAsia="Arial" w:hAnsi="Arial"/>
                <w:sz w:val="14"/>
                <w:szCs w:val="14"/>
                <w:color w:val="auto"/>
              </w:rPr>
              <w:t>Audit Committee</w:t>
            </w:r>
          </w:p>
        </w:tc>
        <w:tc>
          <w:tcPr>
            <w:tcW w:w="1200" w:type="dxa"/>
            <w:vAlign w:val="bottom"/>
          </w:tcPr>
          <w:p>
            <w:pPr>
              <w:ind w:left="620"/>
              <w:spacing w:after="0"/>
              <w:rPr>
                <w:sz w:val="20"/>
                <w:szCs w:val="20"/>
                <w:color w:val="auto"/>
              </w:rPr>
            </w:pPr>
            <w:r>
              <w:rPr>
                <w:rFonts w:ascii="Arial" w:cs="Arial" w:eastAsia="Arial" w:hAnsi="Arial"/>
                <w:sz w:val="14"/>
                <w:szCs w:val="14"/>
                <w:color w:val="auto"/>
              </w:rPr>
              <w:t>5 of 6</w:t>
            </w:r>
          </w:p>
        </w:tc>
        <w:tc>
          <w:tcPr>
            <w:tcW w:w="800" w:type="dxa"/>
            <w:vAlign w:val="bottom"/>
          </w:tcPr>
          <w:p>
            <w:pPr>
              <w:ind w:left="40"/>
              <w:spacing w:after="0"/>
              <w:rPr>
                <w:sz w:val="20"/>
                <w:szCs w:val="20"/>
                <w:color w:val="auto"/>
              </w:rPr>
            </w:pPr>
            <w:r>
              <w:rPr>
                <w:rFonts w:ascii="Arial" w:cs="Arial" w:eastAsia="Arial" w:hAnsi="Arial"/>
                <w:sz w:val="14"/>
                <w:szCs w:val="14"/>
                <w:color w:val="auto"/>
              </w:rPr>
              <w:t>83%</w:t>
            </w:r>
          </w:p>
        </w:tc>
        <w:tc>
          <w:tcPr>
            <w:tcW w:w="2560" w:type="dxa"/>
            <w:vAlign w:val="bottom"/>
            <w:gridSpan w:val="3"/>
          </w:tcPr>
          <w:p>
            <w:pPr>
              <w:ind w:left="40"/>
              <w:spacing w:after="0"/>
              <w:rPr>
                <w:sz w:val="20"/>
                <w:szCs w:val="20"/>
                <w:color w:val="auto"/>
              </w:rPr>
            </w:pPr>
            <w:r>
              <w:rPr>
                <w:rFonts w:ascii="Arial" w:cs="Arial" w:eastAsia="Arial" w:hAnsi="Arial"/>
                <w:sz w:val="14"/>
                <w:szCs w:val="14"/>
                <w:color w:val="auto"/>
              </w:rPr>
              <w:t>Johnson Controls International plc</w:t>
            </w:r>
          </w:p>
        </w:tc>
        <w:tc>
          <w:tcPr>
            <w:tcW w:w="1380" w:type="dxa"/>
            <w:vAlign w:val="bottom"/>
          </w:tcPr>
          <w:p>
            <w:pPr>
              <w:spacing w:after="0"/>
              <w:rPr>
                <w:sz w:val="14"/>
                <w:szCs w:val="14"/>
                <w:color w:val="auto"/>
              </w:rPr>
            </w:pPr>
          </w:p>
        </w:tc>
      </w:tr>
      <w:tr>
        <w:trPr>
          <w:trHeight w:val="161"/>
        </w:trPr>
        <w:tc>
          <w:tcPr>
            <w:tcW w:w="2580" w:type="dxa"/>
            <w:vAlign w:val="bottom"/>
          </w:tcPr>
          <w:p>
            <w:pPr>
              <w:ind w:left="60"/>
              <w:spacing w:after="0"/>
              <w:rPr>
                <w:sz w:val="20"/>
                <w:szCs w:val="20"/>
                <w:color w:val="auto"/>
              </w:rPr>
            </w:pPr>
            <w:r>
              <w:rPr>
                <w:rFonts w:ascii="Arial" w:cs="Arial" w:eastAsia="Arial" w:hAnsi="Arial"/>
                <w:sz w:val="14"/>
                <w:szCs w:val="14"/>
                <w:color w:val="auto"/>
              </w:rPr>
              <w:t>Corp. Governance Committee</w:t>
            </w:r>
          </w:p>
        </w:tc>
        <w:tc>
          <w:tcPr>
            <w:tcW w:w="1200" w:type="dxa"/>
            <w:vAlign w:val="bottom"/>
          </w:tcPr>
          <w:p>
            <w:pPr>
              <w:ind w:left="620"/>
              <w:spacing w:after="0"/>
              <w:rPr>
                <w:sz w:val="20"/>
                <w:szCs w:val="20"/>
                <w:color w:val="auto"/>
              </w:rPr>
            </w:pPr>
            <w:r>
              <w:rPr>
                <w:rFonts w:ascii="Arial" w:cs="Arial" w:eastAsia="Arial" w:hAnsi="Arial"/>
                <w:sz w:val="14"/>
                <w:szCs w:val="14"/>
                <w:color w:val="auto"/>
              </w:rPr>
              <w:t>5 of 5</w:t>
            </w:r>
          </w:p>
        </w:tc>
        <w:tc>
          <w:tcPr>
            <w:tcW w:w="800" w:type="dxa"/>
            <w:vAlign w:val="bottom"/>
          </w:tcPr>
          <w:p>
            <w:pPr>
              <w:ind w:left="40"/>
              <w:spacing w:after="0"/>
              <w:rPr>
                <w:sz w:val="20"/>
                <w:szCs w:val="20"/>
                <w:color w:val="auto"/>
              </w:rPr>
            </w:pPr>
            <w:r>
              <w:rPr>
                <w:rFonts w:ascii="Arial" w:cs="Arial" w:eastAsia="Arial" w:hAnsi="Arial"/>
                <w:sz w:val="14"/>
                <w:szCs w:val="14"/>
                <w:color w:val="auto"/>
              </w:rPr>
              <w:t>100%</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2580" w:type="dxa"/>
            <w:vAlign w:val="bottom"/>
          </w:tcPr>
          <w:p>
            <w:pPr>
              <w:ind w:left="60"/>
              <w:spacing w:after="0"/>
              <w:rPr>
                <w:sz w:val="20"/>
                <w:szCs w:val="20"/>
                <w:color w:val="auto"/>
              </w:rPr>
            </w:pPr>
            <w:r>
              <w:rPr>
                <w:rFonts w:ascii="Arial" w:cs="Arial" w:eastAsia="Arial" w:hAnsi="Arial"/>
                <w:sz w:val="14"/>
                <w:szCs w:val="14"/>
                <w:color w:val="auto"/>
              </w:rPr>
              <w:t>HR Committee</w:t>
            </w:r>
          </w:p>
        </w:tc>
        <w:tc>
          <w:tcPr>
            <w:tcW w:w="1200" w:type="dxa"/>
            <w:vAlign w:val="bottom"/>
          </w:tcPr>
          <w:p>
            <w:pPr>
              <w:ind w:left="620"/>
              <w:spacing w:after="0"/>
              <w:rPr>
                <w:sz w:val="20"/>
                <w:szCs w:val="20"/>
                <w:color w:val="auto"/>
              </w:rPr>
            </w:pPr>
            <w:r>
              <w:rPr>
                <w:rFonts w:ascii="Arial" w:cs="Arial" w:eastAsia="Arial" w:hAnsi="Arial"/>
                <w:sz w:val="14"/>
                <w:szCs w:val="14"/>
                <w:color w:val="auto"/>
              </w:rPr>
              <w:t>7 of 8</w:t>
            </w:r>
          </w:p>
        </w:tc>
        <w:tc>
          <w:tcPr>
            <w:tcW w:w="800" w:type="dxa"/>
            <w:vAlign w:val="bottom"/>
          </w:tcPr>
          <w:p>
            <w:pPr>
              <w:ind w:left="40"/>
              <w:spacing w:after="0"/>
              <w:rPr>
                <w:sz w:val="20"/>
                <w:szCs w:val="20"/>
                <w:color w:val="auto"/>
              </w:rPr>
            </w:pPr>
            <w:r>
              <w:rPr>
                <w:rFonts w:ascii="Arial" w:cs="Arial" w:eastAsia="Arial" w:hAnsi="Arial"/>
                <w:sz w:val="14"/>
                <w:szCs w:val="14"/>
                <w:color w:val="auto"/>
              </w:rPr>
              <w:t>88%</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2580" w:type="dxa"/>
            <w:vAlign w:val="bottom"/>
          </w:tcPr>
          <w:p>
            <w:pPr>
              <w:ind w:left="60"/>
              <w:spacing w:after="0"/>
              <w:rPr>
                <w:sz w:val="20"/>
                <w:szCs w:val="20"/>
                <w:color w:val="auto"/>
              </w:rPr>
            </w:pPr>
            <w:r>
              <w:rPr>
                <w:rFonts w:ascii="Arial" w:cs="Arial" w:eastAsia="Arial" w:hAnsi="Arial"/>
                <w:sz w:val="14"/>
                <w:szCs w:val="14"/>
                <w:color w:val="auto"/>
              </w:rPr>
              <w:t>Risk Committee</w:t>
            </w:r>
          </w:p>
        </w:tc>
        <w:tc>
          <w:tcPr>
            <w:tcW w:w="1200" w:type="dxa"/>
            <w:vAlign w:val="bottom"/>
          </w:tcPr>
          <w:p>
            <w:pPr>
              <w:ind w:left="620"/>
              <w:spacing w:after="0"/>
              <w:rPr>
                <w:sz w:val="20"/>
                <w:szCs w:val="20"/>
                <w:color w:val="auto"/>
              </w:rPr>
            </w:pPr>
            <w:r>
              <w:rPr>
                <w:rFonts w:ascii="Arial" w:cs="Arial" w:eastAsia="Arial" w:hAnsi="Arial"/>
                <w:sz w:val="14"/>
                <w:szCs w:val="14"/>
                <w:color w:val="auto"/>
              </w:rPr>
              <w:t>1 of 1</w:t>
            </w:r>
          </w:p>
        </w:tc>
        <w:tc>
          <w:tcPr>
            <w:tcW w:w="800" w:type="dxa"/>
            <w:vAlign w:val="bottom"/>
          </w:tcPr>
          <w:p>
            <w:pPr>
              <w:ind w:left="40"/>
              <w:spacing w:after="0"/>
              <w:rPr>
                <w:sz w:val="20"/>
                <w:szCs w:val="20"/>
                <w:color w:val="auto"/>
              </w:rPr>
            </w:pPr>
            <w:r>
              <w:rPr>
                <w:rFonts w:ascii="Arial" w:cs="Arial" w:eastAsia="Arial" w:hAnsi="Arial"/>
                <w:sz w:val="14"/>
                <w:szCs w:val="14"/>
                <w:color w:val="auto"/>
              </w:rPr>
              <w:t>100%</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57"/>
        </w:trPr>
        <w:tc>
          <w:tcPr>
            <w:tcW w:w="2580" w:type="dxa"/>
            <w:vAlign w:val="bottom"/>
            <w:tcBorders>
              <w:bottom w:val="single" w:sz="8" w:color="AFAFAF"/>
            </w:tcBorders>
          </w:tcPr>
          <w:p>
            <w:pPr>
              <w:ind w:left="60"/>
              <w:spacing w:after="0" w:line="157" w:lineRule="exact"/>
              <w:rPr>
                <w:sz w:val="20"/>
                <w:szCs w:val="20"/>
                <w:color w:val="auto"/>
              </w:rPr>
            </w:pPr>
            <w:r>
              <w:rPr>
                <w:rFonts w:ascii="Arial" w:cs="Arial" w:eastAsia="Arial" w:hAnsi="Arial"/>
                <w:sz w:val="14"/>
                <w:szCs w:val="14"/>
                <w:color w:val="auto"/>
              </w:rPr>
              <w:t>Special Committee</w:t>
            </w:r>
          </w:p>
        </w:tc>
        <w:tc>
          <w:tcPr>
            <w:tcW w:w="1200" w:type="dxa"/>
            <w:vAlign w:val="bottom"/>
            <w:tcBorders>
              <w:bottom w:val="single" w:sz="8" w:color="AFAFAF"/>
            </w:tcBorders>
          </w:tcPr>
          <w:p>
            <w:pPr>
              <w:ind w:left="620"/>
              <w:spacing w:after="0" w:line="157" w:lineRule="exact"/>
              <w:rPr>
                <w:sz w:val="20"/>
                <w:szCs w:val="20"/>
                <w:color w:val="auto"/>
              </w:rPr>
            </w:pPr>
            <w:r>
              <w:rPr>
                <w:rFonts w:ascii="Arial" w:cs="Arial" w:eastAsia="Arial" w:hAnsi="Arial"/>
                <w:sz w:val="14"/>
                <w:szCs w:val="14"/>
                <w:color w:val="auto"/>
              </w:rPr>
              <w:t>3 of 3</w:t>
            </w:r>
          </w:p>
        </w:tc>
        <w:tc>
          <w:tcPr>
            <w:tcW w:w="800" w:type="dxa"/>
            <w:vAlign w:val="bottom"/>
            <w:tcBorders>
              <w:bottom w:val="single" w:sz="8" w:color="AFAFAF"/>
            </w:tcBorders>
          </w:tcPr>
          <w:p>
            <w:pPr>
              <w:ind w:left="40"/>
              <w:spacing w:after="0" w:line="157" w:lineRule="exact"/>
              <w:rPr>
                <w:sz w:val="20"/>
                <w:szCs w:val="20"/>
                <w:color w:val="auto"/>
              </w:rPr>
            </w:pPr>
            <w:r>
              <w:rPr>
                <w:rFonts w:ascii="Arial" w:cs="Arial" w:eastAsia="Arial" w:hAnsi="Arial"/>
                <w:sz w:val="14"/>
                <w:szCs w:val="14"/>
                <w:color w:val="auto"/>
              </w:rPr>
              <w:t>100%</w:t>
            </w:r>
          </w:p>
        </w:tc>
        <w:tc>
          <w:tcPr>
            <w:tcW w:w="660" w:type="dxa"/>
            <w:vAlign w:val="bottom"/>
            <w:tcBorders>
              <w:bottom w:val="single" w:sz="8" w:color="AFAFAF"/>
            </w:tcBorders>
          </w:tcPr>
          <w:p>
            <w:pPr>
              <w:spacing w:after="0"/>
              <w:rPr>
                <w:sz w:val="13"/>
                <w:szCs w:val="13"/>
                <w:color w:val="auto"/>
              </w:rPr>
            </w:pPr>
          </w:p>
        </w:tc>
        <w:tc>
          <w:tcPr>
            <w:tcW w:w="980" w:type="dxa"/>
            <w:vAlign w:val="bottom"/>
            <w:tcBorders>
              <w:bottom w:val="single" w:sz="8" w:color="AFAFAF"/>
            </w:tcBorders>
          </w:tcPr>
          <w:p>
            <w:pPr>
              <w:spacing w:after="0"/>
              <w:rPr>
                <w:sz w:val="13"/>
                <w:szCs w:val="13"/>
                <w:color w:val="auto"/>
              </w:rPr>
            </w:pPr>
          </w:p>
        </w:tc>
        <w:tc>
          <w:tcPr>
            <w:tcW w:w="920" w:type="dxa"/>
            <w:vAlign w:val="bottom"/>
            <w:tcBorders>
              <w:bottom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r>
      <w:tr>
        <w:trPr>
          <w:trHeight w:val="155"/>
        </w:trPr>
        <w:tc>
          <w:tcPr>
            <w:tcW w:w="2580" w:type="dxa"/>
            <w:vAlign w:val="bottom"/>
            <w:tcBorders>
              <w:bottom w:val="single" w:sz="8" w:color="AFAFAF"/>
            </w:tcBorders>
          </w:tcPr>
          <w:p>
            <w:pPr>
              <w:ind w:left="60"/>
              <w:spacing w:after="0" w:line="155" w:lineRule="exact"/>
              <w:rPr>
                <w:sz w:val="20"/>
                <w:szCs w:val="20"/>
                <w:color w:val="auto"/>
              </w:rPr>
            </w:pPr>
            <w:r>
              <w:rPr>
                <w:rFonts w:ascii="Arial" w:cs="Arial" w:eastAsia="Arial" w:hAnsi="Arial"/>
                <w:sz w:val="14"/>
                <w:szCs w:val="14"/>
                <w:b w:val="1"/>
                <w:bCs w:val="1"/>
                <w:color w:val="auto"/>
              </w:rPr>
              <w:t>Total</w:t>
            </w:r>
          </w:p>
        </w:tc>
        <w:tc>
          <w:tcPr>
            <w:tcW w:w="1200" w:type="dxa"/>
            <w:vAlign w:val="bottom"/>
            <w:tcBorders>
              <w:bottom w:val="single" w:sz="8" w:color="AFAFAF"/>
            </w:tcBorders>
          </w:tcPr>
          <w:p>
            <w:pPr>
              <w:ind w:left="620"/>
              <w:spacing w:after="0" w:line="155" w:lineRule="exact"/>
              <w:rPr>
                <w:sz w:val="20"/>
                <w:szCs w:val="20"/>
                <w:color w:val="auto"/>
              </w:rPr>
            </w:pPr>
            <w:r>
              <w:rPr>
                <w:rFonts w:ascii="Arial" w:cs="Arial" w:eastAsia="Arial" w:hAnsi="Arial"/>
                <w:sz w:val="14"/>
                <w:szCs w:val="14"/>
                <w:b w:val="1"/>
                <w:bCs w:val="1"/>
                <w:color w:val="auto"/>
              </w:rPr>
              <w:t>35 of 38</w:t>
            </w:r>
          </w:p>
        </w:tc>
        <w:tc>
          <w:tcPr>
            <w:tcW w:w="800" w:type="dxa"/>
            <w:vAlign w:val="bottom"/>
            <w:tcBorders>
              <w:bottom w:val="single" w:sz="8" w:color="AFAFAF"/>
            </w:tcBorders>
          </w:tcPr>
          <w:p>
            <w:pPr>
              <w:ind w:left="40"/>
              <w:spacing w:after="0" w:line="155" w:lineRule="exact"/>
              <w:rPr>
                <w:sz w:val="20"/>
                <w:szCs w:val="20"/>
                <w:color w:val="auto"/>
              </w:rPr>
            </w:pPr>
            <w:r>
              <w:rPr>
                <w:rFonts w:ascii="Arial" w:cs="Arial" w:eastAsia="Arial" w:hAnsi="Arial"/>
                <w:sz w:val="14"/>
                <w:szCs w:val="14"/>
                <w:b w:val="1"/>
                <w:bCs w:val="1"/>
                <w:color w:val="auto"/>
              </w:rPr>
              <w:t>92%</w:t>
            </w:r>
          </w:p>
        </w:tc>
        <w:tc>
          <w:tcPr>
            <w:tcW w:w="660" w:type="dxa"/>
            <w:vAlign w:val="bottom"/>
            <w:tcBorders>
              <w:bottom w:val="single" w:sz="8" w:color="AFAFAF"/>
            </w:tcBorders>
          </w:tcPr>
          <w:p>
            <w:pPr>
              <w:spacing w:after="0"/>
              <w:rPr>
                <w:sz w:val="13"/>
                <w:szCs w:val="13"/>
                <w:color w:val="auto"/>
              </w:rPr>
            </w:pPr>
          </w:p>
        </w:tc>
        <w:tc>
          <w:tcPr>
            <w:tcW w:w="980" w:type="dxa"/>
            <w:vAlign w:val="bottom"/>
            <w:tcBorders>
              <w:bottom w:val="single" w:sz="8" w:color="AFAFAF"/>
            </w:tcBorders>
          </w:tcPr>
          <w:p>
            <w:pPr>
              <w:spacing w:after="0"/>
              <w:rPr>
                <w:sz w:val="13"/>
                <w:szCs w:val="13"/>
                <w:color w:val="auto"/>
              </w:rPr>
            </w:pPr>
          </w:p>
        </w:tc>
        <w:tc>
          <w:tcPr>
            <w:tcW w:w="920" w:type="dxa"/>
            <w:vAlign w:val="bottom"/>
            <w:tcBorders>
              <w:bottom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r>
      <w:tr>
        <w:trPr>
          <w:trHeight w:val="142"/>
        </w:trPr>
        <w:tc>
          <w:tcPr>
            <w:tcW w:w="25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Securities held</w:t>
            </w: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Total shares</w:t>
            </w:r>
          </w:p>
        </w:tc>
        <w:tc>
          <w:tcPr>
            <w:tcW w:w="9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Ownership multiple</w:t>
            </w:r>
          </w:p>
        </w:tc>
      </w:tr>
      <w:tr>
        <w:trPr>
          <w:trHeight w:val="188"/>
        </w:trPr>
        <w:tc>
          <w:tcPr>
            <w:tcW w:w="25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(number and value)</w:t>
            </w:r>
          </w:p>
        </w:tc>
        <w:tc>
          <w:tcPr>
            <w:tcW w:w="1200" w:type="dxa"/>
            <w:vAlign w:val="bottom"/>
            <w:tcBorders>
              <w:bottom w:val="single" w:sz="8" w:color="AFAFAF"/>
            </w:tcBorders>
          </w:tcPr>
          <w:p>
            <w:pPr>
              <w:spacing w:after="0"/>
              <w:rPr>
                <w:sz w:val="16"/>
                <w:szCs w:val="16"/>
                <w:color w:val="auto"/>
              </w:rPr>
            </w:pPr>
          </w:p>
        </w:tc>
        <w:tc>
          <w:tcPr>
            <w:tcW w:w="800" w:type="dxa"/>
            <w:vAlign w:val="bottom"/>
            <w:tcBorders>
              <w:bottom w:val="single" w:sz="8" w:color="AFAFAF"/>
            </w:tcBorders>
          </w:tcPr>
          <w:p>
            <w:pPr>
              <w:spacing w:after="0"/>
              <w:rPr>
                <w:sz w:val="16"/>
                <w:szCs w:val="16"/>
                <w:color w:val="auto"/>
              </w:rPr>
            </w:pPr>
          </w:p>
        </w:tc>
        <w:tc>
          <w:tcPr>
            <w:tcW w:w="660" w:type="dxa"/>
            <w:vAlign w:val="bottom"/>
            <w:tcBorders>
              <w:bottom w:val="single" w:sz="8" w:color="AFAFAF"/>
            </w:tcBorders>
          </w:tcPr>
          <w:p>
            <w:pPr>
              <w:spacing w:after="0"/>
              <w:rPr>
                <w:sz w:val="16"/>
                <w:szCs w:val="16"/>
                <w:color w:val="auto"/>
              </w:rPr>
            </w:pPr>
          </w:p>
        </w:tc>
        <w:tc>
          <w:tcPr>
            <w:tcW w:w="980" w:type="dxa"/>
            <w:vAlign w:val="bottom"/>
            <w:tcBorders>
              <w:bottom w:val="single" w:sz="8" w:color="AFAFAF"/>
            </w:tcBorders>
          </w:tcPr>
          <w:p>
            <w:pPr>
              <w:ind w:left="100"/>
              <w:spacing w:after="0"/>
              <w:rPr>
                <w:sz w:val="20"/>
                <w:szCs w:val="20"/>
                <w:color w:val="auto"/>
              </w:rPr>
            </w:pPr>
            <w:r>
              <w:rPr>
                <w:rFonts w:ascii="Arial" w:cs="Arial" w:eastAsia="Arial" w:hAnsi="Arial"/>
                <w:sz w:val="14"/>
                <w:szCs w:val="14"/>
                <w:b w:val="1"/>
                <w:bCs w:val="1"/>
                <w:color w:val="auto"/>
              </w:rPr>
              <w:t>and DSUs</w:t>
            </w:r>
          </w:p>
        </w:tc>
        <w:tc>
          <w:tcPr>
            <w:tcW w:w="92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160"/>
        </w:trPr>
        <w:tc>
          <w:tcPr>
            <w:tcW w:w="2580" w:type="dxa"/>
            <w:vAlign w:val="bottom"/>
          </w:tcPr>
          <w:p>
            <w:pPr>
              <w:ind w:left="60"/>
              <w:spacing w:after="0" w:line="160" w:lineRule="exact"/>
              <w:rPr>
                <w:sz w:val="20"/>
                <w:szCs w:val="20"/>
                <w:color w:val="auto"/>
              </w:rPr>
            </w:pPr>
            <w:r>
              <w:rPr>
                <w:rFonts w:ascii="Arial" w:cs="Arial" w:eastAsia="Arial" w:hAnsi="Arial"/>
                <w:sz w:val="14"/>
                <w:szCs w:val="14"/>
                <w:color w:val="auto"/>
              </w:rPr>
              <w:t>Common shares</w:t>
            </w:r>
          </w:p>
        </w:tc>
        <w:tc>
          <w:tcPr>
            <w:tcW w:w="1200" w:type="dxa"/>
            <w:vAlign w:val="bottom"/>
          </w:tcPr>
          <w:p>
            <w:pPr>
              <w:ind w:left="620"/>
              <w:spacing w:after="0" w:line="160" w:lineRule="exact"/>
              <w:rPr>
                <w:sz w:val="20"/>
                <w:szCs w:val="20"/>
                <w:color w:val="auto"/>
              </w:rPr>
            </w:pPr>
            <w:r>
              <w:rPr>
                <w:rFonts w:ascii="Arial" w:cs="Arial" w:eastAsia="Arial" w:hAnsi="Arial"/>
                <w:sz w:val="14"/>
                <w:szCs w:val="14"/>
                <w:color w:val="auto"/>
              </w:rPr>
              <w:t>RSUs</w:t>
            </w:r>
          </w:p>
        </w:tc>
        <w:tc>
          <w:tcPr>
            <w:tcW w:w="800" w:type="dxa"/>
            <w:vAlign w:val="bottom"/>
          </w:tcPr>
          <w:p>
            <w:pPr>
              <w:ind w:left="40"/>
              <w:spacing w:after="0" w:line="160" w:lineRule="exact"/>
              <w:rPr>
                <w:sz w:val="20"/>
                <w:szCs w:val="20"/>
                <w:color w:val="auto"/>
              </w:rPr>
            </w:pPr>
            <w:r>
              <w:rPr>
                <w:rFonts w:ascii="Arial" w:cs="Arial" w:eastAsia="Arial" w:hAnsi="Arial"/>
                <w:sz w:val="14"/>
                <w:szCs w:val="14"/>
                <w:color w:val="auto"/>
              </w:rPr>
              <w:t>DSUs</w:t>
            </w:r>
          </w:p>
        </w:tc>
        <w:tc>
          <w:tcPr>
            <w:tcW w:w="660" w:type="dxa"/>
            <w:vAlign w:val="bottom"/>
          </w:tcPr>
          <w:p>
            <w:pPr>
              <w:ind w:left="40"/>
              <w:spacing w:after="0" w:line="160" w:lineRule="exact"/>
              <w:rPr>
                <w:sz w:val="20"/>
                <w:szCs w:val="20"/>
                <w:color w:val="auto"/>
              </w:rPr>
            </w:pPr>
            <w:r>
              <w:rPr>
                <w:rFonts w:ascii="Arial" w:cs="Arial" w:eastAsia="Arial" w:hAnsi="Arial"/>
                <w:sz w:val="14"/>
                <w:szCs w:val="14"/>
                <w:color w:val="auto"/>
              </w:rPr>
              <w:t>Options</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70"/>
        </w:trPr>
        <w:tc>
          <w:tcPr>
            <w:tcW w:w="2580" w:type="dxa"/>
            <w:vAlign w:val="bottom"/>
            <w:tcBorders>
              <w:bottom w:val="single" w:sz="8" w:color="AFAFAF"/>
            </w:tcBorders>
          </w:tcPr>
          <w:p>
            <w:pPr>
              <w:ind w:left="60"/>
              <w:spacing w:after="0"/>
              <w:rPr>
                <w:sz w:val="20"/>
                <w:szCs w:val="20"/>
                <w:color w:val="auto"/>
              </w:rPr>
            </w:pPr>
            <w:r>
              <w:rPr>
                <w:rFonts w:ascii="Arial" w:cs="Arial" w:eastAsia="Arial" w:hAnsi="Arial"/>
                <w:sz w:val="14"/>
                <w:szCs w:val="14"/>
                <w:color w:val="auto"/>
              </w:rPr>
              <w:t>2,924</w:t>
            </w:r>
          </w:p>
        </w:tc>
        <w:tc>
          <w:tcPr>
            <w:tcW w:w="1200" w:type="dxa"/>
            <w:vAlign w:val="bottom"/>
            <w:tcBorders>
              <w:bottom w:val="single" w:sz="8" w:color="AFAFAF"/>
            </w:tcBorders>
          </w:tcPr>
          <w:p>
            <w:pPr>
              <w:ind w:left="8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20,892</w:t>
            </w:r>
          </w:p>
        </w:tc>
        <w:tc>
          <w:tcPr>
            <w:tcW w:w="660" w:type="dxa"/>
            <w:vAlign w:val="bottom"/>
            <w:tcBorders>
              <w:bottom w:val="single" w:sz="8" w:color="AFAFAF"/>
            </w:tcBorders>
          </w:tcPr>
          <w:p>
            <w:pPr>
              <w:ind w:left="3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FAFAF"/>
            </w:tcBorders>
          </w:tcPr>
          <w:p>
            <w:pPr>
              <w:ind w:left="100"/>
              <w:spacing w:after="0"/>
              <w:rPr>
                <w:sz w:val="20"/>
                <w:szCs w:val="20"/>
                <w:color w:val="auto"/>
              </w:rPr>
            </w:pPr>
            <w:r>
              <w:rPr>
                <w:rFonts w:ascii="Arial" w:cs="Arial" w:eastAsia="Arial" w:hAnsi="Arial"/>
                <w:sz w:val="14"/>
                <w:szCs w:val="14"/>
                <w:color w:val="auto"/>
              </w:rPr>
              <w:t>23,816</w:t>
            </w:r>
          </w:p>
        </w:tc>
        <w:tc>
          <w:tcPr>
            <w:tcW w:w="920" w:type="dxa"/>
            <w:vAlign w:val="bottom"/>
            <w:tcBorders>
              <w:bottom w:val="single" w:sz="8" w:color="AFAFAF"/>
            </w:tcBorders>
          </w:tcPr>
          <w:p>
            <w:pPr>
              <w:spacing w:after="0"/>
              <w:rPr>
                <w:sz w:val="14"/>
                <w:szCs w:val="14"/>
                <w:color w:val="auto"/>
              </w:rPr>
            </w:pPr>
          </w:p>
        </w:tc>
        <w:tc>
          <w:tcPr>
            <w:tcW w:w="1380" w:type="dxa"/>
            <w:vAlign w:val="bottom"/>
            <w:tcBorders>
              <w:bottom w:val="single" w:sz="8" w:color="AFAFAF"/>
            </w:tcBorders>
          </w:tcPr>
          <w:p>
            <w:pPr>
              <w:spacing w:after="0"/>
              <w:rPr>
                <w:sz w:val="14"/>
                <w:szCs w:val="14"/>
                <w:color w:val="auto"/>
              </w:rPr>
            </w:pPr>
          </w:p>
        </w:tc>
      </w:tr>
      <w:tr>
        <w:trPr>
          <w:trHeight w:val="179"/>
        </w:trPr>
        <w:tc>
          <w:tcPr>
            <w:tcW w:w="258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172,604</w:t>
            </w:r>
          </w:p>
        </w:tc>
        <w:tc>
          <w:tcPr>
            <w:tcW w:w="1200" w:type="dxa"/>
            <w:vAlign w:val="bottom"/>
          </w:tcPr>
          <w:p>
            <w:pPr>
              <w:ind w:left="840"/>
              <w:spacing w:after="0"/>
              <w:rPr>
                <w:sz w:val="20"/>
                <w:szCs w:val="20"/>
                <w:color w:val="auto"/>
              </w:rPr>
            </w:pPr>
            <w:r>
              <w:rPr>
                <w:rFonts w:ascii="Arial" w:cs="Arial" w:eastAsia="Arial" w:hAnsi="Arial"/>
                <w:sz w:val="14"/>
                <w:szCs w:val="14"/>
                <w:color w:val="auto"/>
              </w:rPr>
              <w:t>–</w:t>
            </w:r>
          </w:p>
        </w:tc>
        <w:tc>
          <w:tcPr>
            <w:tcW w:w="80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1,233,255</w:t>
            </w:r>
          </w:p>
        </w:tc>
        <w:tc>
          <w:tcPr>
            <w:tcW w:w="66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1,405,858</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7.0x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-14605</wp:posOffset>
            </wp:positionV>
            <wp:extent cx="69735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column">
              <wp:posOffset>-1559560</wp:posOffset>
            </wp:positionH>
            <wp:positionV relativeFrom="paragraph">
              <wp:posOffset>121285</wp:posOffset>
            </wp:positionV>
            <wp:extent cx="697357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260"/>
            <w:col w:w="8520"/>
          </w:cols>
          <w:pgMar w:left="240" w:top="458" w:right="459" w:bottom="1440" w:gutter="0" w:footer="0" w:header="0"/>
          <w:type w:val="continuous"/>
        </w:sectPr>
      </w:pPr>
    </w:p>
    <w:p>
      <w:pPr>
        <w:spacing w:after="0" w:line="165" w:lineRule="exact"/>
        <w:rPr>
          <w:sz w:val="20"/>
          <w:szCs w:val="20"/>
          <w:color w:val="auto"/>
        </w:rPr>
      </w:pPr>
    </w:p>
    <w:p>
      <w:pPr>
        <w:ind w:left="6100"/>
        <w:spacing w:after="0"/>
        <w:tabs>
          <w:tab w:leader="none" w:pos="106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17</w:t>
      </w:r>
    </w:p>
    <w:p>
      <w:pPr>
        <w:sectPr>
          <w:pgSz w:w="11900" w:h="16838" w:orient="portrait"/>
          <w:cols w:equalWidth="0" w:num="1">
            <w:col w:w="11200"/>
          </w:cols>
          <w:pgMar w:left="240" w:top="458" w:right="45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466725</wp:posOffset>
            </wp:positionV>
            <wp:extent cx="6973570" cy="24098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73570" cy="2409825"/>
                    </a:xfrm>
                    <a:prstGeom prst="rect">
                      <a:avLst/>
                    </a:prstGeom>
                    <a:noFill/>
                  </pic:spPr>
                </pic:pic>
              </a:graphicData>
            </a:graphic>
          </wp:anchor>
        </w:drawing>
      </w:r>
    </w:p>
    <w:p>
      <w:pPr>
        <w:sectPr>
          <w:pgSz w:w="11900" w:h="16838" w:orient="portrait"/>
          <w:cols w:equalWidth="0" w:num="1">
            <w:col w:w="11200"/>
          </w:cols>
          <w:pgMar w:left="240" w:top="45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Vance K. Opperman</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Age: 76</w:t>
      </w:r>
    </w:p>
    <w:p>
      <w:pPr>
        <w:spacing w:after="0" w:line="66" w:lineRule="exact"/>
        <w:rPr>
          <w:sz w:val="20"/>
          <w:szCs w:val="20"/>
          <w:color w:val="auto"/>
        </w:rPr>
      </w:pPr>
    </w:p>
    <w:p>
      <w:pPr>
        <w:ind w:left="320" w:right="80"/>
        <w:spacing w:after="0" w:line="257" w:lineRule="auto"/>
        <w:rPr>
          <w:sz w:val="20"/>
          <w:szCs w:val="20"/>
          <w:color w:val="auto"/>
        </w:rPr>
      </w:pPr>
      <w:r>
        <w:rPr>
          <w:rFonts w:ascii="Arial" w:cs="Arial" w:eastAsia="Arial" w:hAnsi="Arial"/>
          <w:sz w:val="13"/>
          <w:szCs w:val="13"/>
          <w:color w:val="auto"/>
        </w:rPr>
        <w:t>Minneapolis, Minnesota, United States</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Director since 1996</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Independent</w:t>
      </w:r>
    </w:p>
    <w:p>
      <w:pPr>
        <w:spacing w:after="0" w:line="66" w:lineRule="exact"/>
        <w:rPr>
          <w:sz w:val="20"/>
          <w:szCs w:val="20"/>
          <w:color w:val="auto"/>
        </w:rPr>
      </w:pPr>
    </w:p>
    <w:p>
      <w:pPr>
        <w:ind w:left="320"/>
        <w:spacing w:after="0" w:line="244" w:lineRule="auto"/>
        <w:rPr>
          <w:sz w:val="20"/>
          <w:szCs w:val="20"/>
          <w:color w:val="auto"/>
        </w:rPr>
      </w:pPr>
      <w:r>
        <w:rPr>
          <w:rFonts w:ascii="Arial" w:cs="Arial" w:eastAsia="Arial" w:hAnsi="Arial"/>
          <w:sz w:val="13"/>
          <w:szCs w:val="13"/>
          <w:color w:val="auto"/>
        </w:rPr>
        <w:t>Primary areas of expertise: legal, operations, finance, media/publishing, investment management</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2018 votes for: 96.96%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Vance K. Opperman</w:t>
      </w:r>
    </w:p>
    <w:p>
      <w:pPr>
        <w:spacing w:after="0" w:line="63" w:lineRule="exact"/>
        <w:rPr>
          <w:sz w:val="20"/>
          <w:szCs w:val="20"/>
          <w:color w:val="auto"/>
        </w:rPr>
      </w:pPr>
    </w:p>
    <w:p>
      <w:pPr>
        <w:ind w:left="60"/>
        <w:spacing w:after="0" w:line="244" w:lineRule="auto"/>
        <w:rPr>
          <w:sz w:val="20"/>
          <w:szCs w:val="20"/>
          <w:color w:val="auto"/>
        </w:rPr>
      </w:pPr>
      <w:r>
        <w:rPr>
          <w:rFonts w:ascii="Arial" w:cs="Arial" w:eastAsia="Arial" w:hAnsi="Arial"/>
          <w:sz w:val="14"/>
          <w:szCs w:val="14"/>
          <w:color w:val="auto"/>
        </w:rPr>
        <w:t>Vance Opperman is Lead Independent Director of Thomson Reuters. He is also President and Chief Executive Officer of Key Investment, Inc., a private investment company involved in publishing and other activities. Previously, Mr. Opperman was President of West Publishing Company, an information provider of legal and business research which is now owned by Thomson Reuters. He serves as Lead Independent Director of TCF Financial Corporation. He also serves on the board of several educational and not-for-profit organizations. He has a law degree from the University of Minnesota and practiced law for many years.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ind w:left="60"/>
              <w:spacing w:after="0"/>
              <w:rPr>
                <w:sz w:val="20"/>
                <w:szCs w:val="20"/>
                <w:color w:val="auto"/>
              </w:rPr>
            </w:pPr>
            <w:r>
              <w:rPr>
                <w:rFonts w:ascii="Arial" w:cs="Arial" w:eastAsia="Arial" w:hAnsi="Arial"/>
                <w:sz w:val="14"/>
                <w:szCs w:val="14"/>
                <w:b w:val="1"/>
                <w:bCs w:val="1"/>
                <w:color w:val="auto"/>
              </w:rPr>
              <w:t>Board/committee</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8"/>
        </w:trPr>
        <w:tc>
          <w:tcPr>
            <w:tcW w:w="25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membership</w:t>
            </w:r>
          </w:p>
        </w:tc>
        <w:tc>
          <w:tcPr>
            <w:tcW w:w="2000" w:type="dxa"/>
            <w:vAlign w:val="bottom"/>
            <w:tcBorders>
              <w:bottom w:val="single" w:sz="8" w:color="AFAFAF"/>
            </w:tcBorders>
            <w:gridSpan w:val="2"/>
          </w:tcPr>
          <w:p>
            <w:pPr>
              <w:ind w:left="620"/>
              <w:spacing w:after="0"/>
              <w:rPr>
                <w:sz w:val="20"/>
                <w:szCs w:val="20"/>
                <w:color w:val="auto"/>
              </w:rPr>
            </w:pPr>
            <w:r>
              <w:rPr>
                <w:rFonts w:ascii="Arial" w:cs="Arial" w:eastAsia="Arial" w:hAnsi="Arial"/>
                <w:sz w:val="14"/>
                <w:szCs w:val="14"/>
                <w:b w:val="1"/>
                <w:bCs w:val="1"/>
                <w:color w:val="auto"/>
              </w:rPr>
              <w:t>2018 attendance</w:t>
            </w:r>
          </w:p>
        </w:tc>
        <w:tc>
          <w:tcPr>
            <w:tcW w:w="3940" w:type="dxa"/>
            <w:vAlign w:val="bottom"/>
            <w:tcBorders>
              <w:bottom w:val="single" w:sz="8" w:color="AFAFAF"/>
            </w:tcBorders>
            <w:gridSpan w:val="4"/>
          </w:tcPr>
          <w:p>
            <w:pPr>
              <w:ind w:left="4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170"/>
        </w:trPr>
        <w:tc>
          <w:tcPr>
            <w:tcW w:w="2580" w:type="dxa"/>
            <w:vAlign w:val="bottom"/>
          </w:tcPr>
          <w:p>
            <w:pPr>
              <w:ind w:left="60"/>
              <w:spacing w:after="0"/>
              <w:rPr>
                <w:sz w:val="20"/>
                <w:szCs w:val="20"/>
                <w:color w:val="auto"/>
              </w:rPr>
            </w:pPr>
            <w:r>
              <w:rPr>
                <w:rFonts w:ascii="Arial" w:cs="Arial" w:eastAsia="Arial" w:hAnsi="Arial"/>
                <w:sz w:val="14"/>
                <w:szCs w:val="14"/>
                <w:color w:val="auto"/>
              </w:rPr>
              <w:t>Board</w:t>
            </w:r>
          </w:p>
        </w:tc>
        <w:tc>
          <w:tcPr>
            <w:tcW w:w="1200" w:type="dxa"/>
            <w:vAlign w:val="bottom"/>
          </w:tcPr>
          <w:p>
            <w:pPr>
              <w:ind w:left="620"/>
              <w:spacing w:after="0"/>
              <w:rPr>
                <w:sz w:val="20"/>
                <w:szCs w:val="20"/>
                <w:color w:val="auto"/>
              </w:rPr>
            </w:pPr>
            <w:r>
              <w:rPr>
                <w:rFonts w:ascii="Arial" w:cs="Arial" w:eastAsia="Arial" w:hAnsi="Arial"/>
                <w:sz w:val="14"/>
                <w:szCs w:val="14"/>
                <w:color w:val="auto"/>
              </w:rPr>
              <w:t>15 of 15</w:t>
            </w:r>
          </w:p>
        </w:tc>
        <w:tc>
          <w:tcPr>
            <w:tcW w:w="800" w:type="dxa"/>
            <w:vAlign w:val="bottom"/>
          </w:tcPr>
          <w:p>
            <w:pPr>
              <w:ind w:left="40"/>
              <w:spacing w:after="0"/>
              <w:rPr>
                <w:sz w:val="20"/>
                <w:szCs w:val="20"/>
                <w:color w:val="auto"/>
              </w:rPr>
            </w:pPr>
            <w:r>
              <w:rPr>
                <w:rFonts w:ascii="Arial" w:cs="Arial" w:eastAsia="Arial" w:hAnsi="Arial"/>
                <w:sz w:val="14"/>
                <w:szCs w:val="14"/>
                <w:color w:val="auto"/>
              </w:rPr>
              <w:t>100%</w:t>
            </w:r>
          </w:p>
        </w:tc>
        <w:tc>
          <w:tcPr>
            <w:tcW w:w="2560" w:type="dxa"/>
            <w:vAlign w:val="bottom"/>
            <w:gridSpan w:val="3"/>
          </w:tcPr>
          <w:p>
            <w:pPr>
              <w:ind w:left="40"/>
              <w:spacing w:after="0"/>
              <w:rPr>
                <w:sz w:val="20"/>
                <w:szCs w:val="20"/>
                <w:color w:val="auto"/>
              </w:rPr>
            </w:pPr>
            <w:r>
              <w:rPr>
                <w:rFonts w:ascii="Arial" w:cs="Arial" w:eastAsia="Arial" w:hAnsi="Arial"/>
                <w:sz w:val="14"/>
                <w:szCs w:val="14"/>
                <w:color w:val="auto"/>
              </w:rPr>
              <w:t>TCF Financial Corporation</w:t>
            </w:r>
          </w:p>
        </w:tc>
        <w:tc>
          <w:tcPr>
            <w:tcW w:w="1380" w:type="dxa"/>
            <w:vAlign w:val="bottom"/>
          </w:tcPr>
          <w:p>
            <w:pPr>
              <w:spacing w:after="0"/>
              <w:rPr>
                <w:sz w:val="14"/>
                <w:szCs w:val="14"/>
                <w:color w:val="auto"/>
              </w:rPr>
            </w:pPr>
          </w:p>
        </w:tc>
      </w:tr>
      <w:tr>
        <w:trPr>
          <w:trHeight w:val="165"/>
        </w:trPr>
        <w:tc>
          <w:tcPr>
            <w:tcW w:w="2580" w:type="dxa"/>
            <w:vAlign w:val="bottom"/>
          </w:tcPr>
          <w:p>
            <w:pPr>
              <w:ind w:left="60"/>
              <w:spacing w:after="0"/>
              <w:rPr>
                <w:sz w:val="20"/>
                <w:szCs w:val="20"/>
                <w:color w:val="auto"/>
              </w:rPr>
            </w:pPr>
            <w:r>
              <w:rPr>
                <w:rFonts w:ascii="Arial" w:cs="Arial" w:eastAsia="Arial" w:hAnsi="Arial"/>
                <w:sz w:val="14"/>
                <w:szCs w:val="14"/>
                <w:color w:val="auto"/>
              </w:rPr>
              <w:t>Audit Committee</w:t>
            </w:r>
          </w:p>
        </w:tc>
        <w:tc>
          <w:tcPr>
            <w:tcW w:w="1200" w:type="dxa"/>
            <w:vAlign w:val="bottom"/>
          </w:tcPr>
          <w:p>
            <w:pPr>
              <w:ind w:left="620"/>
              <w:spacing w:after="0"/>
              <w:rPr>
                <w:sz w:val="20"/>
                <w:szCs w:val="20"/>
                <w:color w:val="auto"/>
              </w:rPr>
            </w:pPr>
            <w:r>
              <w:rPr>
                <w:rFonts w:ascii="Arial" w:cs="Arial" w:eastAsia="Arial" w:hAnsi="Arial"/>
                <w:sz w:val="14"/>
                <w:szCs w:val="14"/>
                <w:color w:val="auto"/>
              </w:rPr>
              <w:t>8 of 8</w:t>
            </w:r>
          </w:p>
        </w:tc>
        <w:tc>
          <w:tcPr>
            <w:tcW w:w="800" w:type="dxa"/>
            <w:vAlign w:val="bottom"/>
          </w:tcPr>
          <w:p>
            <w:pPr>
              <w:ind w:left="40"/>
              <w:spacing w:after="0"/>
              <w:rPr>
                <w:sz w:val="20"/>
                <w:szCs w:val="20"/>
                <w:color w:val="auto"/>
              </w:rPr>
            </w:pPr>
            <w:r>
              <w:rPr>
                <w:rFonts w:ascii="Arial" w:cs="Arial" w:eastAsia="Arial" w:hAnsi="Arial"/>
                <w:sz w:val="14"/>
                <w:szCs w:val="14"/>
                <w:color w:val="auto"/>
              </w:rPr>
              <w:t>100%</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2580" w:type="dxa"/>
            <w:vAlign w:val="bottom"/>
          </w:tcPr>
          <w:p>
            <w:pPr>
              <w:ind w:left="60"/>
              <w:spacing w:after="0"/>
              <w:rPr>
                <w:sz w:val="20"/>
                <w:szCs w:val="20"/>
                <w:color w:val="auto"/>
              </w:rPr>
            </w:pPr>
            <w:r>
              <w:rPr>
                <w:rFonts w:ascii="Arial" w:cs="Arial" w:eastAsia="Arial" w:hAnsi="Arial"/>
                <w:sz w:val="14"/>
                <w:szCs w:val="14"/>
                <w:color w:val="auto"/>
              </w:rPr>
              <w:t>Corp. Governance Committee</w:t>
            </w:r>
          </w:p>
        </w:tc>
        <w:tc>
          <w:tcPr>
            <w:tcW w:w="1200" w:type="dxa"/>
            <w:vAlign w:val="bottom"/>
          </w:tcPr>
          <w:p>
            <w:pPr>
              <w:ind w:left="620"/>
              <w:spacing w:after="0"/>
              <w:rPr>
                <w:sz w:val="20"/>
                <w:szCs w:val="20"/>
                <w:color w:val="auto"/>
              </w:rPr>
            </w:pPr>
            <w:r>
              <w:rPr>
                <w:rFonts w:ascii="Arial" w:cs="Arial" w:eastAsia="Arial" w:hAnsi="Arial"/>
                <w:sz w:val="14"/>
                <w:szCs w:val="14"/>
                <w:color w:val="auto"/>
              </w:rPr>
              <w:t>5 of 5</w:t>
            </w:r>
          </w:p>
        </w:tc>
        <w:tc>
          <w:tcPr>
            <w:tcW w:w="800" w:type="dxa"/>
            <w:vAlign w:val="bottom"/>
          </w:tcPr>
          <w:p>
            <w:pPr>
              <w:ind w:left="40"/>
              <w:spacing w:after="0"/>
              <w:rPr>
                <w:sz w:val="20"/>
                <w:szCs w:val="20"/>
                <w:color w:val="auto"/>
              </w:rPr>
            </w:pPr>
            <w:r>
              <w:rPr>
                <w:rFonts w:ascii="Arial" w:cs="Arial" w:eastAsia="Arial" w:hAnsi="Arial"/>
                <w:sz w:val="14"/>
                <w:szCs w:val="14"/>
                <w:color w:val="auto"/>
              </w:rPr>
              <w:t>100%</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5"/>
        </w:trPr>
        <w:tc>
          <w:tcPr>
            <w:tcW w:w="2580" w:type="dxa"/>
            <w:vAlign w:val="bottom"/>
          </w:tcPr>
          <w:p>
            <w:pPr>
              <w:ind w:left="60"/>
              <w:spacing w:after="0"/>
              <w:rPr>
                <w:sz w:val="20"/>
                <w:szCs w:val="20"/>
                <w:color w:val="auto"/>
              </w:rPr>
            </w:pPr>
            <w:r>
              <w:rPr>
                <w:rFonts w:ascii="Arial" w:cs="Arial" w:eastAsia="Arial" w:hAnsi="Arial"/>
                <w:sz w:val="14"/>
                <w:szCs w:val="14"/>
                <w:color w:val="auto"/>
              </w:rPr>
              <w:t>HR Committee</w:t>
            </w:r>
          </w:p>
        </w:tc>
        <w:tc>
          <w:tcPr>
            <w:tcW w:w="1200" w:type="dxa"/>
            <w:vAlign w:val="bottom"/>
          </w:tcPr>
          <w:p>
            <w:pPr>
              <w:ind w:left="620"/>
              <w:spacing w:after="0"/>
              <w:rPr>
                <w:sz w:val="20"/>
                <w:szCs w:val="20"/>
                <w:color w:val="auto"/>
              </w:rPr>
            </w:pPr>
            <w:r>
              <w:rPr>
                <w:rFonts w:ascii="Arial" w:cs="Arial" w:eastAsia="Arial" w:hAnsi="Arial"/>
                <w:sz w:val="14"/>
                <w:szCs w:val="14"/>
                <w:color w:val="auto"/>
              </w:rPr>
              <w:t>8 of 8</w:t>
            </w:r>
          </w:p>
        </w:tc>
        <w:tc>
          <w:tcPr>
            <w:tcW w:w="800" w:type="dxa"/>
            <w:vAlign w:val="bottom"/>
          </w:tcPr>
          <w:p>
            <w:pPr>
              <w:ind w:left="40"/>
              <w:spacing w:after="0"/>
              <w:rPr>
                <w:sz w:val="20"/>
                <w:szCs w:val="20"/>
                <w:color w:val="auto"/>
              </w:rPr>
            </w:pPr>
            <w:r>
              <w:rPr>
                <w:rFonts w:ascii="Arial" w:cs="Arial" w:eastAsia="Arial" w:hAnsi="Arial"/>
                <w:sz w:val="14"/>
                <w:szCs w:val="14"/>
                <w:color w:val="auto"/>
              </w:rPr>
              <w:t>100%</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2580" w:type="dxa"/>
            <w:vAlign w:val="bottom"/>
          </w:tcPr>
          <w:p>
            <w:pPr>
              <w:ind w:left="60"/>
              <w:spacing w:after="0"/>
              <w:rPr>
                <w:sz w:val="20"/>
                <w:szCs w:val="20"/>
                <w:color w:val="auto"/>
              </w:rPr>
            </w:pPr>
            <w:r>
              <w:rPr>
                <w:rFonts w:ascii="Arial" w:cs="Arial" w:eastAsia="Arial" w:hAnsi="Arial"/>
                <w:sz w:val="14"/>
                <w:szCs w:val="14"/>
                <w:color w:val="auto"/>
              </w:rPr>
              <w:t>Risk Committee</w:t>
            </w:r>
          </w:p>
        </w:tc>
        <w:tc>
          <w:tcPr>
            <w:tcW w:w="1200" w:type="dxa"/>
            <w:vAlign w:val="bottom"/>
          </w:tcPr>
          <w:p>
            <w:pPr>
              <w:ind w:left="620"/>
              <w:spacing w:after="0"/>
              <w:rPr>
                <w:sz w:val="20"/>
                <w:szCs w:val="20"/>
                <w:color w:val="auto"/>
              </w:rPr>
            </w:pPr>
            <w:r>
              <w:rPr>
                <w:rFonts w:ascii="Arial" w:cs="Arial" w:eastAsia="Arial" w:hAnsi="Arial"/>
                <w:sz w:val="14"/>
                <w:szCs w:val="14"/>
                <w:color w:val="auto"/>
              </w:rPr>
              <w:t>1 of 1</w:t>
            </w:r>
          </w:p>
        </w:tc>
        <w:tc>
          <w:tcPr>
            <w:tcW w:w="800" w:type="dxa"/>
            <w:vAlign w:val="bottom"/>
          </w:tcPr>
          <w:p>
            <w:pPr>
              <w:ind w:left="40"/>
              <w:spacing w:after="0"/>
              <w:rPr>
                <w:sz w:val="20"/>
                <w:szCs w:val="20"/>
                <w:color w:val="auto"/>
              </w:rPr>
            </w:pPr>
            <w:r>
              <w:rPr>
                <w:rFonts w:ascii="Arial" w:cs="Arial" w:eastAsia="Arial" w:hAnsi="Arial"/>
                <w:sz w:val="14"/>
                <w:szCs w:val="14"/>
                <w:color w:val="auto"/>
              </w:rPr>
              <w:t>100%</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57"/>
        </w:trPr>
        <w:tc>
          <w:tcPr>
            <w:tcW w:w="2580" w:type="dxa"/>
            <w:vAlign w:val="bottom"/>
            <w:tcBorders>
              <w:bottom w:val="single" w:sz="8" w:color="AFAFAF"/>
            </w:tcBorders>
          </w:tcPr>
          <w:p>
            <w:pPr>
              <w:ind w:left="60"/>
              <w:spacing w:after="0" w:line="157" w:lineRule="exact"/>
              <w:rPr>
                <w:sz w:val="20"/>
                <w:szCs w:val="20"/>
                <w:color w:val="auto"/>
              </w:rPr>
            </w:pPr>
            <w:r>
              <w:rPr>
                <w:rFonts w:ascii="Arial" w:cs="Arial" w:eastAsia="Arial" w:hAnsi="Arial"/>
                <w:sz w:val="14"/>
                <w:szCs w:val="14"/>
                <w:color w:val="auto"/>
              </w:rPr>
              <w:t>Special Committee</w:t>
            </w:r>
          </w:p>
        </w:tc>
        <w:tc>
          <w:tcPr>
            <w:tcW w:w="1200" w:type="dxa"/>
            <w:vAlign w:val="bottom"/>
            <w:tcBorders>
              <w:bottom w:val="single" w:sz="8" w:color="AFAFAF"/>
            </w:tcBorders>
          </w:tcPr>
          <w:p>
            <w:pPr>
              <w:ind w:left="620"/>
              <w:spacing w:after="0" w:line="157" w:lineRule="exact"/>
              <w:rPr>
                <w:sz w:val="20"/>
                <w:szCs w:val="20"/>
                <w:color w:val="auto"/>
              </w:rPr>
            </w:pPr>
            <w:r>
              <w:rPr>
                <w:rFonts w:ascii="Arial" w:cs="Arial" w:eastAsia="Arial" w:hAnsi="Arial"/>
                <w:sz w:val="14"/>
                <w:szCs w:val="14"/>
                <w:color w:val="auto"/>
              </w:rPr>
              <w:t>3 of 3</w:t>
            </w:r>
          </w:p>
        </w:tc>
        <w:tc>
          <w:tcPr>
            <w:tcW w:w="800" w:type="dxa"/>
            <w:vAlign w:val="bottom"/>
            <w:tcBorders>
              <w:bottom w:val="single" w:sz="8" w:color="AFAFAF"/>
            </w:tcBorders>
          </w:tcPr>
          <w:p>
            <w:pPr>
              <w:ind w:left="40"/>
              <w:spacing w:after="0" w:line="157" w:lineRule="exact"/>
              <w:rPr>
                <w:sz w:val="20"/>
                <w:szCs w:val="20"/>
                <w:color w:val="auto"/>
              </w:rPr>
            </w:pPr>
            <w:r>
              <w:rPr>
                <w:rFonts w:ascii="Arial" w:cs="Arial" w:eastAsia="Arial" w:hAnsi="Arial"/>
                <w:sz w:val="14"/>
                <w:szCs w:val="14"/>
                <w:color w:val="auto"/>
              </w:rPr>
              <w:t>100%</w:t>
            </w:r>
          </w:p>
        </w:tc>
        <w:tc>
          <w:tcPr>
            <w:tcW w:w="700" w:type="dxa"/>
            <w:vAlign w:val="bottom"/>
            <w:tcBorders>
              <w:bottom w:val="single" w:sz="8" w:color="AFAFAF"/>
            </w:tcBorders>
          </w:tcPr>
          <w:p>
            <w:pPr>
              <w:spacing w:after="0"/>
              <w:rPr>
                <w:sz w:val="13"/>
                <w:szCs w:val="13"/>
                <w:color w:val="auto"/>
              </w:rPr>
            </w:pPr>
          </w:p>
        </w:tc>
        <w:tc>
          <w:tcPr>
            <w:tcW w:w="940" w:type="dxa"/>
            <w:vAlign w:val="bottom"/>
            <w:tcBorders>
              <w:bottom w:val="single" w:sz="8" w:color="AFAFAF"/>
            </w:tcBorders>
          </w:tcPr>
          <w:p>
            <w:pPr>
              <w:spacing w:after="0"/>
              <w:rPr>
                <w:sz w:val="13"/>
                <w:szCs w:val="13"/>
                <w:color w:val="auto"/>
              </w:rPr>
            </w:pPr>
          </w:p>
        </w:tc>
        <w:tc>
          <w:tcPr>
            <w:tcW w:w="920" w:type="dxa"/>
            <w:vAlign w:val="bottom"/>
            <w:tcBorders>
              <w:bottom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r>
      <w:tr>
        <w:trPr>
          <w:trHeight w:val="168"/>
        </w:trPr>
        <w:tc>
          <w:tcPr>
            <w:tcW w:w="25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Total</w:t>
            </w:r>
          </w:p>
        </w:tc>
        <w:tc>
          <w:tcPr>
            <w:tcW w:w="1200" w:type="dxa"/>
            <w:vAlign w:val="bottom"/>
            <w:tcBorders>
              <w:bottom w:val="single" w:sz="8" w:color="AFAFAF"/>
            </w:tcBorders>
          </w:tcPr>
          <w:p>
            <w:pPr>
              <w:ind w:left="620"/>
              <w:spacing w:after="0"/>
              <w:rPr>
                <w:sz w:val="20"/>
                <w:szCs w:val="20"/>
                <w:color w:val="auto"/>
              </w:rPr>
            </w:pPr>
            <w:r>
              <w:rPr>
                <w:rFonts w:ascii="Arial" w:cs="Arial" w:eastAsia="Arial" w:hAnsi="Arial"/>
                <w:sz w:val="14"/>
                <w:szCs w:val="14"/>
                <w:b w:val="1"/>
                <w:bCs w:val="1"/>
                <w:color w:val="auto"/>
              </w:rPr>
              <w:t>40 of 40</w:t>
            </w:r>
          </w:p>
        </w:tc>
        <w:tc>
          <w:tcPr>
            <w:tcW w:w="80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100%</w:t>
            </w:r>
          </w:p>
        </w:tc>
        <w:tc>
          <w:tcPr>
            <w:tcW w:w="700" w:type="dxa"/>
            <w:vAlign w:val="bottom"/>
            <w:tcBorders>
              <w:bottom w:val="single" w:sz="8" w:color="AFAFAF"/>
            </w:tcBorders>
          </w:tcPr>
          <w:p>
            <w:pPr>
              <w:spacing w:after="0"/>
              <w:rPr>
                <w:sz w:val="14"/>
                <w:szCs w:val="14"/>
                <w:color w:val="auto"/>
              </w:rPr>
            </w:pPr>
          </w:p>
        </w:tc>
        <w:tc>
          <w:tcPr>
            <w:tcW w:w="940" w:type="dxa"/>
            <w:vAlign w:val="bottom"/>
            <w:tcBorders>
              <w:bottom w:val="single" w:sz="8" w:color="AFAFAF"/>
            </w:tcBorders>
          </w:tcPr>
          <w:p>
            <w:pPr>
              <w:spacing w:after="0"/>
              <w:rPr>
                <w:sz w:val="14"/>
                <w:szCs w:val="14"/>
                <w:color w:val="auto"/>
              </w:rPr>
            </w:pPr>
          </w:p>
        </w:tc>
        <w:tc>
          <w:tcPr>
            <w:tcW w:w="920" w:type="dxa"/>
            <w:vAlign w:val="bottom"/>
            <w:tcBorders>
              <w:bottom w:val="single" w:sz="8" w:color="AFAFAF"/>
            </w:tcBorders>
          </w:tcPr>
          <w:p>
            <w:pPr>
              <w:spacing w:after="0"/>
              <w:rPr>
                <w:sz w:val="14"/>
                <w:szCs w:val="14"/>
                <w:color w:val="auto"/>
              </w:rPr>
            </w:pPr>
          </w:p>
        </w:tc>
        <w:tc>
          <w:tcPr>
            <w:tcW w:w="1380" w:type="dxa"/>
            <w:vAlign w:val="bottom"/>
            <w:tcBorders>
              <w:bottom w:val="single" w:sz="8" w:color="AFAFAF"/>
            </w:tcBorders>
          </w:tcPr>
          <w:p>
            <w:pPr>
              <w:spacing w:after="0"/>
              <w:rPr>
                <w:sz w:val="14"/>
                <w:szCs w:val="14"/>
                <w:color w:val="auto"/>
              </w:rPr>
            </w:pPr>
          </w:p>
        </w:tc>
      </w:tr>
      <w:tr>
        <w:trPr>
          <w:trHeight w:val="142"/>
        </w:trPr>
        <w:tc>
          <w:tcPr>
            <w:tcW w:w="25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Securities held</w:t>
            </w: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 shares</w:t>
            </w:r>
          </w:p>
        </w:tc>
        <w:tc>
          <w:tcPr>
            <w:tcW w:w="9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Ownership multiple</w:t>
            </w:r>
          </w:p>
        </w:tc>
      </w:tr>
      <w:tr>
        <w:trPr>
          <w:trHeight w:val="188"/>
        </w:trPr>
        <w:tc>
          <w:tcPr>
            <w:tcW w:w="25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(number and value)</w:t>
            </w:r>
          </w:p>
        </w:tc>
        <w:tc>
          <w:tcPr>
            <w:tcW w:w="1200" w:type="dxa"/>
            <w:vAlign w:val="bottom"/>
            <w:tcBorders>
              <w:bottom w:val="single" w:sz="8" w:color="AFAFAF"/>
            </w:tcBorders>
          </w:tcPr>
          <w:p>
            <w:pPr>
              <w:spacing w:after="0"/>
              <w:rPr>
                <w:sz w:val="16"/>
                <w:szCs w:val="16"/>
                <w:color w:val="auto"/>
              </w:rPr>
            </w:pPr>
          </w:p>
        </w:tc>
        <w:tc>
          <w:tcPr>
            <w:tcW w:w="800" w:type="dxa"/>
            <w:vAlign w:val="bottom"/>
            <w:tcBorders>
              <w:bottom w:val="single" w:sz="8" w:color="AFAFAF"/>
            </w:tcBorders>
          </w:tcPr>
          <w:p>
            <w:pPr>
              <w:spacing w:after="0"/>
              <w:rPr>
                <w:sz w:val="16"/>
                <w:szCs w:val="16"/>
                <w:color w:val="auto"/>
              </w:rPr>
            </w:pPr>
          </w:p>
        </w:tc>
        <w:tc>
          <w:tcPr>
            <w:tcW w:w="700" w:type="dxa"/>
            <w:vAlign w:val="bottom"/>
            <w:tcBorders>
              <w:bottom w:val="single" w:sz="8" w:color="AFAFAF"/>
            </w:tcBorders>
          </w:tcPr>
          <w:p>
            <w:pPr>
              <w:spacing w:after="0"/>
              <w:rPr>
                <w:sz w:val="16"/>
                <w:szCs w:val="16"/>
                <w:color w:val="auto"/>
              </w:rPr>
            </w:pPr>
          </w:p>
        </w:tc>
        <w:tc>
          <w:tcPr>
            <w:tcW w:w="94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and DSUs</w:t>
            </w:r>
          </w:p>
        </w:tc>
        <w:tc>
          <w:tcPr>
            <w:tcW w:w="92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173"/>
        </w:trPr>
        <w:tc>
          <w:tcPr>
            <w:tcW w:w="2580" w:type="dxa"/>
            <w:vAlign w:val="bottom"/>
          </w:tcPr>
          <w:p>
            <w:pPr>
              <w:ind w:left="60"/>
              <w:spacing w:after="0"/>
              <w:rPr>
                <w:sz w:val="20"/>
                <w:szCs w:val="20"/>
                <w:color w:val="auto"/>
              </w:rPr>
            </w:pPr>
            <w:r>
              <w:rPr>
                <w:rFonts w:ascii="Arial" w:cs="Arial" w:eastAsia="Arial" w:hAnsi="Arial"/>
                <w:sz w:val="14"/>
                <w:szCs w:val="14"/>
                <w:color w:val="auto"/>
              </w:rPr>
              <w:t>Common shares</w:t>
            </w:r>
          </w:p>
        </w:tc>
        <w:tc>
          <w:tcPr>
            <w:tcW w:w="1200" w:type="dxa"/>
            <w:vAlign w:val="bottom"/>
          </w:tcPr>
          <w:p>
            <w:pPr>
              <w:ind w:left="700"/>
              <w:spacing w:after="0"/>
              <w:rPr>
                <w:sz w:val="20"/>
                <w:szCs w:val="20"/>
                <w:color w:val="auto"/>
              </w:rPr>
            </w:pPr>
            <w:r>
              <w:rPr>
                <w:rFonts w:ascii="Arial" w:cs="Arial" w:eastAsia="Arial" w:hAnsi="Arial"/>
                <w:sz w:val="14"/>
                <w:szCs w:val="14"/>
                <w:color w:val="auto"/>
              </w:rPr>
              <w:t>RSUs</w:t>
            </w:r>
          </w:p>
        </w:tc>
        <w:tc>
          <w:tcPr>
            <w:tcW w:w="800" w:type="dxa"/>
            <w:vAlign w:val="bottom"/>
          </w:tcPr>
          <w:p>
            <w:pPr>
              <w:ind w:left="40"/>
              <w:spacing w:after="0"/>
              <w:rPr>
                <w:sz w:val="20"/>
                <w:szCs w:val="20"/>
                <w:color w:val="auto"/>
              </w:rPr>
            </w:pPr>
            <w:r>
              <w:rPr>
                <w:rFonts w:ascii="Arial" w:cs="Arial" w:eastAsia="Arial" w:hAnsi="Arial"/>
                <w:sz w:val="14"/>
                <w:szCs w:val="14"/>
                <w:color w:val="auto"/>
              </w:rPr>
              <w:t>DSUs</w:t>
            </w:r>
          </w:p>
        </w:tc>
        <w:tc>
          <w:tcPr>
            <w:tcW w:w="700" w:type="dxa"/>
            <w:vAlign w:val="bottom"/>
          </w:tcPr>
          <w:p>
            <w:pPr>
              <w:jc w:val="center"/>
              <w:spacing w:after="0"/>
              <w:rPr>
                <w:sz w:val="20"/>
                <w:szCs w:val="20"/>
                <w:color w:val="auto"/>
              </w:rPr>
            </w:pPr>
            <w:r>
              <w:rPr>
                <w:rFonts w:ascii="Arial" w:cs="Arial" w:eastAsia="Arial" w:hAnsi="Arial"/>
                <w:sz w:val="14"/>
                <w:szCs w:val="14"/>
                <w:color w:val="auto"/>
              </w:rPr>
              <w:t>Options</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0"/>
        </w:trPr>
        <w:tc>
          <w:tcPr>
            <w:tcW w:w="2580" w:type="dxa"/>
            <w:vAlign w:val="bottom"/>
            <w:tcBorders>
              <w:bottom w:val="single" w:sz="8" w:color="AFAFAF"/>
            </w:tcBorders>
          </w:tcPr>
          <w:p>
            <w:pPr>
              <w:ind w:left="60"/>
              <w:spacing w:after="0"/>
              <w:rPr>
                <w:sz w:val="20"/>
                <w:szCs w:val="20"/>
                <w:color w:val="auto"/>
              </w:rPr>
            </w:pPr>
            <w:r>
              <w:rPr>
                <w:rFonts w:ascii="Arial" w:cs="Arial" w:eastAsia="Arial" w:hAnsi="Arial"/>
                <w:sz w:val="14"/>
                <w:szCs w:val="14"/>
                <w:color w:val="auto"/>
              </w:rPr>
              <w:t>50,000</w:t>
            </w:r>
          </w:p>
        </w:tc>
        <w:tc>
          <w:tcPr>
            <w:tcW w:w="1200" w:type="dxa"/>
            <w:vAlign w:val="bottom"/>
            <w:tcBorders>
              <w:bottom w:val="single" w:sz="8" w:color="AFAFAF"/>
            </w:tcBorders>
          </w:tcPr>
          <w:p>
            <w:pPr>
              <w:ind w:left="8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128,358</w:t>
            </w:r>
          </w:p>
        </w:tc>
        <w:tc>
          <w:tcPr>
            <w:tcW w:w="7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ind w:left="60"/>
              <w:spacing w:after="0"/>
              <w:rPr>
                <w:sz w:val="20"/>
                <w:szCs w:val="20"/>
                <w:color w:val="auto"/>
              </w:rPr>
            </w:pPr>
            <w:r>
              <w:rPr>
                <w:rFonts w:ascii="Arial" w:cs="Arial" w:eastAsia="Arial" w:hAnsi="Arial"/>
                <w:sz w:val="14"/>
                <w:szCs w:val="14"/>
                <w:color w:val="auto"/>
              </w:rPr>
              <w:t>178,358</w:t>
            </w:r>
          </w:p>
        </w:tc>
        <w:tc>
          <w:tcPr>
            <w:tcW w:w="920" w:type="dxa"/>
            <w:vAlign w:val="bottom"/>
            <w:tcBorders>
              <w:bottom w:val="single" w:sz="8" w:color="AFAFAF"/>
            </w:tcBorders>
          </w:tcPr>
          <w:p>
            <w:pPr>
              <w:spacing w:after="0"/>
              <w:rPr>
                <w:sz w:val="14"/>
                <w:szCs w:val="14"/>
                <w:color w:val="auto"/>
              </w:rPr>
            </w:pPr>
          </w:p>
        </w:tc>
        <w:tc>
          <w:tcPr>
            <w:tcW w:w="1380" w:type="dxa"/>
            <w:vAlign w:val="bottom"/>
            <w:tcBorders>
              <w:bottom w:val="single" w:sz="8" w:color="AFAFAF"/>
            </w:tcBorders>
          </w:tcPr>
          <w:p>
            <w:pPr>
              <w:spacing w:after="0"/>
              <w:rPr>
                <w:sz w:val="14"/>
                <w:szCs w:val="14"/>
                <w:color w:val="auto"/>
              </w:rPr>
            </w:pPr>
          </w:p>
        </w:tc>
      </w:tr>
      <w:tr>
        <w:trPr>
          <w:trHeight w:val="183"/>
        </w:trPr>
        <w:tc>
          <w:tcPr>
            <w:tcW w:w="258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2,951,500</w:t>
            </w:r>
          </w:p>
        </w:tc>
        <w:tc>
          <w:tcPr>
            <w:tcW w:w="1200" w:type="dxa"/>
            <w:vAlign w:val="bottom"/>
          </w:tcPr>
          <w:p>
            <w:pPr>
              <w:ind w:left="860"/>
              <w:spacing w:after="0"/>
              <w:rPr>
                <w:sz w:val="20"/>
                <w:szCs w:val="20"/>
                <w:color w:val="auto"/>
              </w:rPr>
            </w:pPr>
            <w:r>
              <w:rPr>
                <w:rFonts w:ascii="Arial" w:cs="Arial" w:eastAsia="Arial" w:hAnsi="Arial"/>
                <w:sz w:val="14"/>
                <w:szCs w:val="14"/>
                <w:color w:val="auto"/>
              </w:rPr>
              <w:t>–</w:t>
            </w:r>
          </w:p>
        </w:tc>
        <w:tc>
          <w:tcPr>
            <w:tcW w:w="80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7,576,973</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10,528,473</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52.6x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-8890</wp:posOffset>
            </wp:positionV>
            <wp:extent cx="6973570" cy="26066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73570" cy="2606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400"/>
            <w:col w:w="8520"/>
          </w:cols>
          <w:pgMar w:left="240" w:top="45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Kristin C. Peck</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Age: 47</w:t>
      </w:r>
    </w:p>
    <w:p>
      <w:pPr>
        <w:spacing w:after="0" w:line="66" w:lineRule="exact"/>
        <w:rPr>
          <w:sz w:val="20"/>
          <w:szCs w:val="20"/>
          <w:color w:val="auto"/>
        </w:rPr>
      </w:pPr>
    </w:p>
    <w:p>
      <w:pPr>
        <w:ind w:left="320" w:right="80"/>
        <w:spacing w:after="0" w:line="257" w:lineRule="auto"/>
        <w:rPr>
          <w:sz w:val="20"/>
          <w:szCs w:val="20"/>
          <w:color w:val="auto"/>
        </w:rPr>
      </w:pPr>
      <w:r>
        <w:rPr>
          <w:rFonts w:ascii="Arial" w:cs="Arial" w:eastAsia="Arial" w:hAnsi="Arial"/>
          <w:sz w:val="13"/>
          <w:szCs w:val="13"/>
          <w:color w:val="auto"/>
        </w:rPr>
        <w:t>Greenwich, Connecticut, United States</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Director since 2016</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Independent</w:t>
      </w:r>
    </w:p>
    <w:p>
      <w:pPr>
        <w:spacing w:after="0" w:line="66" w:lineRule="exact"/>
        <w:rPr>
          <w:sz w:val="20"/>
          <w:szCs w:val="20"/>
          <w:color w:val="auto"/>
        </w:rPr>
      </w:pPr>
    </w:p>
    <w:p>
      <w:pPr>
        <w:ind w:left="320"/>
        <w:spacing w:after="0" w:line="244" w:lineRule="auto"/>
        <w:rPr>
          <w:sz w:val="20"/>
          <w:szCs w:val="20"/>
          <w:color w:val="auto"/>
        </w:rPr>
      </w:pPr>
      <w:r>
        <w:rPr>
          <w:rFonts w:ascii="Arial" w:cs="Arial" w:eastAsia="Arial" w:hAnsi="Arial"/>
          <w:sz w:val="13"/>
          <w:szCs w:val="13"/>
          <w:color w:val="auto"/>
        </w:rPr>
        <w:t>Primary areas of expertise: commercial operations, business development, strategy, customer experience</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2018 votes for: 98.56%</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Kristin C. Peck</w:t>
      </w:r>
    </w:p>
    <w:p>
      <w:pPr>
        <w:spacing w:after="0" w:line="63" w:lineRule="exact"/>
        <w:rPr>
          <w:sz w:val="20"/>
          <w:szCs w:val="20"/>
          <w:color w:val="auto"/>
        </w:rPr>
      </w:pPr>
    </w:p>
    <w:p>
      <w:pPr>
        <w:ind w:left="60" w:right="80"/>
        <w:spacing w:after="0" w:line="243" w:lineRule="auto"/>
        <w:rPr>
          <w:sz w:val="20"/>
          <w:szCs w:val="20"/>
          <w:color w:val="auto"/>
        </w:rPr>
      </w:pPr>
      <w:r>
        <w:rPr>
          <w:rFonts w:ascii="Arial" w:cs="Arial" w:eastAsia="Arial" w:hAnsi="Arial"/>
          <w:sz w:val="14"/>
          <w:szCs w:val="14"/>
          <w:color w:val="auto"/>
        </w:rPr>
        <w:t>Kristin Peck is Executive Vice President and Group President, U.S. Operations, Business Development and Strategy at Zoetis, a NYSE-listed global leader in the discovery, development, manufacture and commercialization of animal health medicines and vaccines that was spun off by Pfizer in 2013. From October 2012 through April 2015, she served as Executive Vice President and Group President of Zoetis. Ms. Peck joined Pfizer in 2004 and held various positions, including Executive Vice President, Worldwide Business Development and Innovation; Senior Vice President, Worldwide Business Development, Strategy and Innovation; Vice President, Strategic Planning; Chief of Staff to the Vice Chairman; and Senior Director, Strategic Planning. She also served as a member of Pfizer’s Executive Leadership Team. Prior to joining Pfizer, Ms. Peck was a Principal at Boston Consulting Group. She holds a Bachelor’s degree from Georgetown University and a Master of Business Administration from Columbia Business School.</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Board/committee</w:t>
            </w: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8"/>
        </w:trPr>
        <w:tc>
          <w:tcPr>
            <w:tcW w:w="260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membership</w:t>
            </w:r>
          </w:p>
        </w:tc>
        <w:tc>
          <w:tcPr>
            <w:tcW w:w="1940" w:type="dxa"/>
            <w:vAlign w:val="bottom"/>
            <w:tcBorders>
              <w:bottom w:val="single" w:sz="8" w:color="AFAFAF"/>
            </w:tcBorders>
            <w:gridSpan w:val="2"/>
          </w:tcPr>
          <w:p>
            <w:pPr>
              <w:ind w:left="660"/>
              <w:spacing w:after="0"/>
              <w:rPr>
                <w:sz w:val="20"/>
                <w:szCs w:val="20"/>
                <w:color w:val="auto"/>
              </w:rPr>
            </w:pPr>
            <w:r>
              <w:rPr>
                <w:rFonts w:ascii="Arial" w:cs="Arial" w:eastAsia="Arial" w:hAnsi="Arial"/>
                <w:sz w:val="14"/>
                <w:szCs w:val="14"/>
                <w:b w:val="1"/>
                <w:bCs w:val="1"/>
                <w:color w:val="auto"/>
              </w:rPr>
              <w:t>2018 attendance</w:t>
            </w:r>
          </w:p>
        </w:tc>
        <w:tc>
          <w:tcPr>
            <w:tcW w:w="3960" w:type="dxa"/>
            <w:vAlign w:val="bottom"/>
            <w:tcBorders>
              <w:bottom w:val="single" w:sz="8" w:color="AFAFAF"/>
            </w:tcBorders>
            <w:gridSpan w:val="4"/>
          </w:tcPr>
          <w:p>
            <w:pPr>
              <w:ind w:left="6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160"/>
        </w:trPr>
        <w:tc>
          <w:tcPr>
            <w:tcW w:w="2600" w:type="dxa"/>
            <w:vAlign w:val="bottom"/>
          </w:tcPr>
          <w:p>
            <w:pPr>
              <w:ind w:left="60"/>
              <w:spacing w:after="0" w:line="160" w:lineRule="exact"/>
              <w:rPr>
                <w:sz w:val="20"/>
                <w:szCs w:val="20"/>
                <w:color w:val="auto"/>
              </w:rPr>
            </w:pPr>
            <w:r>
              <w:rPr>
                <w:rFonts w:ascii="Arial" w:cs="Arial" w:eastAsia="Arial" w:hAnsi="Arial"/>
                <w:sz w:val="14"/>
                <w:szCs w:val="14"/>
                <w:color w:val="auto"/>
              </w:rPr>
              <w:t>Board</w:t>
            </w:r>
          </w:p>
        </w:tc>
        <w:tc>
          <w:tcPr>
            <w:tcW w:w="1240" w:type="dxa"/>
            <w:vAlign w:val="bottom"/>
          </w:tcPr>
          <w:p>
            <w:pPr>
              <w:ind w:left="660"/>
              <w:spacing w:after="0" w:line="160" w:lineRule="exact"/>
              <w:rPr>
                <w:sz w:val="20"/>
                <w:szCs w:val="20"/>
                <w:color w:val="auto"/>
              </w:rPr>
            </w:pPr>
            <w:r>
              <w:rPr>
                <w:rFonts w:ascii="Arial" w:cs="Arial" w:eastAsia="Arial" w:hAnsi="Arial"/>
                <w:sz w:val="14"/>
                <w:szCs w:val="14"/>
                <w:color w:val="auto"/>
              </w:rPr>
              <w:t>15 of 15</w:t>
            </w:r>
          </w:p>
        </w:tc>
        <w:tc>
          <w:tcPr>
            <w:tcW w:w="700" w:type="dxa"/>
            <w:vAlign w:val="bottom"/>
          </w:tcPr>
          <w:p>
            <w:pPr>
              <w:ind w:left="40"/>
              <w:spacing w:after="0" w:line="160" w:lineRule="exact"/>
              <w:rPr>
                <w:sz w:val="20"/>
                <w:szCs w:val="20"/>
                <w:color w:val="auto"/>
              </w:rPr>
            </w:pPr>
            <w:r>
              <w:rPr>
                <w:rFonts w:ascii="Arial" w:cs="Arial" w:eastAsia="Arial" w:hAnsi="Arial"/>
                <w:sz w:val="14"/>
                <w:szCs w:val="14"/>
                <w:color w:val="auto"/>
              </w:rPr>
              <w:t>100%</w:t>
            </w:r>
          </w:p>
        </w:tc>
        <w:tc>
          <w:tcPr>
            <w:tcW w:w="720" w:type="dxa"/>
            <w:vAlign w:val="bottom"/>
          </w:tcPr>
          <w:p>
            <w:pPr>
              <w:spacing w:after="0"/>
              <w:rPr>
                <w:sz w:val="13"/>
                <w:szCs w:val="13"/>
                <w:color w:val="auto"/>
              </w:rPr>
            </w:pPr>
          </w:p>
        </w:tc>
        <w:tc>
          <w:tcPr>
            <w:tcW w:w="9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61"/>
        </w:trPr>
        <w:tc>
          <w:tcPr>
            <w:tcW w:w="2600" w:type="dxa"/>
            <w:vAlign w:val="bottom"/>
          </w:tcPr>
          <w:p>
            <w:pPr>
              <w:ind w:left="60"/>
              <w:spacing w:after="0"/>
              <w:rPr>
                <w:sz w:val="20"/>
                <w:szCs w:val="20"/>
                <w:color w:val="auto"/>
              </w:rPr>
            </w:pPr>
            <w:r>
              <w:rPr>
                <w:rFonts w:ascii="Arial" w:cs="Arial" w:eastAsia="Arial" w:hAnsi="Arial"/>
                <w:sz w:val="14"/>
                <w:szCs w:val="14"/>
                <w:color w:val="auto"/>
              </w:rPr>
              <w:t>Corp. Governance Committee</w:t>
            </w:r>
          </w:p>
        </w:tc>
        <w:tc>
          <w:tcPr>
            <w:tcW w:w="1240" w:type="dxa"/>
            <w:vAlign w:val="bottom"/>
          </w:tcPr>
          <w:p>
            <w:pPr>
              <w:ind w:left="660"/>
              <w:spacing w:after="0"/>
              <w:rPr>
                <w:sz w:val="20"/>
                <w:szCs w:val="20"/>
                <w:color w:val="auto"/>
              </w:rPr>
            </w:pPr>
            <w:r>
              <w:rPr>
                <w:rFonts w:ascii="Arial" w:cs="Arial" w:eastAsia="Arial" w:hAnsi="Arial"/>
                <w:sz w:val="14"/>
                <w:szCs w:val="14"/>
                <w:color w:val="auto"/>
              </w:rPr>
              <w:t>2 of 2</w:t>
            </w:r>
          </w:p>
        </w:tc>
        <w:tc>
          <w:tcPr>
            <w:tcW w:w="700" w:type="dxa"/>
            <w:vAlign w:val="bottom"/>
          </w:tcPr>
          <w:p>
            <w:pPr>
              <w:ind w:left="40"/>
              <w:spacing w:after="0"/>
              <w:rPr>
                <w:sz w:val="20"/>
                <w:szCs w:val="20"/>
                <w:color w:val="auto"/>
              </w:rPr>
            </w:pPr>
            <w:r>
              <w:rPr>
                <w:rFonts w:ascii="Arial" w:cs="Arial" w:eastAsia="Arial" w:hAnsi="Arial"/>
                <w:sz w:val="14"/>
                <w:szCs w:val="14"/>
                <w:color w:val="auto"/>
              </w:rPr>
              <w:t>100%</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2600" w:type="dxa"/>
            <w:vAlign w:val="bottom"/>
          </w:tcPr>
          <w:p>
            <w:pPr>
              <w:ind w:left="60"/>
              <w:spacing w:after="0"/>
              <w:rPr>
                <w:sz w:val="20"/>
                <w:szCs w:val="20"/>
                <w:color w:val="auto"/>
              </w:rPr>
            </w:pPr>
            <w:r>
              <w:rPr>
                <w:rFonts w:ascii="Arial" w:cs="Arial" w:eastAsia="Arial" w:hAnsi="Arial"/>
                <w:sz w:val="14"/>
                <w:szCs w:val="14"/>
                <w:color w:val="auto"/>
              </w:rPr>
              <w:t>HR Committee</w:t>
            </w:r>
          </w:p>
        </w:tc>
        <w:tc>
          <w:tcPr>
            <w:tcW w:w="1240" w:type="dxa"/>
            <w:vAlign w:val="bottom"/>
          </w:tcPr>
          <w:p>
            <w:pPr>
              <w:ind w:left="660"/>
              <w:spacing w:after="0"/>
              <w:rPr>
                <w:sz w:val="20"/>
                <w:szCs w:val="20"/>
                <w:color w:val="auto"/>
              </w:rPr>
            </w:pPr>
            <w:r>
              <w:rPr>
                <w:rFonts w:ascii="Arial" w:cs="Arial" w:eastAsia="Arial" w:hAnsi="Arial"/>
                <w:sz w:val="14"/>
                <w:szCs w:val="14"/>
                <w:color w:val="auto"/>
              </w:rPr>
              <w:t>8 of 8</w:t>
            </w:r>
          </w:p>
        </w:tc>
        <w:tc>
          <w:tcPr>
            <w:tcW w:w="700" w:type="dxa"/>
            <w:vAlign w:val="bottom"/>
          </w:tcPr>
          <w:p>
            <w:pPr>
              <w:ind w:left="40"/>
              <w:spacing w:after="0"/>
              <w:rPr>
                <w:sz w:val="20"/>
                <w:szCs w:val="20"/>
                <w:color w:val="auto"/>
              </w:rPr>
            </w:pPr>
            <w:r>
              <w:rPr>
                <w:rFonts w:ascii="Arial" w:cs="Arial" w:eastAsia="Arial" w:hAnsi="Arial"/>
                <w:sz w:val="14"/>
                <w:szCs w:val="14"/>
                <w:color w:val="auto"/>
              </w:rPr>
              <w:t>100%</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57"/>
        </w:trPr>
        <w:tc>
          <w:tcPr>
            <w:tcW w:w="2600" w:type="dxa"/>
            <w:vAlign w:val="bottom"/>
            <w:tcBorders>
              <w:bottom w:val="single" w:sz="8" w:color="AFAFAF"/>
            </w:tcBorders>
          </w:tcPr>
          <w:p>
            <w:pPr>
              <w:ind w:left="60"/>
              <w:spacing w:after="0" w:line="157" w:lineRule="exact"/>
              <w:rPr>
                <w:sz w:val="20"/>
                <w:szCs w:val="20"/>
                <w:color w:val="auto"/>
              </w:rPr>
            </w:pPr>
            <w:r>
              <w:rPr>
                <w:rFonts w:ascii="Arial" w:cs="Arial" w:eastAsia="Arial" w:hAnsi="Arial"/>
                <w:sz w:val="14"/>
                <w:szCs w:val="14"/>
                <w:color w:val="auto"/>
              </w:rPr>
              <w:t>Special Committee</w:t>
            </w:r>
          </w:p>
        </w:tc>
        <w:tc>
          <w:tcPr>
            <w:tcW w:w="1240" w:type="dxa"/>
            <w:vAlign w:val="bottom"/>
            <w:tcBorders>
              <w:bottom w:val="single" w:sz="8" w:color="AFAFAF"/>
            </w:tcBorders>
          </w:tcPr>
          <w:p>
            <w:pPr>
              <w:ind w:left="660"/>
              <w:spacing w:after="0" w:line="157" w:lineRule="exact"/>
              <w:rPr>
                <w:sz w:val="20"/>
                <w:szCs w:val="20"/>
                <w:color w:val="auto"/>
              </w:rPr>
            </w:pPr>
            <w:r>
              <w:rPr>
                <w:rFonts w:ascii="Arial" w:cs="Arial" w:eastAsia="Arial" w:hAnsi="Arial"/>
                <w:sz w:val="14"/>
                <w:szCs w:val="14"/>
                <w:color w:val="auto"/>
              </w:rPr>
              <w:t>3 of 3</w:t>
            </w:r>
          </w:p>
        </w:tc>
        <w:tc>
          <w:tcPr>
            <w:tcW w:w="700" w:type="dxa"/>
            <w:vAlign w:val="bottom"/>
            <w:tcBorders>
              <w:bottom w:val="single" w:sz="8" w:color="AFAFAF"/>
            </w:tcBorders>
          </w:tcPr>
          <w:p>
            <w:pPr>
              <w:ind w:left="40"/>
              <w:spacing w:after="0" w:line="157" w:lineRule="exact"/>
              <w:rPr>
                <w:sz w:val="20"/>
                <w:szCs w:val="20"/>
                <w:color w:val="auto"/>
              </w:rPr>
            </w:pPr>
            <w:r>
              <w:rPr>
                <w:rFonts w:ascii="Arial" w:cs="Arial" w:eastAsia="Arial" w:hAnsi="Arial"/>
                <w:sz w:val="14"/>
                <w:szCs w:val="14"/>
                <w:color w:val="auto"/>
              </w:rPr>
              <w:t>100%</w:t>
            </w:r>
          </w:p>
        </w:tc>
        <w:tc>
          <w:tcPr>
            <w:tcW w:w="720" w:type="dxa"/>
            <w:vAlign w:val="bottom"/>
            <w:tcBorders>
              <w:bottom w:val="single" w:sz="8" w:color="AFAFAF"/>
            </w:tcBorders>
          </w:tcPr>
          <w:p>
            <w:pPr>
              <w:spacing w:after="0"/>
              <w:rPr>
                <w:sz w:val="13"/>
                <w:szCs w:val="13"/>
                <w:color w:val="auto"/>
              </w:rPr>
            </w:pPr>
          </w:p>
        </w:tc>
        <w:tc>
          <w:tcPr>
            <w:tcW w:w="940" w:type="dxa"/>
            <w:vAlign w:val="bottom"/>
            <w:tcBorders>
              <w:bottom w:val="single" w:sz="8" w:color="AFAFAF"/>
            </w:tcBorders>
          </w:tcPr>
          <w:p>
            <w:pPr>
              <w:spacing w:after="0"/>
              <w:rPr>
                <w:sz w:val="13"/>
                <w:szCs w:val="13"/>
                <w:color w:val="auto"/>
              </w:rPr>
            </w:pPr>
          </w:p>
        </w:tc>
        <w:tc>
          <w:tcPr>
            <w:tcW w:w="920" w:type="dxa"/>
            <w:vAlign w:val="bottom"/>
            <w:tcBorders>
              <w:bottom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r>
      <w:tr>
        <w:trPr>
          <w:trHeight w:val="155"/>
        </w:trPr>
        <w:tc>
          <w:tcPr>
            <w:tcW w:w="2600" w:type="dxa"/>
            <w:vAlign w:val="bottom"/>
            <w:tcBorders>
              <w:bottom w:val="single" w:sz="8" w:color="AFAFAF"/>
            </w:tcBorders>
          </w:tcPr>
          <w:p>
            <w:pPr>
              <w:ind w:left="60"/>
              <w:spacing w:after="0" w:line="155" w:lineRule="exact"/>
              <w:rPr>
                <w:sz w:val="20"/>
                <w:szCs w:val="20"/>
                <w:color w:val="auto"/>
              </w:rPr>
            </w:pPr>
            <w:r>
              <w:rPr>
                <w:rFonts w:ascii="Arial" w:cs="Arial" w:eastAsia="Arial" w:hAnsi="Arial"/>
                <w:sz w:val="14"/>
                <w:szCs w:val="14"/>
                <w:b w:val="1"/>
                <w:bCs w:val="1"/>
                <w:color w:val="auto"/>
              </w:rPr>
              <w:t>Total</w:t>
            </w:r>
          </w:p>
        </w:tc>
        <w:tc>
          <w:tcPr>
            <w:tcW w:w="1240" w:type="dxa"/>
            <w:vAlign w:val="bottom"/>
            <w:tcBorders>
              <w:bottom w:val="single" w:sz="8" w:color="AFAFAF"/>
            </w:tcBorders>
          </w:tcPr>
          <w:p>
            <w:pPr>
              <w:ind w:left="660"/>
              <w:spacing w:after="0" w:line="155" w:lineRule="exact"/>
              <w:rPr>
                <w:sz w:val="20"/>
                <w:szCs w:val="20"/>
                <w:color w:val="auto"/>
              </w:rPr>
            </w:pPr>
            <w:r>
              <w:rPr>
                <w:rFonts w:ascii="Arial" w:cs="Arial" w:eastAsia="Arial" w:hAnsi="Arial"/>
                <w:sz w:val="14"/>
                <w:szCs w:val="14"/>
                <w:b w:val="1"/>
                <w:bCs w:val="1"/>
                <w:color w:val="auto"/>
              </w:rPr>
              <w:t>28 of 28</w:t>
            </w:r>
          </w:p>
        </w:tc>
        <w:tc>
          <w:tcPr>
            <w:tcW w:w="700" w:type="dxa"/>
            <w:vAlign w:val="bottom"/>
            <w:tcBorders>
              <w:bottom w:val="single" w:sz="8" w:color="AFAFAF"/>
            </w:tcBorders>
          </w:tcPr>
          <w:p>
            <w:pPr>
              <w:ind w:left="40"/>
              <w:spacing w:after="0" w:line="155" w:lineRule="exact"/>
              <w:rPr>
                <w:sz w:val="20"/>
                <w:szCs w:val="20"/>
                <w:color w:val="auto"/>
              </w:rPr>
            </w:pPr>
            <w:r>
              <w:rPr>
                <w:rFonts w:ascii="Arial" w:cs="Arial" w:eastAsia="Arial" w:hAnsi="Arial"/>
                <w:sz w:val="14"/>
                <w:szCs w:val="14"/>
                <w:b w:val="1"/>
                <w:bCs w:val="1"/>
                <w:color w:val="auto"/>
              </w:rPr>
              <w:t>100%</w:t>
            </w:r>
          </w:p>
        </w:tc>
        <w:tc>
          <w:tcPr>
            <w:tcW w:w="720" w:type="dxa"/>
            <w:vAlign w:val="bottom"/>
            <w:tcBorders>
              <w:bottom w:val="single" w:sz="8" w:color="AFAFAF"/>
            </w:tcBorders>
          </w:tcPr>
          <w:p>
            <w:pPr>
              <w:spacing w:after="0"/>
              <w:rPr>
                <w:sz w:val="13"/>
                <w:szCs w:val="13"/>
                <w:color w:val="auto"/>
              </w:rPr>
            </w:pPr>
          </w:p>
        </w:tc>
        <w:tc>
          <w:tcPr>
            <w:tcW w:w="940" w:type="dxa"/>
            <w:vAlign w:val="bottom"/>
            <w:tcBorders>
              <w:bottom w:val="single" w:sz="8" w:color="AFAFAF"/>
            </w:tcBorders>
          </w:tcPr>
          <w:p>
            <w:pPr>
              <w:spacing w:after="0"/>
              <w:rPr>
                <w:sz w:val="13"/>
                <w:szCs w:val="13"/>
                <w:color w:val="auto"/>
              </w:rPr>
            </w:pPr>
          </w:p>
        </w:tc>
        <w:tc>
          <w:tcPr>
            <w:tcW w:w="920" w:type="dxa"/>
            <w:vAlign w:val="bottom"/>
            <w:tcBorders>
              <w:bottom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r>
      <w:tr>
        <w:trPr>
          <w:trHeight w:val="142"/>
        </w:trPr>
        <w:tc>
          <w:tcPr>
            <w:tcW w:w="26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Securities held</w:t>
            </w:r>
          </w:p>
        </w:tc>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 shares</w:t>
            </w:r>
          </w:p>
        </w:tc>
        <w:tc>
          <w:tcPr>
            <w:tcW w:w="9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Ownership multiple</w:t>
            </w:r>
          </w:p>
        </w:tc>
      </w:tr>
      <w:tr>
        <w:trPr>
          <w:trHeight w:val="188"/>
        </w:trPr>
        <w:tc>
          <w:tcPr>
            <w:tcW w:w="260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(number and value)</w:t>
            </w:r>
          </w:p>
        </w:tc>
        <w:tc>
          <w:tcPr>
            <w:tcW w:w="1240" w:type="dxa"/>
            <w:vAlign w:val="bottom"/>
            <w:tcBorders>
              <w:bottom w:val="single" w:sz="8" w:color="AFAFAF"/>
            </w:tcBorders>
          </w:tcPr>
          <w:p>
            <w:pPr>
              <w:spacing w:after="0"/>
              <w:rPr>
                <w:sz w:val="16"/>
                <w:szCs w:val="16"/>
                <w:color w:val="auto"/>
              </w:rPr>
            </w:pPr>
          </w:p>
        </w:tc>
        <w:tc>
          <w:tcPr>
            <w:tcW w:w="700" w:type="dxa"/>
            <w:vAlign w:val="bottom"/>
            <w:tcBorders>
              <w:bottom w:val="single" w:sz="8" w:color="AFAFAF"/>
            </w:tcBorders>
          </w:tcPr>
          <w:p>
            <w:pPr>
              <w:spacing w:after="0"/>
              <w:rPr>
                <w:sz w:val="16"/>
                <w:szCs w:val="16"/>
                <w:color w:val="auto"/>
              </w:rPr>
            </w:pPr>
          </w:p>
        </w:tc>
        <w:tc>
          <w:tcPr>
            <w:tcW w:w="720" w:type="dxa"/>
            <w:vAlign w:val="bottom"/>
            <w:tcBorders>
              <w:bottom w:val="single" w:sz="8" w:color="AFAFAF"/>
            </w:tcBorders>
          </w:tcPr>
          <w:p>
            <w:pPr>
              <w:spacing w:after="0"/>
              <w:rPr>
                <w:sz w:val="16"/>
                <w:szCs w:val="16"/>
                <w:color w:val="auto"/>
              </w:rPr>
            </w:pPr>
          </w:p>
        </w:tc>
        <w:tc>
          <w:tcPr>
            <w:tcW w:w="94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and DSUs</w:t>
            </w:r>
          </w:p>
        </w:tc>
        <w:tc>
          <w:tcPr>
            <w:tcW w:w="92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160"/>
        </w:trPr>
        <w:tc>
          <w:tcPr>
            <w:tcW w:w="2600" w:type="dxa"/>
            <w:vAlign w:val="bottom"/>
          </w:tcPr>
          <w:p>
            <w:pPr>
              <w:ind w:left="60"/>
              <w:spacing w:after="0" w:line="160" w:lineRule="exact"/>
              <w:rPr>
                <w:sz w:val="20"/>
                <w:szCs w:val="20"/>
                <w:color w:val="auto"/>
              </w:rPr>
            </w:pPr>
            <w:r>
              <w:rPr>
                <w:rFonts w:ascii="Arial" w:cs="Arial" w:eastAsia="Arial" w:hAnsi="Arial"/>
                <w:sz w:val="14"/>
                <w:szCs w:val="14"/>
                <w:color w:val="auto"/>
              </w:rPr>
              <w:t>Common shares</w:t>
            </w:r>
          </w:p>
        </w:tc>
        <w:tc>
          <w:tcPr>
            <w:tcW w:w="1240" w:type="dxa"/>
            <w:vAlign w:val="bottom"/>
          </w:tcPr>
          <w:p>
            <w:pPr>
              <w:ind w:left="740"/>
              <w:spacing w:after="0" w:line="160" w:lineRule="exact"/>
              <w:rPr>
                <w:sz w:val="20"/>
                <w:szCs w:val="20"/>
                <w:color w:val="auto"/>
              </w:rPr>
            </w:pPr>
            <w:r>
              <w:rPr>
                <w:rFonts w:ascii="Arial" w:cs="Arial" w:eastAsia="Arial" w:hAnsi="Arial"/>
                <w:sz w:val="14"/>
                <w:szCs w:val="14"/>
                <w:color w:val="auto"/>
              </w:rPr>
              <w:t>RSUs</w:t>
            </w:r>
          </w:p>
        </w:tc>
        <w:tc>
          <w:tcPr>
            <w:tcW w:w="700" w:type="dxa"/>
            <w:vAlign w:val="bottom"/>
          </w:tcPr>
          <w:p>
            <w:pPr>
              <w:ind w:left="40"/>
              <w:spacing w:after="0" w:line="160" w:lineRule="exact"/>
              <w:rPr>
                <w:sz w:val="20"/>
                <w:szCs w:val="20"/>
                <w:color w:val="auto"/>
              </w:rPr>
            </w:pPr>
            <w:r>
              <w:rPr>
                <w:rFonts w:ascii="Arial" w:cs="Arial" w:eastAsia="Arial" w:hAnsi="Arial"/>
                <w:sz w:val="14"/>
                <w:szCs w:val="14"/>
                <w:color w:val="auto"/>
              </w:rPr>
              <w:t>DSUs</w:t>
            </w:r>
          </w:p>
        </w:tc>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rPr>
              <w:t>Options</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70"/>
        </w:trPr>
        <w:tc>
          <w:tcPr>
            <w:tcW w:w="2600" w:type="dxa"/>
            <w:vAlign w:val="bottom"/>
            <w:tcBorders>
              <w:bottom w:val="single" w:sz="8" w:color="AFAFAF"/>
            </w:tcBorders>
          </w:tcPr>
          <w:p>
            <w:pPr>
              <w:ind w:left="158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tcBorders>
          </w:tcPr>
          <w:p>
            <w:pPr>
              <w:ind w:left="8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11,709</w:t>
            </w:r>
          </w:p>
        </w:tc>
        <w:tc>
          <w:tcPr>
            <w:tcW w:w="72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ind w:left="60"/>
              <w:spacing w:after="0"/>
              <w:rPr>
                <w:sz w:val="20"/>
                <w:szCs w:val="20"/>
                <w:color w:val="auto"/>
              </w:rPr>
            </w:pPr>
            <w:r>
              <w:rPr>
                <w:rFonts w:ascii="Arial" w:cs="Arial" w:eastAsia="Arial" w:hAnsi="Arial"/>
                <w:sz w:val="14"/>
                <w:szCs w:val="14"/>
                <w:color w:val="auto"/>
              </w:rPr>
              <w:t>11,709</w:t>
            </w:r>
          </w:p>
        </w:tc>
        <w:tc>
          <w:tcPr>
            <w:tcW w:w="920" w:type="dxa"/>
            <w:vAlign w:val="bottom"/>
            <w:tcBorders>
              <w:bottom w:val="single" w:sz="8" w:color="AFAFAF"/>
            </w:tcBorders>
          </w:tcPr>
          <w:p>
            <w:pPr>
              <w:spacing w:after="0"/>
              <w:rPr>
                <w:sz w:val="14"/>
                <w:szCs w:val="14"/>
                <w:color w:val="auto"/>
              </w:rPr>
            </w:pPr>
          </w:p>
        </w:tc>
        <w:tc>
          <w:tcPr>
            <w:tcW w:w="1380" w:type="dxa"/>
            <w:vAlign w:val="bottom"/>
            <w:tcBorders>
              <w:bottom w:val="single" w:sz="8" w:color="AFAFAF"/>
            </w:tcBorders>
          </w:tcPr>
          <w:p>
            <w:pPr>
              <w:spacing w:after="0"/>
              <w:rPr>
                <w:sz w:val="14"/>
                <w:szCs w:val="14"/>
                <w:color w:val="auto"/>
              </w:rPr>
            </w:pPr>
          </w:p>
        </w:tc>
      </w:tr>
      <w:tr>
        <w:trPr>
          <w:trHeight w:val="179"/>
        </w:trPr>
        <w:tc>
          <w:tcPr>
            <w:tcW w:w="2600" w:type="dxa"/>
            <w:vAlign w:val="bottom"/>
          </w:tcPr>
          <w:p>
            <w:pPr>
              <w:ind w:left="1580"/>
              <w:spacing w:after="0"/>
              <w:rPr>
                <w:sz w:val="20"/>
                <w:szCs w:val="20"/>
                <w:color w:val="auto"/>
              </w:rPr>
            </w:pPr>
            <w:r>
              <w:rPr>
                <w:rFonts w:ascii="Arial" w:cs="Arial" w:eastAsia="Arial" w:hAnsi="Arial"/>
                <w:sz w:val="14"/>
                <w:szCs w:val="14"/>
                <w:color w:val="auto"/>
              </w:rPr>
              <w:t>–</w:t>
            </w:r>
          </w:p>
        </w:tc>
        <w:tc>
          <w:tcPr>
            <w:tcW w:w="1240" w:type="dxa"/>
            <w:vAlign w:val="bottom"/>
          </w:tcPr>
          <w:p>
            <w:pPr>
              <w:ind w:left="880"/>
              <w:spacing w:after="0"/>
              <w:rPr>
                <w:sz w:val="20"/>
                <w:szCs w:val="20"/>
                <w:color w:val="auto"/>
              </w:rPr>
            </w:pPr>
            <w:r>
              <w:rPr>
                <w:rFonts w:ascii="Arial" w:cs="Arial" w:eastAsia="Arial" w:hAnsi="Arial"/>
                <w:sz w:val="14"/>
                <w:szCs w:val="14"/>
                <w:color w:val="auto"/>
              </w:rPr>
              <w:t>–</w:t>
            </w:r>
          </w:p>
        </w:tc>
        <w:tc>
          <w:tcPr>
            <w:tcW w:w="70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691,182</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691,182</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3.5x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-1572260</wp:posOffset>
            </wp:positionH>
            <wp:positionV relativeFrom="paragraph">
              <wp:posOffset>-14605</wp:posOffset>
            </wp:positionV>
            <wp:extent cx="69735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121285</wp:posOffset>
            </wp:positionV>
            <wp:extent cx="697357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420"/>
            <w:col w:w="8500"/>
          </w:cols>
          <w:pgMar w:left="240" w:top="458" w:right="459" w:bottom="1440" w:gutter="0" w:footer="0" w:header="0"/>
          <w:type w:val="continuous"/>
        </w:sectPr>
      </w:pPr>
    </w:p>
    <w:p>
      <w:pPr>
        <w:spacing w:after="0" w:line="165"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18</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type w:val="continuous"/>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219075</wp:posOffset>
            </wp:positionV>
            <wp:extent cx="6973570" cy="254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73570" cy="2546985"/>
                    </a:xfrm>
                    <a:prstGeom prst="rect">
                      <a:avLst/>
                    </a:prstGeom>
                    <a:noFill/>
                  </pic:spPr>
                </pic:pic>
              </a:graphicData>
            </a:graphic>
          </wp:anchor>
        </w:drawing>
      </w:r>
    </w:p>
    <w:p>
      <w:pPr>
        <w:sectPr>
          <w:pgSz w:w="11900" w:h="16838" w:orient="portrait"/>
          <w:cols w:equalWidth="0" w:num="1">
            <w:col w:w="11200"/>
          </w:cols>
          <w:pgMar w:left="240" w:top="45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Barry Salzberg</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Age: 65</w:t>
      </w:r>
    </w:p>
    <w:p>
      <w:pPr>
        <w:spacing w:after="0" w:line="66" w:lineRule="exact"/>
        <w:rPr>
          <w:sz w:val="20"/>
          <w:szCs w:val="20"/>
          <w:color w:val="auto"/>
        </w:rPr>
      </w:pPr>
    </w:p>
    <w:p>
      <w:pPr>
        <w:ind w:left="320"/>
        <w:spacing w:after="0" w:line="394" w:lineRule="auto"/>
        <w:rPr>
          <w:sz w:val="20"/>
          <w:szCs w:val="20"/>
          <w:color w:val="auto"/>
        </w:rPr>
      </w:pPr>
      <w:r>
        <w:rPr>
          <w:rFonts w:ascii="Arial" w:cs="Arial" w:eastAsia="Arial" w:hAnsi="Arial"/>
          <w:sz w:val="13"/>
          <w:szCs w:val="13"/>
          <w:color w:val="auto"/>
        </w:rPr>
        <w:t>New York, New York, United States Director since 2015 Independent</w:t>
      </w:r>
    </w:p>
    <w:p>
      <w:pPr>
        <w:spacing w:after="0" w:line="155" w:lineRule="exact"/>
        <w:rPr>
          <w:sz w:val="20"/>
          <w:szCs w:val="20"/>
          <w:color w:val="auto"/>
        </w:rPr>
      </w:pPr>
    </w:p>
    <w:p>
      <w:pPr>
        <w:ind w:left="320" w:right="380"/>
        <w:spacing w:after="0" w:line="247" w:lineRule="auto"/>
        <w:rPr>
          <w:sz w:val="20"/>
          <w:szCs w:val="20"/>
          <w:color w:val="auto"/>
        </w:rPr>
      </w:pPr>
      <w:r>
        <w:rPr>
          <w:rFonts w:ascii="Arial" w:cs="Arial" w:eastAsia="Arial" w:hAnsi="Arial"/>
          <w:sz w:val="13"/>
          <w:szCs w:val="13"/>
          <w:color w:val="auto"/>
        </w:rPr>
        <w:t>Primary areas of expertise: accounting/audit, operations, international business</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2018 votes for: 99.60%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Barry Salzberg</w:t>
      </w:r>
    </w:p>
    <w:p>
      <w:pPr>
        <w:spacing w:after="0" w:line="63" w:lineRule="exact"/>
        <w:rPr>
          <w:sz w:val="20"/>
          <w:szCs w:val="20"/>
          <w:color w:val="auto"/>
        </w:rPr>
      </w:pPr>
    </w:p>
    <w:p>
      <w:pPr>
        <w:ind w:left="60"/>
        <w:spacing w:after="0" w:line="243" w:lineRule="auto"/>
        <w:rPr>
          <w:sz w:val="20"/>
          <w:szCs w:val="20"/>
          <w:color w:val="auto"/>
        </w:rPr>
      </w:pPr>
      <w:r>
        <w:rPr>
          <w:rFonts w:ascii="Arial" w:cs="Arial" w:eastAsia="Arial" w:hAnsi="Arial"/>
          <w:sz w:val="14"/>
          <w:szCs w:val="14"/>
          <w:color w:val="auto"/>
        </w:rPr>
        <w:t>Barry Salzberg is a corporate director. Mr. Salzberg served as the Global Chief Executive Officer of Deloitte Touche Tohmatsu Limited from 2011 until his retirement in May 2015. He joined Deloitte in 1977 and his roles included Chief Executive Officer and Managing Partner of the firm’s U.S. operations. Mr. Salzberg is Chairman of the Board of Directors of 10EQS and has previously served as a board member of New Profit, Inc. and previously served as Chairman of the United Way Worldwide, Chairman of the Board of College Summit and Chairman of the Board of the YMCA of Greater New York. From July 2015 until June 2018, he was a Professor at Columbia Business School. He has a BS in Accounting from Brooklyn College, a JD from Brooklyn Law School, and an LLM in Taxation from the New York University School of Law.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ind w:left="60"/>
              <w:spacing w:after="0"/>
              <w:rPr>
                <w:sz w:val="20"/>
                <w:szCs w:val="20"/>
                <w:color w:val="auto"/>
              </w:rPr>
            </w:pPr>
            <w:r>
              <w:rPr>
                <w:rFonts w:ascii="Arial" w:cs="Arial" w:eastAsia="Arial" w:hAnsi="Arial"/>
                <w:sz w:val="14"/>
                <w:szCs w:val="14"/>
                <w:b w:val="1"/>
                <w:bCs w:val="1"/>
                <w:color w:val="auto"/>
              </w:rPr>
              <w:t>Board/committee</w:t>
            </w: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88"/>
        </w:trPr>
        <w:tc>
          <w:tcPr>
            <w:tcW w:w="25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membership</w:t>
            </w:r>
          </w:p>
        </w:tc>
        <w:tc>
          <w:tcPr>
            <w:tcW w:w="1880" w:type="dxa"/>
            <w:vAlign w:val="bottom"/>
            <w:tcBorders>
              <w:bottom w:val="single" w:sz="8" w:color="AFAFAF"/>
            </w:tcBorders>
            <w:gridSpan w:val="2"/>
          </w:tcPr>
          <w:p>
            <w:pPr>
              <w:ind w:left="620"/>
              <w:spacing w:after="0"/>
              <w:rPr>
                <w:sz w:val="20"/>
                <w:szCs w:val="20"/>
                <w:color w:val="auto"/>
              </w:rPr>
            </w:pPr>
            <w:r>
              <w:rPr>
                <w:rFonts w:ascii="Arial" w:cs="Arial" w:eastAsia="Arial" w:hAnsi="Arial"/>
                <w:sz w:val="14"/>
                <w:szCs w:val="14"/>
                <w:b w:val="1"/>
                <w:bCs w:val="1"/>
                <w:color w:val="auto"/>
              </w:rPr>
              <w:t>2018 attendance</w:t>
            </w:r>
          </w:p>
        </w:tc>
        <w:tc>
          <w:tcPr>
            <w:tcW w:w="4060" w:type="dxa"/>
            <w:vAlign w:val="bottom"/>
            <w:tcBorders>
              <w:bottom w:val="single" w:sz="8" w:color="AFAFAF"/>
            </w:tcBorders>
          </w:tcPr>
          <w:p>
            <w:pPr>
              <w:ind w:left="16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160"/>
        </w:trPr>
        <w:tc>
          <w:tcPr>
            <w:tcW w:w="2580" w:type="dxa"/>
            <w:vAlign w:val="bottom"/>
          </w:tcPr>
          <w:p>
            <w:pPr>
              <w:ind w:left="60"/>
              <w:spacing w:after="0" w:line="160" w:lineRule="exact"/>
              <w:rPr>
                <w:sz w:val="20"/>
                <w:szCs w:val="20"/>
                <w:color w:val="auto"/>
              </w:rPr>
            </w:pPr>
            <w:r>
              <w:rPr>
                <w:rFonts w:ascii="Arial" w:cs="Arial" w:eastAsia="Arial" w:hAnsi="Arial"/>
                <w:sz w:val="14"/>
                <w:szCs w:val="14"/>
                <w:color w:val="auto"/>
              </w:rPr>
              <w:t>Board</w:t>
            </w:r>
          </w:p>
        </w:tc>
        <w:tc>
          <w:tcPr>
            <w:tcW w:w="1180" w:type="dxa"/>
            <w:vAlign w:val="bottom"/>
          </w:tcPr>
          <w:p>
            <w:pPr>
              <w:ind w:left="620"/>
              <w:spacing w:after="0" w:line="160" w:lineRule="exact"/>
              <w:rPr>
                <w:sz w:val="20"/>
                <w:szCs w:val="20"/>
                <w:color w:val="auto"/>
              </w:rPr>
            </w:pPr>
            <w:r>
              <w:rPr>
                <w:rFonts w:ascii="Arial" w:cs="Arial" w:eastAsia="Arial" w:hAnsi="Arial"/>
                <w:sz w:val="14"/>
                <w:szCs w:val="14"/>
                <w:color w:val="auto"/>
              </w:rPr>
              <w:t>15 of 15</w:t>
            </w:r>
          </w:p>
        </w:tc>
        <w:tc>
          <w:tcPr>
            <w:tcW w:w="700" w:type="dxa"/>
            <w:vAlign w:val="bottom"/>
          </w:tcPr>
          <w:p>
            <w:pPr>
              <w:jc w:val="right"/>
              <w:ind w:right="208"/>
              <w:spacing w:after="0" w:line="160" w:lineRule="exact"/>
              <w:rPr>
                <w:sz w:val="20"/>
                <w:szCs w:val="20"/>
                <w:color w:val="auto"/>
              </w:rPr>
            </w:pPr>
            <w:r>
              <w:rPr>
                <w:rFonts w:ascii="Arial" w:cs="Arial" w:eastAsia="Arial" w:hAnsi="Arial"/>
                <w:sz w:val="14"/>
                <w:szCs w:val="14"/>
                <w:color w:val="auto"/>
              </w:rPr>
              <w:t>100%</w:t>
            </w:r>
          </w:p>
        </w:tc>
        <w:tc>
          <w:tcPr>
            <w:tcW w:w="4060" w:type="dxa"/>
            <w:vAlign w:val="bottom"/>
          </w:tcPr>
          <w:p>
            <w:pPr>
              <w:ind w:left="1360"/>
              <w:spacing w:after="0" w:line="160" w:lineRule="exact"/>
              <w:rPr>
                <w:sz w:val="20"/>
                <w:szCs w:val="20"/>
                <w:color w:val="auto"/>
              </w:rPr>
            </w:pPr>
            <w:r>
              <w:rPr>
                <w:rFonts w:ascii="Arial" w:cs="Arial" w:eastAsia="Arial" w:hAnsi="Arial"/>
                <w:sz w:val="14"/>
                <w:szCs w:val="14"/>
                <w:color w:val="auto"/>
              </w:rPr>
              <w:t>–</w:t>
            </w:r>
          </w:p>
        </w:tc>
      </w:tr>
      <w:tr>
        <w:trPr>
          <w:trHeight w:val="162"/>
        </w:trPr>
        <w:tc>
          <w:tcPr>
            <w:tcW w:w="2580" w:type="dxa"/>
            <w:vAlign w:val="bottom"/>
          </w:tcPr>
          <w:p>
            <w:pPr>
              <w:ind w:left="60"/>
              <w:spacing w:after="0"/>
              <w:rPr>
                <w:sz w:val="20"/>
                <w:szCs w:val="20"/>
                <w:color w:val="auto"/>
              </w:rPr>
            </w:pPr>
            <w:r>
              <w:rPr>
                <w:rFonts w:ascii="Arial" w:cs="Arial" w:eastAsia="Arial" w:hAnsi="Arial"/>
                <w:sz w:val="14"/>
                <w:szCs w:val="14"/>
                <w:color w:val="auto"/>
              </w:rPr>
              <w:t>Audit Committee</w:t>
            </w:r>
          </w:p>
        </w:tc>
        <w:tc>
          <w:tcPr>
            <w:tcW w:w="1180" w:type="dxa"/>
            <w:vAlign w:val="bottom"/>
          </w:tcPr>
          <w:p>
            <w:pPr>
              <w:ind w:left="620"/>
              <w:spacing w:after="0"/>
              <w:rPr>
                <w:sz w:val="20"/>
                <w:szCs w:val="20"/>
                <w:color w:val="auto"/>
              </w:rPr>
            </w:pPr>
            <w:r>
              <w:rPr>
                <w:rFonts w:ascii="Arial" w:cs="Arial" w:eastAsia="Arial" w:hAnsi="Arial"/>
                <w:sz w:val="14"/>
                <w:szCs w:val="14"/>
                <w:color w:val="auto"/>
              </w:rPr>
              <w:t>8 of 8</w:t>
            </w: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100%</w:t>
            </w:r>
          </w:p>
        </w:tc>
        <w:tc>
          <w:tcPr>
            <w:tcW w:w="4060" w:type="dxa"/>
            <w:vAlign w:val="bottom"/>
          </w:tcPr>
          <w:p>
            <w:pPr>
              <w:spacing w:after="0"/>
              <w:rPr>
                <w:sz w:val="14"/>
                <w:szCs w:val="14"/>
                <w:color w:val="auto"/>
              </w:rPr>
            </w:pPr>
          </w:p>
        </w:tc>
      </w:tr>
      <w:tr>
        <w:trPr>
          <w:trHeight w:val="162"/>
        </w:trPr>
        <w:tc>
          <w:tcPr>
            <w:tcW w:w="2580" w:type="dxa"/>
            <w:vAlign w:val="bottom"/>
          </w:tcPr>
          <w:p>
            <w:pPr>
              <w:ind w:left="60"/>
              <w:spacing w:after="0"/>
              <w:rPr>
                <w:sz w:val="20"/>
                <w:szCs w:val="20"/>
                <w:color w:val="auto"/>
              </w:rPr>
            </w:pPr>
            <w:r>
              <w:rPr>
                <w:rFonts w:ascii="Arial" w:cs="Arial" w:eastAsia="Arial" w:hAnsi="Arial"/>
                <w:sz w:val="14"/>
                <w:szCs w:val="14"/>
                <w:color w:val="auto"/>
              </w:rPr>
              <w:t>Corp. Governance Committee</w:t>
            </w:r>
          </w:p>
        </w:tc>
        <w:tc>
          <w:tcPr>
            <w:tcW w:w="1180" w:type="dxa"/>
            <w:vAlign w:val="bottom"/>
          </w:tcPr>
          <w:p>
            <w:pPr>
              <w:ind w:left="620"/>
              <w:spacing w:after="0"/>
              <w:rPr>
                <w:sz w:val="20"/>
                <w:szCs w:val="20"/>
                <w:color w:val="auto"/>
              </w:rPr>
            </w:pPr>
            <w:r>
              <w:rPr>
                <w:rFonts w:ascii="Arial" w:cs="Arial" w:eastAsia="Arial" w:hAnsi="Arial"/>
                <w:sz w:val="14"/>
                <w:szCs w:val="14"/>
                <w:color w:val="auto"/>
              </w:rPr>
              <w:t>5 of 5</w:t>
            </w: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100%</w:t>
            </w:r>
          </w:p>
        </w:tc>
        <w:tc>
          <w:tcPr>
            <w:tcW w:w="4060" w:type="dxa"/>
            <w:vAlign w:val="bottom"/>
          </w:tcPr>
          <w:p>
            <w:pPr>
              <w:spacing w:after="0"/>
              <w:rPr>
                <w:sz w:val="14"/>
                <w:szCs w:val="14"/>
                <w:color w:val="auto"/>
              </w:rPr>
            </w:pPr>
          </w:p>
        </w:tc>
      </w:tr>
      <w:tr>
        <w:trPr>
          <w:trHeight w:val="161"/>
        </w:trPr>
        <w:tc>
          <w:tcPr>
            <w:tcW w:w="2580" w:type="dxa"/>
            <w:vAlign w:val="bottom"/>
          </w:tcPr>
          <w:p>
            <w:pPr>
              <w:ind w:left="60"/>
              <w:spacing w:after="0"/>
              <w:rPr>
                <w:sz w:val="20"/>
                <w:szCs w:val="20"/>
                <w:color w:val="auto"/>
              </w:rPr>
            </w:pPr>
            <w:r>
              <w:rPr>
                <w:rFonts w:ascii="Arial" w:cs="Arial" w:eastAsia="Arial" w:hAnsi="Arial"/>
                <w:sz w:val="14"/>
                <w:szCs w:val="14"/>
                <w:color w:val="auto"/>
              </w:rPr>
              <w:t>Risk Committee</w:t>
            </w:r>
          </w:p>
        </w:tc>
        <w:tc>
          <w:tcPr>
            <w:tcW w:w="1180" w:type="dxa"/>
            <w:vAlign w:val="bottom"/>
          </w:tcPr>
          <w:p>
            <w:pPr>
              <w:ind w:left="620"/>
              <w:spacing w:after="0"/>
              <w:rPr>
                <w:sz w:val="20"/>
                <w:szCs w:val="20"/>
                <w:color w:val="auto"/>
              </w:rPr>
            </w:pPr>
            <w:r>
              <w:rPr>
                <w:rFonts w:ascii="Arial" w:cs="Arial" w:eastAsia="Arial" w:hAnsi="Arial"/>
                <w:sz w:val="14"/>
                <w:szCs w:val="14"/>
                <w:color w:val="auto"/>
              </w:rPr>
              <w:t>1 of 1</w:t>
            </w: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100%</w:t>
            </w:r>
          </w:p>
        </w:tc>
        <w:tc>
          <w:tcPr>
            <w:tcW w:w="4060" w:type="dxa"/>
            <w:vAlign w:val="bottom"/>
          </w:tcPr>
          <w:p>
            <w:pPr>
              <w:spacing w:after="0"/>
              <w:rPr>
                <w:sz w:val="14"/>
                <w:szCs w:val="14"/>
                <w:color w:val="auto"/>
              </w:rPr>
            </w:pPr>
          </w:p>
        </w:tc>
      </w:tr>
      <w:tr>
        <w:trPr>
          <w:trHeight w:val="172"/>
        </w:trPr>
        <w:tc>
          <w:tcPr>
            <w:tcW w:w="2580" w:type="dxa"/>
            <w:vAlign w:val="bottom"/>
          </w:tcPr>
          <w:p>
            <w:pPr>
              <w:ind w:left="60"/>
              <w:spacing w:after="0"/>
              <w:rPr>
                <w:sz w:val="20"/>
                <w:szCs w:val="20"/>
                <w:color w:val="auto"/>
              </w:rPr>
            </w:pPr>
            <w:r>
              <w:rPr>
                <w:rFonts w:ascii="Arial" w:cs="Arial" w:eastAsia="Arial" w:hAnsi="Arial"/>
                <w:sz w:val="14"/>
                <w:szCs w:val="14"/>
                <w:color w:val="auto"/>
              </w:rPr>
              <w:t>Special Committee</w:t>
            </w:r>
          </w:p>
        </w:tc>
        <w:tc>
          <w:tcPr>
            <w:tcW w:w="1180" w:type="dxa"/>
            <w:vAlign w:val="bottom"/>
          </w:tcPr>
          <w:p>
            <w:pPr>
              <w:ind w:left="620"/>
              <w:spacing w:after="0"/>
              <w:rPr>
                <w:sz w:val="20"/>
                <w:szCs w:val="20"/>
                <w:color w:val="auto"/>
              </w:rPr>
            </w:pPr>
            <w:r>
              <w:rPr>
                <w:rFonts w:ascii="Arial" w:cs="Arial" w:eastAsia="Arial" w:hAnsi="Arial"/>
                <w:sz w:val="14"/>
                <w:szCs w:val="14"/>
                <w:color w:val="auto"/>
              </w:rPr>
              <w:t>3 of 3</w:t>
            </w: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100%</w:t>
            </w:r>
          </w:p>
        </w:tc>
        <w:tc>
          <w:tcPr>
            <w:tcW w:w="4060" w:type="dxa"/>
            <w:vAlign w:val="bottom"/>
          </w:tcPr>
          <w:p>
            <w:pPr>
              <w:spacing w:after="0"/>
              <w:rPr>
                <w:sz w:val="14"/>
                <w:szCs w:val="14"/>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20" w:type="dxa"/>
            <w:vAlign w:val="bottom"/>
            <w:tcBorders>
              <w:top w:val="single" w:sz="8" w:color="AFAFAF"/>
              <w:bottom w:val="single" w:sz="8" w:color="AFAFAF"/>
            </w:tcBorders>
          </w:tcPr>
          <w:p>
            <w:pPr>
              <w:ind w:left="60"/>
              <w:spacing w:after="0"/>
              <w:rPr>
                <w:sz w:val="20"/>
                <w:szCs w:val="20"/>
                <w:color w:val="auto"/>
              </w:rPr>
            </w:pPr>
            <w:r>
              <w:rPr>
                <w:rFonts w:ascii="Arial" w:cs="Arial" w:eastAsia="Arial" w:hAnsi="Arial"/>
                <w:sz w:val="14"/>
                <w:szCs w:val="14"/>
                <w:b w:val="1"/>
                <w:bCs w:val="1"/>
                <w:color w:val="auto"/>
              </w:rPr>
              <w:t>Total</w:t>
            </w:r>
          </w:p>
        </w:tc>
        <w:tc>
          <w:tcPr>
            <w:tcW w:w="1360" w:type="dxa"/>
            <w:vAlign w:val="bottom"/>
            <w:tcBorders>
              <w:top w:val="single" w:sz="8" w:color="AFAFAF"/>
              <w:bottom w:val="single" w:sz="8" w:color="AFAFAF"/>
            </w:tcBorders>
          </w:tcPr>
          <w:p>
            <w:pPr>
              <w:jc w:val="center"/>
              <w:ind w:left="648"/>
              <w:spacing w:after="0"/>
              <w:rPr>
                <w:sz w:val="20"/>
                <w:szCs w:val="20"/>
                <w:color w:val="auto"/>
              </w:rPr>
            </w:pPr>
            <w:r>
              <w:rPr>
                <w:rFonts w:ascii="Arial" w:cs="Arial" w:eastAsia="Arial" w:hAnsi="Arial"/>
                <w:sz w:val="14"/>
                <w:szCs w:val="14"/>
                <w:b w:val="1"/>
                <w:bCs w:val="1"/>
                <w:color w:val="auto"/>
                <w:w w:val="99"/>
              </w:rPr>
              <w:t>32 of 32</w:t>
            </w:r>
          </w:p>
        </w:tc>
        <w:tc>
          <w:tcPr>
            <w:tcW w:w="800" w:type="dxa"/>
            <w:vAlign w:val="bottom"/>
            <w:tcBorders>
              <w:top w:val="single" w:sz="8" w:color="AFAFAF"/>
              <w:bottom w:val="single" w:sz="8" w:color="AFAFAF"/>
            </w:tcBorders>
          </w:tcPr>
          <w:p>
            <w:pPr>
              <w:ind w:left="40"/>
              <w:spacing w:after="0"/>
              <w:rPr>
                <w:sz w:val="20"/>
                <w:szCs w:val="20"/>
                <w:color w:val="auto"/>
              </w:rPr>
            </w:pPr>
            <w:r>
              <w:rPr>
                <w:rFonts w:ascii="Arial" w:cs="Arial" w:eastAsia="Arial" w:hAnsi="Arial"/>
                <w:sz w:val="14"/>
                <w:szCs w:val="14"/>
                <w:b w:val="1"/>
                <w:bCs w:val="1"/>
                <w:color w:val="auto"/>
              </w:rPr>
              <w:t>100%</w:t>
            </w:r>
          </w:p>
        </w:tc>
        <w:tc>
          <w:tcPr>
            <w:tcW w:w="660" w:type="dxa"/>
            <w:vAlign w:val="bottom"/>
            <w:tcBorders>
              <w:top w:val="single" w:sz="8" w:color="AFAFAF"/>
              <w:bottom w:val="single" w:sz="8" w:color="AFAFAF"/>
            </w:tcBorders>
          </w:tcPr>
          <w:p>
            <w:pPr>
              <w:spacing w:after="0"/>
              <w:rPr>
                <w:sz w:val="15"/>
                <w:szCs w:val="15"/>
                <w:color w:val="auto"/>
              </w:rPr>
            </w:pPr>
          </w:p>
        </w:tc>
        <w:tc>
          <w:tcPr>
            <w:tcW w:w="980" w:type="dxa"/>
            <w:vAlign w:val="bottom"/>
            <w:tcBorders>
              <w:top w:val="single" w:sz="8" w:color="AFAFAF"/>
              <w:bottom w:val="single" w:sz="8" w:color="AFAFAF"/>
            </w:tcBorders>
          </w:tcPr>
          <w:p>
            <w:pPr>
              <w:spacing w:after="0"/>
              <w:rPr>
                <w:sz w:val="15"/>
                <w:szCs w:val="15"/>
                <w:color w:val="auto"/>
              </w:rPr>
            </w:pPr>
          </w:p>
        </w:tc>
        <w:tc>
          <w:tcPr>
            <w:tcW w:w="920" w:type="dxa"/>
            <w:vAlign w:val="bottom"/>
            <w:tcBorders>
              <w:top w:val="single" w:sz="8" w:color="AFAFAF"/>
              <w:bottom w:val="single" w:sz="8" w:color="AFAFAF"/>
            </w:tcBorders>
          </w:tcPr>
          <w:p>
            <w:pPr>
              <w:spacing w:after="0"/>
              <w:rPr>
                <w:sz w:val="15"/>
                <w:szCs w:val="15"/>
                <w:color w:val="auto"/>
              </w:rPr>
            </w:pPr>
          </w:p>
        </w:tc>
        <w:tc>
          <w:tcPr>
            <w:tcW w:w="1380" w:type="dxa"/>
            <w:vAlign w:val="bottom"/>
            <w:tcBorders>
              <w:top w:val="single" w:sz="8" w:color="AFAFAF"/>
              <w:bottom w:val="single" w:sz="8" w:color="AFAFAF"/>
            </w:tcBorders>
          </w:tcPr>
          <w:p>
            <w:pPr>
              <w:spacing w:after="0"/>
              <w:rPr>
                <w:sz w:val="15"/>
                <w:szCs w:val="15"/>
                <w:color w:val="auto"/>
              </w:rPr>
            </w:pPr>
          </w:p>
        </w:tc>
      </w:tr>
      <w:tr>
        <w:trPr>
          <w:trHeight w:val="142"/>
        </w:trPr>
        <w:tc>
          <w:tcPr>
            <w:tcW w:w="24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Securities held</w:t>
            </w: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Total shares</w:t>
            </w:r>
          </w:p>
        </w:tc>
        <w:tc>
          <w:tcPr>
            <w:tcW w:w="9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Ownership multiple</w:t>
            </w:r>
          </w:p>
        </w:tc>
      </w:tr>
      <w:tr>
        <w:trPr>
          <w:trHeight w:val="188"/>
        </w:trPr>
        <w:tc>
          <w:tcPr>
            <w:tcW w:w="242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(number and value)</w:t>
            </w:r>
          </w:p>
        </w:tc>
        <w:tc>
          <w:tcPr>
            <w:tcW w:w="1360" w:type="dxa"/>
            <w:vAlign w:val="bottom"/>
            <w:tcBorders>
              <w:bottom w:val="single" w:sz="8" w:color="AFAFAF"/>
            </w:tcBorders>
          </w:tcPr>
          <w:p>
            <w:pPr>
              <w:spacing w:after="0"/>
              <w:rPr>
                <w:sz w:val="16"/>
                <w:szCs w:val="16"/>
                <w:color w:val="auto"/>
              </w:rPr>
            </w:pPr>
          </w:p>
        </w:tc>
        <w:tc>
          <w:tcPr>
            <w:tcW w:w="800" w:type="dxa"/>
            <w:vAlign w:val="bottom"/>
            <w:tcBorders>
              <w:bottom w:val="single" w:sz="8" w:color="AFAFAF"/>
            </w:tcBorders>
          </w:tcPr>
          <w:p>
            <w:pPr>
              <w:spacing w:after="0"/>
              <w:rPr>
                <w:sz w:val="16"/>
                <w:szCs w:val="16"/>
                <w:color w:val="auto"/>
              </w:rPr>
            </w:pPr>
          </w:p>
        </w:tc>
        <w:tc>
          <w:tcPr>
            <w:tcW w:w="660" w:type="dxa"/>
            <w:vAlign w:val="bottom"/>
            <w:tcBorders>
              <w:bottom w:val="single" w:sz="8" w:color="AFAFAF"/>
            </w:tcBorders>
          </w:tcPr>
          <w:p>
            <w:pPr>
              <w:spacing w:after="0"/>
              <w:rPr>
                <w:sz w:val="16"/>
                <w:szCs w:val="16"/>
                <w:color w:val="auto"/>
              </w:rPr>
            </w:pPr>
          </w:p>
        </w:tc>
        <w:tc>
          <w:tcPr>
            <w:tcW w:w="980" w:type="dxa"/>
            <w:vAlign w:val="bottom"/>
            <w:tcBorders>
              <w:bottom w:val="single" w:sz="8" w:color="AFAFAF"/>
            </w:tcBorders>
          </w:tcPr>
          <w:p>
            <w:pPr>
              <w:ind w:left="100"/>
              <w:spacing w:after="0"/>
              <w:rPr>
                <w:sz w:val="20"/>
                <w:szCs w:val="20"/>
                <w:color w:val="auto"/>
              </w:rPr>
            </w:pPr>
            <w:r>
              <w:rPr>
                <w:rFonts w:ascii="Arial" w:cs="Arial" w:eastAsia="Arial" w:hAnsi="Arial"/>
                <w:sz w:val="14"/>
                <w:szCs w:val="14"/>
                <w:b w:val="1"/>
                <w:bCs w:val="1"/>
                <w:color w:val="auto"/>
              </w:rPr>
              <w:t>and DSUs</w:t>
            </w:r>
          </w:p>
        </w:tc>
        <w:tc>
          <w:tcPr>
            <w:tcW w:w="92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160"/>
        </w:trPr>
        <w:tc>
          <w:tcPr>
            <w:tcW w:w="2420" w:type="dxa"/>
            <w:vAlign w:val="bottom"/>
          </w:tcPr>
          <w:p>
            <w:pPr>
              <w:ind w:left="60"/>
              <w:spacing w:after="0" w:line="160" w:lineRule="exact"/>
              <w:rPr>
                <w:sz w:val="20"/>
                <w:szCs w:val="20"/>
                <w:color w:val="auto"/>
              </w:rPr>
            </w:pPr>
            <w:r>
              <w:rPr>
                <w:rFonts w:ascii="Arial" w:cs="Arial" w:eastAsia="Arial" w:hAnsi="Arial"/>
                <w:sz w:val="14"/>
                <w:szCs w:val="14"/>
                <w:color w:val="auto"/>
              </w:rPr>
              <w:t>Common shares</w:t>
            </w:r>
          </w:p>
        </w:tc>
        <w:tc>
          <w:tcPr>
            <w:tcW w:w="1360" w:type="dxa"/>
            <w:vAlign w:val="bottom"/>
          </w:tcPr>
          <w:p>
            <w:pPr>
              <w:ind w:left="780"/>
              <w:spacing w:after="0" w:line="160" w:lineRule="exact"/>
              <w:rPr>
                <w:sz w:val="20"/>
                <w:szCs w:val="20"/>
                <w:color w:val="auto"/>
              </w:rPr>
            </w:pPr>
            <w:r>
              <w:rPr>
                <w:rFonts w:ascii="Arial" w:cs="Arial" w:eastAsia="Arial" w:hAnsi="Arial"/>
                <w:sz w:val="14"/>
                <w:szCs w:val="14"/>
                <w:color w:val="auto"/>
              </w:rPr>
              <w:t>RSUs</w:t>
            </w:r>
          </w:p>
        </w:tc>
        <w:tc>
          <w:tcPr>
            <w:tcW w:w="800" w:type="dxa"/>
            <w:vAlign w:val="bottom"/>
          </w:tcPr>
          <w:p>
            <w:pPr>
              <w:ind w:left="40"/>
              <w:spacing w:after="0" w:line="160" w:lineRule="exact"/>
              <w:rPr>
                <w:sz w:val="20"/>
                <w:szCs w:val="20"/>
                <w:color w:val="auto"/>
              </w:rPr>
            </w:pPr>
            <w:r>
              <w:rPr>
                <w:rFonts w:ascii="Arial" w:cs="Arial" w:eastAsia="Arial" w:hAnsi="Arial"/>
                <w:sz w:val="14"/>
                <w:szCs w:val="14"/>
                <w:color w:val="auto"/>
              </w:rPr>
              <w:t>DSUs</w:t>
            </w:r>
          </w:p>
        </w:tc>
        <w:tc>
          <w:tcPr>
            <w:tcW w:w="660" w:type="dxa"/>
            <w:vAlign w:val="bottom"/>
          </w:tcPr>
          <w:p>
            <w:pPr>
              <w:ind w:left="40"/>
              <w:spacing w:after="0" w:line="160" w:lineRule="exact"/>
              <w:rPr>
                <w:sz w:val="20"/>
                <w:szCs w:val="20"/>
                <w:color w:val="auto"/>
              </w:rPr>
            </w:pPr>
            <w:r>
              <w:rPr>
                <w:rFonts w:ascii="Arial" w:cs="Arial" w:eastAsia="Arial" w:hAnsi="Arial"/>
                <w:sz w:val="14"/>
                <w:szCs w:val="14"/>
                <w:color w:val="auto"/>
              </w:rPr>
              <w:t>Options</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70"/>
        </w:trPr>
        <w:tc>
          <w:tcPr>
            <w:tcW w:w="2420" w:type="dxa"/>
            <w:vAlign w:val="bottom"/>
            <w:tcBorders>
              <w:bottom w:val="single" w:sz="8" w:color="AFAFAF"/>
            </w:tcBorders>
          </w:tcPr>
          <w:p>
            <w:pPr>
              <w:ind w:left="15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FAFAF"/>
            </w:tcBorders>
          </w:tcPr>
          <w:p>
            <w:pPr>
              <w:jc w:val="center"/>
              <w:ind w:left="6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18,709</w:t>
            </w:r>
          </w:p>
        </w:tc>
        <w:tc>
          <w:tcPr>
            <w:tcW w:w="660" w:type="dxa"/>
            <w:vAlign w:val="bottom"/>
            <w:tcBorders>
              <w:bottom w:val="single" w:sz="8" w:color="AFAFAF"/>
            </w:tcBorders>
          </w:tcPr>
          <w:p>
            <w:pPr>
              <w:ind w:left="3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FAFAF"/>
            </w:tcBorders>
          </w:tcPr>
          <w:p>
            <w:pPr>
              <w:ind w:left="100"/>
              <w:spacing w:after="0"/>
              <w:rPr>
                <w:sz w:val="20"/>
                <w:szCs w:val="20"/>
                <w:color w:val="auto"/>
              </w:rPr>
            </w:pPr>
            <w:r>
              <w:rPr>
                <w:rFonts w:ascii="Arial" w:cs="Arial" w:eastAsia="Arial" w:hAnsi="Arial"/>
                <w:sz w:val="14"/>
                <w:szCs w:val="14"/>
                <w:color w:val="auto"/>
              </w:rPr>
              <w:t>18,709</w:t>
            </w:r>
          </w:p>
        </w:tc>
        <w:tc>
          <w:tcPr>
            <w:tcW w:w="920" w:type="dxa"/>
            <w:vAlign w:val="bottom"/>
            <w:tcBorders>
              <w:bottom w:val="single" w:sz="8" w:color="AFAFAF"/>
            </w:tcBorders>
          </w:tcPr>
          <w:p>
            <w:pPr>
              <w:spacing w:after="0"/>
              <w:rPr>
                <w:sz w:val="14"/>
                <w:szCs w:val="14"/>
                <w:color w:val="auto"/>
              </w:rPr>
            </w:pPr>
          </w:p>
        </w:tc>
        <w:tc>
          <w:tcPr>
            <w:tcW w:w="1380" w:type="dxa"/>
            <w:vAlign w:val="bottom"/>
            <w:tcBorders>
              <w:bottom w:val="single" w:sz="8" w:color="AFAFAF"/>
            </w:tcBorders>
          </w:tcPr>
          <w:p>
            <w:pPr>
              <w:spacing w:after="0"/>
              <w:rPr>
                <w:sz w:val="14"/>
                <w:szCs w:val="14"/>
                <w:color w:val="auto"/>
              </w:rPr>
            </w:pPr>
          </w:p>
        </w:tc>
      </w:tr>
      <w:tr>
        <w:trPr>
          <w:trHeight w:val="179"/>
        </w:trPr>
        <w:tc>
          <w:tcPr>
            <w:tcW w:w="2420" w:type="dxa"/>
            <w:vAlign w:val="bottom"/>
          </w:tcPr>
          <w:p>
            <w:pPr>
              <w:ind w:left="1540"/>
              <w:spacing w:after="0"/>
              <w:rPr>
                <w:sz w:val="20"/>
                <w:szCs w:val="20"/>
                <w:color w:val="auto"/>
              </w:rPr>
            </w:pPr>
            <w:r>
              <w:rPr>
                <w:rFonts w:ascii="Arial" w:cs="Arial" w:eastAsia="Arial" w:hAnsi="Arial"/>
                <w:sz w:val="14"/>
                <w:szCs w:val="14"/>
                <w:i w:val="1"/>
                <w:iCs w:val="1"/>
                <w:color w:val="auto"/>
              </w:rPr>
              <w:t>–</w:t>
            </w:r>
          </w:p>
        </w:tc>
        <w:tc>
          <w:tcPr>
            <w:tcW w:w="1360" w:type="dxa"/>
            <w:vAlign w:val="bottom"/>
          </w:tcPr>
          <w:p>
            <w:pPr>
              <w:jc w:val="center"/>
              <w:ind w:left="648"/>
              <w:spacing w:after="0"/>
              <w:rPr>
                <w:sz w:val="20"/>
                <w:szCs w:val="20"/>
                <w:color w:val="auto"/>
              </w:rPr>
            </w:pPr>
            <w:r>
              <w:rPr>
                <w:rFonts w:ascii="Arial" w:cs="Arial" w:eastAsia="Arial" w:hAnsi="Arial"/>
                <w:sz w:val="14"/>
                <w:szCs w:val="14"/>
                <w:i w:val="1"/>
                <w:iCs w:val="1"/>
                <w:color w:val="auto"/>
              </w:rPr>
              <w:t>–</w:t>
            </w:r>
          </w:p>
        </w:tc>
        <w:tc>
          <w:tcPr>
            <w:tcW w:w="80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1,104,392</w:t>
            </w:r>
          </w:p>
        </w:tc>
        <w:tc>
          <w:tcPr>
            <w:tcW w:w="66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1,104,392</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5.5x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-14605</wp:posOffset>
            </wp:positionV>
            <wp:extent cx="6973570" cy="23844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73570" cy="23844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260"/>
            <w:col w:w="8520"/>
          </w:cols>
          <w:pgMar w:left="240" w:top="45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Peter J. Thomson</w:t>
      </w:r>
      <w:r>
        <w:rPr>
          <w:rFonts w:ascii="Arial" w:cs="Arial" w:eastAsia="Arial" w:hAnsi="Arial"/>
          <w:sz w:val="11"/>
          <w:szCs w:val="11"/>
          <w:b w:val="1"/>
          <w:bCs w:val="1"/>
          <w:color w:val="auto"/>
        </w:rPr>
        <w:t>1</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Age: 53</w:t>
      </w:r>
    </w:p>
    <w:p>
      <w:pPr>
        <w:spacing w:after="0" w:line="66" w:lineRule="exact"/>
        <w:rPr>
          <w:sz w:val="20"/>
          <w:szCs w:val="20"/>
          <w:color w:val="auto"/>
        </w:rPr>
      </w:pPr>
    </w:p>
    <w:p>
      <w:pPr>
        <w:ind w:left="320" w:right="540"/>
        <w:spacing w:after="0" w:line="345" w:lineRule="auto"/>
        <w:rPr>
          <w:sz w:val="20"/>
          <w:szCs w:val="20"/>
          <w:color w:val="auto"/>
        </w:rPr>
      </w:pPr>
      <w:r>
        <w:rPr>
          <w:rFonts w:ascii="Arial" w:cs="Arial" w:eastAsia="Arial" w:hAnsi="Arial"/>
          <w:sz w:val="13"/>
          <w:szCs w:val="13"/>
          <w:color w:val="auto"/>
        </w:rPr>
        <w:t>Toronto, Ontario, Canada Director since 1995 Non-independent</w:t>
      </w:r>
    </w:p>
    <w:p>
      <w:pPr>
        <w:spacing w:after="0" w:line="1" w:lineRule="exact"/>
        <w:rPr>
          <w:sz w:val="20"/>
          <w:szCs w:val="20"/>
          <w:color w:val="auto"/>
        </w:rPr>
      </w:pPr>
    </w:p>
    <w:p>
      <w:pPr>
        <w:ind w:left="320"/>
        <w:spacing w:after="0" w:line="247" w:lineRule="auto"/>
        <w:rPr>
          <w:sz w:val="20"/>
          <w:szCs w:val="20"/>
          <w:color w:val="auto"/>
        </w:rPr>
      </w:pPr>
      <w:r>
        <w:rPr>
          <w:rFonts w:ascii="Arial" w:cs="Arial" w:eastAsia="Arial" w:hAnsi="Arial"/>
          <w:sz w:val="13"/>
          <w:szCs w:val="13"/>
          <w:color w:val="auto"/>
        </w:rPr>
        <w:t>Primary areas of expertise: investment management, science, technology</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2018 votes for: 98.97%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Peter J. Thomson</w:t>
      </w:r>
    </w:p>
    <w:p>
      <w:pPr>
        <w:spacing w:after="0" w:line="63" w:lineRule="exact"/>
        <w:rPr>
          <w:sz w:val="20"/>
          <w:szCs w:val="20"/>
          <w:color w:val="auto"/>
        </w:rPr>
      </w:pPr>
    </w:p>
    <w:p>
      <w:pPr>
        <w:ind w:left="40" w:right="160"/>
        <w:spacing w:after="0" w:line="256" w:lineRule="auto"/>
        <w:rPr>
          <w:sz w:val="20"/>
          <w:szCs w:val="20"/>
          <w:color w:val="auto"/>
        </w:rPr>
      </w:pPr>
      <w:r>
        <w:rPr>
          <w:rFonts w:ascii="Arial" w:cs="Arial" w:eastAsia="Arial" w:hAnsi="Arial"/>
          <w:sz w:val="14"/>
          <w:szCs w:val="14"/>
          <w:color w:val="auto"/>
        </w:rPr>
        <w:t>Peter J. Thomson is a Chairman of Woodbridge, the Thomson family investment company. Mr. Thomson is an active private equity investor and serves on the boards of several private companies. He has a BA from the University of Western Ontario.</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Board/committee</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8"/>
        </w:trPr>
        <w:tc>
          <w:tcPr>
            <w:tcW w:w="242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membership</w:t>
            </w:r>
          </w:p>
        </w:tc>
        <w:tc>
          <w:tcPr>
            <w:tcW w:w="2060" w:type="dxa"/>
            <w:vAlign w:val="bottom"/>
            <w:tcBorders>
              <w:bottom w:val="single" w:sz="8" w:color="AFAFAF"/>
            </w:tcBorders>
            <w:gridSpan w:val="2"/>
          </w:tcPr>
          <w:p>
            <w:pPr>
              <w:ind w:left="800"/>
              <w:spacing w:after="0"/>
              <w:rPr>
                <w:sz w:val="20"/>
                <w:szCs w:val="20"/>
                <w:color w:val="auto"/>
              </w:rPr>
            </w:pPr>
            <w:r>
              <w:rPr>
                <w:rFonts w:ascii="Arial" w:cs="Arial" w:eastAsia="Arial" w:hAnsi="Arial"/>
                <w:sz w:val="14"/>
                <w:szCs w:val="14"/>
                <w:b w:val="1"/>
                <w:bCs w:val="1"/>
                <w:color w:val="auto"/>
              </w:rPr>
              <w:t>2018 attendance</w:t>
            </w:r>
          </w:p>
        </w:tc>
        <w:tc>
          <w:tcPr>
            <w:tcW w:w="3980" w:type="dxa"/>
            <w:vAlign w:val="bottom"/>
            <w:tcBorders>
              <w:bottom w:val="single" w:sz="8" w:color="AFAFAF"/>
            </w:tcBorders>
            <w:gridSpan w:val="4"/>
          </w:tcPr>
          <w:p>
            <w:pPr>
              <w:ind w:left="4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197"/>
        </w:trPr>
        <w:tc>
          <w:tcPr>
            <w:tcW w:w="2420" w:type="dxa"/>
            <w:vAlign w:val="bottom"/>
          </w:tcPr>
          <w:p>
            <w:pPr>
              <w:ind w:left="40"/>
              <w:spacing w:after="0"/>
              <w:rPr>
                <w:sz w:val="20"/>
                <w:szCs w:val="20"/>
                <w:color w:val="auto"/>
              </w:rPr>
            </w:pPr>
            <w:r>
              <w:rPr>
                <w:rFonts w:ascii="Arial" w:cs="Arial" w:eastAsia="Arial" w:hAnsi="Arial"/>
                <w:sz w:val="14"/>
                <w:szCs w:val="14"/>
                <w:color w:val="auto"/>
              </w:rPr>
              <w:t>Board</w:t>
            </w:r>
          </w:p>
        </w:tc>
        <w:tc>
          <w:tcPr>
            <w:tcW w:w="1380" w:type="dxa"/>
            <w:vAlign w:val="bottom"/>
          </w:tcPr>
          <w:p>
            <w:pPr>
              <w:ind w:left="800"/>
              <w:spacing w:after="0"/>
              <w:rPr>
                <w:sz w:val="20"/>
                <w:szCs w:val="20"/>
                <w:color w:val="auto"/>
              </w:rPr>
            </w:pPr>
            <w:r>
              <w:rPr>
                <w:rFonts w:ascii="Arial" w:cs="Arial" w:eastAsia="Arial" w:hAnsi="Arial"/>
                <w:sz w:val="14"/>
                <w:szCs w:val="14"/>
                <w:color w:val="auto"/>
              </w:rPr>
              <w:t>15 of 15</w:t>
            </w:r>
          </w:p>
        </w:tc>
        <w:tc>
          <w:tcPr>
            <w:tcW w:w="680" w:type="dxa"/>
            <w:vAlign w:val="bottom"/>
          </w:tcPr>
          <w:p>
            <w:pPr>
              <w:ind w:left="40"/>
              <w:spacing w:after="0"/>
              <w:rPr>
                <w:sz w:val="20"/>
                <w:szCs w:val="20"/>
                <w:color w:val="auto"/>
              </w:rPr>
            </w:pPr>
            <w:r>
              <w:rPr>
                <w:rFonts w:ascii="Arial" w:cs="Arial" w:eastAsia="Arial" w:hAnsi="Arial"/>
                <w:sz w:val="14"/>
                <w:szCs w:val="14"/>
                <w:color w:val="auto"/>
              </w:rPr>
              <w:t>100%</w:t>
            </w:r>
          </w:p>
        </w:tc>
        <w:tc>
          <w:tcPr>
            <w:tcW w:w="660" w:type="dxa"/>
            <w:vAlign w:val="bottom"/>
          </w:tcPr>
          <w:p>
            <w:pPr>
              <w:spacing w:after="0"/>
              <w:rPr>
                <w:sz w:val="17"/>
                <w:szCs w:val="17"/>
                <w:color w:val="auto"/>
              </w:rPr>
            </w:pPr>
          </w:p>
        </w:tc>
        <w:tc>
          <w:tcPr>
            <w:tcW w:w="1000" w:type="dxa"/>
            <w:vAlign w:val="bottom"/>
          </w:tcPr>
          <w:p>
            <w:pPr>
              <w:ind w:left="60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60"/>
        </w:trPr>
        <w:tc>
          <w:tcPr>
            <w:tcW w:w="2420" w:type="dxa"/>
            <w:vAlign w:val="bottom"/>
            <w:tcBorders>
              <w:bottom w:val="single" w:sz="8" w:color="AFAFAF"/>
            </w:tcBorders>
          </w:tcPr>
          <w:p>
            <w:pPr>
              <w:ind w:left="40"/>
              <w:spacing w:after="0" w:line="160" w:lineRule="exact"/>
              <w:rPr>
                <w:sz w:val="20"/>
                <w:szCs w:val="20"/>
                <w:color w:val="auto"/>
              </w:rPr>
            </w:pPr>
            <w:r>
              <w:rPr>
                <w:rFonts w:ascii="Arial" w:cs="Arial" w:eastAsia="Arial" w:hAnsi="Arial"/>
                <w:sz w:val="14"/>
                <w:szCs w:val="14"/>
                <w:color w:val="auto"/>
              </w:rPr>
              <w:t>HR Committee</w:t>
            </w:r>
          </w:p>
        </w:tc>
        <w:tc>
          <w:tcPr>
            <w:tcW w:w="1380" w:type="dxa"/>
            <w:vAlign w:val="bottom"/>
            <w:tcBorders>
              <w:bottom w:val="single" w:sz="8" w:color="AFAFAF"/>
            </w:tcBorders>
          </w:tcPr>
          <w:p>
            <w:pPr>
              <w:ind w:left="800"/>
              <w:spacing w:after="0" w:line="160" w:lineRule="exact"/>
              <w:rPr>
                <w:sz w:val="20"/>
                <w:szCs w:val="20"/>
                <w:color w:val="auto"/>
              </w:rPr>
            </w:pPr>
            <w:r>
              <w:rPr>
                <w:rFonts w:ascii="Arial" w:cs="Arial" w:eastAsia="Arial" w:hAnsi="Arial"/>
                <w:sz w:val="14"/>
                <w:szCs w:val="14"/>
                <w:color w:val="auto"/>
              </w:rPr>
              <w:t>2 of 2</w:t>
            </w:r>
          </w:p>
        </w:tc>
        <w:tc>
          <w:tcPr>
            <w:tcW w:w="680" w:type="dxa"/>
            <w:vAlign w:val="bottom"/>
            <w:tcBorders>
              <w:bottom w:val="single" w:sz="8" w:color="AFAFAF"/>
            </w:tcBorders>
          </w:tcPr>
          <w:p>
            <w:pPr>
              <w:ind w:left="40"/>
              <w:spacing w:after="0" w:line="160" w:lineRule="exact"/>
              <w:rPr>
                <w:sz w:val="20"/>
                <w:szCs w:val="20"/>
                <w:color w:val="auto"/>
              </w:rPr>
            </w:pPr>
            <w:r>
              <w:rPr>
                <w:rFonts w:ascii="Arial" w:cs="Arial" w:eastAsia="Arial" w:hAnsi="Arial"/>
                <w:sz w:val="14"/>
                <w:szCs w:val="14"/>
                <w:color w:val="auto"/>
              </w:rPr>
              <w:t>100%</w:t>
            </w:r>
          </w:p>
        </w:tc>
        <w:tc>
          <w:tcPr>
            <w:tcW w:w="660" w:type="dxa"/>
            <w:vAlign w:val="bottom"/>
            <w:tcBorders>
              <w:bottom w:val="single" w:sz="8" w:color="AFAFAF"/>
            </w:tcBorders>
          </w:tcPr>
          <w:p>
            <w:pPr>
              <w:spacing w:after="0"/>
              <w:rPr>
                <w:sz w:val="13"/>
                <w:szCs w:val="13"/>
                <w:color w:val="auto"/>
              </w:rPr>
            </w:pPr>
          </w:p>
        </w:tc>
        <w:tc>
          <w:tcPr>
            <w:tcW w:w="1000" w:type="dxa"/>
            <w:vAlign w:val="bottom"/>
            <w:tcBorders>
              <w:bottom w:val="single" w:sz="8" w:color="AFAFAF"/>
            </w:tcBorders>
          </w:tcPr>
          <w:p>
            <w:pPr>
              <w:spacing w:after="0"/>
              <w:rPr>
                <w:sz w:val="13"/>
                <w:szCs w:val="13"/>
                <w:color w:val="auto"/>
              </w:rPr>
            </w:pPr>
          </w:p>
        </w:tc>
        <w:tc>
          <w:tcPr>
            <w:tcW w:w="940" w:type="dxa"/>
            <w:vAlign w:val="bottom"/>
            <w:tcBorders>
              <w:bottom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r>
      <w:tr>
        <w:trPr>
          <w:trHeight w:val="168"/>
        </w:trPr>
        <w:tc>
          <w:tcPr>
            <w:tcW w:w="242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bottom w:val="single" w:sz="8" w:color="AFAFAF"/>
            </w:tcBorders>
          </w:tcPr>
          <w:p>
            <w:pPr>
              <w:ind w:left="800"/>
              <w:spacing w:after="0"/>
              <w:rPr>
                <w:sz w:val="20"/>
                <w:szCs w:val="20"/>
                <w:color w:val="auto"/>
              </w:rPr>
            </w:pPr>
            <w:r>
              <w:rPr>
                <w:rFonts w:ascii="Arial" w:cs="Arial" w:eastAsia="Arial" w:hAnsi="Arial"/>
                <w:sz w:val="14"/>
                <w:szCs w:val="14"/>
                <w:b w:val="1"/>
                <w:bCs w:val="1"/>
                <w:color w:val="auto"/>
              </w:rPr>
              <w:t>17 of 17</w:t>
            </w:r>
          </w:p>
        </w:tc>
        <w:tc>
          <w:tcPr>
            <w:tcW w:w="68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100%</w:t>
            </w:r>
          </w:p>
        </w:tc>
        <w:tc>
          <w:tcPr>
            <w:tcW w:w="660" w:type="dxa"/>
            <w:vAlign w:val="bottom"/>
            <w:tcBorders>
              <w:bottom w:val="single" w:sz="8" w:color="AFAFAF"/>
            </w:tcBorders>
          </w:tcPr>
          <w:p>
            <w:pPr>
              <w:spacing w:after="0"/>
              <w:rPr>
                <w:sz w:val="14"/>
                <w:szCs w:val="14"/>
                <w:color w:val="auto"/>
              </w:rPr>
            </w:pPr>
          </w:p>
        </w:tc>
        <w:tc>
          <w:tcPr>
            <w:tcW w:w="1000" w:type="dxa"/>
            <w:vAlign w:val="bottom"/>
            <w:tcBorders>
              <w:bottom w:val="single" w:sz="8" w:color="AFAFAF"/>
            </w:tcBorders>
          </w:tcPr>
          <w:p>
            <w:pPr>
              <w:spacing w:after="0"/>
              <w:rPr>
                <w:sz w:val="14"/>
                <w:szCs w:val="14"/>
                <w:color w:val="auto"/>
              </w:rPr>
            </w:pPr>
          </w:p>
        </w:tc>
        <w:tc>
          <w:tcPr>
            <w:tcW w:w="940" w:type="dxa"/>
            <w:vAlign w:val="bottom"/>
            <w:tcBorders>
              <w:bottom w:val="single" w:sz="8" w:color="AFAFAF"/>
            </w:tcBorders>
          </w:tcPr>
          <w:p>
            <w:pPr>
              <w:spacing w:after="0"/>
              <w:rPr>
                <w:sz w:val="14"/>
                <w:szCs w:val="14"/>
                <w:color w:val="auto"/>
              </w:rPr>
            </w:pPr>
          </w:p>
        </w:tc>
        <w:tc>
          <w:tcPr>
            <w:tcW w:w="1380" w:type="dxa"/>
            <w:vAlign w:val="bottom"/>
            <w:tcBorders>
              <w:bottom w:val="single" w:sz="8" w:color="AFAFAF"/>
            </w:tcBorders>
          </w:tcPr>
          <w:p>
            <w:pPr>
              <w:spacing w:after="0"/>
              <w:rPr>
                <w:sz w:val="14"/>
                <w:szCs w:val="14"/>
                <w:color w:val="auto"/>
              </w:rPr>
            </w:pPr>
          </w:p>
        </w:tc>
      </w:tr>
      <w:tr>
        <w:trPr>
          <w:trHeight w:val="182"/>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Securities held</w:t>
            </w:r>
          </w:p>
        </w:tc>
        <w:tc>
          <w:tcPr>
            <w:tcW w:w="1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Total shares</w:t>
            </w: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Ownership multiple</w:t>
            </w:r>
          </w:p>
        </w:tc>
      </w:tr>
      <w:tr>
        <w:trPr>
          <w:trHeight w:val="188"/>
        </w:trPr>
        <w:tc>
          <w:tcPr>
            <w:tcW w:w="2420" w:type="dxa"/>
            <w:vAlign w:val="bottom"/>
            <w:tcBorders>
              <w:bottom w:val="single" w:sz="8" w:color="AFAFAF"/>
            </w:tcBorders>
          </w:tcPr>
          <w:p>
            <w:pPr>
              <w:ind w:left="40"/>
              <w:spacing w:after="0" w:line="189" w:lineRule="exact"/>
              <w:rPr>
                <w:sz w:val="20"/>
                <w:szCs w:val="20"/>
                <w:color w:val="auto"/>
              </w:rPr>
            </w:pPr>
            <w:r>
              <w:rPr>
                <w:rFonts w:ascii="Arial" w:cs="Arial" w:eastAsia="Arial" w:hAnsi="Arial"/>
                <w:sz w:val="13"/>
                <w:szCs w:val="13"/>
                <w:b w:val="1"/>
                <w:bCs w:val="1"/>
                <w:color w:val="auto"/>
              </w:rPr>
              <w:t>(number and value)</w:t>
            </w:r>
            <w:r>
              <w:rPr>
                <w:rFonts w:ascii="Arial" w:cs="Arial" w:eastAsia="Arial" w:hAnsi="Arial"/>
                <w:sz w:val="21"/>
                <w:szCs w:val="21"/>
                <w:b w:val="1"/>
                <w:bCs w:val="1"/>
                <w:color w:val="auto"/>
                <w:vertAlign w:val="superscript"/>
              </w:rPr>
              <w:t>2</w:t>
            </w:r>
          </w:p>
        </w:tc>
        <w:tc>
          <w:tcPr>
            <w:tcW w:w="1380" w:type="dxa"/>
            <w:vAlign w:val="bottom"/>
            <w:tcBorders>
              <w:bottom w:val="single" w:sz="8" w:color="AFAFAF"/>
            </w:tcBorders>
          </w:tcPr>
          <w:p>
            <w:pPr>
              <w:spacing w:after="0"/>
              <w:rPr>
                <w:sz w:val="16"/>
                <w:szCs w:val="16"/>
                <w:color w:val="auto"/>
              </w:rPr>
            </w:pPr>
          </w:p>
        </w:tc>
        <w:tc>
          <w:tcPr>
            <w:tcW w:w="680" w:type="dxa"/>
            <w:vAlign w:val="bottom"/>
            <w:tcBorders>
              <w:bottom w:val="single" w:sz="8" w:color="AFAFAF"/>
            </w:tcBorders>
          </w:tcPr>
          <w:p>
            <w:pPr>
              <w:spacing w:after="0"/>
              <w:rPr>
                <w:sz w:val="16"/>
                <w:szCs w:val="16"/>
                <w:color w:val="auto"/>
              </w:rPr>
            </w:pPr>
          </w:p>
        </w:tc>
        <w:tc>
          <w:tcPr>
            <w:tcW w:w="660" w:type="dxa"/>
            <w:vAlign w:val="bottom"/>
            <w:tcBorders>
              <w:bottom w:val="single" w:sz="8" w:color="AFAFAF"/>
            </w:tcBorders>
          </w:tcPr>
          <w:p>
            <w:pPr>
              <w:spacing w:after="0"/>
              <w:rPr>
                <w:sz w:val="16"/>
                <w:szCs w:val="16"/>
                <w:color w:val="auto"/>
              </w:rPr>
            </w:pPr>
          </w:p>
        </w:tc>
        <w:tc>
          <w:tcPr>
            <w:tcW w:w="1000" w:type="dxa"/>
            <w:vAlign w:val="bottom"/>
            <w:tcBorders>
              <w:bottom w:val="single" w:sz="8" w:color="AFAFAF"/>
            </w:tcBorders>
          </w:tcPr>
          <w:p>
            <w:pPr>
              <w:ind w:left="120"/>
              <w:spacing w:after="0"/>
              <w:rPr>
                <w:sz w:val="20"/>
                <w:szCs w:val="20"/>
                <w:color w:val="auto"/>
              </w:rPr>
            </w:pPr>
            <w:r>
              <w:rPr>
                <w:rFonts w:ascii="Arial" w:cs="Arial" w:eastAsia="Arial" w:hAnsi="Arial"/>
                <w:sz w:val="14"/>
                <w:szCs w:val="14"/>
                <w:b w:val="1"/>
                <w:bCs w:val="1"/>
                <w:color w:val="auto"/>
              </w:rPr>
              <w:t>and DSUs</w:t>
            </w:r>
          </w:p>
        </w:tc>
        <w:tc>
          <w:tcPr>
            <w:tcW w:w="94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value</w:t>
            </w:r>
          </w:p>
        </w:tc>
        <w:tc>
          <w:tcPr>
            <w:tcW w:w="13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200"/>
        </w:trPr>
        <w:tc>
          <w:tcPr>
            <w:tcW w:w="2420" w:type="dxa"/>
            <w:vAlign w:val="bottom"/>
          </w:tcPr>
          <w:p>
            <w:pPr>
              <w:ind w:left="40"/>
              <w:spacing w:after="0"/>
              <w:rPr>
                <w:sz w:val="20"/>
                <w:szCs w:val="20"/>
                <w:color w:val="auto"/>
              </w:rPr>
            </w:pPr>
            <w:r>
              <w:rPr>
                <w:rFonts w:ascii="Arial" w:cs="Arial" w:eastAsia="Arial" w:hAnsi="Arial"/>
                <w:sz w:val="14"/>
                <w:szCs w:val="14"/>
                <w:color w:val="auto"/>
              </w:rPr>
              <w:t>Common shares</w:t>
            </w:r>
          </w:p>
        </w:tc>
        <w:tc>
          <w:tcPr>
            <w:tcW w:w="1380" w:type="dxa"/>
            <w:vAlign w:val="bottom"/>
          </w:tcPr>
          <w:p>
            <w:pPr>
              <w:ind w:left="800"/>
              <w:spacing w:after="0"/>
              <w:rPr>
                <w:sz w:val="20"/>
                <w:szCs w:val="20"/>
                <w:color w:val="auto"/>
              </w:rPr>
            </w:pPr>
            <w:r>
              <w:rPr>
                <w:rFonts w:ascii="Arial" w:cs="Arial" w:eastAsia="Arial" w:hAnsi="Arial"/>
                <w:sz w:val="14"/>
                <w:szCs w:val="14"/>
                <w:color w:val="auto"/>
              </w:rPr>
              <w:t>RSUs</w:t>
            </w:r>
          </w:p>
        </w:tc>
        <w:tc>
          <w:tcPr>
            <w:tcW w:w="680" w:type="dxa"/>
            <w:vAlign w:val="bottom"/>
          </w:tcPr>
          <w:p>
            <w:pPr>
              <w:ind w:left="40"/>
              <w:spacing w:after="0"/>
              <w:rPr>
                <w:sz w:val="20"/>
                <w:szCs w:val="20"/>
                <w:color w:val="auto"/>
              </w:rPr>
            </w:pPr>
            <w:r>
              <w:rPr>
                <w:rFonts w:ascii="Arial" w:cs="Arial" w:eastAsia="Arial" w:hAnsi="Arial"/>
                <w:sz w:val="14"/>
                <w:szCs w:val="14"/>
                <w:color w:val="auto"/>
              </w:rPr>
              <w:t>DSUs</w:t>
            </w:r>
          </w:p>
        </w:tc>
        <w:tc>
          <w:tcPr>
            <w:tcW w:w="660" w:type="dxa"/>
            <w:vAlign w:val="bottom"/>
          </w:tcPr>
          <w:p>
            <w:pPr>
              <w:ind w:left="40"/>
              <w:spacing w:after="0"/>
              <w:rPr>
                <w:sz w:val="20"/>
                <w:szCs w:val="20"/>
                <w:color w:val="auto"/>
              </w:rPr>
            </w:pPr>
            <w:r>
              <w:rPr>
                <w:rFonts w:ascii="Arial" w:cs="Arial" w:eastAsia="Arial" w:hAnsi="Arial"/>
                <w:sz w:val="14"/>
                <w:szCs w:val="14"/>
                <w:color w:val="auto"/>
              </w:rPr>
              <w:t>Options</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70"/>
        </w:trPr>
        <w:tc>
          <w:tcPr>
            <w:tcW w:w="2420" w:type="dxa"/>
            <w:vAlign w:val="bottom"/>
            <w:tcBorders>
              <w:bottom w:val="single" w:sz="8" w:color="AFAFAF"/>
            </w:tcBorders>
          </w:tcPr>
          <w:p>
            <w:pPr>
              <w:ind w:left="15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ind w:left="10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10,397</w:t>
            </w:r>
          </w:p>
        </w:tc>
        <w:tc>
          <w:tcPr>
            <w:tcW w:w="660" w:type="dxa"/>
            <w:vAlign w:val="bottom"/>
            <w:tcBorders>
              <w:bottom w:val="single" w:sz="8" w:color="AFAFAF"/>
            </w:tcBorders>
          </w:tcPr>
          <w:p>
            <w:pPr>
              <w:ind w:left="3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FAFAF"/>
            </w:tcBorders>
          </w:tcPr>
          <w:p>
            <w:pPr>
              <w:ind w:left="120"/>
              <w:spacing w:after="0"/>
              <w:rPr>
                <w:sz w:val="20"/>
                <w:szCs w:val="20"/>
                <w:color w:val="auto"/>
              </w:rPr>
            </w:pPr>
            <w:r>
              <w:rPr>
                <w:rFonts w:ascii="Arial" w:cs="Arial" w:eastAsia="Arial" w:hAnsi="Arial"/>
                <w:sz w:val="14"/>
                <w:szCs w:val="14"/>
                <w:color w:val="auto"/>
              </w:rPr>
              <w:t>10,397</w:t>
            </w:r>
          </w:p>
        </w:tc>
        <w:tc>
          <w:tcPr>
            <w:tcW w:w="940" w:type="dxa"/>
            <w:vAlign w:val="bottom"/>
            <w:tcBorders>
              <w:bottom w:val="single" w:sz="8" w:color="AFAFAF"/>
            </w:tcBorders>
          </w:tcPr>
          <w:p>
            <w:pPr>
              <w:spacing w:after="0"/>
              <w:rPr>
                <w:sz w:val="14"/>
                <w:szCs w:val="14"/>
                <w:color w:val="auto"/>
              </w:rPr>
            </w:pPr>
          </w:p>
        </w:tc>
        <w:tc>
          <w:tcPr>
            <w:tcW w:w="1380" w:type="dxa"/>
            <w:vAlign w:val="bottom"/>
            <w:tcBorders>
              <w:bottom w:val="single" w:sz="8" w:color="AFAFAF"/>
            </w:tcBorders>
          </w:tcPr>
          <w:p>
            <w:pPr>
              <w:spacing w:after="0"/>
              <w:rPr>
                <w:sz w:val="14"/>
                <w:szCs w:val="14"/>
                <w:color w:val="auto"/>
              </w:rPr>
            </w:pPr>
          </w:p>
        </w:tc>
      </w:tr>
      <w:tr>
        <w:trPr>
          <w:trHeight w:val="181"/>
        </w:trPr>
        <w:tc>
          <w:tcPr>
            <w:tcW w:w="2420" w:type="dxa"/>
            <w:vAlign w:val="bottom"/>
          </w:tcPr>
          <w:p>
            <w:pPr>
              <w:ind w:left="1540"/>
              <w:spacing w:after="0"/>
              <w:rPr>
                <w:sz w:val="20"/>
                <w:szCs w:val="20"/>
                <w:color w:val="auto"/>
              </w:rPr>
            </w:pPr>
            <w:r>
              <w:rPr>
                <w:rFonts w:ascii="Arial" w:cs="Arial" w:eastAsia="Arial" w:hAnsi="Arial"/>
                <w:sz w:val="14"/>
                <w:szCs w:val="14"/>
                <w:color w:val="auto"/>
              </w:rPr>
              <w:t>–</w:t>
            </w:r>
          </w:p>
        </w:tc>
        <w:tc>
          <w:tcPr>
            <w:tcW w:w="1380" w:type="dxa"/>
            <w:vAlign w:val="bottom"/>
          </w:tcPr>
          <w:p>
            <w:pPr>
              <w:ind w:left="1020"/>
              <w:spacing w:after="0"/>
              <w:rPr>
                <w:sz w:val="20"/>
                <w:szCs w:val="20"/>
                <w:color w:val="auto"/>
              </w:rPr>
            </w:pP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613,735</w:t>
            </w:r>
          </w:p>
        </w:tc>
        <w:tc>
          <w:tcPr>
            <w:tcW w:w="660" w:type="dxa"/>
            <w:vAlign w:val="bottom"/>
          </w:tcPr>
          <w:p>
            <w:pPr>
              <w:ind w:left="32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613,735</w:t>
            </w:r>
          </w:p>
        </w:tc>
        <w:tc>
          <w:tcPr>
            <w:tcW w:w="1380" w:type="dxa"/>
            <w:vAlign w:val="bottom"/>
          </w:tcPr>
          <w:p>
            <w:pPr>
              <w:ind w:left="680"/>
              <w:spacing w:after="0"/>
              <w:rPr>
                <w:sz w:val="20"/>
                <w:szCs w:val="20"/>
                <w:color w:val="auto"/>
              </w:rPr>
            </w:pPr>
            <w:r>
              <w:rPr>
                <w:rFonts w:ascii="Arial" w:cs="Arial" w:eastAsia="Arial" w:hAnsi="Arial"/>
                <w:sz w:val="14"/>
                <w:szCs w:val="14"/>
                <w:color w:val="auto"/>
              </w:rPr>
              <w:t>–</w:t>
            </w:r>
          </w:p>
        </w:tc>
      </w:tr>
    </w:tbl>
    <w:p>
      <w:pPr>
        <w:ind w:left="40"/>
        <w:spacing w:after="0" w:line="237" w:lineRule="auto"/>
        <w:rPr>
          <w:sz w:val="20"/>
          <w:szCs w:val="20"/>
          <w:color w:val="auto"/>
        </w:rPr>
      </w:pPr>
      <w:r>
        <w:rPr>
          <w:rFonts w:ascii="Arial" w:cs="Arial" w:eastAsia="Arial" w:hAnsi="Arial"/>
          <w:sz w:val="13"/>
          <w:szCs w:val="13"/>
          <w:color w:val="auto"/>
        </w:rPr>
        <w:t>1 David Thomson and Peter Thomson, both of whom are nominees, are brothers.</w:t>
      </w:r>
    </w:p>
    <w:p>
      <w:pPr>
        <w:ind w:left="40" w:right="220"/>
        <w:spacing w:after="0" w:line="247" w:lineRule="auto"/>
        <w:tabs>
          <w:tab w:leader="none" w:pos="190" w:val="left"/>
        </w:tabs>
        <w:numPr>
          <w:ilvl w:val="0"/>
          <w:numId w:val="8"/>
        </w:numPr>
        <w:rPr>
          <w:rFonts w:ascii="Arial" w:cs="Arial" w:eastAsia="Arial" w:hAnsi="Arial"/>
          <w:sz w:val="13"/>
          <w:szCs w:val="13"/>
          <w:color w:val="auto"/>
        </w:rPr>
      </w:pPr>
      <w:r>
        <w:rPr>
          <w:rFonts w:ascii="Arial" w:cs="Arial" w:eastAsia="Arial" w:hAnsi="Arial"/>
          <w:sz w:val="13"/>
          <w:szCs w:val="13"/>
          <w:color w:val="auto"/>
        </w:rPr>
        <w:t>David Thomson and Peter Thomson are substantial shareholders of our company as members of the family that owns the equity of Woodbridge, our principal shareholder. For additional information, please see the “Principal Shareholder and Share Capital”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40640</wp:posOffset>
            </wp:positionV>
            <wp:extent cx="69735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177165</wp:posOffset>
            </wp:positionV>
            <wp:extent cx="697357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2360" w:space="380"/>
            <w:col w:w="8460"/>
          </w:cols>
          <w:pgMar w:left="240" w:top="458" w:right="459" w:bottom="1440" w:gutter="0" w:footer="0" w:header="0"/>
          <w:type w:val="continuous"/>
        </w:sectPr>
      </w:pPr>
    </w:p>
    <w:p>
      <w:pPr>
        <w:spacing w:after="0" w:line="202" w:lineRule="exact"/>
        <w:rPr>
          <w:sz w:val="20"/>
          <w:szCs w:val="20"/>
          <w:color w:val="auto"/>
        </w:rPr>
      </w:pPr>
    </w:p>
    <w:p>
      <w:pPr>
        <w:ind w:left="6100"/>
        <w:spacing w:after="0"/>
        <w:tabs>
          <w:tab w:leader="none" w:pos="106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19</w:t>
      </w:r>
    </w:p>
    <w:p>
      <w:pPr>
        <w:sectPr>
          <w:pgSz w:w="11900" w:h="16838" w:orient="portrait"/>
          <w:cols w:equalWidth="0" w:num="1">
            <w:col w:w="11200"/>
          </w:cols>
          <w:pgMar w:left="240" w:top="458" w:right="459" w:bottom="1440" w:gutter="0" w:footer="0" w:header="0"/>
          <w:type w:val="continuous"/>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466725</wp:posOffset>
            </wp:positionV>
            <wp:extent cx="6973570" cy="2341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73570" cy="2341880"/>
                    </a:xfrm>
                    <a:prstGeom prst="rect">
                      <a:avLst/>
                    </a:prstGeom>
                    <a:noFill/>
                  </pic:spPr>
                </pic:pic>
              </a:graphicData>
            </a:graphic>
          </wp:anchor>
        </w:drawing>
      </w:r>
    </w:p>
    <w:p>
      <w:pPr>
        <w:sectPr>
          <w:pgSz w:w="11900" w:h="16838" w:orient="portrait"/>
          <w:cols w:equalWidth="0" w:num="1">
            <w:col w:w="11200"/>
          </w:cols>
          <w:pgMar w:left="240" w:top="45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right="340"/>
        <w:spacing w:after="0" w:line="358" w:lineRule="auto"/>
        <w:rPr>
          <w:sz w:val="20"/>
          <w:szCs w:val="20"/>
          <w:color w:val="auto"/>
        </w:rPr>
      </w:pPr>
      <w:r>
        <w:rPr>
          <w:rFonts w:ascii="Arial" w:cs="Arial" w:eastAsia="Arial" w:hAnsi="Arial"/>
          <w:sz w:val="13"/>
          <w:szCs w:val="13"/>
          <w:b w:val="1"/>
          <w:bCs w:val="1"/>
          <w:color w:val="auto"/>
        </w:rPr>
        <w:t xml:space="preserve">Wulf von Schimmelmann </w:t>
      </w:r>
      <w:r>
        <w:rPr>
          <w:rFonts w:ascii="Arial" w:cs="Arial" w:eastAsia="Arial" w:hAnsi="Arial"/>
          <w:sz w:val="13"/>
          <w:szCs w:val="13"/>
          <w:color w:val="auto"/>
        </w:rPr>
        <w:t>Age: 72</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Munich, Germany</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Director since 2011</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Independent</w:t>
      </w:r>
    </w:p>
    <w:p>
      <w:pPr>
        <w:spacing w:after="0" w:line="66" w:lineRule="exact"/>
        <w:rPr>
          <w:sz w:val="20"/>
          <w:szCs w:val="20"/>
          <w:color w:val="auto"/>
        </w:rPr>
      </w:pPr>
    </w:p>
    <w:p>
      <w:pPr>
        <w:ind w:left="320"/>
        <w:spacing w:after="0" w:line="247" w:lineRule="auto"/>
        <w:rPr>
          <w:sz w:val="20"/>
          <w:szCs w:val="20"/>
          <w:color w:val="auto"/>
        </w:rPr>
      </w:pPr>
      <w:r>
        <w:rPr>
          <w:rFonts w:ascii="Arial" w:cs="Arial" w:eastAsia="Arial" w:hAnsi="Arial"/>
          <w:sz w:val="13"/>
          <w:szCs w:val="13"/>
          <w:color w:val="auto"/>
        </w:rPr>
        <w:t>Primary areas of expertise: finance, operations, international business</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2018 votes for: 99.81%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Wulf Von Schimmelmann</w:t>
      </w:r>
    </w:p>
    <w:p>
      <w:pPr>
        <w:spacing w:after="0" w:line="63" w:lineRule="exact"/>
        <w:rPr>
          <w:sz w:val="20"/>
          <w:szCs w:val="20"/>
          <w:color w:val="auto"/>
        </w:rPr>
      </w:pPr>
    </w:p>
    <w:p>
      <w:pPr>
        <w:ind w:left="60" w:right="20"/>
        <w:spacing w:after="0" w:line="243" w:lineRule="auto"/>
        <w:rPr>
          <w:sz w:val="20"/>
          <w:szCs w:val="20"/>
          <w:color w:val="auto"/>
        </w:rPr>
      </w:pPr>
      <w:r>
        <w:rPr>
          <w:rFonts w:ascii="Arial" w:cs="Arial" w:eastAsia="Arial" w:hAnsi="Arial"/>
          <w:sz w:val="14"/>
          <w:szCs w:val="14"/>
          <w:color w:val="auto"/>
        </w:rPr>
        <w:t>Wulf von Schimmelmann is a corporate director. Mr. von Schimmelmann was Chief Executive Officer of Deutsche Postbank AG from 1999 to 2007, where he transformed the organization from a check processing division of Deutsche Post to one of Germany’s leading retail banks. He also serves as a member of the Supervisory Board of Maxingvest AG. Prior to his lengthy career in banking, he was a partner at McKinsey &amp; Co., working in Switzerland, the U.S. and Germany. Mr. von Schimmelmann was also previously Chairman of the Supervisory Board of Deutsche Post DHL AG, a member of the Supervisory Board of Deutsche Teleknow and Allianz Deutschland AG, a director of Western Union Company, Accenture plc and Deutsche Post DHL AG, and Chair of BAWAG P.S.K. Mr. von Schimmelmann received a degree in economic sciences and his Ph.D. in economics from the University of Zurich.</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Board/committee</w:t>
            </w: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8"/>
        </w:trPr>
        <w:tc>
          <w:tcPr>
            <w:tcW w:w="242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membership</w:t>
            </w:r>
          </w:p>
        </w:tc>
        <w:tc>
          <w:tcPr>
            <w:tcW w:w="2160" w:type="dxa"/>
            <w:vAlign w:val="bottom"/>
            <w:tcBorders>
              <w:bottom w:val="single" w:sz="8" w:color="AFAFAF"/>
            </w:tcBorders>
            <w:gridSpan w:val="2"/>
          </w:tcPr>
          <w:p>
            <w:pPr>
              <w:ind w:left="780"/>
              <w:spacing w:after="0"/>
              <w:rPr>
                <w:sz w:val="20"/>
                <w:szCs w:val="20"/>
                <w:color w:val="auto"/>
              </w:rPr>
            </w:pPr>
            <w:r>
              <w:rPr>
                <w:rFonts w:ascii="Arial" w:cs="Arial" w:eastAsia="Arial" w:hAnsi="Arial"/>
                <w:sz w:val="14"/>
                <w:szCs w:val="14"/>
                <w:b w:val="1"/>
                <w:bCs w:val="1"/>
                <w:color w:val="auto"/>
              </w:rPr>
              <w:t>2018 attendance</w:t>
            </w:r>
          </w:p>
        </w:tc>
        <w:tc>
          <w:tcPr>
            <w:tcW w:w="3940" w:type="dxa"/>
            <w:vAlign w:val="bottom"/>
            <w:tcBorders>
              <w:bottom w:val="single" w:sz="8" w:color="AFAFAF"/>
            </w:tcBorders>
            <w:gridSpan w:val="4"/>
          </w:tcPr>
          <w:p>
            <w:pPr>
              <w:ind w:left="4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160"/>
        </w:trPr>
        <w:tc>
          <w:tcPr>
            <w:tcW w:w="2420" w:type="dxa"/>
            <w:vAlign w:val="bottom"/>
          </w:tcPr>
          <w:p>
            <w:pPr>
              <w:ind w:left="60"/>
              <w:spacing w:after="0" w:line="160" w:lineRule="exact"/>
              <w:rPr>
                <w:sz w:val="20"/>
                <w:szCs w:val="20"/>
                <w:color w:val="auto"/>
              </w:rPr>
            </w:pPr>
            <w:r>
              <w:rPr>
                <w:rFonts w:ascii="Arial" w:cs="Arial" w:eastAsia="Arial" w:hAnsi="Arial"/>
                <w:sz w:val="14"/>
                <w:szCs w:val="14"/>
                <w:color w:val="auto"/>
              </w:rPr>
              <w:t>Board</w:t>
            </w:r>
          </w:p>
        </w:tc>
        <w:tc>
          <w:tcPr>
            <w:tcW w:w="1360" w:type="dxa"/>
            <w:vAlign w:val="bottom"/>
          </w:tcPr>
          <w:p>
            <w:pPr>
              <w:ind w:left="780"/>
              <w:spacing w:after="0" w:line="160" w:lineRule="exact"/>
              <w:rPr>
                <w:sz w:val="20"/>
                <w:szCs w:val="20"/>
                <w:color w:val="auto"/>
              </w:rPr>
            </w:pPr>
            <w:r>
              <w:rPr>
                <w:rFonts w:ascii="Arial" w:cs="Arial" w:eastAsia="Arial" w:hAnsi="Arial"/>
                <w:sz w:val="14"/>
                <w:szCs w:val="14"/>
                <w:color w:val="auto"/>
              </w:rPr>
              <w:t>13 of 15</w:t>
            </w:r>
          </w:p>
        </w:tc>
        <w:tc>
          <w:tcPr>
            <w:tcW w:w="800" w:type="dxa"/>
            <w:vAlign w:val="bottom"/>
          </w:tcPr>
          <w:p>
            <w:pPr>
              <w:ind w:left="40"/>
              <w:spacing w:after="0" w:line="160" w:lineRule="exact"/>
              <w:rPr>
                <w:sz w:val="20"/>
                <w:szCs w:val="20"/>
                <w:color w:val="auto"/>
              </w:rPr>
            </w:pPr>
            <w:r>
              <w:rPr>
                <w:rFonts w:ascii="Arial" w:cs="Arial" w:eastAsia="Arial" w:hAnsi="Arial"/>
                <w:sz w:val="14"/>
                <w:szCs w:val="14"/>
                <w:color w:val="auto"/>
              </w:rPr>
              <w:t>87%</w:t>
            </w:r>
          </w:p>
        </w:tc>
        <w:tc>
          <w:tcPr>
            <w:tcW w:w="1640" w:type="dxa"/>
            <w:vAlign w:val="bottom"/>
            <w:gridSpan w:val="2"/>
          </w:tcPr>
          <w:p>
            <w:pPr>
              <w:ind w:left="40"/>
              <w:spacing w:after="0" w:line="160" w:lineRule="exact"/>
              <w:rPr>
                <w:sz w:val="20"/>
                <w:szCs w:val="20"/>
                <w:color w:val="auto"/>
              </w:rPr>
            </w:pPr>
            <w:r>
              <w:rPr>
                <w:rFonts w:ascii="Arial" w:cs="Arial" w:eastAsia="Arial" w:hAnsi="Arial"/>
                <w:sz w:val="14"/>
                <w:szCs w:val="14"/>
                <w:color w:val="auto"/>
              </w:rPr>
              <w:t>Accenture plc</w:t>
            </w: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61"/>
        </w:trPr>
        <w:tc>
          <w:tcPr>
            <w:tcW w:w="2420" w:type="dxa"/>
            <w:vAlign w:val="bottom"/>
          </w:tcPr>
          <w:p>
            <w:pPr>
              <w:ind w:left="60"/>
              <w:spacing w:after="0"/>
              <w:rPr>
                <w:sz w:val="20"/>
                <w:szCs w:val="20"/>
                <w:color w:val="auto"/>
              </w:rPr>
            </w:pPr>
            <w:r>
              <w:rPr>
                <w:rFonts w:ascii="Arial" w:cs="Arial" w:eastAsia="Arial" w:hAnsi="Arial"/>
                <w:sz w:val="14"/>
                <w:szCs w:val="14"/>
                <w:color w:val="auto"/>
              </w:rPr>
              <w:t>Audit Committee</w:t>
            </w:r>
          </w:p>
        </w:tc>
        <w:tc>
          <w:tcPr>
            <w:tcW w:w="1360" w:type="dxa"/>
            <w:vAlign w:val="bottom"/>
          </w:tcPr>
          <w:p>
            <w:pPr>
              <w:ind w:left="780"/>
              <w:spacing w:after="0"/>
              <w:rPr>
                <w:sz w:val="20"/>
                <w:szCs w:val="20"/>
                <w:color w:val="auto"/>
              </w:rPr>
            </w:pPr>
            <w:r>
              <w:rPr>
                <w:rFonts w:ascii="Arial" w:cs="Arial" w:eastAsia="Arial" w:hAnsi="Arial"/>
                <w:sz w:val="14"/>
                <w:szCs w:val="14"/>
                <w:color w:val="auto"/>
              </w:rPr>
              <w:t>8 of 8</w:t>
            </w:r>
          </w:p>
        </w:tc>
        <w:tc>
          <w:tcPr>
            <w:tcW w:w="800" w:type="dxa"/>
            <w:vAlign w:val="bottom"/>
          </w:tcPr>
          <w:p>
            <w:pPr>
              <w:ind w:left="40"/>
              <w:spacing w:after="0"/>
              <w:rPr>
                <w:sz w:val="20"/>
                <w:szCs w:val="20"/>
                <w:color w:val="auto"/>
              </w:rPr>
            </w:pPr>
            <w:r>
              <w:rPr>
                <w:rFonts w:ascii="Arial" w:cs="Arial" w:eastAsia="Arial" w:hAnsi="Arial"/>
                <w:sz w:val="14"/>
                <w:szCs w:val="14"/>
                <w:color w:val="auto"/>
              </w:rPr>
              <w:t>100%</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2420" w:type="dxa"/>
            <w:vAlign w:val="bottom"/>
          </w:tcPr>
          <w:p>
            <w:pPr>
              <w:ind w:left="60"/>
              <w:spacing w:after="0"/>
              <w:rPr>
                <w:sz w:val="20"/>
                <w:szCs w:val="20"/>
                <w:color w:val="auto"/>
              </w:rPr>
            </w:pPr>
            <w:r>
              <w:rPr>
                <w:rFonts w:ascii="Arial" w:cs="Arial" w:eastAsia="Arial" w:hAnsi="Arial"/>
                <w:sz w:val="14"/>
                <w:szCs w:val="14"/>
                <w:color w:val="auto"/>
              </w:rPr>
              <w:t>HR Committee</w:t>
            </w:r>
          </w:p>
        </w:tc>
        <w:tc>
          <w:tcPr>
            <w:tcW w:w="1360" w:type="dxa"/>
            <w:vAlign w:val="bottom"/>
          </w:tcPr>
          <w:p>
            <w:pPr>
              <w:ind w:left="780"/>
              <w:spacing w:after="0"/>
              <w:rPr>
                <w:sz w:val="20"/>
                <w:szCs w:val="20"/>
                <w:color w:val="auto"/>
              </w:rPr>
            </w:pPr>
            <w:r>
              <w:rPr>
                <w:rFonts w:ascii="Arial" w:cs="Arial" w:eastAsia="Arial" w:hAnsi="Arial"/>
                <w:sz w:val="14"/>
                <w:szCs w:val="14"/>
                <w:color w:val="auto"/>
              </w:rPr>
              <w:t>2 of 2</w:t>
            </w:r>
          </w:p>
        </w:tc>
        <w:tc>
          <w:tcPr>
            <w:tcW w:w="800" w:type="dxa"/>
            <w:vAlign w:val="bottom"/>
          </w:tcPr>
          <w:p>
            <w:pPr>
              <w:ind w:left="40"/>
              <w:spacing w:after="0"/>
              <w:rPr>
                <w:sz w:val="20"/>
                <w:szCs w:val="20"/>
                <w:color w:val="auto"/>
              </w:rPr>
            </w:pPr>
            <w:r>
              <w:rPr>
                <w:rFonts w:ascii="Arial" w:cs="Arial" w:eastAsia="Arial" w:hAnsi="Arial"/>
                <w:sz w:val="14"/>
                <w:szCs w:val="14"/>
                <w:color w:val="auto"/>
              </w:rPr>
              <w:t>100%</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57"/>
        </w:trPr>
        <w:tc>
          <w:tcPr>
            <w:tcW w:w="2420" w:type="dxa"/>
            <w:vAlign w:val="bottom"/>
            <w:tcBorders>
              <w:bottom w:val="single" w:sz="8" w:color="AFAFAF"/>
            </w:tcBorders>
          </w:tcPr>
          <w:p>
            <w:pPr>
              <w:ind w:left="60"/>
              <w:spacing w:after="0" w:line="157" w:lineRule="exact"/>
              <w:rPr>
                <w:sz w:val="20"/>
                <w:szCs w:val="20"/>
                <w:color w:val="auto"/>
              </w:rPr>
            </w:pPr>
            <w:r>
              <w:rPr>
                <w:rFonts w:ascii="Arial" w:cs="Arial" w:eastAsia="Arial" w:hAnsi="Arial"/>
                <w:sz w:val="14"/>
                <w:szCs w:val="14"/>
                <w:color w:val="auto"/>
              </w:rPr>
              <w:t>Special Committee</w:t>
            </w:r>
          </w:p>
        </w:tc>
        <w:tc>
          <w:tcPr>
            <w:tcW w:w="1360" w:type="dxa"/>
            <w:vAlign w:val="bottom"/>
            <w:tcBorders>
              <w:bottom w:val="single" w:sz="8" w:color="AFAFAF"/>
            </w:tcBorders>
          </w:tcPr>
          <w:p>
            <w:pPr>
              <w:ind w:left="780"/>
              <w:spacing w:after="0" w:line="157" w:lineRule="exact"/>
              <w:rPr>
                <w:sz w:val="20"/>
                <w:szCs w:val="20"/>
                <w:color w:val="auto"/>
              </w:rPr>
            </w:pPr>
            <w:r>
              <w:rPr>
                <w:rFonts w:ascii="Arial" w:cs="Arial" w:eastAsia="Arial" w:hAnsi="Arial"/>
                <w:sz w:val="14"/>
                <w:szCs w:val="14"/>
                <w:color w:val="auto"/>
              </w:rPr>
              <w:t>2 of 3</w:t>
            </w:r>
          </w:p>
        </w:tc>
        <w:tc>
          <w:tcPr>
            <w:tcW w:w="800" w:type="dxa"/>
            <w:vAlign w:val="bottom"/>
            <w:tcBorders>
              <w:bottom w:val="single" w:sz="8" w:color="AFAFAF"/>
            </w:tcBorders>
          </w:tcPr>
          <w:p>
            <w:pPr>
              <w:ind w:left="40"/>
              <w:spacing w:after="0" w:line="157" w:lineRule="exact"/>
              <w:rPr>
                <w:sz w:val="20"/>
                <w:szCs w:val="20"/>
                <w:color w:val="auto"/>
              </w:rPr>
            </w:pPr>
            <w:r>
              <w:rPr>
                <w:rFonts w:ascii="Arial" w:cs="Arial" w:eastAsia="Arial" w:hAnsi="Arial"/>
                <w:sz w:val="14"/>
                <w:szCs w:val="14"/>
                <w:color w:val="auto"/>
              </w:rPr>
              <w:t>67%</w:t>
            </w:r>
          </w:p>
        </w:tc>
        <w:tc>
          <w:tcPr>
            <w:tcW w:w="660" w:type="dxa"/>
            <w:vAlign w:val="bottom"/>
            <w:tcBorders>
              <w:bottom w:val="single" w:sz="8" w:color="AFAFAF"/>
            </w:tcBorders>
          </w:tcPr>
          <w:p>
            <w:pPr>
              <w:spacing w:after="0"/>
              <w:rPr>
                <w:sz w:val="13"/>
                <w:szCs w:val="13"/>
                <w:color w:val="auto"/>
              </w:rPr>
            </w:pPr>
          </w:p>
        </w:tc>
        <w:tc>
          <w:tcPr>
            <w:tcW w:w="980" w:type="dxa"/>
            <w:vAlign w:val="bottom"/>
            <w:tcBorders>
              <w:bottom w:val="single" w:sz="8" w:color="AFAFAF"/>
            </w:tcBorders>
          </w:tcPr>
          <w:p>
            <w:pPr>
              <w:spacing w:after="0"/>
              <w:rPr>
                <w:sz w:val="13"/>
                <w:szCs w:val="13"/>
                <w:color w:val="auto"/>
              </w:rPr>
            </w:pPr>
          </w:p>
        </w:tc>
        <w:tc>
          <w:tcPr>
            <w:tcW w:w="920" w:type="dxa"/>
            <w:vAlign w:val="bottom"/>
            <w:tcBorders>
              <w:bottom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r>
      <w:tr>
        <w:trPr>
          <w:trHeight w:val="155"/>
        </w:trPr>
        <w:tc>
          <w:tcPr>
            <w:tcW w:w="2420" w:type="dxa"/>
            <w:vAlign w:val="bottom"/>
            <w:tcBorders>
              <w:bottom w:val="single" w:sz="8" w:color="AFAFAF"/>
            </w:tcBorders>
          </w:tcPr>
          <w:p>
            <w:pPr>
              <w:ind w:left="60"/>
              <w:spacing w:after="0" w:line="155" w:lineRule="exact"/>
              <w:rPr>
                <w:sz w:val="20"/>
                <w:szCs w:val="20"/>
                <w:color w:val="auto"/>
              </w:rPr>
            </w:pPr>
            <w:r>
              <w:rPr>
                <w:rFonts w:ascii="Arial" w:cs="Arial" w:eastAsia="Arial" w:hAnsi="Arial"/>
                <w:sz w:val="14"/>
                <w:szCs w:val="14"/>
                <w:b w:val="1"/>
                <w:bCs w:val="1"/>
                <w:color w:val="auto"/>
              </w:rPr>
              <w:t>Total</w:t>
            </w:r>
          </w:p>
        </w:tc>
        <w:tc>
          <w:tcPr>
            <w:tcW w:w="1360" w:type="dxa"/>
            <w:vAlign w:val="bottom"/>
            <w:tcBorders>
              <w:bottom w:val="single" w:sz="8" w:color="AFAFAF"/>
            </w:tcBorders>
          </w:tcPr>
          <w:p>
            <w:pPr>
              <w:ind w:left="780"/>
              <w:spacing w:after="0" w:line="155" w:lineRule="exact"/>
              <w:rPr>
                <w:sz w:val="20"/>
                <w:szCs w:val="20"/>
                <w:color w:val="auto"/>
              </w:rPr>
            </w:pPr>
            <w:r>
              <w:rPr>
                <w:rFonts w:ascii="Arial" w:cs="Arial" w:eastAsia="Arial" w:hAnsi="Arial"/>
                <w:sz w:val="14"/>
                <w:szCs w:val="14"/>
                <w:b w:val="1"/>
                <w:bCs w:val="1"/>
                <w:color w:val="auto"/>
              </w:rPr>
              <w:t>25 of 28</w:t>
            </w:r>
          </w:p>
        </w:tc>
        <w:tc>
          <w:tcPr>
            <w:tcW w:w="800" w:type="dxa"/>
            <w:vAlign w:val="bottom"/>
            <w:tcBorders>
              <w:bottom w:val="single" w:sz="8" w:color="AFAFAF"/>
            </w:tcBorders>
          </w:tcPr>
          <w:p>
            <w:pPr>
              <w:ind w:left="40"/>
              <w:spacing w:after="0" w:line="155" w:lineRule="exact"/>
              <w:rPr>
                <w:sz w:val="20"/>
                <w:szCs w:val="20"/>
                <w:color w:val="auto"/>
              </w:rPr>
            </w:pPr>
            <w:r>
              <w:rPr>
                <w:rFonts w:ascii="Arial" w:cs="Arial" w:eastAsia="Arial" w:hAnsi="Arial"/>
                <w:sz w:val="14"/>
                <w:szCs w:val="14"/>
                <w:b w:val="1"/>
                <w:bCs w:val="1"/>
                <w:color w:val="auto"/>
              </w:rPr>
              <w:t>89%</w:t>
            </w:r>
          </w:p>
        </w:tc>
        <w:tc>
          <w:tcPr>
            <w:tcW w:w="660" w:type="dxa"/>
            <w:vAlign w:val="bottom"/>
            <w:tcBorders>
              <w:bottom w:val="single" w:sz="8" w:color="AFAFAF"/>
            </w:tcBorders>
          </w:tcPr>
          <w:p>
            <w:pPr>
              <w:spacing w:after="0"/>
              <w:rPr>
                <w:sz w:val="13"/>
                <w:szCs w:val="13"/>
                <w:color w:val="auto"/>
              </w:rPr>
            </w:pPr>
          </w:p>
        </w:tc>
        <w:tc>
          <w:tcPr>
            <w:tcW w:w="980" w:type="dxa"/>
            <w:vAlign w:val="bottom"/>
            <w:tcBorders>
              <w:bottom w:val="single" w:sz="8" w:color="AFAFAF"/>
            </w:tcBorders>
          </w:tcPr>
          <w:p>
            <w:pPr>
              <w:spacing w:after="0"/>
              <w:rPr>
                <w:sz w:val="13"/>
                <w:szCs w:val="13"/>
                <w:color w:val="auto"/>
              </w:rPr>
            </w:pPr>
          </w:p>
        </w:tc>
        <w:tc>
          <w:tcPr>
            <w:tcW w:w="920" w:type="dxa"/>
            <w:vAlign w:val="bottom"/>
            <w:tcBorders>
              <w:bottom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r>
      <w:tr>
        <w:trPr>
          <w:trHeight w:val="142"/>
        </w:trPr>
        <w:tc>
          <w:tcPr>
            <w:tcW w:w="24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Securities held</w:t>
            </w: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Total shares</w:t>
            </w:r>
          </w:p>
        </w:tc>
        <w:tc>
          <w:tcPr>
            <w:tcW w:w="9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Ownership multiple</w:t>
            </w:r>
          </w:p>
        </w:tc>
      </w:tr>
      <w:tr>
        <w:trPr>
          <w:trHeight w:val="188"/>
        </w:trPr>
        <w:tc>
          <w:tcPr>
            <w:tcW w:w="242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(number and value)</w:t>
            </w:r>
          </w:p>
        </w:tc>
        <w:tc>
          <w:tcPr>
            <w:tcW w:w="1360" w:type="dxa"/>
            <w:vAlign w:val="bottom"/>
            <w:tcBorders>
              <w:bottom w:val="single" w:sz="8" w:color="AFAFAF"/>
            </w:tcBorders>
          </w:tcPr>
          <w:p>
            <w:pPr>
              <w:spacing w:after="0"/>
              <w:rPr>
                <w:sz w:val="16"/>
                <w:szCs w:val="16"/>
                <w:color w:val="auto"/>
              </w:rPr>
            </w:pPr>
          </w:p>
        </w:tc>
        <w:tc>
          <w:tcPr>
            <w:tcW w:w="800" w:type="dxa"/>
            <w:vAlign w:val="bottom"/>
            <w:tcBorders>
              <w:bottom w:val="single" w:sz="8" w:color="AFAFAF"/>
            </w:tcBorders>
          </w:tcPr>
          <w:p>
            <w:pPr>
              <w:spacing w:after="0"/>
              <w:rPr>
                <w:sz w:val="16"/>
                <w:szCs w:val="16"/>
                <w:color w:val="auto"/>
              </w:rPr>
            </w:pPr>
          </w:p>
        </w:tc>
        <w:tc>
          <w:tcPr>
            <w:tcW w:w="660" w:type="dxa"/>
            <w:vAlign w:val="bottom"/>
            <w:tcBorders>
              <w:bottom w:val="single" w:sz="8" w:color="AFAFAF"/>
            </w:tcBorders>
          </w:tcPr>
          <w:p>
            <w:pPr>
              <w:spacing w:after="0"/>
              <w:rPr>
                <w:sz w:val="16"/>
                <w:szCs w:val="16"/>
                <w:color w:val="auto"/>
              </w:rPr>
            </w:pPr>
          </w:p>
        </w:tc>
        <w:tc>
          <w:tcPr>
            <w:tcW w:w="980" w:type="dxa"/>
            <w:vAlign w:val="bottom"/>
            <w:tcBorders>
              <w:bottom w:val="single" w:sz="8" w:color="AFAFAF"/>
            </w:tcBorders>
          </w:tcPr>
          <w:p>
            <w:pPr>
              <w:ind w:left="100"/>
              <w:spacing w:after="0"/>
              <w:rPr>
                <w:sz w:val="20"/>
                <w:szCs w:val="20"/>
                <w:color w:val="auto"/>
              </w:rPr>
            </w:pPr>
            <w:r>
              <w:rPr>
                <w:rFonts w:ascii="Arial" w:cs="Arial" w:eastAsia="Arial" w:hAnsi="Arial"/>
                <w:sz w:val="14"/>
                <w:szCs w:val="14"/>
                <w:b w:val="1"/>
                <w:bCs w:val="1"/>
                <w:color w:val="auto"/>
              </w:rPr>
              <w:t>and DSUs</w:t>
            </w:r>
          </w:p>
        </w:tc>
        <w:tc>
          <w:tcPr>
            <w:tcW w:w="92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160"/>
        </w:trPr>
        <w:tc>
          <w:tcPr>
            <w:tcW w:w="2420" w:type="dxa"/>
            <w:vAlign w:val="bottom"/>
          </w:tcPr>
          <w:p>
            <w:pPr>
              <w:ind w:left="60"/>
              <w:spacing w:after="0" w:line="160" w:lineRule="exact"/>
              <w:rPr>
                <w:sz w:val="20"/>
                <w:szCs w:val="20"/>
                <w:color w:val="auto"/>
              </w:rPr>
            </w:pPr>
            <w:r>
              <w:rPr>
                <w:rFonts w:ascii="Arial" w:cs="Arial" w:eastAsia="Arial" w:hAnsi="Arial"/>
                <w:sz w:val="14"/>
                <w:szCs w:val="14"/>
                <w:color w:val="auto"/>
              </w:rPr>
              <w:t>Common shares</w:t>
            </w:r>
          </w:p>
        </w:tc>
        <w:tc>
          <w:tcPr>
            <w:tcW w:w="1360" w:type="dxa"/>
            <w:vAlign w:val="bottom"/>
          </w:tcPr>
          <w:p>
            <w:pPr>
              <w:ind w:left="780"/>
              <w:spacing w:after="0" w:line="160" w:lineRule="exact"/>
              <w:rPr>
                <w:sz w:val="20"/>
                <w:szCs w:val="20"/>
                <w:color w:val="auto"/>
              </w:rPr>
            </w:pPr>
            <w:r>
              <w:rPr>
                <w:rFonts w:ascii="Arial" w:cs="Arial" w:eastAsia="Arial" w:hAnsi="Arial"/>
                <w:sz w:val="14"/>
                <w:szCs w:val="14"/>
                <w:color w:val="auto"/>
              </w:rPr>
              <w:t>RSUs</w:t>
            </w:r>
          </w:p>
        </w:tc>
        <w:tc>
          <w:tcPr>
            <w:tcW w:w="800" w:type="dxa"/>
            <w:vAlign w:val="bottom"/>
          </w:tcPr>
          <w:p>
            <w:pPr>
              <w:ind w:left="40"/>
              <w:spacing w:after="0" w:line="160" w:lineRule="exact"/>
              <w:rPr>
                <w:sz w:val="20"/>
                <w:szCs w:val="20"/>
                <w:color w:val="auto"/>
              </w:rPr>
            </w:pPr>
            <w:r>
              <w:rPr>
                <w:rFonts w:ascii="Arial" w:cs="Arial" w:eastAsia="Arial" w:hAnsi="Arial"/>
                <w:sz w:val="14"/>
                <w:szCs w:val="14"/>
                <w:color w:val="auto"/>
              </w:rPr>
              <w:t>DSUs</w:t>
            </w:r>
          </w:p>
        </w:tc>
        <w:tc>
          <w:tcPr>
            <w:tcW w:w="660" w:type="dxa"/>
            <w:vAlign w:val="bottom"/>
          </w:tcPr>
          <w:p>
            <w:pPr>
              <w:ind w:left="40"/>
              <w:spacing w:after="0" w:line="160" w:lineRule="exact"/>
              <w:rPr>
                <w:sz w:val="20"/>
                <w:szCs w:val="20"/>
                <w:color w:val="auto"/>
              </w:rPr>
            </w:pPr>
            <w:r>
              <w:rPr>
                <w:rFonts w:ascii="Arial" w:cs="Arial" w:eastAsia="Arial" w:hAnsi="Arial"/>
                <w:sz w:val="14"/>
                <w:szCs w:val="14"/>
                <w:color w:val="auto"/>
              </w:rPr>
              <w:t>Options</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70"/>
        </w:trPr>
        <w:tc>
          <w:tcPr>
            <w:tcW w:w="2420" w:type="dxa"/>
            <w:vAlign w:val="bottom"/>
            <w:tcBorders>
              <w:bottom w:val="single" w:sz="8" w:color="AFAFAF"/>
            </w:tcBorders>
          </w:tcPr>
          <w:p>
            <w:pPr>
              <w:ind w:left="15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FAFAF"/>
            </w:tcBorders>
          </w:tcPr>
          <w:p>
            <w:pPr>
              <w:ind w:left="10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34,608</w:t>
            </w:r>
          </w:p>
        </w:tc>
        <w:tc>
          <w:tcPr>
            <w:tcW w:w="660" w:type="dxa"/>
            <w:vAlign w:val="bottom"/>
            <w:tcBorders>
              <w:bottom w:val="single" w:sz="8" w:color="AFAFAF"/>
            </w:tcBorders>
          </w:tcPr>
          <w:p>
            <w:pPr>
              <w:ind w:left="3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FAFAF"/>
            </w:tcBorders>
          </w:tcPr>
          <w:p>
            <w:pPr>
              <w:ind w:left="100"/>
              <w:spacing w:after="0"/>
              <w:rPr>
                <w:sz w:val="20"/>
                <w:szCs w:val="20"/>
                <w:color w:val="auto"/>
              </w:rPr>
            </w:pPr>
            <w:r>
              <w:rPr>
                <w:rFonts w:ascii="Arial" w:cs="Arial" w:eastAsia="Arial" w:hAnsi="Arial"/>
                <w:sz w:val="14"/>
                <w:szCs w:val="14"/>
                <w:color w:val="auto"/>
              </w:rPr>
              <w:t>34,608</w:t>
            </w:r>
          </w:p>
        </w:tc>
        <w:tc>
          <w:tcPr>
            <w:tcW w:w="920" w:type="dxa"/>
            <w:vAlign w:val="bottom"/>
            <w:tcBorders>
              <w:bottom w:val="single" w:sz="8" w:color="AFAFAF"/>
            </w:tcBorders>
          </w:tcPr>
          <w:p>
            <w:pPr>
              <w:spacing w:after="0"/>
              <w:rPr>
                <w:sz w:val="14"/>
                <w:szCs w:val="14"/>
                <w:color w:val="auto"/>
              </w:rPr>
            </w:pPr>
          </w:p>
        </w:tc>
        <w:tc>
          <w:tcPr>
            <w:tcW w:w="1380" w:type="dxa"/>
            <w:vAlign w:val="bottom"/>
            <w:tcBorders>
              <w:bottom w:val="single" w:sz="8" w:color="AFAFAF"/>
            </w:tcBorders>
          </w:tcPr>
          <w:p>
            <w:pPr>
              <w:spacing w:after="0"/>
              <w:rPr>
                <w:sz w:val="14"/>
                <w:szCs w:val="14"/>
                <w:color w:val="auto"/>
              </w:rPr>
            </w:pPr>
          </w:p>
        </w:tc>
      </w:tr>
      <w:tr>
        <w:trPr>
          <w:trHeight w:val="179"/>
        </w:trPr>
        <w:tc>
          <w:tcPr>
            <w:tcW w:w="2420" w:type="dxa"/>
            <w:vAlign w:val="bottom"/>
          </w:tcPr>
          <w:p>
            <w:pPr>
              <w:ind w:left="1540"/>
              <w:spacing w:after="0"/>
              <w:rPr>
                <w:sz w:val="20"/>
                <w:szCs w:val="20"/>
                <w:color w:val="auto"/>
              </w:rPr>
            </w:pPr>
            <w:r>
              <w:rPr>
                <w:rFonts w:ascii="Arial" w:cs="Arial" w:eastAsia="Arial" w:hAnsi="Arial"/>
                <w:sz w:val="14"/>
                <w:szCs w:val="14"/>
                <w:color w:val="auto"/>
              </w:rPr>
              <w:t>–</w:t>
            </w:r>
          </w:p>
        </w:tc>
        <w:tc>
          <w:tcPr>
            <w:tcW w:w="1360" w:type="dxa"/>
            <w:vAlign w:val="bottom"/>
          </w:tcPr>
          <w:p>
            <w:pPr>
              <w:ind w:left="1000"/>
              <w:spacing w:after="0"/>
              <w:rPr>
                <w:sz w:val="20"/>
                <w:szCs w:val="20"/>
                <w:color w:val="auto"/>
              </w:rPr>
            </w:pPr>
            <w:r>
              <w:rPr>
                <w:rFonts w:ascii="Arial" w:cs="Arial" w:eastAsia="Arial" w:hAnsi="Arial"/>
                <w:sz w:val="14"/>
                <w:szCs w:val="14"/>
                <w:color w:val="auto"/>
              </w:rPr>
              <w:t>–</w:t>
            </w:r>
          </w:p>
        </w:tc>
        <w:tc>
          <w:tcPr>
            <w:tcW w:w="80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2,042,910</w:t>
            </w:r>
          </w:p>
        </w:tc>
        <w:tc>
          <w:tcPr>
            <w:tcW w:w="66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2,042,910</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10.2x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-14605</wp:posOffset>
            </wp:positionV>
            <wp:extent cx="69735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column">
              <wp:posOffset>-1559560</wp:posOffset>
            </wp:positionH>
            <wp:positionV relativeFrom="paragraph">
              <wp:posOffset>121285</wp:posOffset>
            </wp:positionV>
            <wp:extent cx="697357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420"/>
            <w:col w:w="8520"/>
          </w:cols>
          <w:pgMar w:left="240" w:top="458" w:right="459" w:bottom="1440" w:gutter="0" w:footer="0" w:header="0"/>
          <w:type w:val="continuous"/>
        </w:sectPr>
      </w:pPr>
    </w:p>
    <w:p>
      <w:pPr>
        <w:spacing w:after="0" w:line="165"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20</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Director Compensation and Share Ownership</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Approach and Philosophy</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approach and philosophy for director compensation is to:</w:t>
      </w:r>
    </w:p>
    <w:p>
      <w:pPr>
        <w:sectPr>
          <w:pgSz w:w="11900" w:h="16838" w:orient="portrait"/>
          <w:cols w:equalWidth="0" w:num="1">
            <w:col w:w="11200"/>
          </w:cols>
          <w:pgMar w:left="240" w:top="458" w:right="459" w:bottom="1440" w:gutter="0" w:footer="0" w:header="0"/>
        </w:sectPr>
      </w:pPr>
    </w:p>
    <w:p>
      <w:pPr>
        <w:spacing w:after="0" w:line="108"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5260"/>
        <w:spacing w:after="0" w:line="382" w:lineRule="auto"/>
        <w:rPr>
          <w:sz w:val="20"/>
          <w:szCs w:val="20"/>
          <w:color w:val="auto"/>
        </w:rPr>
      </w:pPr>
      <w:r>
        <w:rPr>
          <w:rFonts w:ascii="Arial" w:cs="Arial" w:eastAsia="Arial" w:hAnsi="Arial"/>
          <w:sz w:val="18"/>
          <w:szCs w:val="18"/>
          <w:color w:val="auto"/>
        </w:rPr>
        <w:t>align the interests of our directors with those of our shareholders; and provide competitive compensation.</w:t>
      </w:r>
    </w:p>
    <w:p>
      <w:pPr>
        <w:spacing w:after="0" w:line="1"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ind w:left="220"/>
        <w:spacing w:after="0"/>
        <w:rPr>
          <w:sz w:val="20"/>
          <w:szCs w:val="20"/>
          <w:color w:val="auto"/>
        </w:rPr>
      </w:pPr>
      <w:r>
        <w:rPr>
          <w:rFonts w:ascii="Arial" w:cs="Arial" w:eastAsia="Arial" w:hAnsi="Arial"/>
          <w:sz w:val="17"/>
          <w:szCs w:val="17"/>
          <w:color w:val="auto"/>
        </w:rPr>
        <w:t>The compensation program for our directors takes into account:</w:t>
      </w:r>
    </w:p>
    <w:p>
      <w:pPr>
        <w:sectPr>
          <w:pgSz w:w="11900" w:h="16838" w:orient="portrait"/>
          <w:cols w:equalWidth="0" w:num="1">
            <w:col w:w="11200"/>
          </w:cols>
          <w:pgMar w:left="240" w:top="458" w:right="459" w:bottom="1440" w:gutter="0" w:footer="0" w:header="0"/>
          <w:type w:val="continuous"/>
        </w:sectPr>
      </w:pPr>
    </w:p>
    <w:p>
      <w:pPr>
        <w:spacing w:after="0" w:line="120"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size, scope and complexity of our organization;</w:t>
      </w:r>
    </w:p>
    <w:p>
      <w:pPr>
        <w:spacing w:after="0" w:line="129" w:lineRule="exact"/>
        <w:rPr>
          <w:sz w:val="20"/>
          <w:szCs w:val="20"/>
          <w:color w:val="auto"/>
        </w:rPr>
      </w:pPr>
    </w:p>
    <w:p>
      <w:pPr>
        <w:ind w:right="660"/>
        <w:spacing w:after="0" w:line="244" w:lineRule="auto"/>
        <w:rPr>
          <w:sz w:val="20"/>
          <w:szCs w:val="20"/>
          <w:color w:val="auto"/>
        </w:rPr>
      </w:pPr>
      <w:r>
        <w:rPr>
          <w:rFonts w:ascii="Arial" w:cs="Arial" w:eastAsia="Arial" w:hAnsi="Arial"/>
          <w:sz w:val="18"/>
          <w:szCs w:val="18"/>
          <w:color w:val="auto"/>
        </w:rPr>
        <w:t>the time commitment, contributions and effort required of directors to serve on the board and one or more board committees, as applicable (including board/committee meetings and travel to and from board/committee meetings and site visits);</w:t>
      </w:r>
    </w:p>
    <w:p>
      <w:pPr>
        <w:spacing w:after="0" w:line="96"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ind w:left="220"/>
        <w:spacing w:after="0"/>
        <w:rPr>
          <w:sz w:val="20"/>
          <w:szCs w:val="20"/>
          <w:color w:val="auto"/>
        </w:rPr>
      </w:pPr>
      <w:r>
        <w:rPr>
          <w:rFonts w:ascii="Arial" w:cs="Arial" w:eastAsia="Arial" w:hAnsi="Arial"/>
          <w:sz w:val="6"/>
          <w:szCs w:val="6"/>
          <w:color w:val="D95A3B"/>
        </w:rPr>
        <w:t>·</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experience and skills of our directors;</w:t>
      </w:r>
    </w:p>
    <w:p>
      <w:pPr>
        <w:spacing w:after="0" w:line="129"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compensation levels for boards of directors of other large comparable U.S. and Canada-based multinational public companies in order for amounts paid to our directors to be competitive to attract new candidates and to retain existing directors;</w:t>
      </w:r>
    </w:p>
    <w:p>
      <w:pPr>
        <w:spacing w:after="0" w:line="104"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ind w:left="440" w:right="140" w:hanging="217"/>
        <w:spacing w:after="0" w:line="244" w:lineRule="auto"/>
        <w:tabs>
          <w:tab w:leader="none" w:pos="440" w:val="left"/>
        </w:tabs>
        <w:numPr>
          <w:ilvl w:val="0"/>
          <w:numId w:val="9"/>
        </w:numPr>
        <w:rPr>
          <w:rFonts w:ascii="Arial" w:cs="Arial" w:eastAsia="Arial" w:hAnsi="Arial"/>
          <w:sz w:val="18"/>
          <w:szCs w:val="18"/>
          <w:color w:val="D95A3B"/>
          <w:vertAlign w:val="superscript"/>
        </w:rPr>
      </w:pPr>
      <w:r>
        <w:rPr>
          <w:rFonts w:ascii="Arial" w:cs="Arial" w:eastAsia="Arial" w:hAnsi="Arial"/>
          <w:sz w:val="18"/>
          <w:szCs w:val="18"/>
          <w:color w:val="auto"/>
        </w:rPr>
        <w:t>an increasing trend in U.S. and Canadian public company director compensation programs to require a combination of mandatory and optional equity components to further align directors’ interests with shareholders; and</w:t>
      </w:r>
    </w:p>
    <w:p>
      <w:pPr>
        <w:spacing w:after="0" w:line="104" w:lineRule="exact"/>
        <w:rPr>
          <w:rFonts w:ascii="Arial" w:cs="Arial" w:eastAsia="Arial" w:hAnsi="Arial"/>
          <w:sz w:val="18"/>
          <w:szCs w:val="18"/>
          <w:color w:val="D95A3B"/>
          <w:vertAlign w:val="superscript"/>
        </w:rPr>
      </w:pPr>
    </w:p>
    <w:p>
      <w:pPr>
        <w:ind w:left="440" w:hanging="217"/>
        <w:spacing w:after="0"/>
        <w:tabs>
          <w:tab w:leader="none" w:pos="440" w:val="left"/>
        </w:tabs>
        <w:numPr>
          <w:ilvl w:val="0"/>
          <w:numId w:val="9"/>
        </w:numPr>
        <w:rPr>
          <w:rFonts w:ascii="Arial" w:cs="Arial" w:eastAsia="Arial" w:hAnsi="Arial"/>
          <w:sz w:val="18"/>
          <w:szCs w:val="18"/>
          <w:color w:val="D95A3B"/>
          <w:vertAlign w:val="superscript"/>
        </w:rPr>
      </w:pPr>
      <w:r>
        <w:rPr>
          <w:rFonts w:ascii="Arial" w:cs="Arial" w:eastAsia="Arial" w:hAnsi="Arial"/>
          <w:sz w:val="18"/>
          <w:szCs w:val="18"/>
          <w:color w:val="auto"/>
        </w:rPr>
        <w:t>our desire to have a flat fee structure.</w:t>
      </w:r>
    </w:p>
    <w:p>
      <w:pPr>
        <w:spacing w:after="0" w:line="116"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Our Corporate Governance Committee is responsible for periodically reviewing the adequacy and form of directors’ compensation. In 2018, the Corporate Governance Committee reviewed our director compensation program and decided to provide the chairs of the Corporate Governance Committee and the newly formed Risk Committee with a retainer equivalent to the chairs of the Audit Committee and HR Committee. The Lead Independent Director was chair of the Corporate Governance Committee until June 2018 and did not receive any additional committee fees while serving in both capacities. Due to the F&amp;R transaction, the Corporate Governance Committee decided not to make any other changes to the form or amount of director compensation in 2018.</w:t>
      </w:r>
    </w:p>
    <w:p>
      <w:pPr>
        <w:spacing w:after="0" w:line="98" w:lineRule="exact"/>
        <w:rPr>
          <w:sz w:val="20"/>
          <w:szCs w:val="20"/>
          <w:color w:val="auto"/>
        </w:rPr>
      </w:pPr>
    </w:p>
    <w:p>
      <w:pPr>
        <w:jc w:val="both"/>
        <w:ind w:left="220" w:right="320"/>
        <w:spacing w:after="0" w:line="239" w:lineRule="auto"/>
        <w:rPr>
          <w:sz w:val="20"/>
          <w:szCs w:val="20"/>
          <w:color w:val="auto"/>
        </w:rPr>
      </w:pPr>
      <w:r>
        <w:rPr>
          <w:rFonts w:ascii="Arial" w:cs="Arial" w:eastAsia="Arial" w:hAnsi="Arial"/>
          <w:sz w:val="18"/>
          <w:szCs w:val="18"/>
          <w:color w:val="auto"/>
        </w:rPr>
        <w:t>In periodically benchmarking director compensation, the Corporate Governance Committee evaluates publicly available data related to director compensation paid by large U.S. and Canadian public companies, as our company’s board is primarily comprised of directors from the U.S. and Canada. U.S. board compensation is generally higher than Canadian companies.</w:t>
      </w:r>
    </w:p>
    <w:p>
      <w:pPr>
        <w:spacing w:after="0" w:line="95" w:lineRule="exact"/>
        <w:rPr>
          <w:sz w:val="20"/>
          <w:szCs w:val="20"/>
          <w:color w:val="auto"/>
        </w:rPr>
      </w:pPr>
    </w:p>
    <w:p>
      <w:pPr>
        <w:ind w:left="220" w:right="120"/>
        <w:spacing w:after="0" w:line="244" w:lineRule="auto"/>
        <w:rPr>
          <w:sz w:val="20"/>
          <w:szCs w:val="20"/>
          <w:color w:val="auto"/>
        </w:rPr>
      </w:pPr>
      <w:r>
        <w:rPr>
          <w:rFonts w:ascii="Arial" w:cs="Arial" w:eastAsia="Arial" w:hAnsi="Arial"/>
          <w:sz w:val="18"/>
          <w:szCs w:val="18"/>
          <w:color w:val="auto"/>
        </w:rPr>
        <w:t>We do not grant stock options, restricted share units (RSUs) or bonuses to our non-management directors. In addition, we do not provide our non-management directors with retirement/pension benefits, healthcare coverage or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74930</wp:posOffset>
            </wp:positionV>
            <wp:extent cx="69735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18" w:lineRule="exact"/>
        <w:rPr>
          <w:sz w:val="20"/>
          <w:szCs w:val="20"/>
          <w:color w:val="auto"/>
        </w:rPr>
      </w:pPr>
    </w:p>
    <w:p>
      <w:pPr>
        <w:ind w:left="220" w:right="20"/>
        <w:spacing w:after="0" w:line="242" w:lineRule="auto"/>
        <w:rPr>
          <w:sz w:val="20"/>
          <w:szCs w:val="20"/>
          <w:color w:val="auto"/>
        </w:rPr>
      </w:pPr>
      <w:r>
        <w:rPr>
          <w:rFonts w:ascii="Arial" w:cs="Arial" w:eastAsia="Arial" w:hAnsi="Arial"/>
          <w:sz w:val="27"/>
          <w:szCs w:val="27"/>
          <w:color w:val="auto"/>
        </w:rPr>
        <w:t>As discussed later in this section, we require our directors to hold a minimum value of common shares and/or deferred share units (DSUs) and our director compensation program encourages directors to invest in our company beyond their minimum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205740</wp:posOffset>
            </wp:positionV>
            <wp:extent cx="69735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359410</wp:posOffset>
            </wp:positionV>
            <wp:extent cx="697357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21</w:t>
      </w:r>
    </w:p>
    <w:p>
      <w:pPr>
        <w:sectPr>
          <w:pgSz w:w="11900" w:h="16838" w:orient="portrait"/>
          <w:cols w:equalWidth="0" w:num="1">
            <w:col w:w="11200"/>
          </w:cols>
          <w:pgMar w:left="240" w:top="458" w:right="4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469265</wp:posOffset>
            </wp:positionV>
            <wp:extent cx="69735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right="400"/>
        <w:spacing w:after="0" w:line="268" w:lineRule="auto"/>
        <w:rPr>
          <w:sz w:val="20"/>
          <w:szCs w:val="20"/>
          <w:color w:val="auto"/>
        </w:rPr>
      </w:pPr>
      <w:r>
        <w:rPr>
          <w:rFonts w:ascii="Arial" w:cs="Arial" w:eastAsia="Arial" w:hAnsi="Arial"/>
          <w:sz w:val="26"/>
          <w:szCs w:val="26"/>
          <w:color w:val="auto"/>
        </w:rPr>
        <w:t xml:space="preserve">Our directors have a mandatory equity component for their compensation. Approximately </w:t>
      </w:r>
      <w:r>
        <w:rPr>
          <w:rFonts w:ascii="Arial" w:cs="Arial" w:eastAsia="Arial" w:hAnsi="Arial"/>
          <w:sz w:val="26"/>
          <w:szCs w:val="26"/>
          <w:b w:val="1"/>
          <w:bCs w:val="1"/>
          <w:color w:val="D95A3B"/>
        </w:rPr>
        <w:t xml:space="preserve">89% </w:t>
      </w:r>
      <w:r>
        <w:rPr>
          <w:rFonts w:ascii="Arial" w:cs="Arial" w:eastAsia="Arial" w:hAnsi="Arial"/>
          <w:sz w:val="26"/>
          <w:szCs w:val="26"/>
          <w:color w:val="000000"/>
        </w:rPr>
        <w:t>of director compensation was paid in equity (DSUs or common shares)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175260</wp:posOffset>
            </wp:positionV>
            <wp:extent cx="69735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370"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Components of Director Compensation</w:t>
      </w:r>
    </w:p>
    <w:p>
      <w:pPr>
        <w:spacing w:after="0" w:line="35" w:lineRule="exact"/>
        <w:rPr>
          <w:sz w:val="20"/>
          <w:szCs w:val="20"/>
          <w:color w:val="auto"/>
        </w:rPr>
      </w:pPr>
    </w:p>
    <w:p>
      <w:pPr>
        <w:ind w:left="220" w:right="260"/>
        <w:spacing w:after="0" w:line="237" w:lineRule="auto"/>
        <w:rPr>
          <w:sz w:val="20"/>
          <w:szCs w:val="20"/>
          <w:color w:val="auto"/>
        </w:rPr>
      </w:pPr>
      <w:r>
        <w:rPr>
          <w:rFonts w:ascii="Arial" w:cs="Arial" w:eastAsia="Arial" w:hAnsi="Arial"/>
          <w:sz w:val="18"/>
          <w:szCs w:val="18"/>
          <w:color w:val="auto"/>
        </w:rPr>
        <w:t>The table below sets forth the annual retainers that were payable to our non-management directors in 2018. Directors do not receive separate attendance or meeting fees. Chairs of the board’s standing committees receive additional fees given their increased responsibilities and workloads. No fees were paid in 2018 to members of the Special Committee that was formed in connection with the F&amp;R transaction (as discussed later in this circular). Additional information regarding the different components of our director compensation structure is provided following this table.</w:t>
      </w:r>
    </w:p>
    <w:p>
      <w:pPr>
        <w:spacing w:after="0" w:line="109"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3420" w:type="dxa"/>
            <w:vAlign w:val="bottom"/>
            <w:tcBorders>
              <w:bottom w:val="single" w:sz="8" w:color="D95A3B"/>
              <w:right w:val="single" w:sz="8" w:color="AFAFAF"/>
            </w:tcBorders>
          </w:tcPr>
          <w:p>
            <w:pPr>
              <w:spacing w:after="0"/>
              <w:rPr>
                <w:sz w:val="16"/>
                <w:szCs w:val="16"/>
                <w:color w:val="auto"/>
              </w:rPr>
            </w:pPr>
          </w:p>
        </w:tc>
        <w:tc>
          <w:tcPr>
            <w:tcW w:w="7560" w:type="dxa"/>
            <w:vAlign w:val="bottom"/>
            <w:tcBorders>
              <w:bottom w:val="single" w:sz="8" w:color="D95A3B"/>
            </w:tcBorders>
            <w:shd w:val="clear" w:color="auto" w:fill="CCCCCC"/>
          </w:tcPr>
          <w:p>
            <w:pPr>
              <w:jc w:val="right"/>
              <w:ind w:right="3268"/>
              <w:spacing w:after="0"/>
              <w:rPr>
                <w:sz w:val="20"/>
                <w:szCs w:val="20"/>
                <w:color w:val="auto"/>
              </w:rPr>
            </w:pPr>
            <w:r>
              <w:rPr>
                <w:rFonts w:ascii="Arial" w:cs="Arial" w:eastAsia="Arial" w:hAnsi="Arial"/>
                <w:sz w:val="15"/>
                <w:szCs w:val="15"/>
                <w:b w:val="1"/>
                <w:bCs w:val="1"/>
                <w:color w:val="auto"/>
              </w:rPr>
              <w:t>2018 ($)</w:t>
            </w:r>
          </w:p>
        </w:tc>
      </w:tr>
      <w:tr>
        <w:trPr>
          <w:trHeight w:val="155"/>
        </w:trPr>
        <w:tc>
          <w:tcPr>
            <w:tcW w:w="342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1"/>
                <w:szCs w:val="11"/>
                <w:b w:val="1"/>
                <w:bCs w:val="1"/>
                <w:color w:val="auto"/>
              </w:rPr>
              <w:t>Non-management directors</w:t>
            </w:r>
            <w:r>
              <w:rPr>
                <w:rFonts w:ascii="Arial" w:cs="Arial" w:eastAsia="Arial" w:hAnsi="Arial"/>
                <w:sz w:val="17"/>
                <w:szCs w:val="17"/>
                <w:b w:val="1"/>
                <w:bCs w:val="1"/>
                <w:color w:val="auto"/>
                <w:vertAlign w:val="superscript"/>
              </w:rPr>
              <w:t>1</w:t>
            </w:r>
          </w:p>
        </w:tc>
        <w:tc>
          <w:tcPr>
            <w:tcW w:w="7560" w:type="dxa"/>
            <w:vAlign w:val="bottom"/>
            <w:tcBorders>
              <w:bottom w:val="single" w:sz="8" w:color="AFAFAF"/>
            </w:tcBorders>
          </w:tcPr>
          <w:p>
            <w:pPr>
              <w:jc w:val="center"/>
              <w:ind w:left="248"/>
              <w:spacing w:after="0" w:line="155" w:lineRule="exact"/>
              <w:rPr>
                <w:sz w:val="20"/>
                <w:szCs w:val="20"/>
                <w:color w:val="auto"/>
              </w:rPr>
            </w:pPr>
            <w:r>
              <w:rPr>
                <w:rFonts w:ascii="Arial" w:cs="Arial" w:eastAsia="Arial" w:hAnsi="Arial"/>
                <w:sz w:val="14"/>
                <w:szCs w:val="14"/>
                <w:color w:val="auto"/>
              </w:rPr>
              <w:t>200,000 (50,000 of which is required to be paid in deferred share units, or DSUs)</w:t>
            </w:r>
          </w:p>
        </w:tc>
      </w:tr>
      <w:tr>
        <w:trPr>
          <w:trHeight w:val="155"/>
        </w:trPr>
        <w:tc>
          <w:tcPr>
            <w:tcW w:w="342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Chairman of the Board</w:t>
            </w:r>
          </w:p>
        </w:tc>
        <w:tc>
          <w:tcPr>
            <w:tcW w:w="7560" w:type="dxa"/>
            <w:vAlign w:val="bottom"/>
            <w:tcBorders>
              <w:bottom w:val="single" w:sz="8" w:color="AFAFAF"/>
            </w:tcBorders>
          </w:tcPr>
          <w:p>
            <w:pPr>
              <w:jc w:val="right"/>
              <w:ind w:right="3288"/>
              <w:spacing w:after="0" w:line="155" w:lineRule="exact"/>
              <w:rPr>
                <w:sz w:val="20"/>
                <w:szCs w:val="20"/>
                <w:color w:val="auto"/>
              </w:rPr>
            </w:pPr>
            <w:r>
              <w:rPr>
                <w:rFonts w:ascii="Arial" w:cs="Arial" w:eastAsia="Arial" w:hAnsi="Arial"/>
                <w:sz w:val="14"/>
                <w:szCs w:val="14"/>
                <w:color w:val="auto"/>
              </w:rPr>
              <w:t>600,000</w:t>
            </w:r>
          </w:p>
        </w:tc>
      </w:tr>
      <w:tr>
        <w:trPr>
          <w:trHeight w:val="155"/>
        </w:trPr>
        <w:tc>
          <w:tcPr>
            <w:tcW w:w="342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Additional retainers</w:t>
            </w:r>
          </w:p>
        </w:tc>
        <w:tc>
          <w:tcPr>
            <w:tcW w:w="7560" w:type="dxa"/>
            <w:vAlign w:val="bottom"/>
            <w:tcBorders>
              <w:bottom w:val="single" w:sz="8" w:color="AFAFAF"/>
            </w:tcBorders>
          </w:tcPr>
          <w:p>
            <w:pPr>
              <w:spacing w:after="0"/>
              <w:rPr>
                <w:sz w:val="13"/>
                <w:szCs w:val="13"/>
                <w:color w:val="auto"/>
              </w:rPr>
            </w:pPr>
          </w:p>
        </w:tc>
      </w:tr>
      <w:tr>
        <w:trPr>
          <w:trHeight w:val="155"/>
        </w:trPr>
        <w:tc>
          <w:tcPr>
            <w:tcW w:w="3420" w:type="dxa"/>
            <w:vAlign w:val="bottom"/>
            <w:tcBorders>
              <w:bottom w:val="single" w:sz="8" w:color="AFAFAF"/>
              <w:right w:val="single" w:sz="8" w:color="AFAFAF"/>
            </w:tcBorders>
          </w:tcPr>
          <w:p>
            <w:pPr>
              <w:ind w:left="160"/>
              <w:spacing w:after="0" w:line="155" w:lineRule="exact"/>
              <w:rPr>
                <w:sz w:val="20"/>
                <w:szCs w:val="20"/>
                <w:color w:val="auto"/>
              </w:rPr>
            </w:pPr>
            <w:r>
              <w:rPr>
                <w:rFonts w:ascii="Arial" w:cs="Arial" w:eastAsia="Arial" w:hAnsi="Arial"/>
                <w:sz w:val="14"/>
                <w:szCs w:val="14"/>
                <w:color w:val="auto"/>
              </w:rPr>
              <w:t>Deputy Chairman of the Board</w:t>
            </w:r>
          </w:p>
        </w:tc>
        <w:tc>
          <w:tcPr>
            <w:tcW w:w="7560" w:type="dxa"/>
            <w:vAlign w:val="bottom"/>
            <w:tcBorders>
              <w:bottom w:val="single" w:sz="8" w:color="AFAFAF"/>
            </w:tcBorders>
          </w:tcPr>
          <w:p>
            <w:pPr>
              <w:jc w:val="center"/>
              <w:ind w:left="248"/>
              <w:spacing w:after="0" w:line="155" w:lineRule="exact"/>
              <w:rPr>
                <w:sz w:val="20"/>
                <w:szCs w:val="20"/>
                <w:color w:val="auto"/>
              </w:rPr>
            </w:pPr>
            <w:r>
              <w:rPr>
                <w:rFonts w:ascii="Arial" w:cs="Arial" w:eastAsia="Arial" w:hAnsi="Arial"/>
                <w:sz w:val="14"/>
                <w:szCs w:val="14"/>
                <w:color w:val="auto"/>
              </w:rPr>
              <w:t>150,000 (payable in DSUs)</w:t>
            </w:r>
          </w:p>
        </w:tc>
      </w:tr>
      <w:tr>
        <w:trPr>
          <w:trHeight w:val="155"/>
        </w:trPr>
        <w:tc>
          <w:tcPr>
            <w:tcW w:w="3420" w:type="dxa"/>
            <w:vAlign w:val="bottom"/>
            <w:tcBorders>
              <w:bottom w:val="single" w:sz="8" w:color="AFAFAF"/>
              <w:right w:val="single" w:sz="8" w:color="AFAFAF"/>
            </w:tcBorders>
          </w:tcPr>
          <w:p>
            <w:pPr>
              <w:ind w:left="160"/>
              <w:spacing w:after="0" w:line="155" w:lineRule="exact"/>
              <w:rPr>
                <w:sz w:val="20"/>
                <w:szCs w:val="20"/>
                <w:color w:val="auto"/>
              </w:rPr>
            </w:pPr>
            <w:r>
              <w:rPr>
                <w:rFonts w:ascii="Arial" w:cs="Arial" w:eastAsia="Arial" w:hAnsi="Arial"/>
                <w:sz w:val="14"/>
                <w:szCs w:val="14"/>
                <w:color w:val="auto"/>
              </w:rPr>
              <w:t>Lead Independent Director</w:t>
            </w:r>
          </w:p>
        </w:tc>
        <w:tc>
          <w:tcPr>
            <w:tcW w:w="7560" w:type="dxa"/>
            <w:vAlign w:val="bottom"/>
            <w:tcBorders>
              <w:bottom w:val="single" w:sz="8" w:color="AFAFAF"/>
            </w:tcBorders>
          </w:tcPr>
          <w:p>
            <w:pPr>
              <w:jc w:val="center"/>
              <w:ind w:left="248"/>
              <w:spacing w:after="0" w:line="155" w:lineRule="exact"/>
              <w:rPr>
                <w:sz w:val="20"/>
                <w:szCs w:val="20"/>
                <w:color w:val="auto"/>
              </w:rPr>
            </w:pPr>
            <w:r>
              <w:rPr>
                <w:rFonts w:ascii="Arial" w:cs="Arial" w:eastAsia="Arial" w:hAnsi="Arial"/>
                <w:sz w:val="14"/>
                <w:szCs w:val="14"/>
                <w:color w:val="auto"/>
              </w:rPr>
              <w:t>150,000 (payable in DSUs)</w:t>
            </w:r>
          </w:p>
        </w:tc>
      </w:tr>
      <w:tr>
        <w:trPr>
          <w:trHeight w:val="142"/>
        </w:trPr>
        <w:tc>
          <w:tcPr>
            <w:tcW w:w="342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Committee chairs – Audit, Corporate Governance,</w:t>
            </w:r>
          </w:p>
        </w:tc>
        <w:tc>
          <w:tcPr>
            <w:tcW w:w="7560" w:type="dxa"/>
            <w:vAlign w:val="bottom"/>
          </w:tcPr>
          <w:p>
            <w:pPr>
              <w:spacing w:after="0"/>
              <w:rPr>
                <w:sz w:val="12"/>
                <w:szCs w:val="12"/>
                <w:color w:val="auto"/>
              </w:rPr>
            </w:pPr>
          </w:p>
        </w:tc>
      </w:tr>
      <w:tr>
        <w:trPr>
          <w:trHeight w:val="175"/>
        </w:trPr>
        <w:tc>
          <w:tcPr>
            <w:tcW w:w="3420" w:type="dxa"/>
            <w:vAlign w:val="bottom"/>
            <w:tcBorders>
              <w:bottom w:val="single" w:sz="8" w:color="D95A3B"/>
              <w:right w:val="single" w:sz="8" w:color="AFAFAF"/>
            </w:tcBorders>
          </w:tcPr>
          <w:p>
            <w:pPr>
              <w:ind w:left="140"/>
              <w:spacing w:after="0"/>
              <w:rPr>
                <w:sz w:val="20"/>
                <w:szCs w:val="20"/>
                <w:color w:val="auto"/>
              </w:rPr>
            </w:pPr>
            <w:r>
              <w:rPr>
                <w:rFonts w:ascii="Arial" w:cs="Arial" w:eastAsia="Arial" w:hAnsi="Arial"/>
                <w:sz w:val="14"/>
                <w:szCs w:val="14"/>
                <w:b w:val="1"/>
                <w:bCs w:val="1"/>
                <w:color w:val="auto"/>
              </w:rPr>
              <w:t>HR and Risk</w:t>
            </w:r>
          </w:p>
        </w:tc>
        <w:tc>
          <w:tcPr>
            <w:tcW w:w="7560" w:type="dxa"/>
            <w:vAlign w:val="bottom"/>
            <w:tcBorders>
              <w:bottom w:val="single" w:sz="8" w:color="D95A3B"/>
            </w:tcBorders>
          </w:tcPr>
          <w:p>
            <w:pPr>
              <w:jc w:val="center"/>
              <w:ind w:left="248"/>
              <w:spacing w:after="0"/>
              <w:rPr>
                <w:sz w:val="20"/>
                <w:szCs w:val="20"/>
                <w:color w:val="auto"/>
              </w:rPr>
            </w:pPr>
            <w:r>
              <w:rPr>
                <w:rFonts w:ascii="Arial" w:cs="Arial" w:eastAsia="Arial" w:hAnsi="Arial"/>
                <w:sz w:val="14"/>
                <w:szCs w:val="14"/>
                <w:color w:val="auto"/>
              </w:rPr>
              <w:t>50,000 (payable in DSUs)</w:t>
            </w:r>
          </w:p>
        </w:tc>
      </w:tr>
    </w:tbl>
    <w:p>
      <w:pPr>
        <w:spacing w:after="0" w:line="120" w:lineRule="exact"/>
        <w:rPr>
          <w:sz w:val="20"/>
          <w:szCs w:val="20"/>
          <w:color w:val="auto"/>
        </w:rPr>
      </w:pPr>
    </w:p>
    <w:p>
      <w:pPr>
        <w:ind w:left="540" w:hanging="317"/>
        <w:spacing w:after="0"/>
        <w:tabs>
          <w:tab w:leader="none" w:pos="5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Directors other than the Chairman.</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Retainers / Mandatory Equity Component</w:t>
      </w:r>
    </w:p>
    <w:p>
      <w:pPr>
        <w:spacing w:after="0" w:line="22" w:lineRule="exact"/>
        <w:rPr>
          <w:sz w:val="20"/>
          <w:szCs w:val="20"/>
          <w:color w:val="auto"/>
        </w:rPr>
      </w:pPr>
    </w:p>
    <w:p>
      <w:pPr>
        <w:ind w:left="220" w:right="40"/>
        <w:spacing w:after="0" w:line="239" w:lineRule="auto"/>
        <w:rPr>
          <w:sz w:val="20"/>
          <w:szCs w:val="20"/>
          <w:color w:val="auto"/>
        </w:rPr>
      </w:pPr>
      <w:r>
        <w:rPr>
          <w:rFonts w:ascii="Arial" w:cs="Arial" w:eastAsia="Arial" w:hAnsi="Arial"/>
          <w:sz w:val="18"/>
          <w:szCs w:val="18"/>
          <w:color w:val="auto"/>
        </w:rPr>
        <w:t>We require a minimum of $50,000 of each director’s $200,000 annual retainer to be paid in equity in the form of DSUs (payable quarterly). Our non-management directors then elect to receive the remaining $150,000 of their $200,000 annual retainer in the form of DSUs, common shares or cash (or a mix thereof – payable quarterly).</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DSUs</w:t>
      </w:r>
    </w:p>
    <w:p>
      <w:pPr>
        <w:spacing w:after="0" w:line="35"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Each DSU has the same value as one common share, though DSUs do not have voting rights. DSUs are not performance-based units. If a director elects to receive DSUs, units representing the value of common shares are credited to the director’s account. DSUs accumulate additional units based on notional equivalents of dividends paid on our common shares. DSUs are fully vested upon grant, but they are only settled (in the form of common shares or cash, at the election of the director) following termination of the director’s board service. Any common shares delivered to a director in connection with the settlement of DSUs are purchased in the open market.</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Common Shares</w:t>
      </w:r>
    </w:p>
    <w:p>
      <w:pPr>
        <w:spacing w:after="0" w:line="35" w:lineRule="exact"/>
        <w:rPr>
          <w:sz w:val="20"/>
          <w:szCs w:val="20"/>
          <w:color w:val="auto"/>
        </w:rPr>
      </w:pPr>
    </w:p>
    <w:p>
      <w:pPr>
        <w:jc w:val="both"/>
        <w:ind w:left="220" w:right="60"/>
        <w:spacing w:after="0" w:line="244" w:lineRule="auto"/>
        <w:rPr>
          <w:sz w:val="20"/>
          <w:szCs w:val="20"/>
          <w:color w:val="auto"/>
        </w:rPr>
      </w:pPr>
      <w:r>
        <w:rPr>
          <w:rFonts w:ascii="Arial" w:cs="Arial" w:eastAsia="Arial" w:hAnsi="Arial"/>
          <w:sz w:val="18"/>
          <w:szCs w:val="18"/>
          <w:color w:val="auto"/>
        </w:rPr>
        <w:t>If a director elects to receive common shares, the cash amount (net of withholding taxes) is provided to our broker who uses such amount to buy shares in the open market.</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Committee Fees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Committee chair fees, which are payable entirely in DSUs, are reflected in the table above.</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Chairman and Deputy Chairman Retainer</w:t>
      </w:r>
    </w:p>
    <w:p>
      <w:pPr>
        <w:spacing w:after="0" w:line="35" w:lineRule="exact"/>
        <w:rPr>
          <w:sz w:val="20"/>
          <w:szCs w:val="20"/>
          <w:color w:val="auto"/>
        </w:rPr>
      </w:pPr>
    </w:p>
    <w:p>
      <w:pPr>
        <w:jc w:val="both"/>
        <w:ind w:left="220" w:right="80"/>
        <w:spacing w:after="0" w:line="239" w:lineRule="auto"/>
        <w:rPr>
          <w:sz w:val="20"/>
          <w:szCs w:val="20"/>
          <w:color w:val="auto"/>
        </w:rPr>
      </w:pPr>
      <w:r>
        <w:rPr>
          <w:rFonts w:ascii="Arial" w:cs="Arial" w:eastAsia="Arial" w:hAnsi="Arial"/>
          <w:sz w:val="18"/>
          <w:szCs w:val="18"/>
          <w:color w:val="auto"/>
        </w:rPr>
        <w:t>The Chairman’s annual retainer is $ 600,000. The Deputy Chairman’s annual retainer is $150,000, which is payable entirely in DSUs. The Deputy Chairman also receives the same annual $200,000 retainer paid to other non-management directors. Additional information about the Chairman and the Deputy Chairman is provided later in the “Corporate Governance Practices”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120650</wp:posOffset>
            </wp:positionV>
            <wp:extent cx="697357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1"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22</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Lead Independent Director Retainer</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Lead Independent Director’s annual retainer is $150,000, which is payable entirely in DSUs and was previously inclusive of the fee for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chairing one committee. The Lead Independent Director was chair of the Corporate Governance Committee until June 2018 and did not</w:t>
      </w:r>
    </w:p>
    <w:p>
      <w:pPr>
        <w:ind w:left="220"/>
        <w:spacing w:after="0" w:line="234" w:lineRule="auto"/>
        <w:rPr>
          <w:sz w:val="20"/>
          <w:szCs w:val="20"/>
          <w:color w:val="auto"/>
        </w:rPr>
      </w:pPr>
      <w:r>
        <w:rPr>
          <w:rFonts w:ascii="Arial" w:cs="Arial" w:eastAsia="Arial" w:hAnsi="Arial"/>
          <w:sz w:val="18"/>
          <w:szCs w:val="18"/>
          <w:color w:val="auto"/>
        </w:rPr>
        <w:t>receive any additional committee fees while serving in both capacities. The Lead Independent Director also receives the same annual</w:t>
      </w:r>
    </w:p>
    <w:p>
      <w:pPr>
        <w:ind w:left="220"/>
        <w:spacing w:after="0"/>
        <w:rPr>
          <w:sz w:val="20"/>
          <w:szCs w:val="20"/>
          <w:color w:val="auto"/>
        </w:rPr>
      </w:pPr>
      <w:r>
        <w:rPr>
          <w:rFonts w:ascii="Arial" w:cs="Arial" w:eastAsia="Arial" w:hAnsi="Arial"/>
          <w:sz w:val="17"/>
          <w:szCs w:val="17"/>
          <w:color w:val="auto"/>
        </w:rPr>
        <w:t>$200,000 retainer paid to other non-management directors. Additional information about the Lead Independent Director is provided later in</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“Corporate Governance Practices” section of this circular.</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2019 Director Compensation</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 changes are currently contemplated at this time to the amount or form of director compensation for 2019.</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Total Director Compensation</w:t>
      </w:r>
    </w:p>
    <w:p>
      <w:pPr>
        <w:spacing w:after="0" w:line="22" w:lineRule="exact"/>
        <w:rPr>
          <w:sz w:val="20"/>
          <w:szCs w:val="20"/>
          <w:color w:val="auto"/>
        </w:rPr>
      </w:pPr>
    </w:p>
    <w:p>
      <w:pPr>
        <w:ind w:left="220" w:right="320"/>
        <w:spacing w:after="0" w:line="244" w:lineRule="auto"/>
        <w:rPr>
          <w:sz w:val="20"/>
          <w:szCs w:val="20"/>
          <w:color w:val="auto"/>
        </w:rPr>
      </w:pPr>
      <w:r>
        <w:rPr>
          <w:rFonts w:ascii="Arial" w:cs="Arial" w:eastAsia="Arial" w:hAnsi="Arial"/>
          <w:sz w:val="18"/>
          <w:szCs w:val="18"/>
          <w:color w:val="auto"/>
        </w:rPr>
        <w:t>The table below reflects compensation earned by our directors in 2018. Approximately 89% of 2018 director compensation was paid in DSUs. Committee chair fees were pro-rated for directors who served in that capacity for part of 2018.</w:t>
      </w:r>
    </w:p>
    <w:p>
      <w:pPr>
        <w:spacing w:after="0" w:line="91" w:lineRule="exact"/>
        <w:rPr>
          <w:sz w:val="20"/>
          <w:szCs w:val="20"/>
          <w:color w:val="auto"/>
        </w:rPr>
      </w:pPr>
    </w:p>
    <w:p>
      <w:pPr>
        <w:ind w:left="220" w:right="120"/>
        <w:spacing w:after="0" w:line="244" w:lineRule="auto"/>
        <w:rPr>
          <w:sz w:val="20"/>
          <w:szCs w:val="20"/>
          <w:color w:val="auto"/>
        </w:rPr>
      </w:pPr>
      <w:r>
        <w:rPr>
          <w:rFonts w:ascii="Arial" w:cs="Arial" w:eastAsia="Arial" w:hAnsi="Arial"/>
          <w:sz w:val="18"/>
          <w:szCs w:val="18"/>
          <w:color w:val="auto"/>
        </w:rPr>
        <w:t>As President and CEO of Thomson Reuters, Mr. Smith does not receive compensation for his service as a director. Information regarding Mr. Smith’s 2018 compensation is set forth in the “Executive Compensation” section of this circular.</w:t>
      </w:r>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3640" w:type="dxa"/>
            <w:vAlign w:val="bottom"/>
            <w:tcBorders>
              <w:right w:val="single" w:sz="8" w:color="E5E5E5"/>
            </w:tcBorders>
          </w:tcPr>
          <w:p>
            <w:pPr>
              <w:spacing w:after="0"/>
              <w:rPr>
                <w:sz w:val="16"/>
                <w:szCs w:val="16"/>
                <w:color w:val="auto"/>
              </w:rPr>
            </w:pPr>
          </w:p>
        </w:tc>
        <w:tc>
          <w:tcPr>
            <w:tcW w:w="940" w:type="dxa"/>
            <w:vAlign w:val="bottom"/>
            <w:tcBorders>
              <w:right w:val="single" w:sz="8" w:color="E5E5E5"/>
            </w:tcBorders>
            <w:shd w:val="clear" w:color="auto" w:fill="E5E5E5"/>
          </w:tcPr>
          <w:p>
            <w:pPr>
              <w:spacing w:after="0"/>
              <w:rPr>
                <w:sz w:val="16"/>
                <w:szCs w:val="16"/>
                <w:color w:val="auto"/>
              </w:rPr>
            </w:pPr>
          </w:p>
        </w:tc>
        <w:tc>
          <w:tcPr>
            <w:tcW w:w="1540" w:type="dxa"/>
            <w:vAlign w:val="bottom"/>
            <w:tcBorders>
              <w:right w:val="single" w:sz="8" w:color="E5E5E5"/>
            </w:tcBorders>
            <w:shd w:val="clear" w:color="auto" w:fill="E5E5E5"/>
          </w:tcPr>
          <w:p>
            <w:pPr>
              <w:spacing w:after="0"/>
              <w:rPr>
                <w:sz w:val="16"/>
                <w:szCs w:val="16"/>
                <w:color w:val="auto"/>
              </w:rPr>
            </w:pPr>
          </w:p>
        </w:tc>
        <w:tc>
          <w:tcPr>
            <w:tcW w:w="1900" w:type="dxa"/>
            <w:vAlign w:val="bottom"/>
            <w:gridSpan w:val="2"/>
            <w:shd w:val="clear" w:color="auto" w:fill="E5E5E5"/>
          </w:tcPr>
          <w:p>
            <w:pPr>
              <w:ind w:left="660"/>
              <w:spacing w:after="0"/>
              <w:rPr>
                <w:sz w:val="20"/>
                <w:szCs w:val="20"/>
                <w:color w:val="auto"/>
              </w:rPr>
            </w:pPr>
            <w:r>
              <w:rPr>
                <w:rFonts w:ascii="Arial" w:cs="Arial" w:eastAsia="Arial" w:hAnsi="Arial"/>
                <w:sz w:val="14"/>
                <w:szCs w:val="14"/>
                <w:b w:val="1"/>
                <w:bCs w:val="1"/>
                <w:color w:val="auto"/>
              </w:rPr>
              <w:t>Fees Earned ($)</w:t>
            </w:r>
          </w:p>
        </w:tc>
        <w:tc>
          <w:tcPr>
            <w:tcW w:w="1520" w:type="dxa"/>
            <w:vAlign w:val="bottom"/>
            <w:tcBorders>
              <w:right w:val="single" w:sz="8" w:color="E5E5E5"/>
            </w:tcBorders>
            <w:shd w:val="clear" w:color="auto" w:fill="E5E5E5"/>
          </w:tcPr>
          <w:p>
            <w:pPr>
              <w:spacing w:after="0"/>
              <w:rPr>
                <w:sz w:val="16"/>
                <w:szCs w:val="16"/>
                <w:color w:val="auto"/>
              </w:rPr>
            </w:pPr>
          </w:p>
        </w:tc>
        <w:tc>
          <w:tcPr>
            <w:tcW w:w="1440" w:type="dxa"/>
            <w:vAlign w:val="bottom"/>
            <w:shd w:val="clear" w:color="auto" w:fill="E5E5E5"/>
          </w:tcPr>
          <w:p>
            <w:pPr>
              <w:spacing w:after="0"/>
              <w:rPr>
                <w:sz w:val="16"/>
                <w:szCs w:val="16"/>
                <w:color w:val="auto"/>
              </w:rPr>
            </w:pPr>
          </w:p>
        </w:tc>
      </w:tr>
      <w:tr>
        <w:trPr>
          <w:trHeight w:val="175"/>
        </w:trPr>
        <w:tc>
          <w:tcPr>
            <w:tcW w:w="364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Director</w:t>
            </w:r>
          </w:p>
        </w:tc>
        <w:tc>
          <w:tcPr>
            <w:tcW w:w="940" w:type="dxa"/>
            <w:vAlign w:val="bottom"/>
            <w:tcBorders>
              <w:right w:val="single" w:sz="8" w:color="CCCCCC"/>
            </w:tcBorders>
            <w:shd w:val="clear" w:color="auto" w:fill="CCCCCC"/>
          </w:tcPr>
          <w:p>
            <w:pPr>
              <w:ind w:left="440"/>
              <w:spacing w:after="0"/>
              <w:rPr>
                <w:sz w:val="20"/>
                <w:szCs w:val="20"/>
                <w:color w:val="auto"/>
              </w:rPr>
            </w:pPr>
            <w:r>
              <w:rPr>
                <w:rFonts w:ascii="Arial" w:cs="Arial" w:eastAsia="Arial" w:hAnsi="Arial"/>
                <w:sz w:val="14"/>
                <w:szCs w:val="14"/>
                <w:b w:val="1"/>
                <w:bCs w:val="1"/>
                <w:color w:val="auto"/>
              </w:rPr>
              <w:t>Cash</w:t>
            </w:r>
          </w:p>
        </w:tc>
        <w:tc>
          <w:tcPr>
            <w:tcW w:w="1540" w:type="dxa"/>
            <w:vAlign w:val="bottom"/>
            <w:tcBorders>
              <w:right w:val="single" w:sz="8" w:color="CCCCCC"/>
            </w:tcBorders>
            <w:shd w:val="clear" w:color="auto" w:fill="CCCCCC"/>
          </w:tcPr>
          <w:p>
            <w:pPr>
              <w:jc w:val="right"/>
              <w:ind w:right="568"/>
              <w:spacing w:after="0"/>
              <w:rPr>
                <w:sz w:val="20"/>
                <w:szCs w:val="20"/>
                <w:color w:val="auto"/>
              </w:rPr>
            </w:pPr>
            <w:r>
              <w:rPr>
                <w:rFonts w:ascii="Arial" w:cs="Arial" w:eastAsia="Arial" w:hAnsi="Arial"/>
                <w:sz w:val="14"/>
                <w:szCs w:val="14"/>
                <w:b w:val="1"/>
                <w:bCs w:val="1"/>
                <w:color w:val="auto"/>
              </w:rPr>
              <w:t>DSUs</w:t>
            </w:r>
          </w:p>
        </w:tc>
        <w:tc>
          <w:tcPr>
            <w:tcW w:w="1900" w:type="dxa"/>
            <w:vAlign w:val="bottom"/>
            <w:gridSpan w:val="2"/>
            <w:shd w:val="clear" w:color="auto" w:fill="CCCCCC"/>
          </w:tcPr>
          <w:p>
            <w:pPr>
              <w:jc w:val="center"/>
              <w:spacing w:after="0"/>
              <w:rPr>
                <w:sz w:val="20"/>
                <w:szCs w:val="20"/>
                <w:color w:val="auto"/>
              </w:rPr>
            </w:pPr>
            <w:r>
              <w:rPr>
                <w:rFonts w:ascii="Arial" w:cs="Arial" w:eastAsia="Arial" w:hAnsi="Arial"/>
                <w:sz w:val="14"/>
                <w:szCs w:val="14"/>
                <w:b w:val="1"/>
                <w:bCs w:val="1"/>
                <w:color w:val="auto"/>
              </w:rPr>
              <w:t>Common Shares</w:t>
            </w:r>
          </w:p>
        </w:tc>
        <w:tc>
          <w:tcPr>
            <w:tcW w:w="1520" w:type="dxa"/>
            <w:vAlign w:val="bottom"/>
            <w:tcBorders>
              <w:right w:val="single" w:sz="8" w:color="CCCCCC"/>
            </w:tcBorders>
            <w:shd w:val="clear" w:color="auto" w:fill="CCCCCC"/>
          </w:tcPr>
          <w:p>
            <w:pPr>
              <w:jc w:val="center"/>
              <w:spacing w:after="0"/>
              <w:rPr>
                <w:sz w:val="20"/>
                <w:szCs w:val="20"/>
                <w:color w:val="auto"/>
              </w:rPr>
            </w:pPr>
            <w:r>
              <w:rPr>
                <w:rFonts w:ascii="Arial" w:cs="Arial" w:eastAsia="Arial" w:hAnsi="Arial"/>
                <w:sz w:val="14"/>
                <w:szCs w:val="14"/>
                <w:b w:val="1"/>
                <w:bCs w:val="1"/>
                <w:color w:val="auto"/>
              </w:rPr>
              <w:t>All Other</w:t>
            </w:r>
          </w:p>
        </w:tc>
        <w:tc>
          <w:tcPr>
            <w:tcW w:w="1440" w:type="dxa"/>
            <w:vAlign w:val="bottom"/>
            <w:shd w:val="clear" w:color="auto" w:fill="CCCCCC"/>
          </w:tcPr>
          <w:p>
            <w:pPr>
              <w:jc w:val="right"/>
              <w:ind w:right="368"/>
              <w:spacing w:after="0"/>
              <w:rPr>
                <w:sz w:val="20"/>
                <w:szCs w:val="20"/>
                <w:color w:val="auto"/>
              </w:rPr>
            </w:pPr>
            <w:r>
              <w:rPr>
                <w:rFonts w:ascii="Arial" w:cs="Arial" w:eastAsia="Arial" w:hAnsi="Arial"/>
                <w:sz w:val="14"/>
                <w:szCs w:val="14"/>
                <w:b w:val="1"/>
                <w:bCs w:val="1"/>
                <w:color w:val="auto"/>
              </w:rPr>
              <w:t>Total ($)</w:t>
            </w:r>
          </w:p>
        </w:tc>
      </w:tr>
      <w:tr>
        <w:trPr>
          <w:trHeight w:val="175"/>
        </w:trPr>
        <w:tc>
          <w:tcPr>
            <w:tcW w:w="3640" w:type="dxa"/>
            <w:vAlign w:val="bottom"/>
            <w:tcBorders>
              <w:bottom w:val="single" w:sz="8" w:color="D95A3B"/>
              <w:right w:val="single" w:sz="8" w:color="CCCCCC"/>
            </w:tcBorders>
            <w:shd w:val="clear" w:color="auto" w:fill="CCCCCC"/>
          </w:tcPr>
          <w:p>
            <w:pPr>
              <w:spacing w:after="0"/>
              <w:rPr>
                <w:sz w:val="15"/>
                <w:szCs w:val="15"/>
                <w:color w:val="auto"/>
              </w:rPr>
            </w:pPr>
          </w:p>
        </w:tc>
        <w:tc>
          <w:tcPr>
            <w:tcW w:w="940" w:type="dxa"/>
            <w:vAlign w:val="bottom"/>
            <w:tcBorders>
              <w:bottom w:val="single" w:sz="8" w:color="D95A3B"/>
              <w:right w:val="single" w:sz="8" w:color="CCCCCC"/>
            </w:tcBorders>
            <w:shd w:val="clear" w:color="auto" w:fill="CCCCCC"/>
          </w:tcPr>
          <w:p>
            <w:pPr>
              <w:spacing w:after="0"/>
              <w:rPr>
                <w:sz w:val="15"/>
                <w:szCs w:val="15"/>
                <w:color w:val="auto"/>
              </w:rPr>
            </w:pPr>
          </w:p>
        </w:tc>
        <w:tc>
          <w:tcPr>
            <w:tcW w:w="1540" w:type="dxa"/>
            <w:vAlign w:val="bottom"/>
            <w:tcBorders>
              <w:bottom w:val="single" w:sz="8" w:color="D95A3B"/>
              <w:right w:val="single" w:sz="8" w:color="CCCCCC"/>
            </w:tcBorders>
            <w:shd w:val="clear" w:color="auto" w:fill="CCCCCC"/>
          </w:tcPr>
          <w:p>
            <w:pPr>
              <w:spacing w:after="0"/>
              <w:rPr>
                <w:sz w:val="15"/>
                <w:szCs w:val="15"/>
                <w:color w:val="auto"/>
              </w:rPr>
            </w:pPr>
          </w:p>
        </w:tc>
        <w:tc>
          <w:tcPr>
            <w:tcW w:w="1660" w:type="dxa"/>
            <w:vAlign w:val="bottom"/>
            <w:tcBorders>
              <w:bottom w:val="single" w:sz="8" w:color="D95A3B"/>
              <w:right w:val="single" w:sz="8" w:color="CCCCCC"/>
            </w:tcBorders>
            <w:shd w:val="clear" w:color="auto" w:fill="CCCCCC"/>
          </w:tcPr>
          <w:p>
            <w:pPr>
              <w:spacing w:after="0"/>
              <w:rPr>
                <w:sz w:val="15"/>
                <w:szCs w:val="15"/>
                <w:color w:val="auto"/>
              </w:rPr>
            </w:pPr>
          </w:p>
        </w:tc>
        <w:tc>
          <w:tcPr>
            <w:tcW w:w="240" w:type="dxa"/>
            <w:vAlign w:val="bottom"/>
            <w:tcBorders>
              <w:bottom w:val="single" w:sz="8" w:color="D95A3B"/>
            </w:tcBorders>
            <w:shd w:val="clear" w:color="auto" w:fill="CCCCCC"/>
          </w:tcPr>
          <w:p>
            <w:pPr>
              <w:spacing w:after="0"/>
              <w:rPr>
                <w:sz w:val="15"/>
                <w:szCs w:val="15"/>
                <w:color w:val="auto"/>
              </w:rPr>
            </w:pPr>
          </w:p>
        </w:tc>
        <w:tc>
          <w:tcPr>
            <w:tcW w:w="1520" w:type="dxa"/>
            <w:vAlign w:val="bottom"/>
            <w:tcBorders>
              <w:bottom w:val="single" w:sz="8" w:color="D95A3B"/>
              <w:right w:val="single" w:sz="8" w:color="CCCCCC"/>
            </w:tcBorders>
            <w:shd w:val="clear" w:color="auto" w:fill="CCCCCC"/>
          </w:tcPr>
          <w:p>
            <w:pPr>
              <w:jc w:val="center"/>
              <w:spacing w:after="0"/>
              <w:rPr>
                <w:sz w:val="20"/>
                <w:szCs w:val="20"/>
                <w:color w:val="auto"/>
              </w:rPr>
            </w:pPr>
            <w:r>
              <w:rPr>
                <w:rFonts w:ascii="Arial" w:cs="Arial" w:eastAsia="Arial" w:hAnsi="Arial"/>
                <w:sz w:val="14"/>
                <w:szCs w:val="14"/>
                <w:b w:val="1"/>
                <w:bCs w:val="1"/>
                <w:color w:val="auto"/>
              </w:rPr>
              <w:t>Compensation ($)</w:t>
            </w:r>
          </w:p>
        </w:tc>
        <w:tc>
          <w:tcPr>
            <w:tcW w:w="1440" w:type="dxa"/>
            <w:vAlign w:val="bottom"/>
            <w:tcBorders>
              <w:bottom w:val="single" w:sz="8" w:color="D95A3B"/>
            </w:tcBorders>
            <w:shd w:val="clear" w:color="auto" w:fill="CCCCCC"/>
          </w:tcPr>
          <w:p>
            <w:pPr>
              <w:spacing w:after="0"/>
              <w:rPr>
                <w:sz w:val="15"/>
                <w:szCs w:val="15"/>
                <w:color w:val="auto"/>
              </w:rPr>
            </w:pPr>
          </w:p>
        </w:tc>
      </w:tr>
      <w:tr>
        <w:trPr>
          <w:trHeight w:val="155"/>
        </w:trPr>
        <w:tc>
          <w:tcPr>
            <w:tcW w:w="36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David Thomson</w:t>
            </w:r>
          </w:p>
        </w:tc>
        <w:tc>
          <w:tcPr>
            <w:tcW w:w="940" w:type="dxa"/>
            <w:vAlign w:val="bottom"/>
            <w:tcBorders>
              <w:bottom w:val="single" w:sz="8" w:color="AFAFAF"/>
              <w:right w:val="single" w:sz="8" w:color="AFAFAF"/>
            </w:tcBorders>
          </w:tcPr>
          <w:p>
            <w:pPr>
              <w:spacing w:after="0"/>
              <w:rPr>
                <w:sz w:val="13"/>
                <w:szCs w:val="13"/>
                <w:color w:val="auto"/>
              </w:rPr>
            </w:pPr>
          </w:p>
        </w:tc>
        <w:tc>
          <w:tcPr>
            <w:tcW w:w="1540" w:type="dxa"/>
            <w:vAlign w:val="bottom"/>
            <w:tcBorders>
              <w:bottom w:val="single" w:sz="8" w:color="AFAFAF"/>
              <w:right w:val="single" w:sz="8" w:color="AFAFAF"/>
            </w:tcBorders>
          </w:tcPr>
          <w:p>
            <w:pPr>
              <w:jc w:val="right"/>
              <w:ind w:right="388"/>
              <w:spacing w:after="0" w:line="155" w:lineRule="exact"/>
              <w:rPr>
                <w:sz w:val="20"/>
                <w:szCs w:val="20"/>
                <w:color w:val="auto"/>
              </w:rPr>
            </w:pPr>
            <w:r>
              <w:rPr>
                <w:rFonts w:ascii="Arial" w:cs="Arial" w:eastAsia="Arial" w:hAnsi="Arial"/>
                <w:sz w:val="14"/>
                <w:szCs w:val="14"/>
                <w:color w:val="auto"/>
              </w:rPr>
              <w:t>600,000</w:t>
            </w:r>
          </w:p>
        </w:tc>
        <w:tc>
          <w:tcPr>
            <w:tcW w:w="1660" w:type="dxa"/>
            <w:vAlign w:val="bottom"/>
            <w:tcBorders>
              <w:bottom w:val="single" w:sz="8" w:color="AFAFAF"/>
              <w:right w:val="single" w:sz="8" w:color="AFAFAF"/>
            </w:tcBorders>
          </w:tcPr>
          <w:p>
            <w:pPr>
              <w:jc w:val="center"/>
              <w:ind w:left="22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3"/>
                <w:szCs w:val="13"/>
                <w:color w:val="auto"/>
              </w:rPr>
            </w:pPr>
          </w:p>
        </w:tc>
        <w:tc>
          <w:tcPr>
            <w:tcW w:w="152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600,000</w:t>
            </w:r>
          </w:p>
        </w:tc>
      </w:tr>
      <w:tr>
        <w:trPr>
          <w:trHeight w:val="155"/>
        </w:trPr>
        <w:tc>
          <w:tcPr>
            <w:tcW w:w="36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1"/>
                <w:szCs w:val="11"/>
                <w:b w:val="1"/>
                <w:bCs w:val="1"/>
                <w:color w:val="auto"/>
              </w:rPr>
              <w:t>Sheila C. Bair</w:t>
            </w:r>
            <w:r>
              <w:rPr>
                <w:rFonts w:ascii="Arial" w:cs="Arial" w:eastAsia="Arial" w:hAnsi="Arial"/>
                <w:sz w:val="17"/>
                <w:szCs w:val="17"/>
                <w:b w:val="1"/>
                <w:bCs w:val="1"/>
                <w:color w:val="auto"/>
                <w:vertAlign w:val="superscript"/>
              </w:rPr>
              <w:t>1</w:t>
            </w:r>
          </w:p>
        </w:tc>
        <w:tc>
          <w:tcPr>
            <w:tcW w:w="940" w:type="dxa"/>
            <w:vAlign w:val="bottom"/>
            <w:tcBorders>
              <w:bottom w:val="single" w:sz="8" w:color="AFAFAF"/>
              <w:right w:val="single" w:sz="8" w:color="AFAFAF"/>
            </w:tcBorders>
          </w:tcPr>
          <w:p>
            <w:pPr>
              <w:jc w:val="center"/>
              <w:ind w:left="188"/>
              <w:spacing w:after="0" w:line="155"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FAFAF"/>
              <w:right w:val="single" w:sz="8" w:color="AFAFAF"/>
            </w:tcBorders>
          </w:tcPr>
          <w:p>
            <w:pPr>
              <w:jc w:val="right"/>
              <w:ind w:right="388"/>
              <w:spacing w:after="0" w:line="155" w:lineRule="exact"/>
              <w:rPr>
                <w:sz w:val="20"/>
                <w:szCs w:val="20"/>
                <w:color w:val="auto"/>
              </w:rPr>
            </w:pPr>
            <w:r>
              <w:rPr>
                <w:rFonts w:ascii="Arial" w:cs="Arial" w:eastAsia="Arial" w:hAnsi="Arial"/>
                <w:sz w:val="14"/>
                <w:szCs w:val="14"/>
                <w:color w:val="auto"/>
              </w:rPr>
              <w:t>228,493</w:t>
            </w:r>
          </w:p>
        </w:tc>
        <w:tc>
          <w:tcPr>
            <w:tcW w:w="1660" w:type="dxa"/>
            <w:vAlign w:val="bottom"/>
            <w:tcBorders>
              <w:bottom w:val="single" w:sz="8" w:color="AFAFAF"/>
              <w:right w:val="single" w:sz="8" w:color="AFAFAF"/>
            </w:tcBorders>
          </w:tcPr>
          <w:p>
            <w:pPr>
              <w:jc w:val="center"/>
              <w:ind w:left="22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3"/>
                <w:szCs w:val="13"/>
                <w:color w:val="auto"/>
              </w:rPr>
            </w:pPr>
          </w:p>
        </w:tc>
        <w:tc>
          <w:tcPr>
            <w:tcW w:w="152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228,493</w:t>
            </w:r>
          </w:p>
        </w:tc>
      </w:tr>
      <w:tr>
        <w:trPr>
          <w:trHeight w:val="155"/>
        </w:trPr>
        <w:tc>
          <w:tcPr>
            <w:tcW w:w="36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David W. Binet</w:t>
            </w:r>
          </w:p>
        </w:tc>
        <w:tc>
          <w:tcPr>
            <w:tcW w:w="940" w:type="dxa"/>
            <w:vAlign w:val="bottom"/>
            <w:tcBorders>
              <w:bottom w:val="single" w:sz="8" w:color="AFAFAF"/>
              <w:right w:val="single" w:sz="8" w:color="AFAFAF"/>
            </w:tcBorders>
          </w:tcPr>
          <w:p>
            <w:pPr>
              <w:jc w:val="center"/>
              <w:ind w:left="188"/>
              <w:spacing w:after="0" w:line="155" w:lineRule="exact"/>
              <w:rPr>
                <w:sz w:val="20"/>
                <w:szCs w:val="20"/>
                <w:color w:val="auto"/>
              </w:rPr>
            </w:pPr>
            <w:r>
              <w:rPr>
                <w:rFonts w:ascii="Arial" w:cs="Arial" w:eastAsia="Arial" w:hAnsi="Arial"/>
                <w:sz w:val="14"/>
                <w:szCs w:val="14"/>
                <w:color w:val="auto"/>
              </w:rPr>
              <w:t>150,000</w:t>
            </w:r>
          </w:p>
        </w:tc>
        <w:tc>
          <w:tcPr>
            <w:tcW w:w="1540" w:type="dxa"/>
            <w:vAlign w:val="bottom"/>
            <w:tcBorders>
              <w:bottom w:val="single" w:sz="8" w:color="AFAFAF"/>
              <w:right w:val="single" w:sz="8" w:color="AFAFAF"/>
            </w:tcBorders>
          </w:tcPr>
          <w:p>
            <w:pPr>
              <w:jc w:val="right"/>
              <w:ind w:right="388"/>
              <w:spacing w:after="0" w:line="155" w:lineRule="exact"/>
              <w:rPr>
                <w:sz w:val="20"/>
                <w:szCs w:val="20"/>
                <w:color w:val="auto"/>
              </w:rPr>
            </w:pPr>
            <w:r>
              <w:rPr>
                <w:rFonts w:ascii="Arial" w:cs="Arial" w:eastAsia="Arial" w:hAnsi="Arial"/>
                <w:sz w:val="14"/>
                <w:szCs w:val="14"/>
                <w:color w:val="auto"/>
              </w:rPr>
              <w:t>200,000</w:t>
            </w:r>
          </w:p>
        </w:tc>
        <w:tc>
          <w:tcPr>
            <w:tcW w:w="1660" w:type="dxa"/>
            <w:vAlign w:val="bottom"/>
            <w:tcBorders>
              <w:bottom w:val="single" w:sz="8" w:color="AFAFAF"/>
              <w:right w:val="single" w:sz="8" w:color="AFAFAF"/>
            </w:tcBorders>
          </w:tcPr>
          <w:p>
            <w:pPr>
              <w:jc w:val="center"/>
              <w:ind w:left="22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3"/>
                <w:szCs w:val="13"/>
                <w:color w:val="auto"/>
              </w:rPr>
            </w:pPr>
          </w:p>
        </w:tc>
        <w:tc>
          <w:tcPr>
            <w:tcW w:w="152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350,000</w:t>
            </w:r>
          </w:p>
        </w:tc>
      </w:tr>
      <w:tr>
        <w:trPr>
          <w:trHeight w:val="155"/>
        </w:trPr>
        <w:tc>
          <w:tcPr>
            <w:tcW w:w="36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1"/>
                <w:szCs w:val="11"/>
                <w:b w:val="1"/>
                <w:bCs w:val="1"/>
                <w:color w:val="auto"/>
              </w:rPr>
              <w:t>W. Edmund Clark, C.M.</w:t>
            </w:r>
            <w:r>
              <w:rPr>
                <w:rFonts w:ascii="Arial" w:cs="Arial" w:eastAsia="Arial" w:hAnsi="Arial"/>
                <w:sz w:val="17"/>
                <w:szCs w:val="17"/>
                <w:b w:val="1"/>
                <w:bCs w:val="1"/>
                <w:color w:val="auto"/>
                <w:vertAlign w:val="superscript"/>
              </w:rPr>
              <w:t>2</w:t>
            </w:r>
          </w:p>
        </w:tc>
        <w:tc>
          <w:tcPr>
            <w:tcW w:w="940" w:type="dxa"/>
            <w:vAlign w:val="bottom"/>
            <w:tcBorders>
              <w:bottom w:val="single" w:sz="8" w:color="AFAFAF"/>
              <w:right w:val="single" w:sz="8" w:color="AFAFAF"/>
            </w:tcBorders>
          </w:tcPr>
          <w:p>
            <w:pPr>
              <w:jc w:val="center"/>
              <w:ind w:left="188"/>
              <w:spacing w:after="0" w:line="155"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FAFAF"/>
              <w:right w:val="single" w:sz="8" w:color="AFAFAF"/>
            </w:tcBorders>
          </w:tcPr>
          <w:p>
            <w:pPr>
              <w:jc w:val="right"/>
              <w:ind w:right="388"/>
              <w:spacing w:after="0" w:line="155" w:lineRule="exact"/>
              <w:rPr>
                <w:sz w:val="20"/>
                <w:szCs w:val="20"/>
                <w:color w:val="auto"/>
              </w:rPr>
            </w:pPr>
            <w:r>
              <w:rPr>
                <w:rFonts w:ascii="Arial" w:cs="Arial" w:eastAsia="Arial" w:hAnsi="Arial"/>
                <w:sz w:val="14"/>
                <w:szCs w:val="14"/>
                <w:color w:val="auto"/>
              </w:rPr>
              <w:t>250,000</w:t>
            </w:r>
          </w:p>
        </w:tc>
        <w:tc>
          <w:tcPr>
            <w:tcW w:w="1660" w:type="dxa"/>
            <w:vAlign w:val="bottom"/>
            <w:tcBorders>
              <w:bottom w:val="single" w:sz="8" w:color="AFAFAF"/>
              <w:right w:val="single" w:sz="8" w:color="AFAFAF"/>
            </w:tcBorders>
          </w:tcPr>
          <w:p>
            <w:pPr>
              <w:jc w:val="center"/>
              <w:ind w:left="22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3"/>
                <w:szCs w:val="13"/>
                <w:color w:val="auto"/>
              </w:rPr>
            </w:pPr>
          </w:p>
        </w:tc>
        <w:tc>
          <w:tcPr>
            <w:tcW w:w="152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250,000</w:t>
            </w:r>
          </w:p>
        </w:tc>
      </w:tr>
      <w:tr>
        <w:trPr>
          <w:trHeight w:val="155"/>
        </w:trPr>
        <w:tc>
          <w:tcPr>
            <w:tcW w:w="36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1"/>
                <w:szCs w:val="11"/>
                <w:b w:val="1"/>
                <w:bCs w:val="1"/>
                <w:color w:val="auto"/>
              </w:rPr>
              <w:t>Michael E. Daniels</w:t>
            </w:r>
            <w:r>
              <w:rPr>
                <w:rFonts w:ascii="Arial" w:cs="Arial" w:eastAsia="Arial" w:hAnsi="Arial"/>
                <w:sz w:val="17"/>
                <w:szCs w:val="17"/>
                <w:b w:val="1"/>
                <w:bCs w:val="1"/>
                <w:color w:val="auto"/>
                <w:vertAlign w:val="superscript"/>
              </w:rPr>
              <w:t>3</w:t>
            </w:r>
          </w:p>
        </w:tc>
        <w:tc>
          <w:tcPr>
            <w:tcW w:w="940" w:type="dxa"/>
            <w:vAlign w:val="bottom"/>
            <w:tcBorders>
              <w:bottom w:val="single" w:sz="8" w:color="AFAFAF"/>
              <w:right w:val="single" w:sz="8" w:color="AFAFAF"/>
            </w:tcBorders>
          </w:tcPr>
          <w:p>
            <w:pPr>
              <w:jc w:val="center"/>
              <w:ind w:left="188"/>
              <w:spacing w:after="0" w:line="155"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FAFAF"/>
              <w:right w:val="single" w:sz="8" w:color="AFAFAF"/>
            </w:tcBorders>
          </w:tcPr>
          <w:p>
            <w:pPr>
              <w:jc w:val="right"/>
              <w:ind w:right="388"/>
              <w:spacing w:after="0" w:line="155" w:lineRule="exact"/>
              <w:rPr>
                <w:sz w:val="20"/>
                <w:szCs w:val="20"/>
                <w:color w:val="auto"/>
              </w:rPr>
            </w:pPr>
            <w:r>
              <w:rPr>
                <w:rFonts w:ascii="Arial" w:cs="Arial" w:eastAsia="Arial" w:hAnsi="Arial"/>
                <w:sz w:val="14"/>
                <w:szCs w:val="14"/>
                <w:color w:val="auto"/>
              </w:rPr>
              <w:t>228,493</w:t>
            </w:r>
          </w:p>
        </w:tc>
        <w:tc>
          <w:tcPr>
            <w:tcW w:w="1660" w:type="dxa"/>
            <w:vAlign w:val="bottom"/>
            <w:tcBorders>
              <w:bottom w:val="single" w:sz="8" w:color="AFAFAF"/>
              <w:right w:val="single" w:sz="8" w:color="AFAFAF"/>
            </w:tcBorders>
          </w:tcPr>
          <w:p>
            <w:pPr>
              <w:jc w:val="center"/>
              <w:ind w:left="22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3"/>
                <w:szCs w:val="13"/>
                <w:color w:val="auto"/>
              </w:rPr>
            </w:pPr>
          </w:p>
        </w:tc>
        <w:tc>
          <w:tcPr>
            <w:tcW w:w="152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228,493</w:t>
            </w:r>
          </w:p>
        </w:tc>
      </w:tr>
      <w:tr>
        <w:trPr>
          <w:trHeight w:val="155"/>
        </w:trPr>
        <w:tc>
          <w:tcPr>
            <w:tcW w:w="36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1"/>
                <w:szCs w:val="11"/>
                <w:b w:val="1"/>
                <w:bCs w:val="1"/>
                <w:color w:val="auto"/>
              </w:rPr>
              <w:t>Sir Kenneth Olisa, OBE</w:t>
            </w:r>
            <w:r>
              <w:rPr>
                <w:rFonts w:ascii="Arial" w:cs="Arial" w:eastAsia="Arial" w:hAnsi="Arial"/>
                <w:sz w:val="17"/>
                <w:szCs w:val="17"/>
                <w:b w:val="1"/>
                <w:bCs w:val="1"/>
                <w:color w:val="auto"/>
                <w:vertAlign w:val="superscript"/>
              </w:rPr>
              <w:t>4</w:t>
            </w:r>
          </w:p>
        </w:tc>
        <w:tc>
          <w:tcPr>
            <w:tcW w:w="940" w:type="dxa"/>
            <w:vAlign w:val="bottom"/>
            <w:tcBorders>
              <w:bottom w:val="single" w:sz="8" w:color="AFAFAF"/>
              <w:right w:val="single" w:sz="8" w:color="AFAFAF"/>
            </w:tcBorders>
          </w:tcPr>
          <w:p>
            <w:pPr>
              <w:jc w:val="center"/>
              <w:ind w:left="188"/>
              <w:spacing w:after="0" w:line="155" w:lineRule="exact"/>
              <w:rPr>
                <w:sz w:val="20"/>
                <w:szCs w:val="20"/>
                <w:color w:val="auto"/>
              </w:rPr>
            </w:pPr>
            <w:r>
              <w:rPr>
                <w:rFonts w:ascii="Arial" w:cs="Arial" w:eastAsia="Arial" w:hAnsi="Arial"/>
                <w:sz w:val="14"/>
                <w:szCs w:val="14"/>
                <w:color w:val="auto"/>
              </w:rPr>
              <w:t>12,329</w:t>
            </w:r>
          </w:p>
        </w:tc>
        <w:tc>
          <w:tcPr>
            <w:tcW w:w="1540" w:type="dxa"/>
            <w:vAlign w:val="bottom"/>
            <w:tcBorders>
              <w:bottom w:val="single" w:sz="8" w:color="AFAFAF"/>
              <w:right w:val="single" w:sz="8" w:color="AFAFAF"/>
            </w:tcBorders>
          </w:tcPr>
          <w:p>
            <w:pPr>
              <w:jc w:val="right"/>
              <w:ind w:right="388"/>
              <w:spacing w:after="0" w:line="155" w:lineRule="exact"/>
              <w:rPr>
                <w:sz w:val="20"/>
                <w:szCs w:val="20"/>
                <w:color w:val="auto"/>
              </w:rPr>
            </w:pPr>
            <w:r>
              <w:rPr>
                <w:rFonts w:ascii="Arial" w:cs="Arial" w:eastAsia="Arial" w:hAnsi="Arial"/>
                <w:sz w:val="14"/>
                <w:szCs w:val="14"/>
                <w:color w:val="auto"/>
              </w:rPr>
              <w:t>4,110</w:t>
            </w:r>
          </w:p>
        </w:tc>
        <w:tc>
          <w:tcPr>
            <w:tcW w:w="1660" w:type="dxa"/>
            <w:vAlign w:val="bottom"/>
            <w:tcBorders>
              <w:bottom w:val="single" w:sz="8" w:color="AFAFAF"/>
              <w:right w:val="single" w:sz="8" w:color="AFAFAF"/>
            </w:tcBorders>
          </w:tcPr>
          <w:p>
            <w:pPr>
              <w:jc w:val="center"/>
              <w:ind w:left="22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3"/>
                <w:szCs w:val="13"/>
                <w:color w:val="auto"/>
              </w:rPr>
            </w:pPr>
          </w:p>
        </w:tc>
        <w:tc>
          <w:tcPr>
            <w:tcW w:w="152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16,439</w:t>
            </w:r>
          </w:p>
        </w:tc>
      </w:tr>
      <w:tr>
        <w:trPr>
          <w:trHeight w:val="155"/>
        </w:trPr>
        <w:tc>
          <w:tcPr>
            <w:tcW w:w="36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1"/>
                <w:szCs w:val="11"/>
                <w:b w:val="1"/>
                <w:bCs w:val="1"/>
                <w:color w:val="auto"/>
              </w:rPr>
              <w:t>Vance K. Opperman</w:t>
            </w:r>
            <w:r>
              <w:rPr>
                <w:rFonts w:ascii="Arial" w:cs="Arial" w:eastAsia="Arial" w:hAnsi="Arial"/>
                <w:sz w:val="17"/>
                <w:szCs w:val="17"/>
                <w:b w:val="1"/>
                <w:bCs w:val="1"/>
                <w:color w:val="auto"/>
                <w:vertAlign w:val="superscript"/>
              </w:rPr>
              <w:t>5</w:t>
            </w:r>
          </w:p>
        </w:tc>
        <w:tc>
          <w:tcPr>
            <w:tcW w:w="940" w:type="dxa"/>
            <w:vAlign w:val="bottom"/>
            <w:tcBorders>
              <w:bottom w:val="single" w:sz="8" w:color="AFAFAF"/>
              <w:right w:val="single" w:sz="8" w:color="AFAFAF"/>
            </w:tcBorders>
          </w:tcPr>
          <w:p>
            <w:pPr>
              <w:jc w:val="center"/>
              <w:ind w:left="188"/>
              <w:spacing w:after="0" w:line="155"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FAFAF"/>
              <w:right w:val="single" w:sz="8" w:color="AFAFAF"/>
            </w:tcBorders>
          </w:tcPr>
          <w:p>
            <w:pPr>
              <w:jc w:val="right"/>
              <w:ind w:right="388"/>
              <w:spacing w:after="0" w:line="155" w:lineRule="exact"/>
              <w:rPr>
                <w:sz w:val="20"/>
                <w:szCs w:val="20"/>
                <w:color w:val="auto"/>
              </w:rPr>
            </w:pPr>
            <w:r>
              <w:rPr>
                <w:rFonts w:ascii="Arial" w:cs="Arial" w:eastAsia="Arial" w:hAnsi="Arial"/>
                <w:sz w:val="14"/>
                <w:szCs w:val="14"/>
                <w:color w:val="auto"/>
              </w:rPr>
              <w:t>350,000</w:t>
            </w:r>
          </w:p>
        </w:tc>
        <w:tc>
          <w:tcPr>
            <w:tcW w:w="1660" w:type="dxa"/>
            <w:vAlign w:val="bottom"/>
            <w:tcBorders>
              <w:bottom w:val="single" w:sz="8" w:color="AFAFAF"/>
              <w:right w:val="single" w:sz="8" w:color="AFAFAF"/>
            </w:tcBorders>
          </w:tcPr>
          <w:p>
            <w:pPr>
              <w:jc w:val="center"/>
              <w:ind w:left="22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3"/>
                <w:szCs w:val="13"/>
                <w:color w:val="auto"/>
              </w:rPr>
            </w:pPr>
          </w:p>
        </w:tc>
        <w:tc>
          <w:tcPr>
            <w:tcW w:w="152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350,000</w:t>
            </w:r>
          </w:p>
        </w:tc>
      </w:tr>
      <w:tr>
        <w:trPr>
          <w:trHeight w:val="155"/>
        </w:trPr>
        <w:tc>
          <w:tcPr>
            <w:tcW w:w="36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Kristin C. Peck</w:t>
            </w:r>
          </w:p>
        </w:tc>
        <w:tc>
          <w:tcPr>
            <w:tcW w:w="940" w:type="dxa"/>
            <w:vAlign w:val="bottom"/>
            <w:tcBorders>
              <w:bottom w:val="single" w:sz="8" w:color="AFAFAF"/>
              <w:right w:val="single" w:sz="8" w:color="AFAFAF"/>
            </w:tcBorders>
          </w:tcPr>
          <w:p>
            <w:pPr>
              <w:jc w:val="center"/>
              <w:ind w:left="188"/>
              <w:spacing w:after="0" w:line="155"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FAFAF"/>
              <w:right w:val="single" w:sz="8" w:color="AFAFAF"/>
            </w:tcBorders>
          </w:tcPr>
          <w:p>
            <w:pPr>
              <w:jc w:val="right"/>
              <w:ind w:right="388"/>
              <w:spacing w:after="0" w:line="155" w:lineRule="exact"/>
              <w:rPr>
                <w:sz w:val="20"/>
                <w:szCs w:val="20"/>
                <w:color w:val="auto"/>
              </w:rPr>
            </w:pPr>
            <w:r>
              <w:rPr>
                <w:rFonts w:ascii="Arial" w:cs="Arial" w:eastAsia="Arial" w:hAnsi="Arial"/>
                <w:sz w:val="14"/>
                <w:szCs w:val="14"/>
                <w:color w:val="auto"/>
              </w:rPr>
              <w:t>200,000</w:t>
            </w:r>
          </w:p>
        </w:tc>
        <w:tc>
          <w:tcPr>
            <w:tcW w:w="1660" w:type="dxa"/>
            <w:vAlign w:val="bottom"/>
            <w:tcBorders>
              <w:bottom w:val="single" w:sz="8" w:color="AFAFAF"/>
              <w:right w:val="single" w:sz="8" w:color="AFAFAF"/>
            </w:tcBorders>
          </w:tcPr>
          <w:p>
            <w:pPr>
              <w:jc w:val="center"/>
              <w:ind w:left="22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3"/>
                <w:szCs w:val="13"/>
                <w:color w:val="auto"/>
              </w:rPr>
            </w:pPr>
          </w:p>
        </w:tc>
        <w:tc>
          <w:tcPr>
            <w:tcW w:w="152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200,000</w:t>
            </w:r>
          </w:p>
        </w:tc>
      </w:tr>
      <w:tr>
        <w:trPr>
          <w:trHeight w:val="155"/>
        </w:trPr>
        <w:tc>
          <w:tcPr>
            <w:tcW w:w="36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1"/>
                <w:szCs w:val="11"/>
                <w:b w:val="1"/>
                <w:bCs w:val="1"/>
                <w:color w:val="auto"/>
              </w:rPr>
              <w:t>Barry Salzberg</w:t>
            </w:r>
            <w:r>
              <w:rPr>
                <w:rFonts w:ascii="Arial" w:cs="Arial" w:eastAsia="Arial" w:hAnsi="Arial"/>
                <w:sz w:val="17"/>
                <w:szCs w:val="17"/>
                <w:b w:val="1"/>
                <w:bCs w:val="1"/>
                <w:color w:val="auto"/>
                <w:vertAlign w:val="superscript"/>
              </w:rPr>
              <w:t>6</w:t>
            </w:r>
          </w:p>
        </w:tc>
        <w:tc>
          <w:tcPr>
            <w:tcW w:w="940" w:type="dxa"/>
            <w:vAlign w:val="bottom"/>
            <w:tcBorders>
              <w:bottom w:val="single" w:sz="8" w:color="AFAFAF"/>
              <w:right w:val="single" w:sz="8" w:color="AFAFAF"/>
            </w:tcBorders>
          </w:tcPr>
          <w:p>
            <w:pPr>
              <w:jc w:val="center"/>
              <w:ind w:left="188"/>
              <w:spacing w:after="0" w:line="155"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FAFAF"/>
              <w:right w:val="single" w:sz="8" w:color="AFAFAF"/>
            </w:tcBorders>
          </w:tcPr>
          <w:p>
            <w:pPr>
              <w:jc w:val="right"/>
              <w:ind w:right="388"/>
              <w:spacing w:after="0" w:line="155" w:lineRule="exact"/>
              <w:rPr>
                <w:sz w:val="20"/>
                <w:szCs w:val="20"/>
                <w:color w:val="auto"/>
              </w:rPr>
            </w:pPr>
            <w:r>
              <w:rPr>
                <w:rFonts w:ascii="Arial" w:cs="Arial" w:eastAsia="Arial" w:hAnsi="Arial"/>
                <w:sz w:val="14"/>
                <w:szCs w:val="14"/>
                <w:color w:val="auto"/>
              </w:rPr>
              <w:t>250,000</w:t>
            </w:r>
          </w:p>
        </w:tc>
        <w:tc>
          <w:tcPr>
            <w:tcW w:w="1660" w:type="dxa"/>
            <w:vAlign w:val="bottom"/>
            <w:tcBorders>
              <w:bottom w:val="single" w:sz="8" w:color="AFAFAF"/>
              <w:right w:val="single" w:sz="8" w:color="AFAFAF"/>
            </w:tcBorders>
          </w:tcPr>
          <w:p>
            <w:pPr>
              <w:jc w:val="center"/>
              <w:ind w:left="22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3"/>
                <w:szCs w:val="13"/>
                <w:color w:val="auto"/>
              </w:rPr>
            </w:pPr>
          </w:p>
        </w:tc>
        <w:tc>
          <w:tcPr>
            <w:tcW w:w="152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250,000</w:t>
            </w:r>
          </w:p>
        </w:tc>
      </w:tr>
      <w:tr>
        <w:trPr>
          <w:trHeight w:val="155"/>
        </w:trPr>
        <w:tc>
          <w:tcPr>
            <w:tcW w:w="36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Peter J. Thomson</w:t>
            </w:r>
          </w:p>
        </w:tc>
        <w:tc>
          <w:tcPr>
            <w:tcW w:w="940" w:type="dxa"/>
            <w:vAlign w:val="bottom"/>
            <w:tcBorders>
              <w:bottom w:val="single" w:sz="8" w:color="AFAFAF"/>
              <w:right w:val="single" w:sz="8" w:color="AFAFAF"/>
            </w:tcBorders>
          </w:tcPr>
          <w:p>
            <w:pPr>
              <w:jc w:val="center"/>
              <w:ind w:left="188"/>
              <w:spacing w:after="0" w:line="155" w:lineRule="exact"/>
              <w:rPr>
                <w:sz w:val="20"/>
                <w:szCs w:val="20"/>
                <w:color w:val="auto"/>
              </w:rPr>
            </w:pPr>
            <w:r>
              <w:rPr>
                <w:rFonts w:ascii="Arial" w:cs="Arial" w:eastAsia="Arial" w:hAnsi="Arial"/>
                <w:sz w:val="14"/>
                <w:szCs w:val="14"/>
                <w:color w:val="auto"/>
              </w:rPr>
              <w:t>150,000</w:t>
            </w:r>
          </w:p>
        </w:tc>
        <w:tc>
          <w:tcPr>
            <w:tcW w:w="1540" w:type="dxa"/>
            <w:vAlign w:val="bottom"/>
            <w:tcBorders>
              <w:bottom w:val="single" w:sz="8" w:color="AFAFAF"/>
              <w:right w:val="single" w:sz="8" w:color="AFAFAF"/>
            </w:tcBorders>
          </w:tcPr>
          <w:p>
            <w:pPr>
              <w:jc w:val="right"/>
              <w:ind w:right="388"/>
              <w:spacing w:after="0" w:line="155" w:lineRule="exact"/>
              <w:rPr>
                <w:sz w:val="20"/>
                <w:szCs w:val="20"/>
                <w:color w:val="auto"/>
              </w:rPr>
            </w:pPr>
            <w:r>
              <w:rPr>
                <w:rFonts w:ascii="Arial" w:cs="Arial" w:eastAsia="Arial" w:hAnsi="Arial"/>
                <w:sz w:val="14"/>
                <w:szCs w:val="14"/>
                <w:color w:val="auto"/>
              </w:rPr>
              <w:t>50,000</w:t>
            </w:r>
          </w:p>
        </w:tc>
        <w:tc>
          <w:tcPr>
            <w:tcW w:w="1660" w:type="dxa"/>
            <w:vAlign w:val="bottom"/>
            <w:tcBorders>
              <w:bottom w:val="single" w:sz="8" w:color="AFAFAF"/>
              <w:right w:val="single" w:sz="8" w:color="AFAFAF"/>
            </w:tcBorders>
          </w:tcPr>
          <w:p>
            <w:pPr>
              <w:jc w:val="center"/>
              <w:ind w:left="22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3"/>
                <w:szCs w:val="13"/>
                <w:color w:val="auto"/>
              </w:rPr>
            </w:pPr>
          </w:p>
        </w:tc>
        <w:tc>
          <w:tcPr>
            <w:tcW w:w="152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200,000</w:t>
            </w:r>
          </w:p>
        </w:tc>
      </w:tr>
      <w:tr>
        <w:trPr>
          <w:trHeight w:val="155"/>
        </w:trPr>
        <w:tc>
          <w:tcPr>
            <w:tcW w:w="364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Wulf von Schimmelmann</w:t>
            </w:r>
          </w:p>
        </w:tc>
        <w:tc>
          <w:tcPr>
            <w:tcW w:w="940" w:type="dxa"/>
            <w:vAlign w:val="bottom"/>
            <w:tcBorders>
              <w:bottom w:val="single" w:sz="8" w:color="D95A3B"/>
              <w:right w:val="single" w:sz="8" w:color="AFAFAF"/>
            </w:tcBorders>
          </w:tcPr>
          <w:p>
            <w:pPr>
              <w:jc w:val="center"/>
              <w:ind w:left="188"/>
              <w:spacing w:after="0" w:line="155"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D95A3B"/>
              <w:right w:val="single" w:sz="8" w:color="AFAFAF"/>
            </w:tcBorders>
          </w:tcPr>
          <w:p>
            <w:pPr>
              <w:jc w:val="right"/>
              <w:ind w:right="388"/>
              <w:spacing w:after="0" w:line="155" w:lineRule="exact"/>
              <w:rPr>
                <w:sz w:val="20"/>
                <w:szCs w:val="20"/>
                <w:color w:val="auto"/>
              </w:rPr>
            </w:pPr>
            <w:r>
              <w:rPr>
                <w:rFonts w:ascii="Arial" w:cs="Arial" w:eastAsia="Arial" w:hAnsi="Arial"/>
                <w:sz w:val="14"/>
                <w:szCs w:val="14"/>
                <w:color w:val="auto"/>
              </w:rPr>
              <w:t>200,000</w:t>
            </w:r>
          </w:p>
        </w:tc>
        <w:tc>
          <w:tcPr>
            <w:tcW w:w="1660" w:type="dxa"/>
            <w:vAlign w:val="bottom"/>
            <w:tcBorders>
              <w:bottom w:val="single" w:sz="8" w:color="D95A3B"/>
              <w:right w:val="single" w:sz="8" w:color="AFAFAF"/>
            </w:tcBorders>
          </w:tcPr>
          <w:p>
            <w:pPr>
              <w:jc w:val="center"/>
              <w:ind w:left="22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D95A3B"/>
            </w:tcBorders>
          </w:tcPr>
          <w:p>
            <w:pPr>
              <w:spacing w:after="0"/>
              <w:rPr>
                <w:sz w:val="13"/>
                <w:szCs w:val="13"/>
                <w:color w:val="auto"/>
              </w:rPr>
            </w:pPr>
          </w:p>
        </w:tc>
        <w:tc>
          <w:tcPr>
            <w:tcW w:w="152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D95A3B"/>
            </w:tcBorders>
          </w:tcPr>
          <w:p>
            <w:pPr>
              <w:jc w:val="right"/>
              <w:ind w:right="248"/>
              <w:spacing w:after="0" w:line="155" w:lineRule="exact"/>
              <w:rPr>
                <w:sz w:val="20"/>
                <w:szCs w:val="20"/>
                <w:color w:val="auto"/>
              </w:rPr>
            </w:pPr>
            <w:r>
              <w:rPr>
                <w:rFonts w:ascii="Arial" w:cs="Arial" w:eastAsia="Arial" w:hAnsi="Arial"/>
                <w:sz w:val="14"/>
                <w:szCs w:val="14"/>
                <w:color w:val="auto"/>
              </w:rPr>
              <w:t>200,000</w:t>
            </w:r>
          </w:p>
        </w:tc>
      </w:tr>
      <w:tr>
        <w:trPr>
          <w:trHeight w:val="155"/>
        </w:trPr>
        <w:tc>
          <w:tcPr>
            <w:tcW w:w="364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940" w:type="dxa"/>
            <w:vAlign w:val="bottom"/>
            <w:tcBorders>
              <w:bottom w:val="single" w:sz="8" w:color="D95A3B"/>
              <w:right w:val="single" w:sz="8" w:color="AFAFAF"/>
            </w:tcBorders>
          </w:tcPr>
          <w:p>
            <w:pPr>
              <w:jc w:val="center"/>
              <w:ind w:left="188"/>
              <w:spacing w:after="0" w:line="155" w:lineRule="exact"/>
              <w:rPr>
                <w:sz w:val="20"/>
                <w:szCs w:val="20"/>
                <w:color w:val="auto"/>
              </w:rPr>
            </w:pPr>
            <w:r>
              <w:rPr>
                <w:rFonts w:ascii="Arial" w:cs="Arial" w:eastAsia="Arial" w:hAnsi="Arial"/>
                <w:sz w:val="14"/>
                <w:szCs w:val="14"/>
                <w:b w:val="1"/>
                <w:bCs w:val="1"/>
                <w:color w:val="auto"/>
              </w:rPr>
              <w:t>312,329</w:t>
            </w:r>
          </w:p>
        </w:tc>
        <w:tc>
          <w:tcPr>
            <w:tcW w:w="1540" w:type="dxa"/>
            <w:vAlign w:val="bottom"/>
            <w:tcBorders>
              <w:bottom w:val="single" w:sz="8" w:color="D95A3B"/>
              <w:right w:val="single" w:sz="8" w:color="AFAFAF"/>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2,561,096</w:t>
            </w:r>
          </w:p>
        </w:tc>
        <w:tc>
          <w:tcPr>
            <w:tcW w:w="1660" w:type="dxa"/>
            <w:vAlign w:val="bottom"/>
            <w:tcBorders>
              <w:bottom w:val="single" w:sz="8" w:color="D95A3B"/>
              <w:right w:val="single" w:sz="8" w:color="AFAFAF"/>
            </w:tcBorders>
          </w:tcPr>
          <w:p>
            <w:pPr>
              <w:jc w:val="center"/>
              <w:ind w:left="228"/>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95A3B"/>
            </w:tcBorders>
          </w:tcPr>
          <w:p>
            <w:pPr>
              <w:spacing w:after="0"/>
              <w:rPr>
                <w:sz w:val="13"/>
                <w:szCs w:val="13"/>
                <w:color w:val="auto"/>
              </w:rPr>
            </w:pPr>
          </w:p>
        </w:tc>
        <w:tc>
          <w:tcPr>
            <w:tcW w:w="152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D95A3B"/>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2,873,425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6183630</wp:posOffset>
            </wp:positionH>
            <wp:positionV relativeFrom="paragraph">
              <wp:posOffset>-1563370</wp:posOffset>
            </wp:positionV>
            <wp:extent cx="8255" cy="2305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230505"/>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-1563370</wp:posOffset>
            </wp:positionV>
            <wp:extent cx="8255" cy="2305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230505"/>
                    </a:xfrm>
                    <a:prstGeom prst="rect">
                      <a:avLst/>
                    </a:prstGeom>
                    <a:noFill/>
                  </pic:spPr>
                </pic:pic>
              </a:graphicData>
            </a:graphic>
          </wp:anchor>
        </w:drawing>
        <w:drawing>
          <wp:anchor simplePos="0" relativeHeight="251657728" behindDoc="1" locked="0" layoutInCell="0" allowOverlap="1">
            <wp:simplePos x="0" y="0"/>
            <wp:positionH relativeFrom="column">
              <wp:posOffset>4013200</wp:posOffset>
            </wp:positionH>
            <wp:positionV relativeFrom="paragraph">
              <wp:posOffset>-1563370</wp:posOffset>
            </wp:positionV>
            <wp:extent cx="8255" cy="2305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23050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-1563370</wp:posOffset>
            </wp:positionV>
            <wp:extent cx="8255" cy="2305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230505"/>
                    </a:xfrm>
                    <a:prstGeom prst="rect">
                      <a:avLst/>
                    </a:prstGeom>
                    <a:noFill/>
                  </pic:spPr>
                </pic:pic>
              </a:graphicData>
            </a:graphic>
          </wp:anchor>
        </w:drawing>
        <w:drawing>
          <wp:anchor simplePos="0" relativeHeight="251657728" behindDoc="1" locked="0" layoutInCell="0" allowOverlap="1">
            <wp:simplePos x="0" y="0"/>
            <wp:positionH relativeFrom="column">
              <wp:posOffset>2440305</wp:posOffset>
            </wp:positionH>
            <wp:positionV relativeFrom="paragraph">
              <wp:posOffset>-1563370</wp:posOffset>
            </wp:positionV>
            <wp:extent cx="8255" cy="2305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230505"/>
                    </a:xfrm>
                    <a:prstGeom prst="rect">
                      <a:avLst/>
                    </a:prstGeom>
                    <a:noFill/>
                  </pic:spPr>
                </pic:pic>
              </a:graphicData>
            </a:graphic>
          </wp:anchor>
        </w:drawing>
      </w:r>
    </w:p>
    <w:p>
      <w:pPr>
        <w:spacing w:after="0" w:line="100" w:lineRule="exact"/>
        <w:rPr>
          <w:sz w:val="20"/>
          <w:szCs w:val="20"/>
          <w:color w:val="auto"/>
        </w:rPr>
      </w:pPr>
    </w:p>
    <w:p>
      <w:pPr>
        <w:ind w:left="540" w:hanging="176"/>
        <w:spacing w:after="0"/>
        <w:tabs>
          <w:tab w:leader="none" w:pos="5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fees for serving as Chair of the Risk Committee during part of 2018.</w:t>
      </w:r>
    </w:p>
    <w:p>
      <w:pPr>
        <w:spacing w:after="0" w:line="12" w:lineRule="exact"/>
        <w:rPr>
          <w:rFonts w:ascii="Arial" w:cs="Arial" w:eastAsia="Arial" w:hAnsi="Arial"/>
          <w:sz w:val="13"/>
          <w:szCs w:val="13"/>
          <w:color w:val="auto"/>
        </w:rPr>
      </w:pPr>
    </w:p>
    <w:p>
      <w:pPr>
        <w:ind w:left="360"/>
        <w:spacing w:after="0"/>
        <w:rPr>
          <w:rFonts w:ascii="Arial" w:cs="Arial" w:eastAsia="Arial" w:hAnsi="Arial"/>
          <w:sz w:val="13"/>
          <w:szCs w:val="13"/>
          <w:color w:val="auto"/>
        </w:rPr>
      </w:pPr>
      <w:r>
        <w:rPr>
          <w:rFonts w:ascii="Arial" w:cs="Arial" w:eastAsia="Arial" w:hAnsi="Arial"/>
          <w:sz w:val="13"/>
          <w:szCs w:val="13"/>
          <w:color w:val="auto"/>
        </w:rPr>
        <w:t>2  Includes fees for serving as Chair of the HR Committee during 2018.</w:t>
      </w:r>
    </w:p>
    <w:p>
      <w:pPr>
        <w:spacing w:after="0" w:line="12" w:lineRule="exact"/>
        <w:rPr>
          <w:rFonts w:ascii="Arial" w:cs="Arial" w:eastAsia="Arial" w:hAnsi="Arial"/>
          <w:sz w:val="13"/>
          <w:szCs w:val="13"/>
          <w:color w:val="auto"/>
        </w:rPr>
      </w:pPr>
    </w:p>
    <w:p>
      <w:pPr>
        <w:ind w:left="360"/>
        <w:spacing w:after="0"/>
        <w:rPr>
          <w:rFonts w:ascii="Arial" w:cs="Arial" w:eastAsia="Arial" w:hAnsi="Arial"/>
          <w:sz w:val="13"/>
          <w:szCs w:val="13"/>
          <w:color w:val="auto"/>
        </w:rPr>
      </w:pPr>
      <w:r>
        <w:rPr>
          <w:rFonts w:ascii="Arial" w:cs="Arial" w:eastAsia="Arial" w:hAnsi="Arial"/>
          <w:sz w:val="13"/>
          <w:szCs w:val="13"/>
          <w:color w:val="auto"/>
        </w:rPr>
        <w:t>3  Includes fees for serving as Chair of the Corporate Governance Committee during part of 2018.</w:t>
      </w:r>
    </w:p>
    <w:p>
      <w:pPr>
        <w:spacing w:after="0" w:line="12" w:lineRule="exact"/>
        <w:rPr>
          <w:rFonts w:ascii="Arial" w:cs="Arial" w:eastAsia="Arial" w:hAnsi="Arial"/>
          <w:sz w:val="13"/>
          <w:szCs w:val="13"/>
          <w:color w:val="auto"/>
        </w:rPr>
      </w:pPr>
    </w:p>
    <w:p>
      <w:pPr>
        <w:jc w:val="both"/>
        <w:ind w:left="360" w:right="2120"/>
        <w:spacing w:after="0" w:line="269" w:lineRule="auto"/>
        <w:rPr>
          <w:rFonts w:ascii="Arial" w:cs="Arial" w:eastAsia="Arial" w:hAnsi="Arial"/>
          <w:sz w:val="13"/>
          <w:szCs w:val="13"/>
          <w:color w:val="auto"/>
        </w:rPr>
      </w:pPr>
      <w:r>
        <w:rPr>
          <w:rFonts w:ascii="Arial" w:cs="Arial" w:eastAsia="Arial" w:hAnsi="Arial"/>
          <w:sz w:val="13"/>
          <w:szCs w:val="13"/>
          <w:color w:val="auto"/>
        </w:rPr>
        <w:t>4 Sir Kenneth resigned from the board in January 2018. This table reflects pro-rated compensation for his service as a director during that month. 5 Includes fees for serving as the Lead Independent Director during 2018 and Chair of the Corporate Governance Committee during part of 2018. 6 Includes fees for serving as Chair of the Audit Committee during 2018.</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Stock Option and RSU Grants</w:t>
      </w:r>
    </w:p>
    <w:p>
      <w:pPr>
        <w:spacing w:after="0" w:line="35" w:lineRule="exact"/>
        <w:rPr>
          <w:sz w:val="20"/>
          <w:szCs w:val="20"/>
          <w:color w:val="auto"/>
        </w:rPr>
      </w:pPr>
    </w:p>
    <w:p>
      <w:pPr>
        <w:ind w:left="220" w:right="480"/>
        <w:spacing w:after="0" w:line="239" w:lineRule="auto"/>
        <w:rPr>
          <w:sz w:val="20"/>
          <w:szCs w:val="20"/>
          <w:color w:val="auto"/>
        </w:rPr>
      </w:pPr>
      <w:r>
        <w:rPr>
          <w:rFonts w:ascii="Arial" w:cs="Arial" w:eastAsia="Arial" w:hAnsi="Arial"/>
          <w:sz w:val="18"/>
          <w:szCs w:val="18"/>
          <w:color w:val="auto"/>
        </w:rPr>
        <w:t>Our non-management directors are not eligible to receive stock option grants and no non-management director currently holds any options. None of our non-management directors currently hold RSUs. Options and RSUs held by Mr. Smith are described later in the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120650</wp:posOffset>
            </wp:positionV>
            <wp:extent cx="697357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1" w:lineRule="exact"/>
        <w:rPr>
          <w:sz w:val="20"/>
          <w:szCs w:val="20"/>
          <w:color w:val="auto"/>
        </w:rPr>
      </w:pPr>
    </w:p>
    <w:p>
      <w:pPr>
        <w:ind w:left="6100"/>
        <w:spacing w:after="0"/>
        <w:tabs>
          <w:tab w:leader="none" w:pos="106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23</w:t>
      </w:r>
    </w:p>
    <w:p>
      <w:pPr>
        <w:sectPr>
          <w:pgSz w:w="11900" w:h="16838" w:orient="portrait"/>
          <w:cols w:equalWidth="0" w:num="1">
            <w:col w:w="11200"/>
          </w:cols>
          <w:pgMar w:left="240" w:top="458"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Share Ownership Guidelines</w:t>
      </w:r>
    </w:p>
    <w:p>
      <w:pPr>
        <w:spacing w:after="0" w:line="35"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Directors are required to hold common shares and/or DSUs with a value of $600,000, which is equal to three times their annual retainer. Directors are required to meet their ownership requirement within five years of the date of their initial appointment to the Thomson Reuters board. Share prices of all public companies are subject to market volatility. As a result, director share ownership guidelines reflect a “once met, always met” standard. This means that if a director has met his or her applicable ownership guideline multiple and a subsequent decline in the Thomson Reuters share price causes the value of his or her ownership to fall below the applicable threshold, the director will be considered to be in compliance with the guidelines so long as he or she continues to hold the number of shares that were owned at the time when he or she achieved the guidelines.</w:t>
      </w:r>
    </w:p>
    <w:p>
      <w:pPr>
        <w:spacing w:after="0" w:line="96"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Ownership of common shares and DSUs by our director nominees can be found in each nominee’s biography in this circular. David Thomson and Peter Thomson are substantial shareholders of our company as members of the family that owns the equity of Woodbridge. As of April 11, 2019, Woodbridge beneficially owned approximately 66% of our common shares. For more information, see the “Principal Shareholder and Share Capital” section of this circular. The following table shows each non-management director’s progress towards his or her share ownership guidelines. All ownership multiples and each director’s ownership are as of April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78105</wp:posOffset>
            </wp:positionV>
            <wp:extent cx="69735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7"/>
          <w:szCs w:val="27"/>
          <w:color w:val="auto"/>
        </w:rPr>
        <w:t>All of our directors currently exceed their share ownership guideline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213995</wp:posOffset>
            </wp:positionV>
            <wp:extent cx="69735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316230</wp:posOffset>
            </wp:positionV>
            <wp:extent cx="8255" cy="2305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230505"/>
                    </a:xfrm>
                    <a:prstGeom prst="rect">
                      <a:avLst/>
                    </a:prstGeom>
                    <a:noFill/>
                  </pic:spPr>
                </pic:pic>
              </a:graphicData>
            </a:graphic>
          </wp:anchor>
        </w:drawing>
        <w:drawing>
          <wp:anchor simplePos="0" relativeHeight="251657728" behindDoc="1" locked="0" layoutInCell="0" allowOverlap="1">
            <wp:simplePos x="0" y="0"/>
            <wp:positionH relativeFrom="column">
              <wp:posOffset>1466215</wp:posOffset>
            </wp:positionH>
            <wp:positionV relativeFrom="paragraph">
              <wp:posOffset>316230</wp:posOffset>
            </wp:positionV>
            <wp:extent cx="8255" cy="2305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2305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10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4"/>
                <w:szCs w:val="14"/>
                <w:b w:val="1"/>
                <w:bCs w:val="1"/>
                <w:color w:val="auto"/>
              </w:rPr>
              <w:t>Ownership multiple of</w:t>
            </w:r>
          </w:p>
        </w:tc>
        <w:tc>
          <w:tcPr>
            <w:tcW w:w="6780" w:type="dxa"/>
            <w:vAlign w:val="bottom"/>
            <w:shd w:val="clear" w:color="auto" w:fill="CCCCCC"/>
          </w:tcPr>
          <w:p>
            <w:pPr>
              <w:ind w:left="200"/>
              <w:spacing w:after="0"/>
              <w:rPr>
                <w:sz w:val="20"/>
                <w:szCs w:val="20"/>
                <w:color w:val="auto"/>
              </w:rPr>
            </w:pPr>
            <w:r>
              <w:rPr>
                <w:rFonts w:ascii="Arial" w:cs="Arial" w:eastAsia="Arial" w:hAnsi="Arial"/>
                <w:sz w:val="14"/>
                <w:szCs w:val="14"/>
                <w:b w:val="1"/>
                <w:bCs w:val="1"/>
                <w:color w:val="auto"/>
              </w:rPr>
              <w:t>Progress towards guidelines</w:t>
            </w:r>
          </w:p>
        </w:tc>
      </w:tr>
      <w:tr>
        <w:trPr>
          <w:trHeight w:val="175"/>
        </w:trPr>
        <w:tc>
          <w:tcPr>
            <w:tcW w:w="2100" w:type="dxa"/>
            <w:vAlign w:val="bottom"/>
            <w:tcBorders>
              <w:bottom w:val="single" w:sz="8" w:color="D95A3B"/>
              <w:right w:val="single" w:sz="8" w:color="CCCCCC"/>
            </w:tcBorders>
            <w:shd w:val="clear" w:color="auto" w:fill="CCCCCC"/>
          </w:tcPr>
          <w:p>
            <w:pPr>
              <w:spacing w:after="0"/>
              <w:rPr>
                <w:sz w:val="15"/>
                <w:szCs w:val="15"/>
                <w:color w:val="auto"/>
              </w:rPr>
            </w:pPr>
          </w:p>
        </w:tc>
        <w:tc>
          <w:tcPr>
            <w:tcW w:w="2100" w:type="dxa"/>
            <w:vAlign w:val="bottom"/>
            <w:tcBorders>
              <w:bottom w:val="single" w:sz="8" w:color="D95A3B"/>
              <w:right w:val="single" w:sz="8" w:color="CCCCCC"/>
            </w:tcBorders>
            <w:shd w:val="clear" w:color="auto" w:fill="CCCCCC"/>
          </w:tcPr>
          <w:p>
            <w:pPr>
              <w:ind w:left="100"/>
              <w:spacing w:after="0"/>
              <w:rPr>
                <w:sz w:val="20"/>
                <w:szCs w:val="20"/>
                <w:color w:val="auto"/>
              </w:rPr>
            </w:pPr>
            <w:r>
              <w:rPr>
                <w:rFonts w:ascii="Arial" w:cs="Arial" w:eastAsia="Arial" w:hAnsi="Arial"/>
                <w:sz w:val="14"/>
                <w:szCs w:val="14"/>
                <w:b w:val="1"/>
                <w:bCs w:val="1"/>
                <w:color w:val="auto"/>
              </w:rPr>
              <w:t>annual retainer</w:t>
            </w:r>
          </w:p>
        </w:tc>
        <w:tc>
          <w:tcPr>
            <w:tcW w:w="6780" w:type="dxa"/>
            <w:vAlign w:val="bottom"/>
            <w:tcBorders>
              <w:bottom w:val="single" w:sz="8" w:color="D95A3B"/>
            </w:tcBorders>
            <w:shd w:val="clear" w:color="auto" w:fill="CCCCCC"/>
          </w:tcPr>
          <w:p>
            <w:pPr>
              <w:spacing w:after="0"/>
              <w:rPr>
                <w:sz w:val="15"/>
                <w:szCs w:val="15"/>
                <w:color w:val="auto"/>
              </w:rPr>
            </w:pPr>
          </w:p>
        </w:tc>
      </w:tr>
      <w:tr>
        <w:trPr>
          <w:trHeight w:val="168"/>
        </w:trPr>
        <w:tc>
          <w:tcPr>
            <w:tcW w:w="210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David Thomson</w:t>
            </w:r>
          </w:p>
        </w:tc>
        <w:tc>
          <w:tcPr>
            <w:tcW w:w="2100" w:type="dxa"/>
            <w:vAlign w:val="bottom"/>
            <w:tcBorders>
              <w:bottom w:val="single" w:sz="8" w:color="AFAFAF"/>
              <w:right w:val="single" w:sz="8" w:color="AFAFAF"/>
            </w:tcBorders>
          </w:tcPr>
          <w:p>
            <w:pPr>
              <w:jc w:val="center"/>
              <w:ind w:left="28"/>
              <w:spacing w:after="0"/>
              <w:rPr>
                <w:sz w:val="20"/>
                <w:szCs w:val="20"/>
                <w:color w:val="auto"/>
              </w:rPr>
            </w:pPr>
            <w:r>
              <w:rPr>
                <w:rFonts w:ascii="Arial" w:cs="Arial" w:eastAsia="Arial" w:hAnsi="Arial"/>
                <w:sz w:val="14"/>
                <w:szCs w:val="14"/>
                <w:color w:val="auto"/>
              </w:rPr>
              <w:t>–</w:t>
            </w:r>
          </w:p>
        </w:tc>
        <w:tc>
          <w:tcPr>
            <w:tcW w:w="6780" w:type="dxa"/>
            <w:vAlign w:val="bottom"/>
            <w:tcBorders>
              <w:bottom w:val="single" w:sz="8" w:color="AFAFAF"/>
            </w:tcBorders>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through Woodbridge’s ownership</w:t>
            </w:r>
          </w:p>
        </w:tc>
      </w:tr>
      <w:tr>
        <w:trPr>
          <w:trHeight w:val="168"/>
        </w:trPr>
        <w:tc>
          <w:tcPr>
            <w:tcW w:w="210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Sheila C. Bair</w:t>
            </w:r>
          </w:p>
        </w:tc>
        <w:tc>
          <w:tcPr>
            <w:tcW w:w="2100" w:type="dxa"/>
            <w:vAlign w:val="bottom"/>
            <w:tcBorders>
              <w:bottom w:val="single" w:sz="8" w:color="AFAFAF"/>
              <w:right w:val="single" w:sz="8" w:color="AFAFAF"/>
            </w:tcBorders>
          </w:tcPr>
          <w:p>
            <w:pPr>
              <w:jc w:val="center"/>
              <w:ind w:left="8"/>
              <w:spacing w:after="0"/>
              <w:rPr>
                <w:sz w:val="20"/>
                <w:szCs w:val="20"/>
                <w:color w:val="auto"/>
              </w:rPr>
            </w:pPr>
            <w:r>
              <w:rPr>
                <w:rFonts w:ascii="Arial" w:cs="Arial" w:eastAsia="Arial" w:hAnsi="Arial"/>
                <w:sz w:val="14"/>
                <w:szCs w:val="14"/>
                <w:color w:val="auto"/>
                <w:w w:val="98"/>
              </w:rPr>
              <w:t>4.9x</w:t>
            </w:r>
          </w:p>
        </w:tc>
        <w:tc>
          <w:tcPr>
            <w:tcW w:w="6780" w:type="dxa"/>
            <w:vAlign w:val="bottom"/>
            <w:tcBorders>
              <w:bottom w:val="single" w:sz="8" w:color="AFAFAF"/>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168"/>
        </w:trPr>
        <w:tc>
          <w:tcPr>
            <w:tcW w:w="210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David W. Binet</w:t>
            </w:r>
          </w:p>
        </w:tc>
        <w:tc>
          <w:tcPr>
            <w:tcW w:w="2100" w:type="dxa"/>
            <w:vAlign w:val="bottom"/>
            <w:tcBorders>
              <w:bottom w:val="single" w:sz="8" w:color="AFAFAF"/>
              <w:right w:val="single" w:sz="8" w:color="AFAFAF"/>
            </w:tcBorders>
          </w:tcPr>
          <w:p>
            <w:pPr>
              <w:jc w:val="center"/>
              <w:ind w:left="8"/>
              <w:spacing w:after="0"/>
              <w:rPr>
                <w:sz w:val="20"/>
                <w:szCs w:val="20"/>
                <w:color w:val="auto"/>
              </w:rPr>
            </w:pPr>
            <w:r>
              <w:rPr>
                <w:rFonts w:ascii="Arial" w:cs="Arial" w:eastAsia="Arial" w:hAnsi="Arial"/>
                <w:sz w:val="14"/>
                <w:szCs w:val="14"/>
                <w:color w:val="auto"/>
                <w:w w:val="99"/>
              </w:rPr>
              <w:t>85.1x</w:t>
            </w:r>
          </w:p>
        </w:tc>
        <w:tc>
          <w:tcPr>
            <w:tcW w:w="6780" w:type="dxa"/>
            <w:vAlign w:val="bottom"/>
            <w:tcBorders>
              <w:bottom w:val="single" w:sz="8" w:color="AFAFAF"/>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168"/>
        </w:trPr>
        <w:tc>
          <w:tcPr>
            <w:tcW w:w="210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W. Edmund Clark, C.M.</w:t>
            </w:r>
          </w:p>
        </w:tc>
        <w:tc>
          <w:tcPr>
            <w:tcW w:w="2100" w:type="dxa"/>
            <w:vAlign w:val="bottom"/>
            <w:tcBorders>
              <w:bottom w:val="single" w:sz="8" w:color="AFAFAF"/>
              <w:right w:val="single" w:sz="8" w:color="AFAFAF"/>
            </w:tcBorders>
          </w:tcPr>
          <w:p>
            <w:pPr>
              <w:jc w:val="center"/>
              <w:ind w:left="8"/>
              <w:spacing w:after="0"/>
              <w:rPr>
                <w:sz w:val="20"/>
                <w:szCs w:val="20"/>
                <w:color w:val="auto"/>
              </w:rPr>
            </w:pPr>
            <w:r>
              <w:rPr>
                <w:rFonts w:ascii="Arial" w:cs="Arial" w:eastAsia="Arial" w:hAnsi="Arial"/>
                <w:sz w:val="14"/>
                <w:szCs w:val="14"/>
                <w:color w:val="auto"/>
                <w:w w:val="99"/>
              </w:rPr>
              <w:t>16.8x</w:t>
            </w:r>
          </w:p>
        </w:tc>
        <w:tc>
          <w:tcPr>
            <w:tcW w:w="6780" w:type="dxa"/>
            <w:vAlign w:val="bottom"/>
            <w:tcBorders>
              <w:bottom w:val="single" w:sz="8" w:color="AFAFAF"/>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168"/>
        </w:trPr>
        <w:tc>
          <w:tcPr>
            <w:tcW w:w="210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Michael E. Daniels</w:t>
            </w:r>
          </w:p>
        </w:tc>
        <w:tc>
          <w:tcPr>
            <w:tcW w:w="2100" w:type="dxa"/>
            <w:vAlign w:val="bottom"/>
            <w:tcBorders>
              <w:bottom w:val="single" w:sz="8" w:color="AFAFAF"/>
              <w:right w:val="single" w:sz="8" w:color="AFAFAF"/>
            </w:tcBorders>
          </w:tcPr>
          <w:p>
            <w:pPr>
              <w:jc w:val="center"/>
              <w:ind w:left="8"/>
              <w:spacing w:after="0"/>
              <w:rPr>
                <w:sz w:val="20"/>
                <w:szCs w:val="20"/>
                <w:color w:val="auto"/>
              </w:rPr>
            </w:pPr>
            <w:r>
              <w:rPr>
                <w:rFonts w:ascii="Arial" w:cs="Arial" w:eastAsia="Arial" w:hAnsi="Arial"/>
                <w:sz w:val="14"/>
                <w:szCs w:val="14"/>
                <w:color w:val="auto"/>
                <w:w w:val="98"/>
              </w:rPr>
              <w:t>7.0x</w:t>
            </w:r>
          </w:p>
        </w:tc>
        <w:tc>
          <w:tcPr>
            <w:tcW w:w="6780" w:type="dxa"/>
            <w:vAlign w:val="bottom"/>
            <w:tcBorders>
              <w:bottom w:val="single" w:sz="8" w:color="AFAFAF"/>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168"/>
        </w:trPr>
        <w:tc>
          <w:tcPr>
            <w:tcW w:w="210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Vance K. Opperman</w:t>
            </w:r>
          </w:p>
        </w:tc>
        <w:tc>
          <w:tcPr>
            <w:tcW w:w="2100" w:type="dxa"/>
            <w:vAlign w:val="bottom"/>
            <w:tcBorders>
              <w:bottom w:val="single" w:sz="8" w:color="AFAFAF"/>
              <w:right w:val="single" w:sz="8" w:color="AFAFAF"/>
            </w:tcBorders>
          </w:tcPr>
          <w:p>
            <w:pPr>
              <w:jc w:val="center"/>
              <w:ind w:left="8"/>
              <w:spacing w:after="0"/>
              <w:rPr>
                <w:sz w:val="20"/>
                <w:szCs w:val="20"/>
                <w:color w:val="auto"/>
              </w:rPr>
            </w:pPr>
            <w:r>
              <w:rPr>
                <w:rFonts w:ascii="Arial" w:cs="Arial" w:eastAsia="Arial" w:hAnsi="Arial"/>
                <w:sz w:val="14"/>
                <w:szCs w:val="14"/>
                <w:color w:val="auto"/>
                <w:w w:val="99"/>
              </w:rPr>
              <w:t>52.6x</w:t>
            </w:r>
          </w:p>
        </w:tc>
        <w:tc>
          <w:tcPr>
            <w:tcW w:w="6780" w:type="dxa"/>
            <w:vAlign w:val="bottom"/>
            <w:tcBorders>
              <w:bottom w:val="single" w:sz="8" w:color="AFAFAF"/>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168"/>
        </w:trPr>
        <w:tc>
          <w:tcPr>
            <w:tcW w:w="210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Kristin C. Peck</w:t>
            </w:r>
          </w:p>
        </w:tc>
        <w:tc>
          <w:tcPr>
            <w:tcW w:w="2100" w:type="dxa"/>
            <w:vAlign w:val="bottom"/>
            <w:tcBorders>
              <w:bottom w:val="single" w:sz="8" w:color="AFAFAF"/>
              <w:right w:val="single" w:sz="8" w:color="AFAFAF"/>
            </w:tcBorders>
          </w:tcPr>
          <w:p>
            <w:pPr>
              <w:jc w:val="center"/>
              <w:ind w:left="8"/>
              <w:spacing w:after="0"/>
              <w:rPr>
                <w:sz w:val="20"/>
                <w:szCs w:val="20"/>
                <w:color w:val="auto"/>
              </w:rPr>
            </w:pPr>
            <w:r>
              <w:rPr>
                <w:rFonts w:ascii="Arial" w:cs="Arial" w:eastAsia="Arial" w:hAnsi="Arial"/>
                <w:sz w:val="14"/>
                <w:szCs w:val="14"/>
                <w:color w:val="auto"/>
                <w:w w:val="98"/>
              </w:rPr>
              <w:t>3.5x</w:t>
            </w:r>
          </w:p>
        </w:tc>
        <w:tc>
          <w:tcPr>
            <w:tcW w:w="6780" w:type="dxa"/>
            <w:vAlign w:val="bottom"/>
            <w:tcBorders>
              <w:bottom w:val="single" w:sz="8" w:color="AFAFAF"/>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168"/>
        </w:trPr>
        <w:tc>
          <w:tcPr>
            <w:tcW w:w="210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Barry Salzberg</w:t>
            </w:r>
          </w:p>
        </w:tc>
        <w:tc>
          <w:tcPr>
            <w:tcW w:w="2100" w:type="dxa"/>
            <w:vAlign w:val="bottom"/>
            <w:tcBorders>
              <w:bottom w:val="single" w:sz="8" w:color="AFAFAF"/>
              <w:right w:val="single" w:sz="8" w:color="AFAFAF"/>
            </w:tcBorders>
          </w:tcPr>
          <w:p>
            <w:pPr>
              <w:jc w:val="center"/>
              <w:ind w:left="8"/>
              <w:spacing w:after="0"/>
              <w:rPr>
                <w:sz w:val="20"/>
                <w:szCs w:val="20"/>
                <w:color w:val="auto"/>
              </w:rPr>
            </w:pPr>
            <w:r>
              <w:rPr>
                <w:rFonts w:ascii="Arial" w:cs="Arial" w:eastAsia="Arial" w:hAnsi="Arial"/>
                <w:sz w:val="14"/>
                <w:szCs w:val="14"/>
                <w:color w:val="auto"/>
                <w:w w:val="98"/>
              </w:rPr>
              <w:t>5.5x</w:t>
            </w:r>
          </w:p>
        </w:tc>
        <w:tc>
          <w:tcPr>
            <w:tcW w:w="6780" w:type="dxa"/>
            <w:vAlign w:val="bottom"/>
            <w:tcBorders>
              <w:bottom w:val="single" w:sz="8" w:color="AFAFAF"/>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168"/>
        </w:trPr>
        <w:tc>
          <w:tcPr>
            <w:tcW w:w="210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Peter J. Thomson</w:t>
            </w:r>
          </w:p>
        </w:tc>
        <w:tc>
          <w:tcPr>
            <w:tcW w:w="2100" w:type="dxa"/>
            <w:vAlign w:val="bottom"/>
            <w:tcBorders>
              <w:bottom w:val="single" w:sz="8" w:color="AFAFAF"/>
              <w:right w:val="single" w:sz="8" w:color="AFAFAF"/>
            </w:tcBorders>
          </w:tcPr>
          <w:p>
            <w:pPr>
              <w:jc w:val="center"/>
              <w:ind w:left="28"/>
              <w:spacing w:after="0"/>
              <w:rPr>
                <w:sz w:val="20"/>
                <w:szCs w:val="20"/>
                <w:color w:val="auto"/>
              </w:rPr>
            </w:pPr>
            <w:r>
              <w:rPr>
                <w:rFonts w:ascii="Arial" w:cs="Arial" w:eastAsia="Arial" w:hAnsi="Arial"/>
                <w:sz w:val="14"/>
                <w:szCs w:val="14"/>
                <w:color w:val="auto"/>
              </w:rPr>
              <w:t>–</w:t>
            </w:r>
          </w:p>
        </w:tc>
        <w:tc>
          <w:tcPr>
            <w:tcW w:w="6780" w:type="dxa"/>
            <w:vAlign w:val="bottom"/>
            <w:tcBorders>
              <w:bottom w:val="single" w:sz="8" w:color="AFAFAF"/>
            </w:tcBorders>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through Woodbridge’s ownership</w:t>
            </w:r>
          </w:p>
        </w:tc>
      </w:tr>
      <w:tr>
        <w:trPr>
          <w:trHeight w:val="168"/>
        </w:trPr>
        <w:tc>
          <w:tcPr>
            <w:tcW w:w="2100" w:type="dxa"/>
            <w:vAlign w:val="bottom"/>
            <w:tcBorders>
              <w:bottom w:val="single" w:sz="8" w:color="D95A3B"/>
              <w:right w:val="single" w:sz="8" w:color="AFAFAF"/>
            </w:tcBorders>
          </w:tcPr>
          <w:p>
            <w:pPr>
              <w:spacing w:after="0"/>
              <w:rPr>
                <w:sz w:val="20"/>
                <w:szCs w:val="20"/>
                <w:color w:val="auto"/>
              </w:rPr>
            </w:pPr>
            <w:r>
              <w:rPr>
                <w:rFonts w:ascii="Arial" w:cs="Arial" w:eastAsia="Arial" w:hAnsi="Arial"/>
                <w:sz w:val="14"/>
                <w:szCs w:val="14"/>
                <w:b w:val="1"/>
                <w:bCs w:val="1"/>
                <w:color w:val="auto"/>
              </w:rPr>
              <w:t>Wulf von Schimmelmann</w:t>
            </w:r>
          </w:p>
        </w:tc>
        <w:tc>
          <w:tcPr>
            <w:tcW w:w="2100" w:type="dxa"/>
            <w:vAlign w:val="bottom"/>
            <w:tcBorders>
              <w:bottom w:val="single" w:sz="8" w:color="D95A3B"/>
              <w:right w:val="single" w:sz="8" w:color="AFAFAF"/>
            </w:tcBorders>
          </w:tcPr>
          <w:p>
            <w:pPr>
              <w:jc w:val="center"/>
              <w:ind w:left="8"/>
              <w:spacing w:after="0"/>
              <w:rPr>
                <w:sz w:val="20"/>
                <w:szCs w:val="20"/>
                <w:color w:val="auto"/>
              </w:rPr>
            </w:pPr>
            <w:r>
              <w:rPr>
                <w:rFonts w:ascii="Arial" w:cs="Arial" w:eastAsia="Arial" w:hAnsi="Arial"/>
                <w:sz w:val="14"/>
                <w:szCs w:val="14"/>
                <w:color w:val="auto"/>
                <w:w w:val="99"/>
              </w:rPr>
              <w:t>10.2x</w:t>
            </w:r>
          </w:p>
        </w:tc>
        <w:tc>
          <w:tcPr>
            <w:tcW w:w="6780" w:type="dxa"/>
            <w:vAlign w:val="bottom"/>
            <w:tcBorders>
              <w:bottom w:val="single" w:sz="8" w:color="D95A3B"/>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07" w:lineRule="exact"/>
        <w:rPr>
          <w:sz w:val="20"/>
          <w:szCs w:val="20"/>
          <w:color w:val="auto"/>
        </w:rPr>
      </w:pPr>
    </w:p>
    <w:p>
      <w:pPr>
        <w:jc w:val="both"/>
        <w:ind w:left="220" w:right="80"/>
        <w:spacing w:after="0" w:line="239" w:lineRule="auto"/>
        <w:rPr>
          <w:sz w:val="20"/>
          <w:szCs w:val="20"/>
          <w:color w:val="auto"/>
        </w:rPr>
      </w:pPr>
      <w:r>
        <w:rPr>
          <w:rFonts w:ascii="Arial" w:cs="Arial" w:eastAsia="Arial" w:hAnsi="Arial"/>
          <w:sz w:val="18"/>
          <w:szCs w:val="18"/>
          <w:color w:val="auto"/>
        </w:rPr>
        <w:t>Mr. Smith is subject to separate ownership guidelines in his capacity as CEO of our company and his ownership as of April 11, 2019 was 25.5x his base salary, which significantly exceeded his guideline level of 6x his base salary. For more information, see the “Compensation Discussion and Analysis” section of this circular.</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Pensions</w:t>
      </w:r>
    </w:p>
    <w:p>
      <w:pPr>
        <w:spacing w:after="0" w:line="35" w:lineRule="exact"/>
        <w:rPr>
          <w:sz w:val="20"/>
          <w:szCs w:val="20"/>
          <w:color w:val="auto"/>
        </w:rPr>
      </w:pPr>
    </w:p>
    <w:p>
      <w:pPr>
        <w:ind w:left="220" w:right="600"/>
        <w:spacing w:after="0" w:line="244" w:lineRule="auto"/>
        <w:rPr>
          <w:sz w:val="20"/>
          <w:szCs w:val="20"/>
          <w:color w:val="auto"/>
        </w:rPr>
      </w:pPr>
      <w:r>
        <w:rPr>
          <w:rFonts w:ascii="Arial" w:cs="Arial" w:eastAsia="Arial" w:hAnsi="Arial"/>
          <w:sz w:val="18"/>
          <w:szCs w:val="18"/>
          <w:color w:val="auto"/>
        </w:rPr>
        <w:t>Non-management directors do not receive any pension benefits from our company. Mr. Smith’s pension and retirement benefits are described in the “Executive Compensation – Pension and Other Retirement Benefits” section of this circular.</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Service Contracts</w:t>
      </w:r>
    </w:p>
    <w:p>
      <w:pPr>
        <w:spacing w:after="0" w:line="35" w:lineRule="exact"/>
        <w:rPr>
          <w:sz w:val="20"/>
          <w:szCs w:val="20"/>
          <w:color w:val="auto"/>
        </w:rPr>
      </w:pPr>
    </w:p>
    <w:p>
      <w:pPr>
        <w:ind w:left="220" w:right="480"/>
        <w:spacing w:after="0" w:line="244" w:lineRule="auto"/>
        <w:rPr>
          <w:sz w:val="20"/>
          <w:szCs w:val="20"/>
          <w:color w:val="auto"/>
        </w:rPr>
      </w:pPr>
      <w:r>
        <w:rPr>
          <w:rFonts w:ascii="Arial" w:cs="Arial" w:eastAsia="Arial" w:hAnsi="Arial"/>
          <w:sz w:val="18"/>
          <w:szCs w:val="18"/>
          <w:color w:val="auto"/>
        </w:rPr>
        <w:t>We have not entered into service contracts with our non-management directors. Our agreement with Mr. Smith regarding termination benefits is described in the “Executive Compensation – Termination Benefits” section of this circular.</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Liability Insurance</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provide our directors with liability insurance in connection with their service on the board.</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Director Expenses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reimburse directors for reasonable travel and out-of-pocket expenses incurred in connection with their Thomson Reuters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125730</wp:posOffset>
            </wp:positionV>
            <wp:extent cx="697357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8"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24</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Corporate Governance Practices</w:t>
      </w:r>
    </w:p>
    <w:p>
      <w:pPr>
        <w:spacing w:after="0" w:line="200" w:lineRule="exact"/>
        <w:rPr>
          <w:sz w:val="20"/>
          <w:szCs w:val="20"/>
          <w:color w:val="auto"/>
        </w:rPr>
      </w:pPr>
    </w:p>
    <w:p>
      <w:pPr>
        <w:spacing w:after="0" w:line="221" w:lineRule="exact"/>
        <w:rPr>
          <w:sz w:val="20"/>
          <w:szCs w:val="20"/>
          <w:color w:val="auto"/>
        </w:rPr>
      </w:pPr>
    </w:p>
    <w:p>
      <w:pPr>
        <w:ind w:left="220" w:right="120"/>
        <w:spacing w:after="0" w:line="260" w:lineRule="auto"/>
        <w:rPr>
          <w:sz w:val="20"/>
          <w:szCs w:val="20"/>
          <w:color w:val="auto"/>
        </w:rPr>
      </w:pPr>
      <w:r>
        <w:rPr>
          <w:rFonts w:ascii="Arial" w:cs="Arial" w:eastAsia="Arial" w:hAnsi="Arial"/>
          <w:sz w:val="17"/>
          <w:szCs w:val="17"/>
          <w:color w:val="auto"/>
        </w:rPr>
        <w:t>Our board is committed to high standards of corporate governance and believes that sound corporate governance practices are essential to the well-being of our company and for the promotion and protection of our shareholders’ interests. We believe that sustainable value creation for all shareholders is fostered through a board that is informed and engaged and that functions independently of management.</w:t>
      </w:r>
    </w:p>
    <w:p>
      <w:pPr>
        <w:spacing w:after="0" w:line="78" w:lineRule="exact"/>
        <w:rPr>
          <w:sz w:val="20"/>
          <w:szCs w:val="20"/>
          <w:color w:val="auto"/>
        </w:rPr>
      </w:pPr>
    </w:p>
    <w:p>
      <w:pPr>
        <w:ind w:left="220" w:right="160"/>
        <w:spacing w:after="0" w:line="238" w:lineRule="auto"/>
        <w:rPr>
          <w:sz w:val="20"/>
          <w:szCs w:val="20"/>
          <w:color w:val="auto"/>
        </w:rPr>
      </w:pPr>
      <w:r>
        <w:rPr>
          <w:rFonts w:ascii="Arial" w:cs="Arial" w:eastAsia="Arial" w:hAnsi="Arial"/>
          <w:sz w:val="18"/>
          <w:szCs w:val="18"/>
          <w:color w:val="auto"/>
        </w:rPr>
        <w:t>As a public company with shares listed in Canada on the Toronto Stock Exchange and in the United States on the New York Stock Exchange, our corporate governance practices are generally consistent with the best practice guidelines of the Canadian securities regulatory authorities and the SEC. In addition, our corporate governance practices comply with most of the corporate governance listing standards of the NYSE, notwithstanding that we are exempt from most of those standards as a “foreign private issuer”.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Board Composition and Responsibilities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Governance Structure</w:t>
      </w:r>
    </w:p>
    <w:p>
      <w:pPr>
        <w:spacing w:after="0" w:line="35" w:lineRule="exact"/>
        <w:rPr>
          <w:sz w:val="20"/>
          <w:szCs w:val="20"/>
          <w:color w:val="auto"/>
        </w:rPr>
      </w:pPr>
    </w:p>
    <w:p>
      <w:pPr>
        <w:ind w:left="220" w:right="300"/>
        <w:spacing w:after="0" w:line="237" w:lineRule="auto"/>
        <w:rPr>
          <w:sz w:val="20"/>
          <w:szCs w:val="20"/>
          <w:color w:val="auto"/>
        </w:rPr>
      </w:pPr>
      <w:r>
        <w:rPr>
          <w:rFonts w:ascii="Arial" w:cs="Arial" w:eastAsia="Arial" w:hAnsi="Arial"/>
          <w:sz w:val="18"/>
          <w:szCs w:val="18"/>
          <w:color w:val="auto"/>
        </w:rPr>
        <w:t>The board oversees our corporate governance structure, in part, through the work of the Corporate Governance Committee. Board practices are set out in corporate governance guidelines, which the Corporate Governance Committee reviews annually. The corporate governance guidelines deal with issues such as the board’s duties and responsibilities, share ownership guidelines and conflicts of interest. In addition, each of the board’s four standing committees (Audit, Corporate Governance, HR and Risk) has a charter. The charters are reviewed annually by the relevant committee and the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78105</wp:posOffset>
            </wp:positionV>
            <wp:extent cx="69735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23" w:lineRule="exact"/>
        <w:rPr>
          <w:sz w:val="20"/>
          <w:szCs w:val="20"/>
          <w:color w:val="auto"/>
        </w:rPr>
      </w:pPr>
    </w:p>
    <w:p>
      <w:pPr>
        <w:ind w:left="220" w:right="180"/>
        <w:spacing w:after="0" w:line="249" w:lineRule="auto"/>
        <w:rPr>
          <w:sz w:val="20"/>
          <w:szCs w:val="20"/>
          <w:color w:val="auto"/>
        </w:rPr>
      </w:pPr>
      <w:r>
        <w:rPr>
          <w:rFonts w:ascii="Arial" w:cs="Arial" w:eastAsia="Arial" w:hAnsi="Arial"/>
          <w:sz w:val="27"/>
          <w:szCs w:val="27"/>
          <w:color w:val="auto"/>
        </w:rPr>
        <w:t>The board’s principal responsibilities include strategic planning, risk management, financial reporting, disclosure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198755</wp:posOffset>
            </wp:positionV>
            <wp:extent cx="69735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Our Code of Business Conduct and Ethics (Code), which was updated in February 2018, applies to our employees, directors and officers, including our CEO, CFO and Controller. Our updated Code reflects changes in style and appearance. While the content of the updated Code and its provisions are fundamentally the same, it also reflects certain content updates to make the Code consistent with policies and regulations that have changed in the last few years. Our employees, directors and officers are required to submit an acknowledgment that they have received and read a copy of the Code and understand their obligations to comply with the principles and policies outlined in it. The Corporate Governance Committee receives an annual report regarding the Code from the General Counsel.</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Board Size</w:t>
      </w:r>
    </w:p>
    <w:p>
      <w:pPr>
        <w:spacing w:after="0" w:line="22" w:lineRule="exact"/>
        <w:rPr>
          <w:sz w:val="20"/>
          <w:szCs w:val="20"/>
          <w:color w:val="auto"/>
        </w:rPr>
      </w:pPr>
    </w:p>
    <w:p>
      <w:pPr>
        <w:ind w:left="220" w:right="220"/>
        <w:spacing w:after="0" w:line="239" w:lineRule="auto"/>
        <w:rPr>
          <w:sz w:val="20"/>
          <w:szCs w:val="20"/>
          <w:color w:val="auto"/>
        </w:rPr>
      </w:pPr>
      <w:r>
        <w:rPr>
          <w:rFonts w:ascii="Arial" w:cs="Arial" w:eastAsia="Arial" w:hAnsi="Arial"/>
          <w:sz w:val="18"/>
          <w:szCs w:val="18"/>
          <w:color w:val="auto"/>
        </w:rPr>
        <w:t>The board currently consists of 11 individuals and functions independently of management. The board is currently comprised of 10 non-management directors and the CEO. Individual directors are proposed for election annually. We have proposed that 11 directors be nominated for election at the meeting, all of whom are currently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1419860</wp:posOffset>
            </wp:positionV>
            <wp:extent cx="697357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73570" cy="34290"/>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69215</wp:posOffset>
            </wp:positionV>
            <wp:extent cx="5179060" cy="12223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79060" cy="122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25</w:t>
      </w:r>
    </w:p>
    <w:p>
      <w:pPr>
        <w:sectPr>
          <w:pgSz w:w="11900" w:h="16838" w:orient="portrait"/>
          <w:cols w:equalWidth="0" w:num="1">
            <w:col w:w="11200"/>
          </w:cols>
          <w:pgMar w:left="240" w:top="458"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Key Responsibilities of the Board</w:t>
      </w:r>
    </w:p>
    <w:p>
      <w:pPr>
        <w:spacing w:after="0" w:line="103" w:lineRule="exact"/>
        <w:rPr>
          <w:sz w:val="20"/>
          <w:szCs w:val="20"/>
          <w:color w:val="auto"/>
        </w:rPr>
      </w:pPr>
    </w:p>
    <w:p>
      <w:pPr>
        <w:ind w:left="220" w:right="280"/>
        <w:spacing w:after="0" w:line="244" w:lineRule="auto"/>
        <w:rPr>
          <w:sz w:val="20"/>
          <w:szCs w:val="20"/>
          <w:color w:val="auto"/>
        </w:rPr>
      </w:pPr>
      <w:r>
        <w:rPr>
          <w:rFonts w:ascii="Arial" w:cs="Arial" w:eastAsia="Arial" w:hAnsi="Arial"/>
          <w:sz w:val="18"/>
          <w:szCs w:val="18"/>
          <w:color w:val="auto"/>
        </w:rPr>
        <w:t>The fundamental responsibility of the board is to supervise the management of the business and affairs of Thomson Reuters. The table below highlights primary activities and topics from the board’s 2018 work plan.</w:t>
      </w:r>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900" w:type="dxa"/>
            <w:vAlign w:val="bottom"/>
            <w:tcBorders>
              <w:bottom w:val="single" w:sz="8" w:color="D95A3B"/>
            </w:tcBorders>
            <w:shd w:val="clear" w:color="auto" w:fill="CCCCCC"/>
          </w:tcPr>
          <w:p>
            <w:pPr>
              <w:spacing w:after="0"/>
              <w:rPr>
                <w:sz w:val="20"/>
                <w:szCs w:val="20"/>
                <w:color w:val="auto"/>
              </w:rPr>
            </w:pPr>
            <w:r>
              <w:rPr>
                <w:rFonts w:ascii="Arial" w:cs="Arial" w:eastAsia="Arial" w:hAnsi="Arial"/>
                <w:sz w:val="15"/>
                <w:szCs w:val="15"/>
                <w:b w:val="1"/>
                <w:bCs w:val="1"/>
                <w:color w:val="auto"/>
              </w:rPr>
              <w:t>Meeting</w:t>
            </w:r>
          </w:p>
        </w:tc>
        <w:tc>
          <w:tcPr>
            <w:tcW w:w="10080" w:type="dxa"/>
            <w:vAlign w:val="bottom"/>
            <w:tcBorders>
              <w:bottom w:val="single" w:sz="8" w:color="D95A3B"/>
            </w:tcBorders>
            <w:gridSpan w:val="2"/>
            <w:shd w:val="clear" w:color="auto" w:fill="CCCCCC"/>
          </w:tcPr>
          <w:p>
            <w:pPr>
              <w:ind w:left="320"/>
              <w:spacing w:after="0"/>
              <w:rPr>
                <w:sz w:val="20"/>
                <w:szCs w:val="20"/>
                <w:color w:val="auto"/>
              </w:rPr>
            </w:pPr>
            <w:r>
              <w:rPr>
                <w:rFonts w:ascii="Arial" w:cs="Arial" w:eastAsia="Arial" w:hAnsi="Arial"/>
                <w:sz w:val="15"/>
                <w:szCs w:val="15"/>
                <w:b w:val="1"/>
                <w:bCs w:val="1"/>
                <w:color w:val="auto"/>
              </w:rPr>
              <w:t>2018 Primary Activities/Topics</w:t>
            </w:r>
          </w:p>
        </w:tc>
        <w:tc>
          <w:tcPr>
            <w:tcW w:w="0" w:type="dxa"/>
            <w:vAlign w:val="bottom"/>
          </w:tcPr>
          <w:p>
            <w:pPr>
              <w:spacing w:after="0"/>
              <w:rPr>
                <w:sz w:val="1"/>
                <w:szCs w:val="1"/>
                <w:color w:val="auto"/>
              </w:rPr>
            </w:pPr>
          </w:p>
        </w:tc>
      </w:tr>
      <w:tr>
        <w:trPr>
          <w:trHeight w:val="146"/>
        </w:trPr>
        <w:tc>
          <w:tcPr>
            <w:tcW w:w="900" w:type="dxa"/>
            <w:vAlign w:val="bottom"/>
          </w:tcPr>
          <w:p>
            <w:pPr>
              <w:spacing w:after="0" w:line="146" w:lineRule="exact"/>
              <w:rPr>
                <w:sz w:val="20"/>
                <w:szCs w:val="20"/>
                <w:color w:val="auto"/>
              </w:rPr>
            </w:pPr>
            <w:r>
              <w:rPr>
                <w:rFonts w:ascii="Arial" w:cs="Arial" w:eastAsia="Arial" w:hAnsi="Arial"/>
                <w:sz w:val="14"/>
                <w:szCs w:val="14"/>
                <w:b w:val="1"/>
                <w:bCs w:val="1"/>
                <w:color w:val="auto"/>
              </w:rPr>
              <w:t>January</w:t>
            </w: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line="146" w:lineRule="exact"/>
              <w:rPr>
                <w:sz w:val="20"/>
                <w:szCs w:val="20"/>
                <w:color w:val="auto"/>
              </w:rPr>
            </w:pPr>
            <w:r>
              <w:rPr>
                <w:rFonts w:ascii="Arial" w:cs="Arial" w:eastAsia="Arial" w:hAnsi="Arial"/>
                <w:sz w:val="14"/>
                <w:szCs w:val="14"/>
                <w:color w:val="auto"/>
              </w:rPr>
              <w:t>Annual operating plan</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rPr>
                <w:sz w:val="20"/>
                <w:szCs w:val="20"/>
                <w:color w:val="auto"/>
              </w:rPr>
            </w:pPr>
            <w:r>
              <w:rPr>
                <w:rFonts w:ascii="Arial" w:cs="Arial" w:eastAsia="Arial" w:hAnsi="Arial"/>
                <w:sz w:val="14"/>
                <w:szCs w:val="14"/>
                <w:color w:val="auto"/>
              </w:rPr>
              <w:t>Dividend policy</w:t>
            </w:r>
          </w:p>
        </w:tc>
        <w:tc>
          <w:tcPr>
            <w:tcW w:w="0" w:type="dxa"/>
            <w:vAlign w:val="bottom"/>
          </w:tcPr>
          <w:p>
            <w:pPr>
              <w:spacing w:after="0"/>
              <w:rPr>
                <w:sz w:val="1"/>
                <w:szCs w:val="1"/>
                <w:color w:val="auto"/>
              </w:rPr>
            </w:pPr>
          </w:p>
        </w:tc>
      </w:tr>
      <w:tr>
        <w:trPr>
          <w:trHeight w:val="184"/>
        </w:trPr>
        <w:tc>
          <w:tcPr>
            <w:tcW w:w="900" w:type="dxa"/>
            <w:vAlign w:val="bottom"/>
            <w:tcBorders>
              <w:bottom w:val="single" w:sz="8" w:color="AFAFAF"/>
            </w:tcBorders>
          </w:tcPr>
          <w:p>
            <w:pPr>
              <w:spacing w:after="0"/>
              <w:rPr>
                <w:sz w:val="15"/>
                <w:szCs w:val="15"/>
                <w:color w:val="auto"/>
              </w:rPr>
            </w:pPr>
          </w:p>
        </w:tc>
        <w:tc>
          <w:tcPr>
            <w:tcW w:w="400" w:type="dxa"/>
            <w:vAlign w:val="bottom"/>
            <w:tcBorders>
              <w:bottom w:val="single" w:sz="8" w:color="AFAFAF"/>
            </w:tcBorders>
          </w:tcPr>
          <w:p>
            <w:pPr>
              <w:ind w:left="320"/>
              <w:spacing w:after="0"/>
              <w:rPr>
                <w:sz w:val="20"/>
                <w:szCs w:val="20"/>
                <w:color w:val="auto"/>
              </w:rPr>
            </w:pPr>
            <w:r>
              <w:rPr>
                <w:rFonts w:ascii="Arial" w:cs="Arial" w:eastAsia="Arial" w:hAnsi="Arial"/>
                <w:sz w:val="9"/>
                <w:szCs w:val="9"/>
                <w:color w:val="D95A3B"/>
              </w:rPr>
              <w:t>·</w:t>
            </w:r>
          </w:p>
        </w:tc>
        <w:tc>
          <w:tcPr>
            <w:tcW w:w="9680" w:type="dxa"/>
            <w:vAlign w:val="bottom"/>
            <w:tcBorders>
              <w:bottom w:val="single" w:sz="8" w:color="AFAFAF"/>
            </w:tcBorders>
          </w:tcPr>
          <w:p>
            <w:pPr>
              <w:ind w:left="80"/>
              <w:spacing w:after="0"/>
              <w:rPr>
                <w:sz w:val="20"/>
                <w:szCs w:val="20"/>
                <w:color w:val="auto"/>
              </w:rPr>
            </w:pPr>
            <w:r>
              <w:rPr>
                <w:rFonts w:ascii="Arial" w:cs="Arial" w:eastAsia="Arial" w:hAnsi="Arial"/>
                <w:sz w:val="14"/>
                <w:szCs w:val="14"/>
                <w:color w:val="auto"/>
              </w:rPr>
              <w:t>F&amp;R transaction</w:t>
            </w:r>
          </w:p>
        </w:tc>
        <w:tc>
          <w:tcPr>
            <w:tcW w:w="0" w:type="dxa"/>
            <w:vAlign w:val="bottom"/>
          </w:tcPr>
          <w:p>
            <w:pPr>
              <w:spacing w:after="0"/>
              <w:rPr>
                <w:sz w:val="1"/>
                <w:szCs w:val="1"/>
                <w:color w:val="auto"/>
              </w:rPr>
            </w:pPr>
          </w:p>
        </w:tc>
      </w:tr>
      <w:tr>
        <w:trPr>
          <w:trHeight w:val="155"/>
        </w:trPr>
        <w:tc>
          <w:tcPr>
            <w:tcW w:w="9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February</w:t>
            </w:r>
          </w:p>
        </w:tc>
        <w:tc>
          <w:tcPr>
            <w:tcW w:w="400" w:type="dxa"/>
            <w:vAlign w:val="bottom"/>
            <w:tcBorders>
              <w:bottom w:val="single" w:sz="8" w:color="AFAFAF"/>
            </w:tcBorders>
          </w:tcPr>
          <w:p>
            <w:pPr>
              <w:ind w:left="320"/>
              <w:spacing w:after="0"/>
              <w:rPr>
                <w:sz w:val="20"/>
                <w:szCs w:val="20"/>
                <w:color w:val="auto"/>
              </w:rPr>
            </w:pPr>
            <w:r>
              <w:rPr>
                <w:rFonts w:ascii="Arial" w:cs="Arial" w:eastAsia="Arial" w:hAnsi="Arial"/>
                <w:sz w:val="9"/>
                <w:szCs w:val="9"/>
                <w:color w:val="D95A3B"/>
              </w:rPr>
              <w:t>·</w:t>
            </w:r>
          </w:p>
        </w:tc>
        <w:tc>
          <w:tcPr>
            <w:tcW w:w="9680" w:type="dxa"/>
            <w:vAlign w:val="bottom"/>
            <w:tcBorders>
              <w:bottom w:val="single" w:sz="8" w:color="AFAFAF"/>
            </w:tcBorders>
          </w:tcPr>
          <w:p>
            <w:pPr>
              <w:ind w:left="80"/>
              <w:spacing w:after="0" w:line="155" w:lineRule="exact"/>
              <w:rPr>
                <w:sz w:val="20"/>
                <w:szCs w:val="20"/>
                <w:color w:val="auto"/>
              </w:rPr>
            </w:pPr>
            <w:r>
              <w:rPr>
                <w:rFonts w:ascii="Arial" w:cs="Arial" w:eastAsia="Arial" w:hAnsi="Arial"/>
                <w:sz w:val="14"/>
                <w:szCs w:val="14"/>
                <w:color w:val="auto"/>
              </w:rPr>
              <w:t>CEO health</w:t>
            </w:r>
          </w:p>
        </w:tc>
        <w:tc>
          <w:tcPr>
            <w:tcW w:w="0" w:type="dxa"/>
            <w:vAlign w:val="bottom"/>
          </w:tcPr>
          <w:p>
            <w:pPr>
              <w:spacing w:after="0"/>
              <w:rPr>
                <w:sz w:val="1"/>
                <w:szCs w:val="1"/>
                <w:color w:val="auto"/>
              </w:rPr>
            </w:pPr>
          </w:p>
        </w:tc>
      </w:tr>
      <w:tr>
        <w:trPr>
          <w:trHeight w:val="146"/>
        </w:trPr>
        <w:tc>
          <w:tcPr>
            <w:tcW w:w="900" w:type="dxa"/>
            <w:vAlign w:val="bottom"/>
          </w:tcPr>
          <w:p>
            <w:pPr>
              <w:spacing w:after="0" w:line="146" w:lineRule="exact"/>
              <w:rPr>
                <w:sz w:val="20"/>
                <w:szCs w:val="20"/>
                <w:color w:val="auto"/>
              </w:rPr>
            </w:pPr>
            <w:r>
              <w:rPr>
                <w:rFonts w:ascii="Arial" w:cs="Arial" w:eastAsia="Arial" w:hAnsi="Arial"/>
                <w:sz w:val="14"/>
                <w:szCs w:val="14"/>
                <w:b w:val="1"/>
                <w:bCs w:val="1"/>
                <w:color w:val="auto"/>
              </w:rPr>
              <w:t>March</w:t>
            </w: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line="146" w:lineRule="exact"/>
              <w:rPr>
                <w:sz w:val="20"/>
                <w:szCs w:val="20"/>
                <w:color w:val="auto"/>
              </w:rPr>
            </w:pPr>
            <w:r>
              <w:rPr>
                <w:rFonts w:ascii="Arial" w:cs="Arial" w:eastAsia="Arial" w:hAnsi="Arial"/>
                <w:sz w:val="14"/>
                <w:szCs w:val="14"/>
                <w:color w:val="auto"/>
              </w:rPr>
              <w:t>Annual disclosure and corporate governance documents (annual report, management proxy circular, financial statements)</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rPr>
                <w:sz w:val="20"/>
                <w:szCs w:val="20"/>
                <w:color w:val="auto"/>
              </w:rPr>
            </w:pPr>
            <w:r>
              <w:rPr>
                <w:rFonts w:ascii="Arial" w:cs="Arial" w:eastAsia="Arial" w:hAnsi="Arial"/>
                <w:sz w:val="14"/>
                <w:szCs w:val="14"/>
                <w:color w:val="auto"/>
              </w:rPr>
              <w:t>Executive compensation</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rPr>
                <w:sz w:val="20"/>
                <w:szCs w:val="20"/>
                <w:color w:val="auto"/>
              </w:rPr>
            </w:pPr>
            <w:r>
              <w:rPr>
                <w:rFonts w:ascii="Arial" w:cs="Arial" w:eastAsia="Arial" w:hAnsi="Arial"/>
                <w:sz w:val="14"/>
                <w:szCs w:val="14"/>
                <w:color w:val="auto"/>
              </w:rPr>
              <w:t>F&amp;R transaction</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rPr>
                <w:sz w:val="20"/>
                <w:szCs w:val="20"/>
                <w:color w:val="auto"/>
              </w:rPr>
            </w:pPr>
            <w:r>
              <w:rPr>
                <w:rFonts w:ascii="Arial" w:cs="Arial" w:eastAsia="Arial" w:hAnsi="Arial"/>
                <w:sz w:val="14"/>
                <w:szCs w:val="14"/>
                <w:color w:val="auto"/>
              </w:rPr>
              <w:t>Capital strategy update</w:t>
            </w:r>
          </w:p>
        </w:tc>
        <w:tc>
          <w:tcPr>
            <w:tcW w:w="0" w:type="dxa"/>
            <w:vAlign w:val="bottom"/>
          </w:tcPr>
          <w:p>
            <w:pPr>
              <w:spacing w:after="0"/>
              <w:rPr>
                <w:sz w:val="1"/>
                <w:szCs w:val="1"/>
                <w:color w:val="auto"/>
              </w:rPr>
            </w:pPr>
          </w:p>
        </w:tc>
      </w:tr>
      <w:tr>
        <w:trPr>
          <w:trHeight w:val="184"/>
        </w:trPr>
        <w:tc>
          <w:tcPr>
            <w:tcW w:w="900" w:type="dxa"/>
            <w:vAlign w:val="bottom"/>
            <w:tcBorders>
              <w:bottom w:val="single" w:sz="8" w:color="AFAFAF"/>
            </w:tcBorders>
          </w:tcPr>
          <w:p>
            <w:pPr>
              <w:spacing w:after="0"/>
              <w:rPr>
                <w:sz w:val="15"/>
                <w:szCs w:val="15"/>
                <w:color w:val="auto"/>
              </w:rPr>
            </w:pPr>
          </w:p>
        </w:tc>
        <w:tc>
          <w:tcPr>
            <w:tcW w:w="400" w:type="dxa"/>
            <w:vAlign w:val="bottom"/>
            <w:tcBorders>
              <w:bottom w:val="single" w:sz="8" w:color="AFAFAF"/>
            </w:tcBorders>
          </w:tcPr>
          <w:p>
            <w:pPr>
              <w:ind w:left="320"/>
              <w:spacing w:after="0"/>
              <w:rPr>
                <w:sz w:val="20"/>
                <w:szCs w:val="20"/>
                <w:color w:val="auto"/>
              </w:rPr>
            </w:pPr>
            <w:r>
              <w:rPr>
                <w:rFonts w:ascii="Arial" w:cs="Arial" w:eastAsia="Arial" w:hAnsi="Arial"/>
                <w:sz w:val="9"/>
                <w:szCs w:val="9"/>
                <w:color w:val="D95A3B"/>
              </w:rPr>
              <w:t>·</w:t>
            </w:r>
          </w:p>
        </w:tc>
        <w:tc>
          <w:tcPr>
            <w:tcW w:w="9680" w:type="dxa"/>
            <w:vAlign w:val="bottom"/>
            <w:tcBorders>
              <w:bottom w:val="single" w:sz="8" w:color="AFAFAF"/>
            </w:tcBorders>
          </w:tcPr>
          <w:p>
            <w:pPr>
              <w:ind w:left="80"/>
              <w:spacing w:after="0"/>
              <w:rPr>
                <w:sz w:val="20"/>
                <w:szCs w:val="20"/>
                <w:color w:val="auto"/>
              </w:rPr>
            </w:pPr>
            <w:r>
              <w:rPr>
                <w:rFonts w:ascii="Arial" w:cs="Arial" w:eastAsia="Arial" w:hAnsi="Arial"/>
                <w:sz w:val="14"/>
                <w:szCs w:val="14"/>
                <w:color w:val="auto"/>
              </w:rPr>
              <w:t>New Thomson Reuters update</w:t>
            </w:r>
          </w:p>
        </w:tc>
        <w:tc>
          <w:tcPr>
            <w:tcW w:w="0" w:type="dxa"/>
            <w:vAlign w:val="bottom"/>
          </w:tcPr>
          <w:p>
            <w:pPr>
              <w:spacing w:after="0"/>
              <w:rPr>
                <w:sz w:val="1"/>
                <w:szCs w:val="1"/>
                <w:color w:val="auto"/>
              </w:rPr>
            </w:pPr>
          </w:p>
        </w:tc>
      </w:tr>
      <w:tr>
        <w:trPr>
          <w:trHeight w:val="146"/>
        </w:trPr>
        <w:tc>
          <w:tcPr>
            <w:tcW w:w="900" w:type="dxa"/>
            <w:vAlign w:val="bottom"/>
          </w:tcPr>
          <w:p>
            <w:pPr>
              <w:spacing w:after="0" w:line="146" w:lineRule="exact"/>
              <w:rPr>
                <w:sz w:val="20"/>
                <w:szCs w:val="20"/>
                <w:color w:val="auto"/>
              </w:rPr>
            </w:pPr>
            <w:r>
              <w:rPr>
                <w:rFonts w:ascii="Arial" w:cs="Arial" w:eastAsia="Arial" w:hAnsi="Arial"/>
                <w:sz w:val="14"/>
                <w:szCs w:val="14"/>
                <w:b w:val="1"/>
                <w:bCs w:val="1"/>
                <w:color w:val="auto"/>
              </w:rPr>
              <w:t>June</w:t>
            </w: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line="146" w:lineRule="exact"/>
              <w:rPr>
                <w:sz w:val="20"/>
                <w:szCs w:val="20"/>
                <w:color w:val="auto"/>
              </w:rPr>
            </w:pPr>
            <w:r>
              <w:rPr>
                <w:rFonts w:ascii="Arial" w:cs="Arial" w:eastAsia="Arial" w:hAnsi="Arial"/>
                <w:sz w:val="14"/>
                <w:szCs w:val="14"/>
                <w:color w:val="auto"/>
              </w:rPr>
              <w:t>F&amp;R transaction</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rPr>
                <w:sz w:val="20"/>
                <w:szCs w:val="20"/>
                <w:color w:val="auto"/>
              </w:rPr>
            </w:pPr>
            <w:r>
              <w:rPr>
                <w:rFonts w:ascii="Arial" w:cs="Arial" w:eastAsia="Arial" w:hAnsi="Arial"/>
                <w:sz w:val="14"/>
                <w:szCs w:val="14"/>
                <w:color w:val="auto"/>
              </w:rPr>
              <w:t>Investor Relations update</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rPr>
                <w:sz w:val="20"/>
                <w:szCs w:val="20"/>
                <w:color w:val="auto"/>
              </w:rPr>
            </w:pPr>
            <w:r>
              <w:rPr>
                <w:rFonts w:ascii="Arial" w:cs="Arial" w:eastAsia="Arial" w:hAnsi="Arial"/>
                <w:sz w:val="14"/>
                <w:szCs w:val="14"/>
                <w:color w:val="auto"/>
              </w:rPr>
              <w:t>Capital strategy update</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rPr>
                <w:sz w:val="20"/>
                <w:szCs w:val="20"/>
                <w:color w:val="auto"/>
              </w:rPr>
            </w:pPr>
            <w:r>
              <w:rPr>
                <w:rFonts w:ascii="Arial" w:cs="Arial" w:eastAsia="Arial" w:hAnsi="Arial"/>
                <w:sz w:val="14"/>
                <w:szCs w:val="14"/>
                <w:color w:val="auto"/>
              </w:rPr>
              <w:t>Tax update</w:t>
            </w:r>
          </w:p>
        </w:tc>
        <w:tc>
          <w:tcPr>
            <w:tcW w:w="0" w:type="dxa"/>
            <w:vAlign w:val="bottom"/>
          </w:tcPr>
          <w:p>
            <w:pPr>
              <w:spacing w:after="0"/>
              <w:rPr>
                <w:sz w:val="1"/>
                <w:szCs w:val="1"/>
                <w:color w:val="auto"/>
              </w:rPr>
            </w:pPr>
          </w:p>
        </w:tc>
      </w:tr>
      <w:tr>
        <w:trPr>
          <w:trHeight w:val="184"/>
        </w:trPr>
        <w:tc>
          <w:tcPr>
            <w:tcW w:w="900" w:type="dxa"/>
            <w:vAlign w:val="bottom"/>
            <w:tcBorders>
              <w:bottom w:val="single" w:sz="8" w:color="AFAFAF"/>
            </w:tcBorders>
          </w:tcPr>
          <w:p>
            <w:pPr>
              <w:spacing w:after="0"/>
              <w:rPr>
                <w:sz w:val="15"/>
                <w:szCs w:val="15"/>
                <w:color w:val="auto"/>
              </w:rPr>
            </w:pPr>
          </w:p>
        </w:tc>
        <w:tc>
          <w:tcPr>
            <w:tcW w:w="400" w:type="dxa"/>
            <w:vAlign w:val="bottom"/>
            <w:tcBorders>
              <w:bottom w:val="single" w:sz="8" w:color="AFAFAF"/>
            </w:tcBorders>
          </w:tcPr>
          <w:p>
            <w:pPr>
              <w:ind w:left="320"/>
              <w:spacing w:after="0"/>
              <w:rPr>
                <w:sz w:val="20"/>
                <w:szCs w:val="20"/>
                <w:color w:val="auto"/>
              </w:rPr>
            </w:pPr>
            <w:r>
              <w:rPr>
                <w:rFonts w:ascii="Arial" w:cs="Arial" w:eastAsia="Arial" w:hAnsi="Arial"/>
                <w:sz w:val="9"/>
                <w:szCs w:val="9"/>
                <w:color w:val="D95A3B"/>
              </w:rPr>
              <w:t>·</w:t>
            </w:r>
          </w:p>
        </w:tc>
        <w:tc>
          <w:tcPr>
            <w:tcW w:w="9680" w:type="dxa"/>
            <w:vAlign w:val="bottom"/>
            <w:tcBorders>
              <w:bottom w:val="single" w:sz="8" w:color="AFAFAF"/>
            </w:tcBorders>
          </w:tcPr>
          <w:p>
            <w:pPr>
              <w:ind w:left="80"/>
              <w:spacing w:after="0"/>
              <w:rPr>
                <w:sz w:val="20"/>
                <w:szCs w:val="20"/>
                <w:color w:val="auto"/>
              </w:rPr>
            </w:pPr>
            <w:r>
              <w:rPr>
                <w:rFonts w:ascii="Arial" w:cs="Arial" w:eastAsia="Arial" w:hAnsi="Arial"/>
                <w:sz w:val="14"/>
                <w:szCs w:val="14"/>
                <w:color w:val="auto"/>
              </w:rPr>
              <w:t>New Thomson Reuters update</w:t>
            </w:r>
          </w:p>
        </w:tc>
        <w:tc>
          <w:tcPr>
            <w:tcW w:w="0" w:type="dxa"/>
            <w:vAlign w:val="bottom"/>
          </w:tcPr>
          <w:p>
            <w:pPr>
              <w:spacing w:after="0"/>
              <w:rPr>
                <w:sz w:val="1"/>
                <w:szCs w:val="1"/>
                <w:color w:val="auto"/>
              </w:rPr>
            </w:pPr>
          </w:p>
        </w:tc>
      </w:tr>
      <w:tr>
        <w:trPr>
          <w:trHeight w:val="155"/>
        </w:trPr>
        <w:tc>
          <w:tcPr>
            <w:tcW w:w="9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August</w:t>
            </w:r>
          </w:p>
        </w:tc>
        <w:tc>
          <w:tcPr>
            <w:tcW w:w="400" w:type="dxa"/>
            <w:vAlign w:val="bottom"/>
            <w:tcBorders>
              <w:bottom w:val="single" w:sz="8" w:color="AFAFAF"/>
            </w:tcBorders>
          </w:tcPr>
          <w:p>
            <w:pPr>
              <w:ind w:left="320"/>
              <w:spacing w:after="0"/>
              <w:rPr>
                <w:sz w:val="20"/>
                <w:szCs w:val="20"/>
                <w:color w:val="auto"/>
              </w:rPr>
            </w:pPr>
            <w:r>
              <w:rPr>
                <w:rFonts w:ascii="Arial" w:cs="Arial" w:eastAsia="Arial" w:hAnsi="Arial"/>
                <w:sz w:val="9"/>
                <w:szCs w:val="9"/>
                <w:color w:val="D95A3B"/>
              </w:rPr>
              <w:t>·</w:t>
            </w:r>
          </w:p>
        </w:tc>
        <w:tc>
          <w:tcPr>
            <w:tcW w:w="9680" w:type="dxa"/>
            <w:vAlign w:val="bottom"/>
            <w:tcBorders>
              <w:bottom w:val="single" w:sz="8" w:color="AFAFAF"/>
            </w:tcBorders>
          </w:tcPr>
          <w:p>
            <w:pPr>
              <w:ind w:left="80"/>
              <w:spacing w:after="0" w:line="155" w:lineRule="exact"/>
              <w:rPr>
                <w:sz w:val="20"/>
                <w:szCs w:val="20"/>
                <w:color w:val="auto"/>
              </w:rPr>
            </w:pPr>
            <w:r>
              <w:rPr>
                <w:rFonts w:ascii="Arial" w:cs="Arial" w:eastAsia="Arial" w:hAnsi="Arial"/>
                <w:sz w:val="14"/>
                <w:szCs w:val="14"/>
                <w:color w:val="auto"/>
              </w:rPr>
              <w:t>F&amp;R transaction return of proceeds (substantial issuer bid)</w:t>
            </w:r>
          </w:p>
        </w:tc>
        <w:tc>
          <w:tcPr>
            <w:tcW w:w="0" w:type="dxa"/>
            <w:vAlign w:val="bottom"/>
          </w:tcPr>
          <w:p>
            <w:pPr>
              <w:spacing w:after="0"/>
              <w:rPr>
                <w:sz w:val="1"/>
                <w:szCs w:val="1"/>
                <w:color w:val="auto"/>
              </w:rPr>
            </w:pPr>
          </w:p>
        </w:tc>
      </w:tr>
      <w:tr>
        <w:trPr>
          <w:trHeight w:val="146"/>
        </w:trPr>
        <w:tc>
          <w:tcPr>
            <w:tcW w:w="900" w:type="dxa"/>
            <w:vAlign w:val="bottom"/>
          </w:tcPr>
          <w:p>
            <w:pPr>
              <w:spacing w:after="0" w:line="146" w:lineRule="exact"/>
              <w:rPr>
                <w:sz w:val="20"/>
                <w:szCs w:val="20"/>
                <w:color w:val="auto"/>
              </w:rPr>
            </w:pPr>
            <w:r>
              <w:rPr>
                <w:rFonts w:ascii="Arial" w:cs="Arial" w:eastAsia="Arial" w:hAnsi="Arial"/>
                <w:sz w:val="14"/>
                <w:szCs w:val="14"/>
                <w:b w:val="1"/>
                <w:bCs w:val="1"/>
                <w:color w:val="auto"/>
              </w:rPr>
              <w:t>September</w:t>
            </w: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line="146" w:lineRule="exact"/>
              <w:rPr>
                <w:sz w:val="20"/>
                <w:szCs w:val="20"/>
                <w:color w:val="auto"/>
              </w:rPr>
            </w:pPr>
            <w:r>
              <w:rPr>
                <w:rFonts w:ascii="Arial" w:cs="Arial" w:eastAsia="Arial" w:hAnsi="Arial"/>
                <w:sz w:val="14"/>
                <w:szCs w:val="14"/>
                <w:color w:val="auto"/>
              </w:rPr>
              <w:t>Corporate strategy</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rPr>
                <w:sz w:val="20"/>
                <w:szCs w:val="20"/>
                <w:color w:val="auto"/>
              </w:rPr>
            </w:pPr>
            <w:r>
              <w:rPr>
                <w:rFonts w:ascii="Arial" w:cs="Arial" w:eastAsia="Arial" w:hAnsi="Arial"/>
                <w:sz w:val="14"/>
                <w:szCs w:val="14"/>
                <w:color w:val="auto"/>
              </w:rPr>
              <w:t>Legal Professionals business strategy</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rPr>
                <w:sz w:val="20"/>
                <w:szCs w:val="20"/>
                <w:color w:val="auto"/>
              </w:rPr>
            </w:pPr>
            <w:r>
              <w:rPr>
                <w:rFonts w:ascii="Arial" w:cs="Arial" w:eastAsia="Arial" w:hAnsi="Arial"/>
                <w:sz w:val="14"/>
                <w:szCs w:val="14"/>
                <w:color w:val="auto"/>
              </w:rPr>
              <w:t>Tax Professionals strategy</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rPr>
                <w:sz w:val="20"/>
                <w:szCs w:val="20"/>
                <w:color w:val="auto"/>
              </w:rPr>
            </w:pPr>
            <w:r>
              <w:rPr>
                <w:rFonts w:ascii="Arial" w:cs="Arial" w:eastAsia="Arial" w:hAnsi="Arial"/>
                <w:sz w:val="14"/>
                <w:szCs w:val="14"/>
                <w:color w:val="auto"/>
              </w:rPr>
              <w:t>Corporates business strategy</w:t>
            </w:r>
          </w:p>
        </w:tc>
        <w:tc>
          <w:tcPr>
            <w:tcW w:w="0" w:type="dxa"/>
            <w:vAlign w:val="bottom"/>
          </w:tcPr>
          <w:p>
            <w:pPr>
              <w:spacing w:after="0"/>
              <w:rPr>
                <w:sz w:val="1"/>
                <w:szCs w:val="1"/>
                <w:color w:val="auto"/>
              </w:rPr>
            </w:pPr>
          </w:p>
        </w:tc>
      </w:tr>
      <w:tr>
        <w:trPr>
          <w:trHeight w:val="184"/>
        </w:trPr>
        <w:tc>
          <w:tcPr>
            <w:tcW w:w="900" w:type="dxa"/>
            <w:vAlign w:val="bottom"/>
            <w:tcBorders>
              <w:bottom w:val="single" w:sz="8" w:color="AFAFAF"/>
            </w:tcBorders>
          </w:tcPr>
          <w:p>
            <w:pPr>
              <w:spacing w:after="0"/>
              <w:rPr>
                <w:sz w:val="15"/>
                <w:szCs w:val="15"/>
                <w:color w:val="auto"/>
              </w:rPr>
            </w:pPr>
          </w:p>
        </w:tc>
        <w:tc>
          <w:tcPr>
            <w:tcW w:w="400" w:type="dxa"/>
            <w:vAlign w:val="bottom"/>
            <w:tcBorders>
              <w:bottom w:val="single" w:sz="8" w:color="AFAFAF"/>
            </w:tcBorders>
          </w:tcPr>
          <w:p>
            <w:pPr>
              <w:ind w:left="320"/>
              <w:spacing w:after="0"/>
              <w:rPr>
                <w:sz w:val="20"/>
                <w:szCs w:val="20"/>
                <w:color w:val="auto"/>
              </w:rPr>
            </w:pPr>
            <w:r>
              <w:rPr>
                <w:rFonts w:ascii="Arial" w:cs="Arial" w:eastAsia="Arial" w:hAnsi="Arial"/>
                <w:sz w:val="9"/>
                <w:szCs w:val="9"/>
                <w:color w:val="D95A3B"/>
              </w:rPr>
              <w:t>·</w:t>
            </w:r>
          </w:p>
        </w:tc>
        <w:tc>
          <w:tcPr>
            <w:tcW w:w="9680" w:type="dxa"/>
            <w:vAlign w:val="bottom"/>
            <w:tcBorders>
              <w:bottom w:val="single" w:sz="8" w:color="AFAFAF"/>
            </w:tcBorders>
          </w:tcPr>
          <w:p>
            <w:pPr>
              <w:ind w:left="80"/>
              <w:spacing w:after="0"/>
              <w:rPr>
                <w:sz w:val="20"/>
                <w:szCs w:val="20"/>
                <w:color w:val="auto"/>
              </w:rPr>
            </w:pPr>
            <w:r>
              <w:rPr>
                <w:rFonts w:ascii="Arial" w:cs="Arial" w:eastAsia="Arial" w:hAnsi="Arial"/>
                <w:sz w:val="14"/>
                <w:szCs w:val="14"/>
                <w:color w:val="auto"/>
              </w:rPr>
              <w:t>Capital strategy update and dividend policy</w:t>
            </w:r>
          </w:p>
        </w:tc>
        <w:tc>
          <w:tcPr>
            <w:tcW w:w="0" w:type="dxa"/>
            <w:vAlign w:val="bottom"/>
          </w:tcPr>
          <w:p>
            <w:pPr>
              <w:spacing w:after="0"/>
              <w:rPr>
                <w:sz w:val="1"/>
                <w:szCs w:val="1"/>
                <w:color w:val="auto"/>
              </w:rPr>
            </w:pPr>
          </w:p>
        </w:tc>
      </w:tr>
      <w:tr>
        <w:trPr>
          <w:trHeight w:val="155"/>
        </w:trPr>
        <w:tc>
          <w:tcPr>
            <w:tcW w:w="9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October</w:t>
            </w:r>
          </w:p>
        </w:tc>
        <w:tc>
          <w:tcPr>
            <w:tcW w:w="400" w:type="dxa"/>
            <w:vAlign w:val="bottom"/>
            <w:tcBorders>
              <w:bottom w:val="single" w:sz="8" w:color="AFAFAF"/>
            </w:tcBorders>
          </w:tcPr>
          <w:p>
            <w:pPr>
              <w:ind w:left="320"/>
              <w:spacing w:after="0"/>
              <w:rPr>
                <w:sz w:val="20"/>
                <w:szCs w:val="20"/>
                <w:color w:val="auto"/>
              </w:rPr>
            </w:pPr>
            <w:r>
              <w:rPr>
                <w:rFonts w:ascii="Arial" w:cs="Arial" w:eastAsia="Arial" w:hAnsi="Arial"/>
                <w:sz w:val="9"/>
                <w:szCs w:val="9"/>
                <w:color w:val="D95A3B"/>
              </w:rPr>
              <w:t>·</w:t>
            </w:r>
          </w:p>
        </w:tc>
        <w:tc>
          <w:tcPr>
            <w:tcW w:w="9680" w:type="dxa"/>
            <w:vAlign w:val="bottom"/>
            <w:tcBorders>
              <w:bottom w:val="single" w:sz="8" w:color="AFAFAF"/>
            </w:tcBorders>
          </w:tcPr>
          <w:p>
            <w:pPr>
              <w:ind w:left="80"/>
              <w:spacing w:after="0" w:line="155" w:lineRule="exact"/>
              <w:rPr>
                <w:sz w:val="20"/>
                <w:szCs w:val="20"/>
                <w:color w:val="auto"/>
              </w:rPr>
            </w:pPr>
            <w:r>
              <w:rPr>
                <w:rFonts w:ascii="Arial" w:cs="Arial" w:eastAsia="Arial" w:hAnsi="Arial"/>
                <w:sz w:val="14"/>
                <w:szCs w:val="14"/>
                <w:color w:val="auto"/>
              </w:rPr>
              <w:t>F&amp;R transaction return of proceeds (return of capital transaction)</w:t>
            </w:r>
          </w:p>
        </w:tc>
        <w:tc>
          <w:tcPr>
            <w:tcW w:w="0" w:type="dxa"/>
            <w:vAlign w:val="bottom"/>
          </w:tcPr>
          <w:p>
            <w:pPr>
              <w:spacing w:after="0"/>
              <w:rPr>
                <w:sz w:val="1"/>
                <w:szCs w:val="1"/>
                <w:color w:val="auto"/>
              </w:rPr>
            </w:pPr>
          </w:p>
        </w:tc>
      </w:tr>
      <w:tr>
        <w:trPr>
          <w:trHeight w:val="155"/>
        </w:trPr>
        <w:tc>
          <w:tcPr>
            <w:tcW w:w="9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November</w:t>
            </w:r>
          </w:p>
        </w:tc>
        <w:tc>
          <w:tcPr>
            <w:tcW w:w="400" w:type="dxa"/>
            <w:vAlign w:val="bottom"/>
            <w:tcBorders>
              <w:bottom w:val="single" w:sz="8" w:color="AFAFAF"/>
            </w:tcBorders>
          </w:tcPr>
          <w:p>
            <w:pPr>
              <w:ind w:left="320"/>
              <w:spacing w:after="0"/>
              <w:rPr>
                <w:sz w:val="20"/>
                <w:szCs w:val="20"/>
                <w:color w:val="auto"/>
              </w:rPr>
            </w:pPr>
            <w:r>
              <w:rPr>
                <w:rFonts w:ascii="Arial" w:cs="Arial" w:eastAsia="Arial" w:hAnsi="Arial"/>
                <w:sz w:val="9"/>
                <w:szCs w:val="9"/>
                <w:color w:val="D95A3B"/>
              </w:rPr>
              <w:t>·</w:t>
            </w:r>
          </w:p>
        </w:tc>
        <w:tc>
          <w:tcPr>
            <w:tcW w:w="9680" w:type="dxa"/>
            <w:vAlign w:val="bottom"/>
            <w:tcBorders>
              <w:bottom w:val="single" w:sz="8" w:color="AFAFAF"/>
            </w:tcBorders>
          </w:tcPr>
          <w:p>
            <w:pPr>
              <w:ind w:left="80"/>
              <w:spacing w:after="0" w:line="155" w:lineRule="exact"/>
              <w:rPr>
                <w:sz w:val="20"/>
                <w:szCs w:val="20"/>
                <w:color w:val="auto"/>
              </w:rPr>
            </w:pPr>
            <w:r>
              <w:rPr>
                <w:rFonts w:ascii="Arial" w:cs="Arial" w:eastAsia="Arial" w:hAnsi="Arial"/>
                <w:sz w:val="14"/>
                <w:szCs w:val="14"/>
                <w:color w:val="auto"/>
              </w:rPr>
              <w:t>Thomson Reuters business update</w:t>
            </w:r>
          </w:p>
        </w:tc>
        <w:tc>
          <w:tcPr>
            <w:tcW w:w="0" w:type="dxa"/>
            <w:vAlign w:val="bottom"/>
          </w:tcPr>
          <w:p>
            <w:pPr>
              <w:spacing w:after="0"/>
              <w:rPr>
                <w:sz w:val="1"/>
                <w:szCs w:val="1"/>
                <w:color w:val="auto"/>
              </w:rPr>
            </w:pPr>
          </w:p>
        </w:tc>
      </w:tr>
      <w:tr>
        <w:trPr>
          <w:trHeight w:val="146"/>
        </w:trPr>
        <w:tc>
          <w:tcPr>
            <w:tcW w:w="900" w:type="dxa"/>
            <w:vAlign w:val="bottom"/>
          </w:tcPr>
          <w:p>
            <w:pPr>
              <w:spacing w:after="0" w:line="146" w:lineRule="exact"/>
              <w:rPr>
                <w:sz w:val="20"/>
                <w:szCs w:val="20"/>
                <w:color w:val="auto"/>
              </w:rPr>
            </w:pPr>
            <w:r>
              <w:rPr>
                <w:rFonts w:ascii="Arial" w:cs="Arial" w:eastAsia="Arial" w:hAnsi="Arial"/>
                <w:sz w:val="14"/>
                <w:szCs w:val="14"/>
                <w:b w:val="1"/>
                <w:bCs w:val="1"/>
                <w:color w:val="auto"/>
              </w:rPr>
              <w:t>Periodically</w:t>
            </w: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line="146" w:lineRule="exact"/>
              <w:rPr>
                <w:sz w:val="20"/>
                <w:szCs w:val="20"/>
                <w:color w:val="auto"/>
              </w:rPr>
            </w:pPr>
            <w:r>
              <w:rPr>
                <w:rFonts w:ascii="Arial" w:cs="Arial" w:eastAsia="Arial" w:hAnsi="Arial"/>
                <w:sz w:val="14"/>
                <w:szCs w:val="14"/>
                <w:color w:val="auto"/>
              </w:rPr>
              <w:t>Strategic and management discussions related to individual businesses or sectors</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rPr>
                <w:sz w:val="20"/>
                <w:szCs w:val="20"/>
                <w:color w:val="auto"/>
              </w:rPr>
            </w:pPr>
            <w:r>
              <w:rPr>
                <w:rFonts w:ascii="Arial" w:cs="Arial" w:eastAsia="Arial" w:hAnsi="Arial"/>
                <w:sz w:val="14"/>
                <w:szCs w:val="14"/>
                <w:color w:val="auto"/>
              </w:rPr>
              <w:t>Reports from the Chairs of the Audit, Corporate Governance, HR and Risk Committees</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rPr>
                <w:sz w:val="20"/>
                <w:szCs w:val="20"/>
                <w:color w:val="auto"/>
              </w:rPr>
            </w:pPr>
            <w:r>
              <w:rPr>
                <w:rFonts w:ascii="Arial" w:cs="Arial" w:eastAsia="Arial" w:hAnsi="Arial"/>
                <w:sz w:val="14"/>
                <w:szCs w:val="14"/>
                <w:color w:val="auto"/>
              </w:rPr>
              <w:t>Enterprise risk management (ERM)</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rPr>
                <w:sz w:val="20"/>
                <w:szCs w:val="20"/>
                <w:color w:val="auto"/>
              </w:rPr>
            </w:pPr>
            <w:r>
              <w:rPr>
                <w:rFonts w:ascii="Arial" w:cs="Arial" w:eastAsia="Arial" w:hAnsi="Arial"/>
                <w:sz w:val="14"/>
                <w:szCs w:val="14"/>
                <w:color w:val="auto"/>
              </w:rPr>
              <w:t>Proposed significant acquisitions and dispositions</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rPr>
                <w:sz w:val="20"/>
                <w:szCs w:val="20"/>
                <w:color w:val="auto"/>
              </w:rPr>
            </w:pPr>
            <w:r>
              <w:rPr>
                <w:rFonts w:ascii="Arial" w:cs="Arial" w:eastAsia="Arial" w:hAnsi="Arial"/>
                <w:sz w:val="14"/>
                <w:szCs w:val="14"/>
                <w:color w:val="auto"/>
              </w:rPr>
              <w:t>Product updates</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tcPr>
          <w:p>
            <w:pPr>
              <w:ind w:left="80"/>
              <w:spacing w:after="0"/>
              <w:rPr>
                <w:sz w:val="20"/>
                <w:szCs w:val="20"/>
                <w:color w:val="auto"/>
              </w:rPr>
            </w:pPr>
            <w:r>
              <w:rPr>
                <w:rFonts w:ascii="Arial" w:cs="Arial" w:eastAsia="Arial" w:hAnsi="Arial"/>
                <w:sz w:val="14"/>
                <w:szCs w:val="14"/>
                <w:color w:val="auto"/>
              </w:rPr>
              <w:t>Proposed capital markets transactions</w:t>
            </w:r>
          </w:p>
        </w:tc>
        <w:tc>
          <w:tcPr>
            <w:tcW w:w="0" w:type="dxa"/>
            <w:vAlign w:val="bottom"/>
          </w:tcPr>
          <w:p>
            <w:pPr>
              <w:spacing w:after="0"/>
              <w:rPr>
                <w:sz w:val="1"/>
                <w:szCs w:val="1"/>
                <w:color w:val="auto"/>
              </w:rPr>
            </w:pPr>
          </w:p>
        </w:tc>
      </w:tr>
      <w:tr>
        <w:trPr>
          <w:trHeight w:val="116"/>
        </w:trPr>
        <w:tc>
          <w:tcPr>
            <w:tcW w:w="900" w:type="dxa"/>
            <w:vAlign w:val="bottom"/>
          </w:tcPr>
          <w:p>
            <w:pPr>
              <w:spacing w:after="0"/>
              <w:rPr>
                <w:sz w:val="10"/>
                <w:szCs w:val="10"/>
                <w:color w:val="auto"/>
              </w:rPr>
            </w:pPr>
          </w:p>
        </w:tc>
        <w:tc>
          <w:tcPr>
            <w:tcW w:w="400" w:type="dxa"/>
            <w:vAlign w:val="bottom"/>
          </w:tcPr>
          <w:p>
            <w:pPr>
              <w:ind w:left="320"/>
              <w:spacing w:after="0"/>
              <w:rPr>
                <w:sz w:val="20"/>
                <w:szCs w:val="20"/>
                <w:color w:val="auto"/>
              </w:rPr>
            </w:pPr>
            <w:r>
              <w:rPr>
                <w:rFonts w:ascii="Arial" w:cs="Arial" w:eastAsia="Arial" w:hAnsi="Arial"/>
                <w:sz w:val="9"/>
                <w:szCs w:val="9"/>
                <w:color w:val="D95A3B"/>
              </w:rPr>
              <w:t>·</w:t>
            </w:r>
          </w:p>
        </w:tc>
        <w:tc>
          <w:tcPr>
            <w:tcW w:w="9680" w:type="dxa"/>
            <w:vAlign w:val="bottom"/>
            <w:vMerge w:val="restart"/>
          </w:tcPr>
          <w:p>
            <w:pPr>
              <w:ind w:left="120"/>
              <w:spacing w:after="0"/>
              <w:rPr>
                <w:sz w:val="20"/>
                <w:szCs w:val="20"/>
                <w:color w:val="auto"/>
              </w:rPr>
            </w:pPr>
            <w:r>
              <w:rPr>
                <w:rFonts w:ascii="Arial" w:cs="Arial" w:eastAsia="Arial" w:hAnsi="Arial"/>
                <w:sz w:val="14"/>
                <w:szCs w:val="14"/>
                <w:color w:val="auto"/>
              </w:rPr>
              <w:t>In-camera meetings with the CEO only (typically at the start and end of each in-person meeting)</w:t>
            </w:r>
          </w:p>
        </w:tc>
        <w:tc>
          <w:tcPr>
            <w:tcW w:w="0" w:type="dxa"/>
            <w:vAlign w:val="bottom"/>
          </w:tcPr>
          <w:p>
            <w:pPr>
              <w:spacing w:after="0"/>
              <w:rPr>
                <w:sz w:val="1"/>
                <w:szCs w:val="1"/>
                <w:color w:val="auto"/>
              </w:rPr>
            </w:pPr>
          </w:p>
        </w:tc>
      </w:tr>
      <w:tr>
        <w:trPr>
          <w:trHeight w:val="59"/>
        </w:trPr>
        <w:tc>
          <w:tcPr>
            <w:tcW w:w="900" w:type="dxa"/>
            <w:vAlign w:val="bottom"/>
          </w:tcPr>
          <w:p>
            <w:pPr>
              <w:spacing w:after="0"/>
              <w:rPr>
                <w:sz w:val="5"/>
                <w:szCs w:val="5"/>
                <w:color w:val="auto"/>
              </w:rPr>
            </w:pPr>
          </w:p>
        </w:tc>
        <w:tc>
          <w:tcPr>
            <w:tcW w:w="400" w:type="dxa"/>
            <w:vAlign w:val="bottom"/>
            <w:vMerge w:val="restart"/>
          </w:tcPr>
          <w:p>
            <w:pPr>
              <w:ind w:left="320"/>
              <w:spacing w:after="0"/>
              <w:rPr>
                <w:sz w:val="20"/>
                <w:szCs w:val="20"/>
                <w:color w:val="auto"/>
              </w:rPr>
            </w:pPr>
            <w:r>
              <w:rPr>
                <w:rFonts w:ascii="Arial" w:cs="Arial" w:eastAsia="Arial" w:hAnsi="Arial"/>
                <w:sz w:val="9"/>
                <w:szCs w:val="9"/>
                <w:color w:val="D95A3B"/>
              </w:rPr>
              <w:t>·</w:t>
            </w:r>
          </w:p>
        </w:tc>
        <w:tc>
          <w:tcPr>
            <w:tcW w:w="9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9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680" w:type="dxa"/>
            <w:vAlign w:val="bottom"/>
            <w:vMerge w:val="restart"/>
          </w:tcPr>
          <w:p>
            <w:pPr>
              <w:ind w:left="120"/>
              <w:spacing w:after="0"/>
              <w:rPr>
                <w:sz w:val="20"/>
                <w:szCs w:val="20"/>
                <w:color w:val="auto"/>
              </w:rPr>
            </w:pPr>
            <w:r>
              <w:rPr>
                <w:rFonts w:ascii="Arial" w:cs="Arial" w:eastAsia="Arial" w:hAnsi="Arial"/>
                <w:sz w:val="14"/>
                <w:szCs w:val="14"/>
                <w:color w:val="auto"/>
              </w:rPr>
              <w:t>In-camera meetings of non-management directors only</w:t>
            </w:r>
          </w:p>
        </w:tc>
        <w:tc>
          <w:tcPr>
            <w:tcW w:w="0" w:type="dxa"/>
            <w:vAlign w:val="bottom"/>
          </w:tcPr>
          <w:p>
            <w:pPr>
              <w:spacing w:after="0"/>
              <w:rPr>
                <w:sz w:val="1"/>
                <w:szCs w:val="1"/>
                <w:color w:val="auto"/>
              </w:rPr>
            </w:pPr>
          </w:p>
        </w:tc>
      </w:tr>
      <w:tr>
        <w:trPr>
          <w:trHeight w:val="59"/>
        </w:trPr>
        <w:tc>
          <w:tcPr>
            <w:tcW w:w="900" w:type="dxa"/>
            <w:vAlign w:val="bottom"/>
          </w:tcPr>
          <w:p>
            <w:pPr>
              <w:spacing w:after="0"/>
              <w:rPr>
                <w:sz w:val="5"/>
                <w:szCs w:val="5"/>
                <w:color w:val="auto"/>
              </w:rPr>
            </w:pPr>
          </w:p>
        </w:tc>
        <w:tc>
          <w:tcPr>
            <w:tcW w:w="400" w:type="dxa"/>
            <w:vAlign w:val="bottom"/>
            <w:vMerge w:val="restart"/>
          </w:tcPr>
          <w:p>
            <w:pPr>
              <w:ind w:left="320"/>
              <w:spacing w:after="0"/>
              <w:rPr>
                <w:sz w:val="20"/>
                <w:szCs w:val="20"/>
                <w:color w:val="auto"/>
              </w:rPr>
            </w:pPr>
            <w:r>
              <w:rPr>
                <w:rFonts w:ascii="Arial" w:cs="Arial" w:eastAsia="Arial" w:hAnsi="Arial"/>
                <w:sz w:val="9"/>
                <w:szCs w:val="9"/>
                <w:color w:val="D95A3B"/>
              </w:rPr>
              <w:t>·</w:t>
            </w:r>
          </w:p>
        </w:tc>
        <w:tc>
          <w:tcPr>
            <w:tcW w:w="9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9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680" w:type="dxa"/>
            <w:vAlign w:val="bottom"/>
            <w:vMerge w:val="restart"/>
          </w:tcPr>
          <w:p>
            <w:pPr>
              <w:ind w:left="120"/>
              <w:spacing w:after="0"/>
              <w:rPr>
                <w:sz w:val="20"/>
                <w:szCs w:val="20"/>
                <w:color w:val="auto"/>
              </w:rPr>
            </w:pPr>
            <w:r>
              <w:rPr>
                <w:rFonts w:ascii="Arial" w:cs="Arial" w:eastAsia="Arial" w:hAnsi="Arial"/>
                <w:sz w:val="14"/>
                <w:szCs w:val="14"/>
                <w:color w:val="auto"/>
              </w:rPr>
              <w:t>In-camera meetings of independent directors only</w:t>
            </w:r>
          </w:p>
        </w:tc>
        <w:tc>
          <w:tcPr>
            <w:tcW w:w="0" w:type="dxa"/>
            <w:vAlign w:val="bottom"/>
          </w:tcPr>
          <w:p>
            <w:pPr>
              <w:spacing w:after="0"/>
              <w:rPr>
                <w:sz w:val="1"/>
                <w:szCs w:val="1"/>
                <w:color w:val="auto"/>
              </w:rPr>
            </w:pPr>
          </w:p>
        </w:tc>
      </w:tr>
      <w:tr>
        <w:trPr>
          <w:trHeight w:val="59"/>
        </w:trPr>
        <w:tc>
          <w:tcPr>
            <w:tcW w:w="900" w:type="dxa"/>
            <w:vAlign w:val="bottom"/>
          </w:tcPr>
          <w:p>
            <w:pPr>
              <w:spacing w:after="0"/>
              <w:rPr>
                <w:sz w:val="5"/>
                <w:szCs w:val="5"/>
                <w:color w:val="auto"/>
              </w:rPr>
            </w:pPr>
          </w:p>
        </w:tc>
        <w:tc>
          <w:tcPr>
            <w:tcW w:w="400" w:type="dxa"/>
            <w:vAlign w:val="bottom"/>
            <w:vMerge w:val="restart"/>
          </w:tcPr>
          <w:p>
            <w:pPr>
              <w:ind w:left="320"/>
              <w:spacing w:after="0"/>
              <w:rPr>
                <w:sz w:val="20"/>
                <w:szCs w:val="20"/>
                <w:color w:val="auto"/>
              </w:rPr>
            </w:pPr>
            <w:r>
              <w:rPr>
                <w:rFonts w:ascii="Arial" w:cs="Arial" w:eastAsia="Arial" w:hAnsi="Arial"/>
                <w:sz w:val="9"/>
                <w:szCs w:val="9"/>
                <w:color w:val="D95A3B"/>
              </w:rPr>
              <w:t>·</w:t>
            </w:r>
          </w:p>
        </w:tc>
        <w:tc>
          <w:tcPr>
            <w:tcW w:w="9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9680" w:type="dxa"/>
            <w:vAlign w:val="bottom"/>
          </w:tcPr>
          <w:p>
            <w:pPr>
              <w:ind w:left="80"/>
              <w:spacing w:after="0"/>
              <w:rPr>
                <w:sz w:val="20"/>
                <w:szCs w:val="20"/>
                <w:color w:val="auto"/>
              </w:rPr>
            </w:pPr>
            <w:r>
              <w:rPr>
                <w:rFonts w:ascii="Arial" w:cs="Arial" w:eastAsia="Arial" w:hAnsi="Arial"/>
                <w:sz w:val="14"/>
                <w:szCs w:val="14"/>
                <w:color w:val="auto"/>
              </w:rPr>
              <w:t>Competitive analysis</w:t>
            </w:r>
          </w:p>
        </w:tc>
        <w:tc>
          <w:tcPr>
            <w:tcW w:w="0" w:type="dxa"/>
            <w:vAlign w:val="bottom"/>
          </w:tcPr>
          <w:p>
            <w:pPr>
              <w:spacing w:after="0"/>
              <w:rPr>
                <w:sz w:val="1"/>
                <w:szCs w:val="1"/>
                <w:color w:val="auto"/>
              </w:rPr>
            </w:pPr>
          </w:p>
        </w:tc>
      </w:tr>
      <w:tr>
        <w:trPr>
          <w:trHeight w:val="25"/>
        </w:trPr>
        <w:tc>
          <w:tcPr>
            <w:tcW w:w="900" w:type="dxa"/>
            <w:vAlign w:val="bottom"/>
            <w:tcBorders>
              <w:bottom w:val="single" w:sz="8" w:color="D95A3B"/>
            </w:tcBorders>
          </w:tcPr>
          <w:p>
            <w:pPr>
              <w:spacing w:after="0"/>
              <w:rPr>
                <w:sz w:val="2"/>
                <w:szCs w:val="2"/>
                <w:color w:val="auto"/>
              </w:rPr>
            </w:pPr>
          </w:p>
        </w:tc>
        <w:tc>
          <w:tcPr>
            <w:tcW w:w="400" w:type="dxa"/>
            <w:vAlign w:val="bottom"/>
            <w:tcBorders>
              <w:bottom w:val="single" w:sz="8" w:color="D95A3B"/>
            </w:tcBorders>
          </w:tcPr>
          <w:p>
            <w:pPr>
              <w:spacing w:after="0"/>
              <w:rPr>
                <w:sz w:val="2"/>
                <w:szCs w:val="2"/>
                <w:color w:val="auto"/>
              </w:rPr>
            </w:pPr>
          </w:p>
        </w:tc>
        <w:tc>
          <w:tcPr>
            <w:tcW w:w="9680" w:type="dxa"/>
            <w:vAlign w:val="bottom"/>
            <w:tcBorders>
              <w:bottom w:val="single" w:sz="8" w:color="D95A3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Strategic Planning</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board plays an important role in strategic planning and direction throughout the year.</w:t>
      </w:r>
    </w:p>
    <w:p>
      <w:pPr>
        <w:spacing w:after="0" w:line="103" w:lineRule="exact"/>
        <w:rPr>
          <w:sz w:val="20"/>
          <w:szCs w:val="20"/>
          <w:color w:val="auto"/>
        </w:rPr>
      </w:pPr>
    </w:p>
    <w:p>
      <w:pPr>
        <w:ind w:left="220" w:right="460"/>
        <w:spacing w:after="0" w:line="244" w:lineRule="auto"/>
        <w:rPr>
          <w:sz w:val="20"/>
          <w:szCs w:val="20"/>
          <w:color w:val="auto"/>
        </w:rPr>
      </w:pPr>
      <w:r>
        <w:rPr>
          <w:rFonts w:ascii="Arial" w:cs="Arial" w:eastAsia="Arial" w:hAnsi="Arial"/>
          <w:sz w:val="18"/>
          <w:szCs w:val="18"/>
          <w:color w:val="auto"/>
        </w:rPr>
        <w:t>In January, the board meets with management to review, discuss and approve the final version of our annual operating plan, which is prepared by our CEO, CFO and other senior executives. The plan typically addresses:</w:t>
      </w:r>
    </w:p>
    <w:p>
      <w:pPr>
        <w:sectPr>
          <w:pgSz w:w="11900" w:h="16838" w:orient="portrait"/>
          <w:cols w:equalWidth="0" w:num="1">
            <w:col w:w="11200"/>
          </w:cols>
          <w:pgMar w:left="240" w:top="458" w:right="459" w:bottom="1440" w:gutter="0" w:footer="0" w:header="0"/>
        </w:sectPr>
      </w:pPr>
    </w:p>
    <w:p>
      <w:pPr>
        <w:spacing w:after="0" w:line="96"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Opportunities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Risks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Competitive position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Business outlook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Preliminary full-year financial results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Financial projections for a three-year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Other key performance indicators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Annual dividend and share repurchase program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141605</wp:posOffset>
            </wp:positionV>
            <wp:extent cx="697357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spacing w:after="0" w:line="19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26</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Throughout the year, the board and management discuss our progress against the plan. The board focused its in-person meeting in September on corporate strategy. As part of this meeting, directors had an in-depth discussion about our company’s strategic plans with our CEO and CFO and other senior executives. Strategy discussions typically cover topics such as technology, the current condition of our business segments, future growth potential of our businesses and the key market segments that we serve, and how we are seeking to increase shareholder value.</w:t>
      </w:r>
    </w:p>
    <w:p>
      <w:pPr>
        <w:spacing w:after="0" w:line="95" w:lineRule="exact"/>
        <w:rPr>
          <w:sz w:val="20"/>
          <w:szCs w:val="20"/>
          <w:color w:val="auto"/>
        </w:rPr>
      </w:pPr>
    </w:p>
    <w:p>
      <w:pPr>
        <w:ind w:left="220" w:right="140"/>
        <w:spacing w:after="0" w:line="238" w:lineRule="auto"/>
        <w:rPr>
          <w:sz w:val="20"/>
          <w:szCs w:val="20"/>
          <w:color w:val="auto"/>
        </w:rPr>
      </w:pPr>
      <w:r>
        <w:rPr>
          <w:rFonts w:ascii="Arial" w:cs="Arial" w:eastAsia="Arial" w:hAnsi="Arial"/>
          <w:sz w:val="18"/>
          <w:szCs w:val="18"/>
          <w:color w:val="auto"/>
        </w:rPr>
        <w:t>While the January and September meetings focus on strategic planning, the board also discusses various strategic issues with management at other meetings during the year. For example, the board discussed our capital strategy with the CFO and the Treasurer in March and June. In addition, various presidents of our business segments provide updates to the board at meetings during the year and those discussions typically address the segment’s current operations and strategic objectives.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Risk Oversight</w:t>
      </w:r>
    </w:p>
    <w:p>
      <w:pPr>
        <w:spacing w:after="0" w:line="103" w:lineRule="exact"/>
        <w:rPr>
          <w:sz w:val="20"/>
          <w:szCs w:val="20"/>
          <w:color w:val="auto"/>
        </w:rPr>
      </w:pPr>
    </w:p>
    <w:p>
      <w:pPr>
        <w:ind w:left="220"/>
        <w:spacing w:after="0" w:line="244" w:lineRule="auto"/>
        <w:rPr>
          <w:sz w:val="20"/>
          <w:szCs w:val="20"/>
          <w:color w:val="auto"/>
        </w:rPr>
      </w:pPr>
      <w:r>
        <w:rPr>
          <w:rFonts w:ascii="Arial" w:cs="Arial" w:eastAsia="Arial" w:hAnsi="Arial"/>
          <w:sz w:val="18"/>
          <w:szCs w:val="18"/>
          <w:color w:val="auto"/>
        </w:rPr>
        <w:t>The board is responsible for confirming that a system is in place to identify the principal risks facing Thomson Reuters and that appropriate procedures and systems are in place to monitor, mitigate and manage those risks.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ERM process at our company includes:</w:t>
      </w:r>
    </w:p>
    <w:p>
      <w:pPr>
        <w:sectPr>
          <w:pgSz w:w="11900" w:h="16838" w:orient="portrait"/>
          <w:cols w:equalWidth="0" w:num="1">
            <w:col w:w="11200"/>
          </w:cols>
          <w:pgMar w:left="240" w:top="458" w:right="459" w:bottom="1440" w:gutter="0" w:footer="0" w:header="0"/>
        </w:sectPr>
      </w:pPr>
    </w:p>
    <w:p>
      <w:pPr>
        <w:spacing w:after="0" w:line="108"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identifying the most significant operational, strategic, reputational, financial and other risks in each of our business segments as well as for our corporate center, considering both the external environment as well as internal changes related to structure, strategy and processes;</w:t>
      </w:r>
    </w:p>
    <w:p>
      <w:pPr>
        <w:spacing w:after="0" w:line="6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assessing which of these risks individually or together with other identified risks could have a significant impact on Thomson Reuters as an enterprise if they were to materialize; and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developing and implementing action plans for the enterprise risks and reviewing them periodically at a corporate and board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99695</wp:posOffset>
            </wp:positionV>
            <wp:extent cx="69735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spacing w:after="0" w:line="77" w:lineRule="exact"/>
        <w:rPr>
          <w:sz w:val="20"/>
          <w:szCs w:val="20"/>
          <w:color w:val="auto"/>
        </w:rPr>
      </w:pPr>
    </w:p>
    <w:p>
      <w:pPr>
        <w:ind w:left="220" w:right="120"/>
        <w:spacing w:after="0" w:line="244" w:lineRule="auto"/>
        <w:rPr>
          <w:sz w:val="20"/>
          <w:szCs w:val="20"/>
          <w:color w:val="auto"/>
        </w:rPr>
      </w:pPr>
      <w:r>
        <w:rPr>
          <w:rFonts w:ascii="Arial" w:cs="Arial" w:eastAsia="Arial" w:hAnsi="Arial"/>
          <w:sz w:val="27"/>
          <w:szCs w:val="27"/>
          <w:color w:val="auto"/>
        </w:rPr>
        <w:t>Our enterprise risk management (ERM) process is designed to enhance the identification and mitigation of risk throughout Thomson Reuters and assist the board and its committees with oversight responsibility for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186055</wp:posOffset>
            </wp:positionV>
            <wp:extent cx="69735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393"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We have a management risk committee that tracks and monitors enterprise risks. This committee assesses the status of identified risks and reviews the adequacy of applicable mitigation plans. The management risk committee also provides direction, prioritization, executive support and communication to others at the company involved in the ERM process. Executives responsible for specific risk mitigation periodically report to the board’s Risk Committee, the full board of directors or other board committees, as appropriate, during the year. The management risk committee is comprised of various Thomson Reuters senior leaders from Corporate functional departments and each business segment. An ERM owner who works with the management risk committee to plan the annual process is also responsible for collecting and consolidating Corporate and business segment-identified risks.</w:t>
      </w:r>
    </w:p>
    <w:p>
      <w:pPr>
        <w:spacing w:after="0" w:line="96" w:lineRule="exact"/>
        <w:rPr>
          <w:sz w:val="20"/>
          <w:szCs w:val="20"/>
          <w:color w:val="auto"/>
        </w:rPr>
      </w:pPr>
    </w:p>
    <w:p>
      <w:pPr>
        <w:ind w:left="220" w:right="260"/>
        <w:spacing w:after="0" w:line="239" w:lineRule="auto"/>
        <w:rPr>
          <w:sz w:val="20"/>
          <w:szCs w:val="20"/>
          <w:color w:val="auto"/>
        </w:rPr>
      </w:pPr>
      <w:r>
        <w:rPr>
          <w:rFonts w:ascii="Arial" w:cs="Arial" w:eastAsia="Arial" w:hAnsi="Arial"/>
          <w:sz w:val="18"/>
          <w:szCs w:val="18"/>
          <w:color w:val="auto"/>
        </w:rPr>
        <w:t>For our business segments and functional departments, ERM is an ongoing process under continuous management review. We involve our Corporate Compliance and Audit department in the review of certain identified risks, as appropriate or upon request. Mr. Smith’s operating committee undertakes a formal risk review at least annually.</w:t>
      </w:r>
    </w:p>
    <w:p>
      <w:pPr>
        <w:spacing w:after="0" w:line="95" w:lineRule="exact"/>
        <w:rPr>
          <w:sz w:val="20"/>
          <w:szCs w:val="20"/>
          <w:color w:val="auto"/>
        </w:rPr>
      </w:pPr>
    </w:p>
    <w:p>
      <w:pPr>
        <w:ind w:left="220" w:right="240"/>
        <w:spacing w:after="0" w:line="239" w:lineRule="auto"/>
        <w:rPr>
          <w:sz w:val="20"/>
          <w:szCs w:val="20"/>
          <w:color w:val="auto"/>
        </w:rPr>
      </w:pPr>
      <w:r>
        <w:rPr>
          <w:rFonts w:ascii="Arial" w:cs="Arial" w:eastAsia="Arial" w:hAnsi="Arial"/>
          <w:sz w:val="18"/>
          <w:szCs w:val="18"/>
          <w:color w:val="auto"/>
        </w:rPr>
        <w:t>As discussed later in the circular, the Risk Committee (created in 2018) is now primarily responsible for overseeing management’s ERM process. General oversight of risk management was previously a responsibility of the Audit Committee. The Audit Committee now oversees overall risk assessment and management, and focuses primarily on financial risks.</w:t>
      </w:r>
    </w:p>
    <w:p>
      <w:pPr>
        <w:spacing w:after="0" w:line="95" w:lineRule="exact"/>
        <w:rPr>
          <w:sz w:val="20"/>
          <w:szCs w:val="20"/>
          <w:color w:val="auto"/>
        </w:rPr>
      </w:pPr>
    </w:p>
    <w:p>
      <w:pPr>
        <w:ind w:left="220" w:right="40"/>
        <w:spacing w:after="0" w:line="238" w:lineRule="auto"/>
        <w:rPr>
          <w:sz w:val="20"/>
          <w:szCs w:val="20"/>
          <w:color w:val="auto"/>
        </w:rPr>
      </w:pPr>
      <w:r>
        <w:rPr>
          <w:rFonts w:ascii="Arial" w:cs="Arial" w:eastAsia="Arial" w:hAnsi="Arial"/>
          <w:sz w:val="18"/>
          <w:szCs w:val="18"/>
          <w:color w:val="auto"/>
        </w:rPr>
        <w:t>The HR Committee’s responsibilities include establishing, implementing and overseeing our compensation policies and programs. We have designed our compensation programs to provide an appropriate balance of risk and reward in relation to the company’s overall business strategy. Please see the “Compensation Discussion and Analysis” section of this circular for additional information regarding why we believe that our compensation programs do not incentivize our executives to take unnecessary or excessive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0"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27</w:t>
      </w:r>
    </w:p>
    <w:p>
      <w:pPr>
        <w:sectPr>
          <w:pgSz w:w="11900" w:h="16838" w:orient="portrait"/>
          <w:cols w:equalWidth="0" w:num="1">
            <w:col w:w="11200"/>
          </w:cols>
          <w:pgMar w:left="240" w:top="458" w:right="4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Separate Chairman and CEO</w:t>
      </w:r>
    </w:p>
    <w:p>
      <w:pPr>
        <w:spacing w:after="0" w:line="35" w:lineRule="exact"/>
        <w:rPr>
          <w:sz w:val="20"/>
          <w:szCs w:val="20"/>
          <w:color w:val="auto"/>
        </w:rPr>
      </w:pPr>
    </w:p>
    <w:p>
      <w:pPr>
        <w:ind w:left="220" w:right="80"/>
        <w:spacing w:after="0" w:line="244" w:lineRule="auto"/>
        <w:rPr>
          <w:sz w:val="20"/>
          <w:szCs w:val="20"/>
          <w:color w:val="auto"/>
        </w:rPr>
      </w:pPr>
      <w:r>
        <w:rPr>
          <w:rFonts w:ascii="Arial" w:cs="Arial" w:eastAsia="Arial" w:hAnsi="Arial"/>
          <w:sz w:val="18"/>
          <w:szCs w:val="18"/>
          <w:color w:val="auto"/>
        </w:rPr>
        <w:t>The roles and responsibilities of the Chairman and the CEO of our company are separate to allow for more effective oversight and to hold management more accountable.</w:t>
      </w:r>
    </w:p>
    <w:p>
      <w:pPr>
        <w:sectPr>
          <w:pgSz w:w="11900" w:h="16838" w:orient="portrait"/>
          <w:cols w:equalWidth="0" w:num="1">
            <w:col w:w="11180"/>
          </w:cols>
          <w:pgMar w:left="240" w:top="458" w:right="479" w:bottom="1440" w:gutter="0" w:footer="0" w:header="0"/>
        </w:sectPr>
      </w:pPr>
    </w:p>
    <w:p>
      <w:pPr>
        <w:spacing w:after="0" w:line="96"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Chairman, David Thomson seeks to ensure that the board operates independently of senior management. The Chairman is responsible for chairing board meetings, ensuring that the board and its committees have the necessary resources to support their work (in particular, accurate, timely and relevant information), and maintaining an effective relationship between the board and senior management.</w:t>
      </w:r>
    </w:p>
    <w:p>
      <w:pPr>
        <w:spacing w:after="0" w:line="67"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As CEO, Jim Smith is principally responsible for the management of the business and affairs of Thomson Reuters in accordance with the strategic plan and objectives approved by the board.</w:t>
      </w:r>
    </w:p>
    <w:p>
      <w:pPr>
        <w:spacing w:after="0" w:line="85" w:lineRule="exact"/>
        <w:rPr>
          <w:sz w:val="20"/>
          <w:szCs w:val="20"/>
          <w:color w:val="auto"/>
        </w:rPr>
      </w:pPr>
    </w:p>
    <w:p>
      <w:pPr>
        <w:sectPr>
          <w:pgSz w:w="11900" w:h="16838" w:orient="portrait"/>
          <w:cols w:equalWidth="0" w:num="2">
            <w:col w:w="240" w:space="200"/>
            <w:col w:w="10740"/>
          </w:cols>
          <w:pgMar w:left="240" w:top="458" w:right="479" w:bottom="1440" w:gutter="0" w:footer="0" w:header="0"/>
          <w:type w:val="continuous"/>
        </w:sectPr>
      </w:pPr>
    </w:p>
    <w:p>
      <w:pPr>
        <w:ind w:left="220"/>
        <w:spacing w:after="0"/>
        <w:rPr>
          <w:sz w:val="20"/>
          <w:szCs w:val="20"/>
          <w:color w:val="auto"/>
        </w:rPr>
      </w:pPr>
      <w:r>
        <w:rPr>
          <w:rFonts w:ascii="Arial" w:cs="Arial" w:eastAsia="Arial" w:hAnsi="Arial"/>
          <w:sz w:val="22"/>
          <w:szCs w:val="22"/>
          <w:color w:val="D95A3B"/>
        </w:rPr>
        <w:t>Deputy Chairman</w:t>
      </w:r>
    </w:p>
    <w:p>
      <w:pPr>
        <w:spacing w:after="0" w:line="35" w:lineRule="exact"/>
        <w:rPr>
          <w:sz w:val="20"/>
          <w:szCs w:val="20"/>
          <w:color w:val="auto"/>
        </w:rPr>
      </w:pPr>
    </w:p>
    <w:p>
      <w:pPr>
        <w:ind w:left="220" w:right="160"/>
        <w:spacing w:after="0" w:line="238" w:lineRule="auto"/>
        <w:rPr>
          <w:sz w:val="20"/>
          <w:szCs w:val="20"/>
          <w:color w:val="auto"/>
        </w:rPr>
      </w:pPr>
      <w:r>
        <w:rPr>
          <w:rFonts w:ascii="Arial" w:cs="Arial" w:eastAsia="Arial" w:hAnsi="Arial"/>
          <w:sz w:val="18"/>
          <w:szCs w:val="18"/>
          <w:color w:val="auto"/>
        </w:rPr>
        <w:t>David Binet is the board’s Deputy Chairman. The Deputy Chairman works collaboratively with the Chairman and assists the Chairman in fulfilling his responsibilities. The Deputy Chairman also engages in regular dialogue with the Chairman, the CEO and the Lead Independent Director to reinforce our culture of good governance; serves as an ambassador for Thomson Reuters; and performs additional duties as may be delegated to him by the Chairman or the board from time to time.</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Lead Independent Director</w:t>
      </w:r>
    </w:p>
    <w:p>
      <w:pPr>
        <w:spacing w:after="0" w:line="22" w:lineRule="exact"/>
        <w:rPr>
          <w:sz w:val="20"/>
          <w:szCs w:val="20"/>
          <w:color w:val="auto"/>
        </w:rPr>
      </w:pPr>
    </w:p>
    <w:p>
      <w:pPr>
        <w:ind w:left="220" w:right="60"/>
        <w:spacing w:after="0" w:line="238" w:lineRule="auto"/>
        <w:rPr>
          <w:sz w:val="20"/>
          <w:szCs w:val="20"/>
          <w:color w:val="auto"/>
        </w:rPr>
      </w:pPr>
      <w:r>
        <w:rPr>
          <w:rFonts w:ascii="Arial" w:cs="Arial" w:eastAsia="Arial" w:hAnsi="Arial"/>
          <w:sz w:val="18"/>
          <w:szCs w:val="18"/>
          <w:color w:val="auto"/>
        </w:rPr>
        <w:t>Vance Opperman is the board’s Lead Independent Director. Among other things, responsibilities of our Lead Independent Director include chairing meetings of the independent directors; in consultation with the Chairman, Deputy Chairman and CEO, approving meeting agendas for the board; as requested, advising the CEO on the quality, quantity, appropriateness and timeliness of information sent by management to the board; and being available for consultation with the other independent directors as required.</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Position Descriptions</w:t>
      </w:r>
    </w:p>
    <w:p>
      <w:pPr>
        <w:spacing w:after="0" w:line="35" w:lineRule="exact"/>
        <w:rPr>
          <w:sz w:val="20"/>
          <w:szCs w:val="20"/>
          <w:color w:val="auto"/>
        </w:rPr>
      </w:pPr>
    </w:p>
    <w:p>
      <w:pPr>
        <w:ind w:left="220" w:right="60"/>
        <w:spacing w:after="0" w:line="244" w:lineRule="auto"/>
        <w:rPr>
          <w:sz w:val="20"/>
          <w:szCs w:val="20"/>
          <w:color w:val="auto"/>
        </w:rPr>
      </w:pPr>
      <w:r>
        <w:rPr>
          <w:rFonts w:ascii="Arial" w:cs="Arial" w:eastAsia="Arial" w:hAnsi="Arial"/>
          <w:sz w:val="18"/>
          <w:szCs w:val="18"/>
          <w:color w:val="auto"/>
        </w:rPr>
        <w:t>Position descriptions for the Chairman, the chair of each committee and the Lead Independent Director have been approved by the board and help ensure the independent operations of the board and its committees.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Meetings with and without the CEO/Management</w:t>
      </w:r>
    </w:p>
    <w:p>
      <w:pPr>
        <w:spacing w:after="0" w:line="35" w:lineRule="exact"/>
        <w:rPr>
          <w:sz w:val="20"/>
          <w:szCs w:val="20"/>
          <w:color w:val="auto"/>
        </w:rPr>
      </w:pPr>
    </w:p>
    <w:p>
      <w:pPr>
        <w:ind w:left="220" w:right="80"/>
        <w:spacing w:after="0" w:line="236" w:lineRule="auto"/>
        <w:rPr>
          <w:sz w:val="20"/>
          <w:szCs w:val="20"/>
          <w:color w:val="auto"/>
        </w:rPr>
      </w:pPr>
      <w:r>
        <w:rPr>
          <w:rFonts w:ascii="Arial" w:cs="Arial" w:eastAsia="Arial" w:hAnsi="Arial"/>
          <w:sz w:val="18"/>
          <w:szCs w:val="18"/>
          <w:color w:val="auto"/>
        </w:rPr>
        <w:t>Our board begins each in -person meeting with an “in-camera” session with the CEO, but no other members of management. This is intended to give the CEO an opportunity to discuss his objectives for the day’s meeting, and for directors to express preliminary observations based on their prior review of meeting materials. This permits a more effective use of time in the board meeting. A similar session is typically held with the CEO at the end of the meeting, followed by a meeting of the board without the CEO or other members of management present. Board committees also utilize “in-camera” meetings for discussions without the CEO or members of management present.</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Meetings of Independent Directors</w:t>
      </w:r>
    </w:p>
    <w:p>
      <w:pPr>
        <w:spacing w:after="0" w:line="22"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As part of each board meeting, our independent directors meet as a group without the CEO and without the directors affiliated with Woodbridge. These meetings are chaired by the Lead Independent Director. The Lead Independent Director develops the agenda for these meetings, although discussion has not been limited to it. The agenda generally addresses any issues that might be specific to a public corporation with a controlling shareholder. The Lead Independent Director reports to the Chairman, Deputy Chairman and the CEO on the substance of these meetings to the extent that action is appropriate or required. Three meetings of the independent directors took place in 2018 which were presided over by Mr. Opperman.</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Secretary</w:t>
      </w:r>
    </w:p>
    <w:p>
      <w:pPr>
        <w:spacing w:after="0" w:line="35" w:lineRule="exact"/>
        <w:rPr>
          <w:sz w:val="20"/>
          <w:szCs w:val="20"/>
          <w:color w:val="auto"/>
        </w:rPr>
      </w:pPr>
    </w:p>
    <w:p>
      <w:pPr>
        <w:ind w:left="220" w:right="200"/>
        <w:spacing w:after="0" w:line="244" w:lineRule="auto"/>
        <w:rPr>
          <w:sz w:val="20"/>
          <w:szCs w:val="20"/>
          <w:color w:val="auto"/>
        </w:rPr>
      </w:pPr>
      <w:r>
        <w:rPr>
          <w:rFonts w:ascii="Arial" w:cs="Arial" w:eastAsia="Arial" w:hAnsi="Arial"/>
          <w:sz w:val="18"/>
          <w:szCs w:val="18"/>
          <w:color w:val="auto"/>
        </w:rPr>
        <w:t>Deirdre Stanley, Executive Vice President and General Counsel, is also Secretary to the board. Directors have access to the advice and services of the Secretary.</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Access to Management and Professional Advisors</w:t>
      </w:r>
    </w:p>
    <w:p>
      <w:pPr>
        <w:spacing w:after="0" w:line="35" w:lineRule="exact"/>
        <w:rPr>
          <w:sz w:val="20"/>
          <w:szCs w:val="20"/>
          <w:color w:val="auto"/>
        </w:rPr>
      </w:pPr>
    </w:p>
    <w:p>
      <w:pPr>
        <w:ind w:left="220" w:right="240"/>
        <w:spacing w:after="0" w:line="237" w:lineRule="auto"/>
        <w:rPr>
          <w:sz w:val="20"/>
          <w:szCs w:val="20"/>
          <w:color w:val="auto"/>
        </w:rPr>
      </w:pPr>
      <w:r>
        <w:rPr>
          <w:rFonts w:ascii="Arial" w:cs="Arial" w:eastAsia="Arial" w:hAnsi="Arial"/>
          <w:sz w:val="18"/>
          <w:szCs w:val="18"/>
          <w:color w:val="auto"/>
        </w:rPr>
        <w:t>The board has access to members of management and professional advisors. The board and its committees may invite any member of senior management, employee, outside advisor or other person to attend or report at any of their meetings. The board and any of its committees are able to retain an outside independent professional advisor at any time at the expense of our company and have the authority to determine the advisor’s fees and other retention terms. Individual directors are able to retain an outside independent professional advisor at the expense of our company subject to notifying the Corporate Governance Committee in advance.</w:t>
      </w:r>
    </w:p>
    <w:p>
      <w:pPr>
        <w:spacing w:after="0" w:line="95" w:lineRule="exact"/>
        <w:rPr>
          <w:sz w:val="20"/>
          <w:szCs w:val="20"/>
          <w:color w:val="auto"/>
        </w:rPr>
      </w:pPr>
    </w:p>
    <w:p>
      <w:pPr>
        <w:jc w:val="both"/>
        <w:ind w:left="220" w:right="480"/>
        <w:spacing w:after="0" w:line="239" w:lineRule="auto"/>
        <w:rPr>
          <w:sz w:val="20"/>
          <w:szCs w:val="20"/>
          <w:color w:val="auto"/>
        </w:rPr>
      </w:pPr>
      <w:r>
        <w:rPr>
          <w:rFonts w:ascii="Arial" w:cs="Arial" w:eastAsia="Arial" w:hAnsi="Arial"/>
          <w:sz w:val="18"/>
          <w:szCs w:val="18"/>
          <w:color w:val="auto"/>
        </w:rPr>
        <w:t>The HR Committee retains an independent consulting firm to advise it on compensation matters relating to senior management. The independent consulting firm also reviews executive compensation programs and provides guidance and analysis on plan design and market trends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120650</wp:posOffset>
            </wp:positionV>
            <wp:extent cx="697357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1"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28</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180"/>
          </w:cols>
          <w:pgMar w:left="240" w:top="458" w:right="47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20" w:right="240"/>
        <w:spacing w:after="0" w:line="239" w:lineRule="auto"/>
        <w:rPr>
          <w:sz w:val="20"/>
          <w:szCs w:val="20"/>
          <w:color w:val="auto"/>
        </w:rPr>
      </w:pPr>
      <w:r>
        <w:rPr>
          <w:rFonts w:ascii="Arial" w:cs="Arial" w:eastAsia="Arial" w:hAnsi="Arial"/>
          <w:sz w:val="18"/>
          <w:szCs w:val="18"/>
          <w:color w:val="auto"/>
        </w:rPr>
        <w:t>The HR Committee also utilizes and relies upon market survey data provided by a consulting firm regarding executive compensation for organizations of comparable size and scope with which Thomson Reuters is most likely to compete for executive talent. Additional information is provided in the “Compensation Discussion and Analysis” section of this circular.</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Delegation of Authority</w:t>
      </w:r>
    </w:p>
    <w:p>
      <w:pPr>
        <w:spacing w:after="0" w:line="35"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To clarify the division of responsibility between the board and management, the board has adopted a delegation of authority policy. This policy delegates certain decision-making and operating authority to senior management and has been adopted by the board in order to enhance our internal controls and allow management appropriate flexibility to deal with certain matters without obtaining specific board approval. The board also delegates certain responsibilities to the Audit Committee, Corporate Governance Committee, HR Committee and Risk Committee, and oversees the committees’ fulfillment of their responsibilities. The responsibilities of each committee are described in more detail below.</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Director Attendance</w:t>
      </w:r>
    </w:p>
    <w:p>
      <w:pPr>
        <w:spacing w:after="0" w:line="79" w:lineRule="exact"/>
        <w:rPr>
          <w:sz w:val="20"/>
          <w:szCs w:val="20"/>
          <w:color w:val="auto"/>
        </w:rPr>
      </w:pPr>
    </w:p>
    <w:p>
      <w:pPr>
        <w:ind w:left="220" w:right="180"/>
        <w:spacing w:after="0" w:line="238" w:lineRule="auto"/>
        <w:rPr>
          <w:sz w:val="20"/>
          <w:szCs w:val="20"/>
          <w:color w:val="auto"/>
        </w:rPr>
      </w:pPr>
      <w:r>
        <w:rPr>
          <w:rFonts w:ascii="Arial" w:cs="Arial" w:eastAsia="Arial" w:hAnsi="Arial"/>
          <w:sz w:val="18"/>
          <w:szCs w:val="18"/>
          <w:color w:val="auto"/>
        </w:rPr>
        <w:t>The board meets regularly in order to discharge its duties effectively. Directors are expected to attend all meetings of the board including committee meetings, if applicable, and annual meetings of shareholders. An extraordinarily high number of meetings were held in 2018, primarily in connection with the company’s F&amp;R transaction that signed in January and closed in October. The following table provides information about the number of board and committee meetings in 2018.</w:t>
      </w:r>
    </w:p>
    <w:p>
      <w:pPr>
        <w:spacing w:after="0" w:line="108"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3160" w:type="dxa"/>
            <w:vAlign w:val="bottom"/>
            <w:tcBorders>
              <w:bottom w:val="single" w:sz="8" w:color="D95A3B"/>
              <w:right w:val="single" w:sz="8" w:color="CCCCCC"/>
            </w:tcBorders>
          </w:tcPr>
          <w:p>
            <w:pPr>
              <w:spacing w:after="0"/>
              <w:rPr>
                <w:sz w:val="16"/>
                <w:szCs w:val="16"/>
                <w:color w:val="auto"/>
              </w:rPr>
            </w:pPr>
          </w:p>
        </w:tc>
        <w:tc>
          <w:tcPr>
            <w:tcW w:w="7820" w:type="dxa"/>
            <w:vAlign w:val="bottom"/>
            <w:tcBorders>
              <w:bottom w:val="single" w:sz="8" w:color="D95A3B"/>
            </w:tcBorders>
            <w:shd w:val="clear" w:color="auto" w:fill="CCCCCC"/>
          </w:tcPr>
          <w:p>
            <w:pPr>
              <w:ind w:left="3280"/>
              <w:spacing w:after="0"/>
              <w:rPr>
                <w:sz w:val="20"/>
                <w:szCs w:val="20"/>
                <w:color w:val="auto"/>
              </w:rPr>
            </w:pPr>
            <w:r>
              <w:rPr>
                <w:rFonts w:ascii="Arial" w:cs="Arial" w:eastAsia="Arial" w:hAnsi="Arial"/>
                <w:sz w:val="15"/>
                <w:szCs w:val="15"/>
                <w:b w:val="1"/>
                <w:bCs w:val="1"/>
                <w:color w:val="auto"/>
              </w:rPr>
              <w:t>Number of Meetings</w:t>
            </w:r>
          </w:p>
        </w:tc>
      </w:tr>
      <w:tr>
        <w:trPr>
          <w:trHeight w:val="155"/>
        </w:trPr>
        <w:tc>
          <w:tcPr>
            <w:tcW w:w="31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Board</w:t>
            </w:r>
          </w:p>
        </w:tc>
        <w:tc>
          <w:tcPr>
            <w:tcW w:w="7820" w:type="dxa"/>
            <w:vAlign w:val="bottom"/>
            <w:tcBorders>
              <w:bottom w:val="single" w:sz="8" w:color="AFAFAF"/>
            </w:tcBorders>
          </w:tcPr>
          <w:p>
            <w:pPr>
              <w:jc w:val="center"/>
              <w:ind w:left="108"/>
              <w:spacing w:after="0" w:line="155" w:lineRule="exact"/>
              <w:rPr>
                <w:sz w:val="20"/>
                <w:szCs w:val="20"/>
                <w:color w:val="auto"/>
              </w:rPr>
            </w:pPr>
            <w:r>
              <w:rPr>
                <w:rFonts w:ascii="Arial" w:cs="Arial" w:eastAsia="Arial" w:hAnsi="Arial"/>
                <w:sz w:val="14"/>
                <w:szCs w:val="14"/>
                <w:color w:val="auto"/>
              </w:rPr>
              <w:t>15</w:t>
            </w:r>
          </w:p>
        </w:tc>
      </w:tr>
      <w:tr>
        <w:trPr>
          <w:trHeight w:val="155"/>
        </w:trPr>
        <w:tc>
          <w:tcPr>
            <w:tcW w:w="3160" w:type="dxa"/>
            <w:vAlign w:val="bottom"/>
            <w:tcBorders>
              <w:bottom w:val="single" w:sz="8" w:color="AFAFAF"/>
              <w:right w:val="single" w:sz="8" w:color="AFAFAF"/>
            </w:tcBorders>
          </w:tcPr>
          <w:p>
            <w:pPr>
              <w:ind w:left="140"/>
              <w:spacing w:after="0" w:line="155" w:lineRule="exact"/>
              <w:rPr>
                <w:sz w:val="20"/>
                <w:szCs w:val="20"/>
                <w:color w:val="auto"/>
              </w:rPr>
            </w:pPr>
            <w:r>
              <w:rPr>
                <w:rFonts w:ascii="Arial" w:cs="Arial" w:eastAsia="Arial" w:hAnsi="Arial"/>
                <w:sz w:val="14"/>
                <w:szCs w:val="14"/>
                <w:i w:val="1"/>
                <w:iCs w:val="1"/>
                <w:color w:val="auto"/>
              </w:rPr>
              <w:t>Regularly scheduled – 5</w:t>
            </w:r>
          </w:p>
        </w:tc>
        <w:tc>
          <w:tcPr>
            <w:tcW w:w="7820" w:type="dxa"/>
            <w:vAlign w:val="bottom"/>
            <w:tcBorders>
              <w:bottom w:val="single" w:sz="8" w:color="AFAFAF"/>
            </w:tcBorders>
          </w:tcPr>
          <w:p>
            <w:pPr>
              <w:spacing w:after="0"/>
              <w:rPr>
                <w:sz w:val="13"/>
                <w:szCs w:val="13"/>
                <w:color w:val="auto"/>
              </w:rPr>
            </w:pPr>
          </w:p>
        </w:tc>
      </w:tr>
      <w:tr>
        <w:trPr>
          <w:trHeight w:val="155"/>
        </w:trPr>
        <w:tc>
          <w:tcPr>
            <w:tcW w:w="3160" w:type="dxa"/>
            <w:vAlign w:val="bottom"/>
            <w:tcBorders>
              <w:bottom w:val="single" w:sz="8" w:color="AFAFAF"/>
              <w:right w:val="single" w:sz="8" w:color="AFAFAF"/>
            </w:tcBorders>
          </w:tcPr>
          <w:p>
            <w:pPr>
              <w:ind w:left="140"/>
              <w:spacing w:after="0" w:line="155" w:lineRule="exact"/>
              <w:rPr>
                <w:sz w:val="20"/>
                <w:szCs w:val="20"/>
                <w:color w:val="auto"/>
              </w:rPr>
            </w:pPr>
            <w:r>
              <w:rPr>
                <w:rFonts w:ascii="Arial" w:cs="Arial" w:eastAsia="Arial" w:hAnsi="Arial"/>
                <w:sz w:val="14"/>
                <w:szCs w:val="14"/>
                <w:i w:val="1"/>
                <w:iCs w:val="1"/>
                <w:color w:val="auto"/>
              </w:rPr>
              <w:t>Special – 10</w:t>
            </w:r>
          </w:p>
        </w:tc>
        <w:tc>
          <w:tcPr>
            <w:tcW w:w="7820" w:type="dxa"/>
            <w:vAlign w:val="bottom"/>
            <w:tcBorders>
              <w:bottom w:val="single" w:sz="8" w:color="AFAFAF"/>
            </w:tcBorders>
          </w:tcPr>
          <w:p>
            <w:pPr>
              <w:spacing w:after="0"/>
              <w:rPr>
                <w:sz w:val="13"/>
                <w:szCs w:val="13"/>
                <w:color w:val="auto"/>
              </w:rPr>
            </w:pPr>
          </w:p>
        </w:tc>
      </w:tr>
      <w:tr>
        <w:trPr>
          <w:trHeight w:val="155"/>
        </w:trPr>
        <w:tc>
          <w:tcPr>
            <w:tcW w:w="31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Audit Committee</w:t>
            </w:r>
          </w:p>
        </w:tc>
        <w:tc>
          <w:tcPr>
            <w:tcW w:w="7820" w:type="dxa"/>
            <w:vAlign w:val="bottom"/>
            <w:tcBorders>
              <w:bottom w:val="single" w:sz="8" w:color="AFAFAF"/>
            </w:tcBorders>
          </w:tcPr>
          <w:p>
            <w:pPr>
              <w:jc w:val="center"/>
              <w:ind w:left="108"/>
              <w:spacing w:after="0" w:line="155" w:lineRule="exact"/>
              <w:rPr>
                <w:sz w:val="20"/>
                <w:szCs w:val="20"/>
                <w:color w:val="auto"/>
              </w:rPr>
            </w:pPr>
            <w:r>
              <w:rPr>
                <w:rFonts w:ascii="Arial" w:cs="Arial" w:eastAsia="Arial" w:hAnsi="Arial"/>
                <w:sz w:val="14"/>
                <w:szCs w:val="14"/>
                <w:color w:val="auto"/>
              </w:rPr>
              <w:t>8</w:t>
            </w:r>
          </w:p>
        </w:tc>
      </w:tr>
      <w:tr>
        <w:trPr>
          <w:trHeight w:val="155"/>
        </w:trPr>
        <w:tc>
          <w:tcPr>
            <w:tcW w:w="31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Corporate Governance Committee</w:t>
            </w:r>
          </w:p>
        </w:tc>
        <w:tc>
          <w:tcPr>
            <w:tcW w:w="7820" w:type="dxa"/>
            <w:vAlign w:val="bottom"/>
            <w:tcBorders>
              <w:bottom w:val="single" w:sz="8" w:color="AFAFAF"/>
            </w:tcBorders>
          </w:tcPr>
          <w:p>
            <w:pPr>
              <w:jc w:val="center"/>
              <w:ind w:left="108"/>
              <w:spacing w:after="0" w:line="155" w:lineRule="exact"/>
              <w:rPr>
                <w:sz w:val="20"/>
                <w:szCs w:val="20"/>
                <w:color w:val="auto"/>
              </w:rPr>
            </w:pPr>
            <w:r>
              <w:rPr>
                <w:rFonts w:ascii="Arial" w:cs="Arial" w:eastAsia="Arial" w:hAnsi="Arial"/>
                <w:sz w:val="14"/>
                <w:szCs w:val="14"/>
                <w:color w:val="auto"/>
              </w:rPr>
              <w:t>5</w:t>
            </w:r>
          </w:p>
        </w:tc>
      </w:tr>
      <w:tr>
        <w:trPr>
          <w:trHeight w:val="155"/>
        </w:trPr>
        <w:tc>
          <w:tcPr>
            <w:tcW w:w="31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HR Committee</w:t>
            </w:r>
          </w:p>
        </w:tc>
        <w:tc>
          <w:tcPr>
            <w:tcW w:w="7820" w:type="dxa"/>
            <w:vAlign w:val="bottom"/>
            <w:tcBorders>
              <w:bottom w:val="single" w:sz="8" w:color="AFAFAF"/>
            </w:tcBorders>
          </w:tcPr>
          <w:p>
            <w:pPr>
              <w:jc w:val="center"/>
              <w:ind w:left="108"/>
              <w:spacing w:after="0" w:line="155" w:lineRule="exact"/>
              <w:rPr>
                <w:sz w:val="20"/>
                <w:szCs w:val="20"/>
                <w:color w:val="auto"/>
              </w:rPr>
            </w:pPr>
            <w:r>
              <w:rPr>
                <w:rFonts w:ascii="Arial" w:cs="Arial" w:eastAsia="Arial" w:hAnsi="Arial"/>
                <w:sz w:val="14"/>
                <w:szCs w:val="14"/>
                <w:color w:val="auto"/>
              </w:rPr>
              <w:t>8</w:t>
            </w:r>
          </w:p>
        </w:tc>
      </w:tr>
      <w:tr>
        <w:trPr>
          <w:trHeight w:val="155"/>
        </w:trPr>
        <w:tc>
          <w:tcPr>
            <w:tcW w:w="31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Risk Committee</w:t>
            </w:r>
          </w:p>
        </w:tc>
        <w:tc>
          <w:tcPr>
            <w:tcW w:w="7820" w:type="dxa"/>
            <w:vAlign w:val="bottom"/>
            <w:tcBorders>
              <w:bottom w:val="single" w:sz="8" w:color="AFAFAF"/>
            </w:tcBorders>
          </w:tcPr>
          <w:p>
            <w:pPr>
              <w:jc w:val="center"/>
              <w:ind w:left="108"/>
              <w:spacing w:after="0" w:line="155" w:lineRule="exact"/>
              <w:rPr>
                <w:sz w:val="20"/>
                <w:szCs w:val="20"/>
                <w:color w:val="auto"/>
              </w:rPr>
            </w:pPr>
            <w:r>
              <w:rPr>
                <w:rFonts w:ascii="Arial" w:cs="Arial" w:eastAsia="Arial" w:hAnsi="Arial"/>
                <w:sz w:val="14"/>
                <w:szCs w:val="14"/>
                <w:color w:val="auto"/>
              </w:rPr>
              <w:t>1</w:t>
            </w:r>
          </w:p>
        </w:tc>
      </w:tr>
      <w:tr>
        <w:trPr>
          <w:trHeight w:val="155"/>
        </w:trPr>
        <w:tc>
          <w:tcPr>
            <w:tcW w:w="316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Special Committee</w:t>
            </w:r>
          </w:p>
        </w:tc>
        <w:tc>
          <w:tcPr>
            <w:tcW w:w="7820" w:type="dxa"/>
            <w:vAlign w:val="bottom"/>
            <w:tcBorders>
              <w:bottom w:val="single" w:sz="8" w:color="D95A3B"/>
            </w:tcBorders>
          </w:tcPr>
          <w:p>
            <w:pPr>
              <w:jc w:val="center"/>
              <w:ind w:left="108"/>
              <w:spacing w:after="0" w:line="155" w:lineRule="exact"/>
              <w:rPr>
                <w:sz w:val="20"/>
                <w:szCs w:val="20"/>
                <w:color w:val="auto"/>
              </w:rPr>
            </w:pPr>
            <w:r>
              <w:rPr>
                <w:rFonts w:ascii="Arial" w:cs="Arial" w:eastAsia="Arial" w:hAnsi="Arial"/>
                <w:sz w:val="14"/>
                <w:szCs w:val="14"/>
                <w:color w:val="auto"/>
              </w:rPr>
              <w:t>3</w:t>
            </w:r>
          </w:p>
        </w:tc>
      </w:tr>
    </w:tbl>
    <w:p>
      <w:pPr>
        <w:spacing w:after="0" w:line="107"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Five of the board’s 15 meetings in 2018 were held in person. 10 special meetings of the board were held telephonically during the year, five of which related to our company’s F&amp;R transaction (including the company’s substantial issuer bid and return of capital transaction that utilized proceeds of the transaction). As discussed in the “Board Committees” subsection below, in July 2018, the board formed a Special Committee comprised of independent directors to consider different ways to return F&amp;R transaction proceeds to shareholders and to provide a recommendation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120650</wp:posOffset>
            </wp:positionV>
            <wp:extent cx="697357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1"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29</w:t>
      </w:r>
    </w:p>
    <w:p>
      <w:pPr>
        <w:sectPr>
          <w:pgSz w:w="11900" w:h="16838" w:orient="portrait"/>
          <w:cols w:equalWidth="0" w:num="1">
            <w:col w:w="11200"/>
          </w:cols>
          <w:pgMar w:left="240" w:top="458"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right="80"/>
        <w:spacing w:after="0" w:line="239" w:lineRule="auto"/>
        <w:rPr>
          <w:sz w:val="20"/>
          <w:szCs w:val="20"/>
          <w:color w:val="auto"/>
        </w:rPr>
      </w:pPr>
      <w:r>
        <w:rPr>
          <w:rFonts w:ascii="Arial" w:cs="Arial" w:eastAsia="Arial" w:hAnsi="Arial"/>
          <w:sz w:val="18"/>
          <w:szCs w:val="18"/>
          <w:color w:val="auto"/>
        </w:rPr>
        <w:t>The following table sets forth the attendance of our directors at board and committee meetings in 2018. In 2018, average attendance for these individuals at all board and committee meetings was approximately 95% and approximately 98%, respectively. The Risk Committee was formed in June 2018.</w:t>
      </w:r>
    </w:p>
    <w:p>
      <w:pPr>
        <w:spacing w:after="0" w:line="109"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2780" w:type="dxa"/>
            <w:vAlign w:val="bottom"/>
            <w:tcBorders>
              <w:right w:val="single" w:sz="8" w:color="E5E5E5"/>
            </w:tcBorders>
          </w:tcPr>
          <w:p>
            <w:pPr>
              <w:spacing w:after="0"/>
              <w:rPr>
                <w:sz w:val="16"/>
                <w:szCs w:val="16"/>
                <w:color w:val="auto"/>
              </w:rPr>
            </w:pPr>
          </w:p>
        </w:tc>
        <w:tc>
          <w:tcPr>
            <w:tcW w:w="760" w:type="dxa"/>
            <w:vAlign w:val="bottom"/>
            <w:tcBorders>
              <w:right w:val="single" w:sz="8" w:color="E5E5E5"/>
            </w:tcBorders>
            <w:shd w:val="clear" w:color="auto" w:fill="E5E5E5"/>
          </w:tcPr>
          <w:p>
            <w:pPr>
              <w:spacing w:after="0"/>
              <w:rPr>
                <w:sz w:val="16"/>
                <w:szCs w:val="16"/>
                <w:color w:val="auto"/>
              </w:rPr>
            </w:pPr>
          </w:p>
        </w:tc>
        <w:tc>
          <w:tcPr>
            <w:tcW w:w="900" w:type="dxa"/>
            <w:vAlign w:val="bottom"/>
            <w:tcBorders>
              <w:right w:val="single" w:sz="8" w:color="E5E5E5"/>
            </w:tcBorders>
            <w:shd w:val="clear" w:color="auto" w:fill="E5E5E5"/>
          </w:tcPr>
          <w:p>
            <w:pPr>
              <w:spacing w:after="0"/>
              <w:rPr>
                <w:sz w:val="16"/>
                <w:szCs w:val="16"/>
                <w:color w:val="auto"/>
              </w:rPr>
            </w:pPr>
          </w:p>
        </w:tc>
        <w:tc>
          <w:tcPr>
            <w:tcW w:w="860" w:type="dxa"/>
            <w:vAlign w:val="bottom"/>
            <w:tcBorders>
              <w:right w:val="single" w:sz="8" w:color="E5E5E5"/>
            </w:tcBorders>
            <w:shd w:val="clear" w:color="auto" w:fill="E5E5E5"/>
          </w:tcPr>
          <w:p>
            <w:pPr>
              <w:spacing w:after="0"/>
              <w:rPr>
                <w:sz w:val="16"/>
                <w:szCs w:val="16"/>
                <w:color w:val="auto"/>
              </w:rPr>
            </w:pPr>
          </w:p>
        </w:tc>
        <w:tc>
          <w:tcPr>
            <w:tcW w:w="960" w:type="dxa"/>
            <w:vAlign w:val="bottom"/>
            <w:tcBorders>
              <w:right w:val="single" w:sz="8" w:color="E5E5E5"/>
            </w:tcBorders>
            <w:shd w:val="clear" w:color="auto" w:fill="E5E5E5"/>
          </w:tcPr>
          <w:p>
            <w:pPr>
              <w:spacing w:after="0"/>
              <w:rPr>
                <w:sz w:val="16"/>
                <w:szCs w:val="16"/>
                <w:color w:val="auto"/>
              </w:rPr>
            </w:pPr>
          </w:p>
        </w:tc>
        <w:tc>
          <w:tcPr>
            <w:tcW w:w="1720" w:type="dxa"/>
            <w:vAlign w:val="bottom"/>
            <w:tcBorders>
              <w:right w:val="single" w:sz="8" w:color="E5E5E5"/>
            </w:tcBorders>
            <w:gridSpan w:val="2"/>
            <w:shd w:val="clear" w:color="auto" w:fill="E5E5E5"/>
          </w:tcPr>
          <w:p>
            <w:pPr>
              <w:spacing w:after="0"/>
              <w:rPr>
                <w:sz w:val="20"/>
                <w:szCs w:val="20"/>
                <w:color w:val="auto"/>
              </w:rPr>
            </w:pPr>
            <w:r>
              <w:rPr>
                <w:rFonts w:ascii="Arial" w:cs="Arial" w:eastAsia="Arial" w:hAnsi="Arial"/>
                <w:sz w:val="14"/>
                <w:szCs w:val="14"/>
                <w:b w:val="1"/>
                <w:bCs w:val="1"/>
                <w:color w:val="auto"/>
              </w:rPr>
              <w:t>Meetings Attended</w:t>
            </w:r>
          </w:p>
        </w:tc>
        <w:tc>
          <w:tcPr>
            <w:tcW w:w="860" w:type="dxa"/>
            <w:vAlign w:val="bottom"/>
            <w:tcBorders>
              <w:right w:val="single" w:sz="8" w:color="E5E5E5"/>
            </w:tcBorders>
            <w:shd w:val="clear" w:color="auto" w:fill="E5E5E5"/>
          </w:tcPr>
          <w:p>
            <w:pPr>
              <w:spacing w:after="0"/>
              <w:rPr>
                <w:sz w:val="16"/>
                <w:szCs w:val="16"/>
                <w:color w:val="auto"/>
              </w:rPr>
            </w:pPr>
          </w:p>
        </w:tc>
        <w:tc>
          <w:tcPr>
            <w:tcW w:w="860" w:type="dxa"/>
            <w:vAlign w:val="bottom"/>
            <w:tcBorders>
              <w:right w:val="single" w:sz="8" w:color="E5E5E5"/>
            </w:tcBorders>
            <w:shd w:val="clear" w:color="auto" w:fill="E5E5E5"/>
          </w:tcPr>
          <w:p>
            <w:pPr>
              <w:spacing w:after="0"/>
              <w:rPr>
                <w:sz w:val="16"/>
                <w:szCs w:val="16"/>
                <w:color w:val="auto"/>
              </w:rPr>
            </w:pPr>
          </w:p>
        </w:tc>
        <w:tc>
          <w:tcPr>
            <w:tcW w:w="740" w:type="dxa"/>
            <w:vAlign w:val="bottom"/>
            <w:tcBorders>
              <w:right w:val="single" w:sz="8" w:color="E5E5E5"/>
            </w:tcBorders>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780" w:type="dxa"/>
            <w:vAlign w:val="bottom"/>
            <w:tcBorders>
              <w:right w:val="single" w:sz="8" w:color="CCCCCC"/>
            </w:tcBorders>
            <w:shd w:val="clear" w:color="auto" w:fill="CCCCCC"/>
          </w:tcPr>
          <w:p>
            <w:pPr>
              <w:spacing w:after="0"/>
              <w:rPr>
                <w:sz w:val="14"/>
                <w:szCs w:val="14"/>
                <w:color w:val="auto"/>
              </w:rPr>
            </w:pPr>
          </w:p>
        </w:tc>
        <w:tc>
          <w:tcPr>
            <w:tcW w:w="760" w:type="dxa"/>
            <w:vAlign w:val="bottom"/>
            <w:tcBorders>
              <w:right w:val="single" w:sz="8" w:color="CCCCCC"/>
            </w:tcBorders>
            <w:shd w:val="clear" w:color="auto" w:fill="CCCCCC"/>
          </w:tcPr>
          <w:p>
            <w:pPr>
              <w:spacing w:after="0"/>
              <w:rPr>
                <w:sz w:val="14"/>
                <w:szCs w:val="14"/>
                <w:color w:val="auto"/>
              </w:rPr>
            </w:pPr>
          </w:p>
        </w:tc>
        <w:tc>
          <w:tcPr>
            <w:tcW w:w="900" w:type="dxa"/>
            <w:vAlign w:val="bottom"/>
            <w:tcBorders>
              <w:right w:val="single" w:sz="8" w:color="CCCCCC"/>
            </w:tcBorders>
            <w:shd w:val="clear" w:color="auto" w:fill="CCCCCC"/>
          </w:tcPr>
          <w:p>
            <w:pPr>
              <w:spacing w:after="0"/>
              <w:rPr>
                <w:sz w:val="14"/>
                <w:szCs w:val="14"/>
                <w:color w:val="auto"/>
              </w:rPr>
            </w:pPr>
          </w:p>
        </w:tc>
        <w:tc>
          <w:tcPr>
            <w:tcW w:w="860" w:type="dxa"/>
            <w:vAlign w:val="bottom"/>
            <w:tcBorders>
              <w:right w:val="single" w:sz="8" w:color="CCCCCC"/>
            </w:tcBorders>
            <w:shd w:val="clear" w:color="auto" w:fill="CCCCCC"/>
          </w:tcPr>
          <w:p>
            <w:pPr>
              <w:spacing w:after="0"/>
              <w:rPr>
                <w:sz w:val="14"/>
                <w:szCs w:val="14"/>
                <w:color w:val="auto"/>
              </w:rPr>
            </w:pPr>
          </w:p>
        </w:tc>
        <w:tc>
          <w:tcPr>
            <w:tcW w:w="960" w:type="dxa"/>
            <w:vAlign w:val="bottom"/>
            <w:tcBorders>
              <w:right w:val="single" w:sz="8" w:color="CCCCCC"/>
            </w:tcBorders>
            <w:shd w:val="clear" w:color="auto" w:fill="CCCCCC"/>
          </w:tcPr>
          <w:p>
            <w:pPr>
              <w:jc w:val="center"/>
              <w:spacing w:after="0" w:line="167" w:lineRule="exact"/>
              <w:rPr>
                <w:sz w:val="20"/>
                <w:szCs w:val="20"/>
                <w:color w:val="auto"/>
              </w:rPr>
            </w:pPr>
            <w:r>
              <w:rPr>
                <w:rFonts w:ascii="Arial" w:cs="Arial" w:eastAsia="Arial" w:hAnsi="Arial"/>
                <w:sz w:val="15"/>
                <w:szCs w:val="15"/>
                <w:b w:val="1"/>
                <w:bCs w:val="1"/>
                <w:color w:val="auto"/>
                <w:w w:val="96"/>
              </w:rPr>
              <w:t>Corp.</w:t>
            </w:r>
          </w:p>
        </w:tc>
        <w:tc>
          <w:tcPr>
            <w:tcW w:w="860" w:type="dxa"/>
            <w:vAlign w:val="bottom"/>
            <w:tcBorders>
              <w:right w:val="single" w:sz="8" w:color="CCCCCC"/>
            </w:tcBorders>
            <w:shd w:val="clear" w:color="auto" w:fill="CCCCCC"/>
          </w:tcPr>
          <w:p>
            <w:pPr>
              <w:spacing w:after="0"/>
              <w:rPr>
                <w:sz w:val="14"/>
                <w:szCs w:val="14"/>
                <w:color w:val="auto"/>
              </w:rPr>
            </w:pPr>
          </w:p>
        </w:tc>
        <w:tc>
          <w:tcPr>
            <w:tcW w:w="860" w:type="dxa"/>
            <w:vAlign w:val="bottom"/>
            <w:tcBorders>
              <w:right w:val="single" w:sz="8" w:color="CCCCCC"/>
            </w:tcBorders>
            <w:shd w:val="clear" w:color="auto" w:fill="CCCCCC"/>
          </w:tcPr>
          <w:p>
            <w:pPr>
              <w:spacing w:after="0"/>
              <w:rPr>
                <w:sz w:val="14"/>
                <w:szCs w:val="14"/>
                <w:color w:val="auto"/>
              </w:rPr>
            </w:pPr>
          </w:p>
        </w:tc>
        <w:tc>
          <w:tcPr>
            <w:tcW w:w="860" w:type="dxa"/>
            <w:vAlign w:val="bottom"/>
            <w:tcBorders>
              <w:right w:val="single" w:sz="8" w:color="CCCCCC"/>
            </w:tcBorders>
            <w:shd w:val="clear" w:color="auto" w:fill="CCCCCC"/>
          </w:tcPr>
          <w:p>
            <w:pPr>
              <w:spacing w:after="0"/>
              <w:rPr>
                <w:sz w:val="14"/>
                <w:szCs w:val="14"/>
                <w:color w:val="auto"/>
              </w:rPr>
            </w:pPr>
          </w:p>
        </w:tc>
        <w:tc>
          <w:tcPr>
            <w:tcW w:w="860" w:type="dxa"/>
            <w:vAlign w:val="bottom"/>
            <w:tcBorders>
              <w:right w:val="single" w:sz="8" w:color="CCCCCC"/>
            </w:tcBorders>
            <w:shd w:val="clear" w:color="auto" w:fill="CCCCCC"/>
          </w:tcPr>
          <w:p>
            <w:pPr>
              <w:spacing w:after="0"/>
              <w:rPr>
                <w:sz w:val="14"/>
                <w:szCs w:val="14"/>
                <w:color w:val="auto"/>
              </w:rPr>
            </w:pPr>
          </w:p>
        </w:tc>
        <w:tc>
          <w:tcPr>
            <w:tcW w:w="740" w:type="dxa"/>
            <w:vAlign w:val="bottom"/>
            <w:tcBorders>
              <w:right w:val="single" w:sz="8" w:color="CCCCCC"/>
            </w:tcBorders>
            <w:shd w:val="clear" w:color="auto" w:fill="CCCCCC"/>
          </w:tcPr>
          <w:p>
            <w:pPr>
              <w:spacing w:after="0"/>
              <w:rPr>
                <w:sz w:val="14"/>
                <w:szCs w:val="14"/>
                <w:color w:val="auto"/>
              </w:rPr>
            </w:pPr>
          </w:p>
        </w:tc>
        <w:tc>
          <w:tcPr>
            <w:tcW w:w="54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80" w:type="dxa"/>
            <w:vAlign w:val="bottom"/>
            <w:tcBorders>
              <w:right w:val="single" w:sz="8" w:color="CCCCCC"/>
            </w:tcBorders>
            <w:vMerge w:val="restart"/>
            <w:shd w:val="clear" w:color="auto" w:fill="CCCCCC"/>
          </w:tcPr>
          <w:p>
            <w:pPr>
              <w:spacing w:after="0"/>
              <w:rPr>
                <w:sz w:val="20"/>
                <w:szCs w:val="20"/>
                <w:color w:val="auto"/>
              </w:rPr>
            </w:pPr>
            <w:r>
              <w:rPr>
                <w:rFonts w:ascii="Arial" w:cs="Arial" w:eastAsia="Arial" w:hAnsi="Arial"/>
                <w:sz w:val="15"/>
                <w:szCs w:val="15"/>
                <w:b w:val="1"/>
                <w:bCs w:val="1"/>
                <w:color w:val="auto"/>
              </w:rPr>
              <w:t>Director</w:t>
            </w:r>
          </w:p>
        </w:tc>
        <w:tc>
          <w:tcPr>
            <w:tcW w:w="760" w:type="dxa"/>
            <w:vAlign w:val="bottom"/>
            <w:tcBorders>
              <w:right w:val="single" w:sz="8" w:color="CCCCCC"/>
            </w:tcBorders>
            <w:vMerge w:val="restart"/>
            <w:shd w:val="clear" w:color="auto" w:fill="CCCCCC"/>
          </w:tcPr>
          <w:p>
            <w:pPr>
              <w:jc w:val="center"/>
              <w:spacing w:after="0"/>
              <w:rPr>
                <w:sz w:val="20"/>
                <w:szCs w:val="20"/>
                <w:color w:val="auto"/>
              </w:rPr>
            </w:pPr>
            <w:r>
              <w:rPr>
                <w:rFonts w:ascii="Arial" w:cs="Arial" w:eastAsia="Arial" w:hAnsi="Arial"/>
                <w:sz w:val="15"/>
                <w:szCs w:val="15"/>
                <w:b w:val="1"/>
                <w:bCs w:val="1"/>
                <w:color w:val="auto"/>
              </w:rPr>
              <w:t>Board</w:t>
            </w:r>
          </w:p>
        </w:tc>
        <w:tc>
          <w:tcPr>
            <w:tcW w:w="900" w:type="dxa"/>
            <w:vAlign w:val="bottom"/>
            <w:tcBorders>
              <w:right w:val="single" w:sz="8" w:color="CCCCCC"/>
            </w:tcBorders>
            <w:shd w:val="clear" w:color="auto" w:fill="CCCCCC"/>
          </w:tcPr>
          <w:p>
            <w:pPr>
              <w:ind w:left="160"/>
              <w:spacing w:after="0" w:line="169" w:lineRule="exact"/>
              <w:rPr>
                <w:sz w:val="20"/>
                <w:szCs w:val="20"/>
                <w:color w:val="auto"/>
              </w:rPr>
            </w:pPr>
            <w:r>
              <w:rPr>
                <w:rFonts w:ascii="Arial" w:cs="Arial" w:eastAsia="Arial" w:hAnsi="Arial"/>
                <w:sz w:val="15"/>
                <w:szCs w:val="15"/>
                <w:b w:val="1"/>
                <w:bCs w:val="1"/>
                <w:color w:val="auto"/>
              </w:rPr>
              <w:t>% Board</w:t>
            </w:r>
          </w:p>
        </w:tc>
        <w:tc>
          <w:tcPr>
            <w:tcW w:w="860" w:type="dxa"/>
            <w:vAlign w:val="bottom"/>
            <w:tcBorders>
              <w:right w:val="single" w:sz="8" w:color="CCCCCC"/>
            </w:tcBorders>
            <w:shd w:val="clear" w:color="auto" w:fill="CCCCCC"/>
          </w:tcPr>
          <w:p>
            <w:pPr>
              <w:jc w:val="center"/>
              <w:spacing w:after="0" w:line="169" w:lineRule="exact"/>
              <w:rPr>
                <w:sz w:val="20"/>
                <w:szCs w:val="20"/>
                <w:color w:val="auto"/>
              </w:rPr>
            </w:pPr>
            <w:r>
              <w:rPr>
                <w:rFonts w:ascii="Arial" w:cs="Arial" w:eastAsia="Arial" w:hAnsi="Arial"/>
                <w:sz w:val="15"/>
                <w:szCs w:val="15"/>
                <w:b w:val="1"/>
                <w:bCs w:val="1"/>
                <w:color w:val="auto"/>
              </w:rPr>
              <w:t>Audit</w:t>
            </w:r>
          </w:p>
        </w:tc>
        <w:tc>
          <w:tcPr>
            <w:tcW w:w="960" w:type="dxa"/>
            <w:vAlign w:val="bottom"/>
            <w:tcBorders>
              <w:right w:val="single" w:sz="8" w:color="CCCCCC"/>
            </w:tcBorders>
            <w:shd w:val="clear" w:color="auto" w:fill="CCCCCC"/>
          </w:tcPr>
          <w:p>
            <w:pPr>
              <w:jc w:val="center"/>
              <w:spacing w:after="0" w:line="169" w:lineRule="exact"/>
              <w:rPr>
                <w:sz w:val="20"/>
                <w:szCs w:val="20"/>
                <w:color w:val="auto"/>
              </w:rPr>
            </w:pPr>
            <w:r>
              <w:rPr>
                <w:rFonts w:ascii="Arial" w:cs="Arial" w:eastAsia="Arial" w:hAnsi="Arial"/>
                <w:sz w:val="15"/>
                <w:szCs w:val="15"/>
                <w:b w:val="1"/>
                <w:bCs w:val="1"/>
                <w:color w:val="auto"/>
              </w:rPr>
              <w:t>Governance</w:t>
            </w:r>
          </w:p>
        </w:tc>
        <w:tc>
          <w:tcPr>
            <w:tcW w:w="860" w:type="dxa"/>
            <w:vAlign w:val="bottom"/>
            <w:tcBorders>
              <w:right w:val="single" w:sz="8" w:color="CCCCCC"/>
            </w:tcBorders>
            <w:shd w:val="clear" w:color="auto" w:fill="CCCCCC"/>
          </w:tcPr>
          <w:p>
            <w:pPr>
              <w:jc w:val="center"/>
              <w:spacing w:after="0" w:line="169" w:lineRule="exact"/>
              <w:rPr>
                <w:sz w:val="20"/>
                <w:szCs w:val="20"/>
                <w:color w:val="auto"/>
              </w:rPr>
            </w:pPr>
            <w:r>
              <w:rPr>
                <w:rFonts w:ascii="Arial" w:cs="Arial" w:eastAsia="Arial" w:hAnsi="Arial"/>
                <w:sz w:val="15"/>
                <w:szCs w:val="15"/>
                <w:b w:val="1"/>
                <w:bCs w:val="1"/>
                <w:color w:val="auto"/>
              </w:rPr>
              <w:t>HR</w:t>
            </w:r>
          </w:p>
        </w:tc>
        <w:tc>
          <w:tcPr>
            <w:tcW w:w="860" w:type="dxa"/>
            <w:vAlign w:val="bottom"/>
            <w:tcBorders>
              <w:right w:val="single" w:sz="8" w:color="CCCCCC"/>
            </w:tcBorders>
            <w:shd w:val="clear" w:color="auto" w:fill="CCCCCC"/>
          </w:tcPr>
          <w:p>
            <w:pPr>
              <w:jc w:val="center"/>
              <w:spacing w:after="0" w:line="169" w:lineRule="exact"/>
              <w:rPr>
                <w:sz w:val="20"/>
                <w:szCs w:val="20"/>
                <w:color w:val="auto"/>
              </w:rPr>
            </w:pPr>
            <w:r>
              <w:rPr>
                <w:rFonts w:ascii="Arial" w:cs="Arial" w:eastAsia="Arial" w:hAnsi="Arial"/>
                <w:sz w:val="15"/>
                <w:szCs w:val="15"/>
                <w:b w:val="1"/>
                <w:bCs w:val="1"/>
                <w:color w:val="auto"/>
              </w:rPr>
              <w:t>Risk</w:t>
            </w:r>
          </w:p>
        </w:tc>
        <w:tc>
          <w:tcPr>
            <w:tcW w:w="860" w:type="dxa"/>
            <w:vAlign w:val="bottom"/>
            <w:tcBorders>
              <w:right w:val="single" w:sz="8" w:color="CCCCCC"/>
            </w:tcBorders>
            <w:shd w:val="clear" w:color="auto" w:fill="CCCCCC"/>
          </w:tcPr>
          <w:p>
            <w:pPr>
              <w:jc w:val="center"/>
              <w:spacing w:after="0" w:line="169" w:lineRule="exact"/>
              <w:rPr>
                <w:sz w:val="20"/>
                <w:szCs w:val="20"/>
                <w:color w:val="auto"/>
              </w:rPr>
            </w:pPr>
            <w:r>
              <w:rPr>
                <w:rFonts w:ascii="Arial" w:cs="Arial" w:eastAsia="Arial" w:hAnsi="Arial"/>
                <w:sz w:val="15"/>
                <w:szCs w:val="15"/>
                <w:b w:val="1"/>
                <w:bCs w:val="1"/>
                <w:color w:val="auto"/>
                <w:w w:val="98"/>
              </w:rPr>
              <w:t>Special</w:t>
            </w:r>
          </w:p>
        </w:tc>
        <w:tc>
          <w:tcPr>
            <w:tcW w:w="860" w:type="dxa"/>
            <w:vAlign w:val="bottom"/>
            <w:tcBorders>
              <w:right w:val="single" w:sz="8" w:color="CCCCCC"/>
            </w:tcBorders>
            <w:shd w:val="clear" w:color="auto" w:fill="CCCCCC"/>
          </w:tcPr>
          <w:p>
            <w:pPr>
              <w:jc w:val="center"/>
              <w:spacing w:after="0" w:line="169" w:lineRule="exact"/>
              <w:rPr>
                <w:sz w:val="20"/>
                <w:szCs w:val="20"/>
                <w:color w:val="auto"/>
              </w:rPr>
            </w:pPr>
            <w:r>
              <w:rPr>
                <w:rFonts w:ascii="Arial" w:cs="Arial" w:eastAsia="Arial" w:hAnsi="Arial"/>
                <w:sz w:val="15"/>
                <w:szCs w:val="15"/>
                <w:b w:val="1"/>
                <w:bCs w:val="1"/>
                <w:color w:val="auto"/>
              </w:rPr>
              <w:t>Committee</w:t>
            </w:r>
          </w:p>
        </w:tc>
        <w:tc>
          <w:tcPr>
            <w:tcW w:w="740" w:type="dxa"/>
            <w:vAlign w:val="bottom"/>
            <w:tcBorders>
              <w:right w:val="single" w:sz="8" w:color="CCCCCC"/>
            </w:tcBorders>
            <w:shd w:val="clear" w:color="auto" w:fill="CCCCCC"/>
          </w:tcPr>
          <w:p>
            <w:pPr>
              <w:jc w:val="center"/>
              <w:spacing w:after="0" w:line="169" w:lineRule="exact"/>
              <w:rPr>
                <w:sz w:val="20"/>
                <w:szCs w:val="20"/>
                <w:color w:val="auto"/>
              </w:rPr>
            </w:pPr>
            <w:r>
              <w:rPr>
                <w:rFonts w:ascii="Arial" w:cs="Arial" w:eastAsia="Arial" w:hAnsi="Arial"/>
                <w:sz w:val="15"/>
                <w:szCs w:val="15"/>
                <w:b w:val="1"/>
                <w:bCs w:val="1"/>
                <w:color w:val="auto"/>
              </w:rPr>
              <w:t>Total</w:t>
            </w:r>
          </w:p>
        </w:tc>
        <w:tc>
          <w:tcPr>
            <w:tcW w:w="54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80" w:type="dxa"/>
            <w:vAlign w:val="bottom"/>
            <w:tcBorders>
              <w:bottom w:val="single" w:sz="8" w:color="D95A3B"/>
              <w:right w:val="single" w:sz="8" w:color="CCCCCC"/>
            </w:tcBorders>
            <w:vMerge w:val="continue"/>
            <w:shd w:val="clear" w:color="auto" w:fill="CCCCCC"/>
          </w:tcPr>
          <w:p>
            <w:pPr>
              <w:spacing w:after="0"/>
              <w:rPr>
                <w:sz w:val="16"/>
                <w:szCs w:val="16"/>
                <w:color w:val="auto"/>
              </w:rPr>
            </w:pPr>
          </w:p>
        </w:tc>
        <w:tc>
          <w:tcPr>
            <w:tcW w:w="760" w:type="dxa"/>
            <w:vAlign w:val="bottom"/>
            <w:tcBorders>
              <w:bottom w:val="single" w:sz="8" w:color="D95A3B"/>
              <w:right w:val="single" w:sz="8" w:color="CCCCCC"/>
            </w:tcBorders>
            <w:vMerge w:val="continue"/>
            <w:shd w:val="clear" w:color="auto" w:fill="CCCCCC"/>
          </w:tcPr>
          <w:p>
            <w:pPr>
              <w:spacing w:after="0"/>
              <w:rPr>
                <w:sz w:val="16"/>
                <w:szCs w:val="16"/>
                <w:color w:val="auto"/>
              </w:rPr>
            </w:pPr>
          </w:p>
        </w:tc>
        <w:tc>
          <w:tcPr>
            <w:tcW w:w="1760" w:type="dxa"/>
            <w:vAlign w:val="bottom"/>
            <w:tcBorders>
              <w:bottom w:val="single" w:sz="8" w:color="D95A3B"/>
              <w:right w:val="single" w:sz="8" w:color="CCCCCC"/>
            </w:tcBorders>
            <w:gridSpan w:val="2"/>
            <w:shd w:val="clear" w:color="auto" w:fill="CCCCCC"/>
          </w:tcPr>
          <w:p>
            <w:pPr>
              <w:ind w:left="40"/>
              <w:spacing w:after="0"/>
              <w:rPr>
                <w:sz w:val="20"/>
                <w:szCs w:val="20"/>
                <w:color w:val="auto"/>
              </w:rPr>
            </w:pPr>
            <w:r>
              <w:rPr>
                <w:rFonts w:ascii="Arial" w:cs="Arial" w:eastAsia="Arial" w:hAnsi="Arial"/>
                <w:sz w:val="15"/>
                <w:szCs w:val="15"/>
                <w:b w:val="1"/>
                <w:bCs w:val="1"/>
                <w:color w:val="auto"/>
              </w:rPr>
              <w:t>Attendance Committee</w:t>
            </w:r>
          </w:p>
        </w:tc>
        <w:tc>
          <w:tcPr>
            <w:tcW w:w="960" w:type="dxa"/>
            <w:vAlign w:val="bottom"/>
            <w:tcBorders>
              <w:bottom w:val="single" w:sz="8" w:color="D95A3B"/>
              <w:right w:val="single" w:sz="8" w:color="CCCCCC"/>
            </w:tcBorders>
            <w:shd w:val="clear" w:color="auto" w:fill="CCCCCC"/>
          </w:tcPr>
          <w:p>
            <w:pPr>
              <w:jc w:val="center"/>
              <w:spacing w:after="0"/>
              <w:rPr>
                <w:sz w:val="20"/>
                <w:szCs w:val="20"/>
                <w:color w:val="auto"/>
              </w:rPr>
            </w:pPr>
            <w:r>
              <w:rPr>
                <w:rFonts w:ascii="Arial" w:cs="Arial" w:eastAsia="Arial" w:hAnsi="Arial"/>
                <w:sz w:val="15"/>
                <w:szCs w:val="15"/>
                <w:b w:val="1"/>
                <w:bCs w:val="1"/>
                <w:color w:val="auto"/>
              </w:rPr>
              <w:t>Committee</w:t>
            </w:r>
          </w:p>
        </w:tc>
        <w:tc>
          <w:tcPr>
            <w:tcW w:w="2580" w:type="dxa"/>
            <w:vAlign w:val="bottom"/>
            <w:tcBorders>
              <w:bottom w:val="single" w:sz="8" w:color="D95A3B"/>
              <w:right w:val="single" w:sz="8" w:color="CCCCCC"/>
            </w:tcBorders>
            <w:gridSpan w:val="3"/>
            <w:shd w:val="clear" w:color="auto" w:fill="CCCCCC"/>
          </w:tcPr>
          <w:p>
            <w:pPr>
              <w:jc w:val="center"/>
              <w:spacing w:after="0"/>
              <w:rPr>
                <w:sz w:val="20"/>
                <w:szCs w:val="20"/>
                <w:color w:val="auto"/>
              </w:rPr>
            </w:pPr>
            <w:r>
              <w:rPr>
                <w:rFonts w:ascii="Arial" w:cs="Arial" w:eastAsia="Arial" w:hAnsi="Arial"/>
                <w:sz w:val="15"/>
                <w:szCs w:val="15"/>
                <w:b w:val="1"/>
                <w:bCs w:val="1"/>
                <w:color w:val="auto"/>
              </w:rPr>
              <w:t>Committee Committee Committee</w:t>
            </w:r>
          </w:p>
        </w:tc>
        <w:tc>
          <w:tcPr>
            <w:tcW w:w="860" w:type="dxa"/>
            <w:vAlign w:val="bottom"/>
            <w:tcBorders>
              <w:bottom w:val="single" w:sz="8" w:color="D95A3B"/>
              <w:right w:val="single" w:sz="8" w:color="CCCCCC"/>
            </w:tcBorders>
            <w:shd w:val="clear" w:color="auto" w:fill="CCCCCC"/>
          </w:tcPr>
          <w:p>
            <w:pPr>
              <w:jc w:val="center"/>
              <w:spacing w:after="0"/>
              <w:rPr>
                <w:sz w:val="20"/>
                <w:szCs w:val="20"/>
                <w:color w:val="auto"/>
              </w:rPr>
            </w:pPr>
            <w:r>
              <w:rPr>
                <w:rFonts w:ascii="Arial" w:cs="Arial" w:eastAsia="Arial" w:hAnsi="Arial"/>
                <w:sz w:val="15"/>
                <w:szCs w:val="15"/>
                <w:b w:val="1"/>
                <w:bCs w:val="1"/>
                <w:color w:val="auto"/>
              </w:rPr>
              <w:t>Total</w:t>
            </w:r>
          </w:p>
        </w:tc>
        <w:tc>
          <w:tcPr>
            <w:tcW w:w="1280" w:type="dxa"/>
            <w:vAlign w:val="bottom"/>
            <w:tcBorders>
              <w:bottom w:val="single" w:sz="8" w:color="D95A3B"/>
            </w:tcBorders>
            <w:gridSpan w:val="2"/>
            <w:shd w:val="clear" w:color="auto" w:fill="CCCCCC"/>
          </w:tcPr>
          <w:p>
            <w:pPr>
              <w:ind w:left="60"/>
              <w:spacing w:after="0"/>
              <w:rPr>
                <w:sz w:val="20"/>
                <w:szCs w:val="20"/>
                <w:color w:val="auto"/>
              </w:rPr>
            </w:pPr>
            <w:r>
              <w:rPr>
                <w:rFonts w:ascii="Arial" w:cs="Arial" w:eastAsia="Arial" w:hAnsi="Arial"/>
                <w:sz w:val="15"/>
                <w:szCs w:val="15"/>
                <w:b w:val="1"/>
                <w:bCs w:val="1"/>
                <w:color w:val="auto"/>
              </w:rPr>
              <w:t>Meetings Total%</w:t>
            </w:r>
          </w:p>
        </w:tc>
        <w:tc>
          <w:tcPr>
            <w:tcW w:w="0" w:type="dxa"/>
            <w:vAlign w:val="bottom"/>
          </w:tcPr>
          <w:p>
            <w:pPr>
              <w:spacing w:after="0"/>
              <w:rPr>
                <w:sz w:val="1"/>
                <w:szCs w:val="1"/>
                <w:color w:val="auto"/>
              </w:rPr>
            </w:pPr>
          </w:p>
        </w:tc>
      </w:tr>
      <w:tr>
        <w:trPr>
          <w:trHeight w:val="155"/>
        </w:trPr>
        <w:tc>
          <w:tcPr>
            <w:tcW w:w="27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David Thomson</w:t>
            </w:r>
          </w:p>
        </w:tc>
        <w:tc>
          <w:tcPr>
            <w:tcW w:w="7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15 of 15</w:t>
            </w:r>
          </w:p>
        </w:tc>
        <w:tc>
          <w:tcPr>
            <w:tcW w:w="9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15 of 15</w:t>
            </w:r>
          </w:p>
        </w:tc>
        <w:tc>
          <w:tcPr>
            <w:tcW w:w="54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5"/>
        </w:trPr>
        <w:tc>
          <w:tcPr>
            <w:tcW w:w="27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1"/>
                <w:szCs w:val="11"/>
                <w:b w:val="1"/>
                <w:bCs w:val="1"/>
                <w:color w:val="auto"/>
              </w:rPr>
              <w:t>James C. Smith</w:t>
            </w:r>
            <w:r>
              <w:rPr>
                <w:rFonts w:ascii="Arial" w:cs="Arial" w:eastAsia="Arial" w:hAnsi="Arial"/>
                <w:sz w:val="17"/>
                <w:szCs w:val="17"/>
                <w:b w:val="1"/>
                <w:bCs w:val="1"/>
                <w:color w:val="auto"/>
                <w:vertAlign w:val="superscript"/>
              </w:rPr>
              <w:t>1</w:t>
            </w:r>
          </w:p>
        </w:tc>
        <w:tc>
          <w:tcPr>
            <w:tcW w:w="7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9 of 15</w:t>
            </w:r>
          </w:p>
        </w:tc>
        <w:tc>
          <w:tcPr>
            <w:tcW w:w="9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w w:val="99"/>
              </w:rPr>
              <w:t>60%</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9 of 15</w:t>
            </w:r>
          </w:p>
        </w:tc>
        <w:tc>
          <w:tcPr>
            <w:tcW w:w="54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w w:val="99"/>
              </w:rPr>
              <w:t>60%</w:t>
            </w:r>
          </w:p>
        </w:tc>
        <w:tc>
          <w:tcPr>
            <w:tcW w:w="0" w:type="dxa"/>
            <w:vAlign w:val="bottom"/>
          </w:tcPr>
          <w:p>
            <w:pPr>
              <w:spacing w:after="0"/>
              <w:rPr>
                <w:sz w:val="1"/>
                <w:szCs w:val="1"/>
                <w:color w:val="auto"/>
              </w:rPr>
            </w:pPr>
          </w:p>
        </w:tc>
      </w:tr>
      <w:tr>
        <w:trPr>
          <w:trHeight w:val="155"/>
        </w:trPr>
        <w:tc>
          <w:tcPr>
            <w:tcW w:w="27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Sheila C. Bair</w:t>
            </w:r>
          </w:p>
        </w:tc>
        <w:tc>
          <w:tcPr>
            <w:tcW w:w="7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15 of 15</w:t>
            </w:r>
          </w:p>
        </w:tc>
        <w:tc>
          <w:tcPr>
            <w:tcW w:w="9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8 of 8</w:t>
            </w:r>
          </w:p>
        </w:tc>
        <w:tc>
          <w:tcPr>
            <w:tcW w:w="9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 of 1</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3 of 3</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12 of 12</w:t>
            </w:r>
          </w:p>
        </w:tc>
        <w:tc>
          <w:tcPr>
            <w:tcW w:w="7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27 of 27</w:t>
            </w:r>
          </w:p>
        </w:tc>
        <w:tc>
          <w:tcPr>
            <w:tcW w:w="54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5"/>
        </w:trPr>
        <w:tc>
          <w:tcPr>
            <w:tcW w:w="27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David W. Binet</w:t>
            </w:r>
          </w:p>
        </w:tc>
        <w:tc>
          <w:tcPr>
            <w:tcW w:w="7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15 of 15</w:t>
            </w:r>
          </w:p>
        </w:tc>
        <w:tc>
          <w:tcPr>
            <w:tcW w:w="9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w w:val="96"/>
              </w:rPr>
              <w:t>5 of 5</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8 of 8</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 of 1</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14 of 14</w:t>
            </w:r>
          </w:p>
        </w:tc>
        <w:tc>
          <w:tcPr>
            <w:tcW w:w="7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29 of 29</w:t>
            </w:r>
          </w:p>
        </w:tc>
        <w:tc>
          <w:tcPr>
            <w:tcW w:w="54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5"/>
        </w:trPr>
        <w:tc>
          <w:tcPr>
            <w:tcW w:w="27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W. Edmund Clark, C.M.</w:t>
            </w:r>
          </w:p>
        </w:tc>
        <w:tc>
          <w:tcPr>
            <w:tcW w:w="7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15 of 15</w:t>
            </w:r>
          </w:p>
        </w:tc>
        <w:tc>
          <w:tcPr>
            <w:tcW w:w="9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w w:val="96"/>
              </w:rPr>
              <w:t>5 of 5</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8 of 8</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13 of 13</w:t>
            </w:r>
          </w:p>
        </w:tc>
        <w:tc>
          <w:tcPr>
            <w:tcW w:w="7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28 of 28</w:t>
            </w:r>
          </w:p>
        </w:tc>
        <w:tc>
          <w:tcPr>
            <w:tcW w:w="54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5"/>
        </w:trPr>
        <w:tc>
          <w:tcPr>
            <w:tcW w:w="27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1"/>
                <w:szCs w:val="11"/>
                <w:b w:val="1"/>
                <w:bCs w:val="1"/>
                <w:color w:val="auto"/>
              </w:rPr>
              <w:t>Michael E. Daniels</w:t>
            </w:r>
            <w:r>
              <w:rPr>
                <w:rFonts w:ascii="Arial" w:cs="Arial" w:eastAsia="Arial" w:hAnsi="Arial"/>
                <w:sz w:val="17"/>
                <w:szCs w:val="17"/>
                <w:b w:val="1"/>
                <w:bCs w:val="1"/>
                <w:color w:val="auto"/>
                <w:vertAlign w:val="superscript"/>
              </w:rPr>
              <w:t>2</w:t>
            </w:r>
          </w:p>
        </w:tc>
        <w:tc>
          <w:tcPr>
            <w:tcW w:w="7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14 of 15</w:t>
            </w:r>
          </w:p>
        </w:tc>
        <w:tc>
          <w:tcPr>
            <w:tcW w:w="9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w w:val="99"/>
              </w:rPr>
              <w:t>93%</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5 of 6</w:t>
            </w:r>
          </w:p>
        </w:tc>
        <w:tc>
          <w:tcPr>
            <w:tcW w:w="9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w w:val="96"/>
              </w:rPr>
              <w:t>5 of 5</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7 of 8</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 of 1</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3 of 3</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21 of 23</w:t>
            </w:r>
          </w:p>
        </w:tc>
        <w:tc>
          <w:tcPr>
            <w:tcW w:w="7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35 of 38</w:t>
            </w:r>
          </w:p>
        </w:tc>
        <w:tc>
          <w:tcPr>
            <w:tcW w:w="54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w w:val="99"/>
              </w:rPr>
              <w:t>92%</w:t>
            </w:r>
          </w:p>
        </w:tc>
        <w:tc>
          <w:tcPr>
            <w:tcW w:w="0" w:type="dxa"/>
            <w:vAlign w:val="bottom"/>
          </w:tcPr>
          <w:p>
            <w:pPr>
              <w:spacing w:after="0"/>
              <w:rPr>
                <w:sz w:val="1"/>
                <w:szCs w:val="1"/>
                <w:color w:val="auto"/>
              </w:rPr>
            </w:pPr>
          </w:p>
        </w:tc>
      </w:tr>
      <w:tr>
        <w:trPr>
          <w:trHeight w:val="155"/>
        </w:trPr>
        <w:tc>
          <w:tcPr>
            <w:tcW w:w="27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Vance K. Opperman</w:t>
            </w:r>
          </w:p>
        </w:tc>
        <w:tc>
          <w:tcPr>
            <w:tcW w:w="7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15 of 15</w:t>
            </w:r>
          </w:p>
        </w:tc>
        <w:tc>
          <w:tcPr>
            <w:tcW w:w="9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8 of 8</w:t>
            </w:r>
          </w:p>
        </w:tc>
        <w:tc>
          <w:tcPr>
            <w:tcW w:w="9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w w:val="96"/>
              </w:rPr>
              <w:t>5 of 5</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8 of 8</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 of 1</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3 of 3</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25 of 25</w:t>
            </w:r>
          </w:p>
        </w:tc>
        <w:tc>
          <w:tcPr>
            <w:tcW w:w="7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40 of 40</w:t>
            </w:r>
          </w:p>
        </w:tc>
        <w:tc>
          <w:tcPr>
            <w:tcW w:w="54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5"/>
        </w:trPr>
        <w:tc>
          <w:tcPr>
            <w:tcW w:w="27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1"/>
                <w:szCs w:val="11"/>
                <w:b w:val="1"/>
                <w:bCs w:val="1"/>
                <w:color w:val="auto"/>
              </w:rPr>
              <w:t>Kristin C. Peck</w:t>
            </w:r>
            <w:r>
              <w:rPr>
                <w:rFonts w:ascii="Arial" w:cs="Arial" w:eastAsia="Arial" w:hAnsi="Arial"/>
                <w:sz w:val="17"/>
                <w:szCs w:val="17"/>
                <w:b w:val="1"/>
                <w:bCs w:val="1"/>
                <w:color w:val="auto"/>
                <w:vertAlign w:val="superscript"/>
              </w:rPr>
              <w:t>3</w:t>
            </w:r>
          </w:p>
        </w:tc>
        <w:tc>
          <w:tcPr>
            <w:tcW w:w="7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15 of 15</w:t>
            </w:r>
          </w:p>
        </w:tc>
        <w:tc>
          <w:tcPr>
            <w:tcW w:w="9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w w:val="96"/>
              </w:rPr>
              <w:t>2 of 2</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8 of 8</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3 of 3</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13 of 13</w:t>
            </w:r>
          </w:p>
        </w:tc>
        <w:tc>
          <w:tcPr>
            <w:tcW w:w="7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28 of 28</w:t>
            </w:r>
          </w:p>
        </w:tc>
        <w:tc>
          <w:tcPr>
            <w:tcW w:w="54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5"/>
        </w:trPr>
        <w:tc>
          <w:tcPr>
            <w:tcW w:w="27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1"/>
                <w:szCs w:val="11"/>
                <w:b w:val="1"/>
                <w:bCs w:val="1"/>
                <w:color w:val="auto"/>
              </w:rPr>
              <w:t>Barry Salzberg</w:t>
            </w:r>
            <w:r>
              <w:rPr>
                <w:rFonts w:ascii="Arial" w:cs="Arial" w:eastAsia="Arial" w:hAnsi="Arial"/>
                <w:sz w:val="17"/>
                <w:szCs w:val="17"/>
                <w:b w:val="1"/>
                <w:bCs w:val="1"/>
                <w:color w:val="auto"/>
                <w:vertAlign w:val="superscript"/>
              </w:rPr>
              <w:t>4</w:t>
            </w:r>
          </w:p>
        </w:tc>
        <w:tc>
          <w:tcPr>
            <w:tcW w:w="7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15 of 15</w:t>
            </w:r>
          </w:p>
        </w:tc>
        <w:tc>
          <w:tcPr>
            <w:tcW w:w="9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8 of 8</w:t>
            </w:r>
          </w:p>
        </w:tc>
        <w:tc>
          <w:tcPr>
            <w:tcW w:w="9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w w:val="96"/>
              </w:rPr>
              <w:t>5 of 5</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 of 1</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3 of 3</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17 of 17</w:t>
            </w:r>
          </w:p>
        </w:tc>
        <w:tc>
          <w:tcPr>
            <w:tcW w:w="7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32 of 32</w:t>
            </w:r>
          </w:p>
        </w:tc>
        <w:tc>
          <w:tcPr>
            <w:tcW w:w="54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5"/>
        </w:trPr>
        <w:tc>
          <w:tcPr>
            <w:tcW w:w="27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Peter J. Thomson</w:t>
            </w:r>
          </w:p>
        </w:tc>
        <w:tc>
          <w:tcPr>
            <w:tcW w:w="7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15 of 15</w:t>
            </w:r>
          </w:p>
        </w:tc>
        <w:tc>
          <w:tcPr>
            <w:tcW w:w="9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 of 2</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 of 2</w:t>
            </w:r>
          </w:p>
        </w:tc>
        <w:tc>
          <w:tcPr>
            <w:tcW w:w="7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17 of 17</w:t>
            </w:r>
          </w:p>
        </w:tc>
        <w:tc>
          <w:tcPr>
            <w:tcW w:w="54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5"/>
        </w:trPr>
        <w:tc>
          <w:tcPr>
            <w:tcW w:w="278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1"/>
                <w:szCs w:val="11"/>
                <w:b w:val="1"/>
                <w:bCs w:val="1"/>
                <w:color w:val="auto"/>
              </w:rPr>
              <w:t>Wulf von Schimmelmann</w:t>
            </w:r>
            <w:r>
              <w:rPr>
                <w:rFonts w:ascii="Arial" w:cs="Arial" w:eastAsia="Arial" w:hAnsi="Arial"/>
                <w:sz w:val="17"/>
                <w:szCs w:val="17"/>
                <w:b w:val="1"/>
                <w:bCs w:val="1"/>
                <w:color w:val="auto"/>
                <w:vertAlign w:val="superscript"/>
              </w:rPr>
              <w:t>4</w:t>
            </w:r>
          </w:p>
        </w:tc>
        <w:tc>
          <w:tcPr>
            <w:tcW w:w="76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13 of 15</w:t>
            </w:r>
          </w:p>
        </w:tc>
        <w:tc>
          <w:tcPr>
            <w:tcW w:w="90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w w:val="99"/>
              </w:rPr>
              <w:t>87%</w:t>
            </w:r>
          </w:p>
        </w:tc>
        <w:tc>
          <w:tcPr>
            <w:tcW w:w="86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8 of 8</w:t>
            </w:r>
          </w:p>
        </w:tc>
        <w:tc>
          <w:tcPr>
            <w:tcW w:w="96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 of 2</w:t>
            </w:r>
          </w:p>
        </w:tc>
        <w:tc>
          <w:tcPr>
            <w:tcW w:w="86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 of 3</w:t>
            </w:r>
          </w:p>
        </w:tc>
        <w:tc>
          <w:tcPr>
            <w:tcW w:w="86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12 of 13</w:t>
            </w:r>
          </w:p>
        </w:tc>
        <w:tc>
          <w:tcPr>
            <w:tcW w:w="74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25 of 28</w:t>
            </w:r>
          </w:p>
        </w:tc>
        <w:tc>
          <w:tcPr>
            <w:tcW w:w="540" w:type="dxa"/>
            <w:vAlign w:val="bottom"/>
            <w:tcBorders>
              <w:bottom w:val="single" w:sz="8" w:color="D95A3B"/>
            </w:tcBorders>
          </w:tcPr>
          <w:p>
            <w:pPr>
              <w:jc w:val="center"/>
              <w:spacing w:after="0" w:line="155" w:lineRule="exact"/>
              <w:rPr>
                <w:sz w:val="20"/>
                <w:szCs w:val="20"/>
                <w:color w:val="auto"/>
              </w:rPr>
            </w:pPr>
            <w:r>
              <w:rPr>
                <w:rFonts w:ascii="Arial" w:cs="Arial" w:eastAsia="Arial" w:hAnsi="Arial"/>
                <w:sz w:val="14"/>
                <w:szCs w:val="14"/>
                <w:color w:val="auto"/>
                <w:w w:val="99"/>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6756400</wp:posOffset>
            </wp:positionH>
            <wp:positionV relativeFrom="paragraph">
              <wp:posOffset>-1563370</wp:posOffset>
            </wp:positionV>
            <wp:extent cx="8255" cy="341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341630"/>
                    </a:xfrm>
                    <a:prstGeom prst="rect">
                      <a:avLst/>
                    </a:prstGeom>
                    <a:noFill/>
                  </pic:spPr>
                </pic:pic>
              </a:graphicData>
            </a:graphic>
          </wp:anchor>
        </w:drawing>
        <w:drawing>
          <wp:anchor simplePos="0" relativeHeight="251657728" behindDoc="1" locked="0" layoutInCell="0" allowOverlap="1">
            <wp:simplePos x="0" y="0"/>
            <wp:positionH relativeFrom="column">
              <wp:posOffset>6286500</wp:posOffset>
            </wp:positionH>
            <wp:positionV relativeFrom="paragraph">
              <wp:posOffset>-1563370</wp:posOffset>
            </wp:positionV>
            <wp:extent cx="8255" cy="3416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341630"/>
                    </a:xfrm>
                    <a:prstGeom prst="rect">
                      <a:avLst/>
                    </a:prstGeom>
                    <a:noFill/>
                  </pic:spPr>
                </pic:pic>
              </a:graphicData>
            </a:graphic>
          </wp:anchor>
        </w:drawing>
        <w:drawing>
          <wp:anchor simplePos="0" relativeHeight="251657728" behindDoc="1" locked="0" layoutInCell="0" allowOverlap="1">
            <wp:simplePos x="0" y="0"/>
            <wp:positionH relativeFrom="column">
              <wp:posOffset>5739130</wp:posOffset>
            </wp:positionH>
            <wp:positionV relativeFrom="paragraph">
              <wp:posOffset>-1563370</wp:posOffset>
            </wp:positionV>
            <wp:extent cx="8255" cy="3416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341630"/>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-1563370</wp:posOffset>
            </wp:positionV>
            <wp:extent cx="8255" cy="341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341630"/>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-1563370</wp:posOffset>
            </wp:positionV>
            <wp:extent cx="8255" cy="341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341630"/>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-1563370</wp:posOffset>
            </wp:positionV>
            <wp:extent cx="8255" cy="3416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34163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-1563370</wp:posOffset>
            </wp:positionV>
            <wp:extent cx="8255" cy="341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34163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-1563370</wp:posOffset>
            </wp:positionV>
            <wp:extent cx="8255" cy="3416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34163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-1563370</wp:posOffset>
            </wp:positionV>
            <wp:extent cx="8255" cy="3416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341630"/>
                    </a:xfrm>
                    <a:prstGeom prst="rect">
                      <a:avLst/>
                    </a:prstGeom>
                    <a:noFill/>
                  </pic:spPr>
                </pic:pic>
              </a:graphicData>
            </a:graphic>
          </wp:anchor>
        </w:drawing>
        <w:drawing>
          <wp:anchor simplePos="0" relativeHeight="251657728" behindDoc="1" locked="0" layoutInCell="0" allowOverlap="1">
            <wp:simplePos x="0" y="0"/>
            <wp:positionH relativeFrom="column">
              <wp:posOffset>1893570</wp:posOffset>
            </wp:positionH>
            <wp:positionV relativeFrom="paragraph">
              <wp:posOffset>-1563370</wp:posOffset>
            </wp:positionV>
            <wp:extent cx="8255" cy="341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341630"/>
                    </a:xfrm>
                    <a:prstGeom prst="rect">
                      <a:avLst/>
                    </a:prstGeom>
                    <a:noFill/>
                  </pic:spPr>
                </pic:pic>
              </a:graphicData>
            </a:graphic>
          </wp:anchor>
        </w:drawing>
      </w:r>
    </w:p>
    <w:p>
      <w:pPr>
        <w:spacing w:after="0" w:line="100" w:lineRule="exact"/>
        <w:rPr>
          <w:sz w:val="20"/>
          <w:szCs w:val="20"/>
          <w:color w:val="auto"/>
        </w:rPr>
      </w:pPr>
    </w:p>
    <w:p>
      <w:pPr>
        <w:jc w:val="both"/>
        <w:ind w:left="540" w:right="260" w:hanging="317"/>
        <w:spacing w:after="0" w:line="237" w:lineRule="auto"/>
        <w:tabs>
          <w:tab w:leader="none" w:pos="5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Mr. Smith missed several board meetings due to an illness in the first half of 2018. Only one of those meetings was regularly scheduled and four of the meetings that Mr. Smith missed were held in February for directors to be updated on his health. Other than meetings that Mr. Smith missed due to illness, his attendance at our board meetings in 2018 was 100%. Mr. Smith had 100% attendance at 42 board meetings from his initial appointment in 2012 through the end of 2017.</w:t>
      </w:r>
    </w:p>
    <w:p>
      <w:pPr>
        <w:ind w:left="540" w:hanging="317"/>
        <w:spacing w:after="0"/>
        <w:tabs>
          <w:tab w:leader="none" w:pos="5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Mr. Daniels was appointed to the Audit Committee in April 2018.</w:t>
      </w:r>
    </w:p>
    <w:p>
      <w:pPr>
        <w:ind w:left="540" w:hanging="317"/>
        <w:spacing w:after="0" w:line="237" w:lineRule="auto"/>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Ms. Peck was appointed to the Corporate Governance Committee in June 2018.</w:t>
      </w:r>
    </w:p>
    <w:p>
      <w:pPr>
        <w:ind w:left="540" w:hanging="317"/>
        <w:spacing w:after="0"/>
        <w:tabs>
          <w:tab w:leader="none" w:pos="5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Messrs. P. Thomson and von Schimmelmann were appointed to the HR Committee in June 2018.</w:t>
      </w:r>
    </w:p>
    <w:p>
      <w:pPr>
        <w:spacing w:after="0" w:line="106" w:lineRule="exact"/>
        <w:rPr>
          <w:sz w:val="20"/>
          <w:szCs w:val="20"/>
          <w:color w:val="auto"/>
        </w:rPr>
      </w:pPr>
    </w:p>
    <w:p>
      <w:pPr>
        <w:ind w:left="220" w:right="100"/>
        <w:spacing w:after="0" w:line="244" w:lineRule="auto"/>
        <w:rPr>
          <w:sz w:val="20"/>
          <w:szCs w:val="20"/>
          <w:color w:val="auto"/>
        </w:rPr>
      </w:pPr>
      <w:r>
        <w:rPr>
          <w:rFonts w:ascii="Arial" w:cs="Arial" w:eastAsia="Arial" w:hAnsi="Arial"/>
          <w:sz w:val="18"/>
          <w:szCs w:val="18"/>
          <w:color w:val="auto"/>
        </w:rPr>
        <w:t>Sir Kenneth Olisa served on the board between January 1, 2018 and January 30, 2018. In 2018, Sir Kenneth attended two of three board meetings held that month.</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Controlled Company</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company is a “controlled company” as a result of Woodbridge’s ownership.</w:t>
      </w:r>
    </w:p>
    <w:p>
      <w:pPr>
        <w:spacing w:after="0" w:line="103" w:lineRule="exact"/>
        <w:rPr>
          <w:sz w:val="20"/>
          <w:szCs w:val="20"/>
          <w:color w:val="auto"/>
        </w:rPr>
      </w:pPr>
    </w:p>
    <w:p>
      <w:pPr>
        <w:ind w:left="220" w:right="120"/>
        <w:spacing w:after="0" w:line="238" w:lineRule="auto"/>
        <w:rPr>
          <w:sz w:val="20"/>
          <w:szCs w:val="20"/>
          <w:color w:val="auto"/>
        </w:rPr>
      </w:pPr>
      <w:r>
        <w:rPr>
          <w:rFonts w:ascii="Arial" w:cs="Arial" w:eastAsia="Arial" w:hAnsi="Arial"/>
          <w:sz w:val="18"/>
          <w:szCs w:val="18"/>
          <w:color w:val="auto"/>
        </w:rPr>
        <w:t>The NYSE corporate governance listing standards require a listed company to have, among other things, solely independent directors on its compensation committee and nominating/corporate governance committee. A “controlled company” (as defined by the NYSE) is a company of which more than 50% of the voting power is held by an individual, group or another company and is exempt from these requirements.</w:t>
      </w:r>
    </w:p>
    <w:p>
      <w:pPr>
        <w:spacing w:after="0" w:line="94" w:lineRule="exact"/>
        <w:rPr>
          <w:sz w:val="20"/>
          <w:szCs w:val="20"/>
          <w:color w:val="auto"/>
        </w:rPr>
      </w:pPr>
    </w:p>
    <w:p>
      <w:pPr>
        <w:jc w:val="both"/>
        <w:ind w:left="220" w:right="320"/>
        <w:spacing w:after="0" w:line="239" w:lineRule="auto"/>
        <w:rPr>
          <w:sz w:val="20"/>
          <w:szCs w:val="20"/>
          <w:color w:val="auto"/>
        </w:rPr>
      </w:pPr>
      <w:r>
        <w:rPr>
          <w:rFonts w:ascii="Arial" w:cs="Arial" w:eastAsia="Arial" w:hAnsi="Arial"/>
          <w:sz w:val="18"/>
          <w:szCs w:val="18"/>
          <w:color w:val="auto"/>
        </w:rPr>
        <w:t>Supplemental guidelines issued by the Canadian Coalition for Good Governance (CCGG) address controlled companies. A “controlled company” (as defined by CCGG) includes corporations with a controlling shareholder who controls a sufficient number of shares to be able to elect the board of directors or to direct the management or policies of the corporation.</w:t>
      </w:r>
    </w:p>
    <w:p>
      <w:pPr>
        <w:spacing w:after="0" w:line="95"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While a majority of members of each of the Corporate Governance Committee and the HR Committee of our company are independent, the board believes it is appropriate for Messrs. Binet, Clark and P. Thomson, who are not considered to be independent under applicable rules because of their affiliation with Woodbridge, to serve on these committees and has approved our reliance on the NYSE’s controlled company exemption to do so. CCGG has stated that it believes it is appropriate for directors who are related to the controlling shareholder to sit on these committees to bring the knowledge and perspective of the controlling shareholder to executive compensation, appointments and board nominations.</w:t>
      </w:r>
    </w:p>
    <w:p>
      <w:pPr>
        <w:spacing w:after="0" w:line="98" w:lineRule="exact"/>
        <w:rPr>
          <w:sz w:val="20"/>
          <w:szCs w:val="20"/>
          <w:color w:val="auto"/>
        </w:rPr>
      </w:pPr>
    </w:p>
    <w:p>
      <w:pPr>
        <w:ind w:left="220" w:right="380"/>
        <w:spacing w:after="0" w:line="244" w:lineRule="auto"/>
        <w:rPr>
          <w:sz w:val="20"/>
          <w:szCs w:val="20"/>
          <w:color w:val="auto"/>
        </w:rPr>
      </w:pPr>
      <w:r>
        <w:rPr>
          <w:rFonts w:ascii="Arial" w:cs="Arial" w:eastAsia="Arial" w:hAnsi="Arial"/>
          <w:sz w:val="18"/>
          <w:szCs w:val="18"/>
          <w:color w:val="auto"/>
        </w:rPr>
        <w:t>A majority of members of the Risk Committee are independent. No directors affiliated with Woodbridge serve on our Audit Committee, which is required to have solely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118110</wp:posOffset>
            </wp:positionV>
            <wp:extent cx="697357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26"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30</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Board Committees</w:t>
      </w:r>
    </w:p>
    <w:p>
      <w:pPr>
        <w:spacing w:after="0" w:line="200" w:lineRule="exact"/>
        <w:rPr>
          <w:sz w:val="20"/>
          <w:szCs w:val="20"/>
          <w:color w:val="auto"/>
        </w:rPr>
      </w:pPr>
    </w:p>
    <w:p>
      <w:pPr>
        <w:spacing w:after="0" w:line="221" w:lineRule="exact"/>
        <w:rPr>
          <w:sz w:val="20"/>
          <w:szCs w:val="20"/>
          <w:color w:val="auto"/>
        </w:rPr>
      </w:pPr>
    </w:p>
    <w:p>
      <w:pPr>
        <w:ind w:left="220"/>
        <w:spacing w:after="0" w:line="239" w:lineRule="auto"/>
        <w:rPr>
          <w:sz w:val="20"/>
          <w:szCs w:val="20"/>
          <w:color w:val="auto"/>
        </w:rPr>
      </w:pPr>
      <w:r>
        <w:rPr>
          <w:rFonts w:ascii="Arial" w:cs="Arial" w:eastAsia="Arial" w:hAnsi="Arial"/>
          <w:sz w:val="18"/>
          <w:szCs w:val="18"/>
          <w:color w:val="auto"/>
        </w:rPr>
        <w:t>This section provides information about the board’s four committees (Audit, Corporate Governance, HR and Risk), including each committee’s responsibilities, members and activities in 2018. Additional information about each committee is provided below. The following table sets forth the current membership of our four board committees.</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2440" w:type="dxa"/>
            <w:vAlign w:val="bottom"/>
            <w:tcBorders>
              <w:right w:val="single" w:sz="8" w:color="E5E5E5"/>
            </w:tcBorders>
            <w:shd w:val="clear" w:color="auto" w:fill="E5E5E5"/>
          </w:tcPr>
          <w:p>
            <w:pPr>
              <w:spacing w:after="0"/>
              <w:rPr>
                <w:sz w:val="16"/>
                <w:szCs w:val="16"/>
                <w:color w:val="auto"/>
              </w:rPr>
            </w:pPr>
          </w:p>
        </w:tc>
        <w:tc>
          <w:tcPr>
            <w:tcW w:w="3280" w:type="dxa"/>
            <w:vAlign w:val="bottom"/>
            <w:tcBorders>
              <w:right w:val="single" w:sz="8" w:color="E5E5E5"/>
            </w:tcBorders>
            <w:shd w:val="clear" w:color="auto" w:fill="E5E5E5"/>
          </w:tcPr>
          <w:p>
            <w:pPr>
              <w:ind w:left="1580"/>
              <w:spacing w:after="0"/>
              <w:rPr>
                <w:sz w:val="20"/>
                <w:szCs w:val="20"/>
                <w:color w:val="auto"/>
              </w:rPr>
            </w:pPr>
            <w:r>
              <w:rPr>
                <w:rFonts w:ascii="Arial" w:cs="Arial" w:eastAsia="Arial" w:hAnsi="Arial"/>
                <w:sz w:val="14"/>
                <w:szCs w:val="14"/>
                <w:b w:val="1"/>
                <w:bCs w:val="1"/>
                <w:color w:val="auto"/>
              </w:rPr>
              <w:t>Committee Membership</w:t>
            </w:r>
          </w:p>
        </w:tc>
        <w:tc>
          <w:tcPr>
            <w:tcW w:w="2640" w:type="dxa"/>
            <w:vAlign w:val="bottom"/>
            <w:tcBorders>
              <w:right w:val="single" w:sz="8" w:color="E5E5E5"/>
            </w:tcBorders>
            <w:shd w:val="clear" w:color="auto" w:fill="E5E5E5"/>
          </w:tcPr>
          <w:p>
            <w:pPr>
              <w:spacing w:after="0"/>
              <w:rPr>
                <w:sz w:val="16"/>
                <w:szCs w:val="16"/>
                <w:color w:val="auto"/>
              </w:rPr>
            </w:pPr>
          </w:p>
        </w:tc>
        <w:tc>
          <w:tcPr>
            <w:tcW w:w="1320" w:type="dxa"/>
            <w:vAlign w:val="bottom"/>
            <w:tcBorders>
              <w:right w:val="single" w:sz="8" w:color="E5E5E5"/>
            </w:tcBorders>
            <w:shd w:val="clear" w:color="auto" w:fill="E5E5E5"/>
          </w:tcPr>
          <w:p>
            <w:pPr>
              <w:spacing w:after="0"/>
              <w:rPr>
                <w:sz w:val="16"/>
                <w:szCs w:val="16"/>
                <w:color w:val="auto"/>
              </w:rPr>
            </w:pPr>
          </w:p>
        </w:tc>
        <w:tc>
          <w:tcPr>
            <w:tcW w:w="1300" w:type="dxa"/>
            <w:vAlign w:val="bottom"/>
            <w:shd w:val="clear" w:color="auto" w:fill="E5E5E5"/>
          </w:tcPr>
          <w:p>
            <w:pPr>
              <w:spacing w:after="0"/>
              <w:rPr>
                <w:sz w:val="16"/>
                <w:szCs w:val="16"/>
                <w:color w:val="auto"/>
              </w:rPr>
            </w:pPr>
          </w:p>
        </w:tc>
      </w:tr>
      <w:tr>
        <w:trPr>
          <w:trHeight w:val="188"/>
        </w:trPr>
        <w:tc>
          <w:tcPr>
            <w:tcW w:w="2440" w:type="dxa"/>
            <w:vAlign w:val="bottom"/>
            <w:tcBorders>
              <w:bottom w:val="single" w:sz="8" w:color="D95A3B"/>
              <w:right w:val="single" w:sz="8" w:color="CCCCCC"/>
            </w:tcBorders>
            <w:shd w:val="clear" w:color="auto" w:fill="CCCCCC"/>
          </w:tcPr>
          <w:p>
            <w:pPr>
              <w:ind w:left="140"/>
              <w:spacing w:after="0"/>
              <w:rPr>
                <w:sz w:val="20"/>
                <w:szCs w:val="20"/>
                <w:color w:val="auto"/>
              </w:rPr>
            </w:pPr>
            <w:r>
              <w:rPr>
                <w:rFonts w:ascii="Arial" w:cs="Arial" w:eastAsia="Arial" w:hAnsi="Arial"/>
                <w:sz w:val="15"/>
                <w:szCs w:val="15"/>
                <w:b w:val="1"/>
                <w:bCs w:val="1"/>
                <w:color w:val="auto"/>
              </w:rPr>
              <w:t>Name of Director</w:t>
            </w:r>
          </w:p>
        </w:tc>
        <w:tc>
          <w:tcPr>
            <w:tcW w:w="3280" w:type="dxa"/>
            <w:vAlign w:val="bottom"/>
            <w:tcBorders>
              <w:bottom w:val="single" w:sz="8" w:color="D95A3B"/>
              <w:right w:val="single" w:sz="8" w:color="CCCCCC"/>
            </w:tcBorders>
            <w:shd w:val="clear" w:color="auto" w:fill="CCCCCC"/>
          </w:tcPr>
          <w:p>
            <w:pPr>
              <w:jc w:val="center"/>
              <w:ind w:left="968"/>
              <w:spacing w:after="0"/>
              <w:rPr>
                <w:sz w:val="20"/>
                <w:szCs w:val="20"/>
                <w:color w:val="auto"/>
              </w:rPr>
            </w:pPr>
            <w:r>
              <w:rPr>
                <w:rFonts w:ascii="Arial" w:cs="Arial" w:eastAsia="Arial" w:hAnsi="Arial"/>
                <w:sz w:val="15"/>
                <w:szCs w:val="15"/>
                <w:b w:val="1"/>
                <w:bCs w:val="1"/>
                <w:color w:val="auto"/>
              </w:rPr>
              <w:t>Audit</w:t>
            </w:r>
          </w:p>
        </w:tc>
        <w:tc>
          <w:tcPr>
            <w:tcW w:w="2640" w:type="dxa"/>
            <w:vAlign w:val="bottom"/>
            <w:tcBorders>
              <w:bottom w:val="single" w:sz="8" w:color="D95A3B"/>
              <w:right w:val="single" w:sz="8" w:color="CCCCCC"/>
            </w:tcBorders>
            <w:shd w:val="clear" w:color="auto" w:fill="CCCCCC"/>
          </w:tcPr>
          <w:p>
            <w:pPr>
              <w:jc w:val="center"/>
              <w:ind w:left="428"/>
              <w:spacing w:after="0"/>
              <w:rPr>
                <w:sz w:val="20"/>
                <w:szCs w:val="20"/>
                <w:color w:val="auto"/>
              </w:rPr>
            </w:pPr>
            <w:r>
              <w:rPr>
                <w:rFonts w:ascii="Arial" w:cs="Arial" w:eastAsia="Arial" w:hAnsi="Arial"/>
                <w:sz w:val="15"/>
                <w:szCs w:val="15"/>
                <w:b w:val="1"/>
                <w:bCs w:val="1"/>
                <w:color w:val="auto"/>
              </w:rPr>
              <w:t>Corporate Governance</w:t>
            </w:r>
          </w:p>
        </w:tc>
        <w:tc>
          <w:tcPr>
            <w:tcW w:w="1320" w:type="dxa"/>
            <w:vAlign w:val="bottom"/>
            <w:tcBorders>
              <w:bottom w:val="single" w:sz="8" w:color="D95A3B"/>
              <w:right w:val="single" w:sz="8" w:color="CCCCCC"/>
            </w:tcBorders>
            <w:shd w:val="clear" w:color="auto" w:fill="CCCCCC"/>
          </w:tcPr>
          <w:p>
            <w:pPr>
              <w:jc w:val="center"/>
              <w:ind w:left="428"/>
              <w:spacing w:after="0"/>
              <w:rPr>
                <w:sz w:val="20"/>
                <w:szCs w:val="20"/>
                <w:color w:val="auto"/>
              </w:rPr>
            </w:pPr>
            <w:r>
              <w:rPr>
                <w:rFonts w:ascii="Arial" w:cs="Arial" w:eastAsia="Arial" w:hAnsi="Arial"/>
                <w:sz w:val="15"/>
                <w:szCs w:val="15"/>
                <w:b w:val="1"/>
                <w:bCs w:val="1"/>
                <w:color w:val="auto"/>
              </w:rPr>
              <w:t>HR</w:t>
            </w:r>
          </w:p>
        </w:tc>
        <w:tc>
          <w:tcPr>
            <w:tcW w:w="1300" w:type="dxa"/>
            <w:vAlign w:val="bottom"/>
            <w:tcBorders>
              <w:bottom w:val="single" w:sz="8" w:color="D95A3B"/>
            </w:tcBorders>
            <w:shd w:val="clear" w:color="auto" w:fill="CCCCCC"/>
          </w:tcPr>
          <w:p>
            <w:pPr>
              <w:jc w:val="center"/>
              <w:ind w:left="468"/>
              <w:spacing w:after="0"/>
              <w:rPr>
                <w:sz w:val="20"/>
                <w:szCs w:val="20"/>
                <w:color w:val="auto"/>
              </w:rPr>
            </w:pPr>
            <w:r>
              <w:rPr>
                <w:rFonts w:ascii="Arial" w:cs="Arial" w:eastAsia="Arial" w:hAnsi="Arial"/>
                <w:sz w:val="15"/>
                <w:szCs w:val="15"/>
                <w:b w:val="1"/>
                <w:bCs w:val="1"/>
                <w:color w:val="auto"/>
              </w:rPr>
              <w:t>Risk</w:t>
            </w:r>
          </w:p>
        </w:tc>
      </w:tr>
      <w:tr>
        <w:trPr>
          <w:trHeight w:val="168"/>
        </w:trPr>
        <w:tc>
          <w:tcPr>
            <w:tcW w:w="2440" w:type="dxa"/>
            <w:vAlign w:val="bottom"/>
            <w:tcBorders>
              <w:bottom w:val="single" w:sz="8" w:color="AFAFAF"/>
              <w:right w:val="single" w:sz="8" w:color="AFAFAF"/>
            </w:tcBorders>
          </w:tcPr>
          <w:p>
            <w:pPr>
              <w:ind w:left="140"/>
              <w:spacing w:after="0"/>
              <w:rPr>
                <w:sz w:val="20"/>
                <w:szCs w:val="20"/>
                <w:color w:val="auto"/>
              </w:rPr>
            </w:pPr>
            <w:r>
              <w:rPr>
                <w:rFonts w:ascii="Arial" w:cs="Arial" w:eastAsia="Arial" w:hAnsi="Arial"/>
                <w:sz w:val="14"/>
                <w:szCs w:val="14"/>
                <w:b w:val="1"/>
                <w:bCs w:val="1"/>
                <w:color w:val="auto"/>
              </w:rPr>
              <w:t>Sheila C. Bair</w:t>
            </w:r>
          </w:p>
        </w:tc>
        <w:tc>
          <w:tcPr>
            <w:tcW w:w="3280" w:type="dxa"/>
            <w:vAlign w:val="bottom"/>
            <w:tcBorders>
              <w:bottom w:val="single" w:sz="8" w:color="AFAFAF"/>
              <w:right w:val="single" w:sz="8" w:color="AFAFAF"/>
            </w:tcBorders>
          </w:tcPr>
          <w:p>
            <w:pPr>
              <w:jc w:val="center"/>
              <w:ind w:left="968"/>
              <w:spacing w:after="0" w:line="141" w:lineRule="exact"/>
              <w:rPr>
                <w:sz w:val="20"/>
                <w:szCs w:val="20"/>
                <w:color w:val="auto"/>
              </w:rPr>
            </w:pPr>
            <w:r>
              <w:rPr>
                <w:rFonts w:ascii="MS PGothic" w:cs="MS PGothic" w:eastAsia="MS PGothic" w:hAnsi="MS PGothic"/>
                <w:sz w:val="14"/>
                <w:szCs w:val="14"/>
                <w:color w:val="auto"/>
                <w:w w:val="85"/>
              </w:rPr>
              <w:t>✓</w:t>
            </w:r>
          </w:p>
        </w:tc>
        <w:tc>
          <w:tcPr>
            <w:tcW w:w="2640" w:type="dxa"/>
            <w:vAlign w:val="bottom"/>
            <w:tcBorders>
              <w:bottom w:val="single" w:sz="8" w:color="AFAFAF"/>
              <w:right w:val="single" w:sz="8" w:color="AFAFAF"/>
            </w:tcBorders>
          </w:tcPr>
          <w:p>
            <w:pPr>
              <w:spacing w:after="0"/>
              <w:rPr>
                <w:sz w:val="14"/>
                <w:szCs w:val="14"/>
                <w:color w:val="auto"/>
              </w:rPr>
            </w:pPr>
          </w:p>
        </w:tc>
        <w:tc>
          <w:tcPr>
            <w:tcW w:w="1320" w:type="dxa"/>
            <w:vAlign w:val="bottom"/>
            <w:tcBorders>
              <w:bottom w:val="single" w:sz="8" w:color="AFAFAF"/>
              <w:right w:val="single" w:sz="8" w:color="AFAFAF"/>
            </w:tcBorders>
          </w:tcPr>
          <w:p>
            <w:pPr>
              <w:spacing w:after="0"/>
              <w:rPr>
                <w:sz w:val="14"/>
                <w:szCs w:val="14"/>
                <w:color w:val="auto"/>
              </w:rPr>
            </w:pPr>
          </w:p>
        </w:tc>
        <w:tc>
          <w:tcPr>
            <w:tcW w:w="1300" w:type="dxa"/>
            <w:vAlign w:val="bottom"/>
            <w:tcBorders>
              <w:bottom w:val="single" w:sz="8" w:color="AFAFAF"/>
            </w:tcBorders>
          </w:tcPr>
          <w:p>
            <w:pPr>
              <w:jc w:val="center"/>
              <w:ind w:left="468"/>
              <w:spacing w:after="0" w:line="161" w:lineRule="exact"/>
              <w:rPr>
                <w:sz w:val="20"/>
                <w:szCs w:val="20"/>
                <w:color w:val="auto"/>
              </w:rPr>
            </w:pPr>
            <w:r>
              <w:rPr>
                <w:rFonts w:ascii="MS PGothic" w:cs="MS PGothic" w:eastAsia="MS PGothic" w:hAnsi="MS PGothic"/>
                <w:sz w:val="14"/>
                <w:szCs w:val="14"/>
                <w:color w:val="auto"/>
                <w:w w:val="98"/>
              </w:rPr>
              <w:t>✓</w:t>
            </w:r>
            <w:r>
              <w:rPr>
                <w:rFonts w:ascii="Arial" w:cs="Arial" w:eastAsia="Arial" w:hAnsi="Arial"/>
                <w:sz w:val="14"/>
                <w:szCs w:val="14"/>
                <w:color w:val="auto"/>
                <w:w w:val="98"/>
              </w:rPr>
              <w:t xml:space="preserve"> (Chair)</w:t>
            </w:r>
          </w:p>
        </w:tc>
      </w:tr>
      <w:tr>
        <w:trPr>
          <w:trHeight w:val="168"/>
        </w:trPr>
        <w:tc>
          <w:tcPr>
            <w:tcW w:w="2440" w:type="dxa"/>
            <w:vAlign w:val="bottom"/>
            <w:tcBorders>
              <w:bottom w:val="single" w:sz="8" w:color="AFAFAF"/>
              <w:right w:val="single" w:sz="8" w:color="AFAFAF"/>
            </w:tcBorders>
          </w:tcPr>
          <w:p>
            <w:pPr>
              <w:ind w:left="140"/>
              <w:spacing w:after="0"/>
              <w:rPr>
                <w:sz w:val="20"/>
                <w:szCs w:val="20"/>
                <w:color w:val="auto"/>
              </w:rPr>
            </w:pPr>
            <w:r>
              <w:rPr>
                <w:rFonts w:ascii="Arial" w:cs="Arial" w:eastAsia="Arial" w:hAnsi="Arial"/>
                <w:sz w:val="14"/>
                <w:szCs w:val="14"/>
                <w:b w:val="1"/>
                <w:bCs w:val="1"/>
                <w:color w:val="auto"/>
              </w:rPr>
              <w:t>David W. Binet</w:t>
            </w:r>
          </w:p>
        </w:tc>
        <w:tc>
          <w:tcPr>
            <w:tcW w:w="3280" w:type="dxa"/>
            <w:vAlign w:val="bottom"/>
            <w:tcBorders>
              <w:bottom w:val="single" w:sz="8" w:color="AFAFAF"/>
              <w:right w:val="single" w:sz="8" w:color="AFAFAF"/>
            </w:tcBorders>
          </w:tcPr>
          <w:p>
            <w:pPr>
              <w:spacing w:after="0"/>
              <w:rPr>
                <w:sz w:val="14"/>
                <w:szCs w:val="14"/>
                <w:color w:val="auto"/>
              </w:rPr>
            </w:pPr>
          </w:p>
        </w:tc>
        <w:tc>
          <w:tcPr>
            <w:tcW w:w="2640" w:type="dxa"/>
            <w:vAlign w:val="bottom"/>
            <w:tcBorders>
              <w:bottom w:val="single" w:sz="8" w:color="AFAFAF"/>
              <w:right w:val="single" w:sz="8" w:color="AFAFAF"/>
            </w:tcBorders>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Borders>
              <w:bottom w:val="single" w:sz="8" w:color="AFAFAF"/>
              <w:right w:val="single" w:sz="8" w:color="AFAFAF"/>
            </w:tcBorders>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c>
          <w:tcPr>
            <w:tcW w:w="1300" w:type="dxa"/>
            <w:vAlign w:val="bottom"/>
            <w:tcBorders>
              <w:bottom w:val="single" w:sz="8" w:color="AFAFAF"/>
            </w:tcBorders>
          </w:tcPr>
          <w:p>
            <w:pPr>
              <w:jc w:val="center"/>
              <w:ind w:left="46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8"/>
        </w:trPr>
        <w:tc>
          <w:tcPr>
            <w:tcW w:w="2440" w:type="dxa"/>
            <w:vAlign w:val="bottom"/>
            <w:tcBorders>
              <w:bottom w:val="single" w:sz="8" w:color="AFAFAF"/>
              <w:right w:val="single" w:sz="8" w:color="AFAFAF"/>
            </w:tcBorders>
          </w:tcPr>
          <w:p>
            <w:pPr>
              <w:ind w:left="140"/>
              <w:spacing w:after="0"/>
              <w:rPr>
                <w:sz w:val="20"/>
                <w:szCs w:val="20"/>
                <w:color w:val="auto"/>
              </w:rPr>
            </w:pPr>
            <w:r>
              <w:rPr>
                <w:rFonts w:ascii="Arial" w:cs="Arial" w:eastAsia="Arial" w:hAnsi="Arial"/>
                <w:sz w:val="14"/>
                <w:szCs w:val="14"/>
                <w:b w:val="1"/>
                <w:bCs w:val="1"/>
                <w:color w:val="auto"/>
              </w:rPr>
              <w:t>W. Edmund Clark, C.M.</w:t>
            </w:r>
          </w:p>
        </w:tc>
        <w:tc>
          <w:tcPr>
            <w:tcW w:w="3280" w:type="dxa"/>
            <w:vAlign w:val="bottom"/>
            <w:tcBorders>
              <w:bottom w:val="single" w:sz="8" w:color="AFAFAF"/>
              <w:right w:val="single" w:sz="8" w:color="AFAFAF"/>
            </w:tcBorders>
          </w:tcPr>
          <w:p>
            <w:pPr>
              <w:spacing w:after="0"/>
              <w:rPr>
                <w:sz w:val="14"/>
                <w:szCs w:val="14"/>
                <w:color w:val="auto"/>
              </w:rPr>
            </w:pPr>
          </w:p>
        </w:tc>
        <w:tc>
          <w:tcPr>
            <w:tcW w:w="2640" w:type="dxa"/>
            <w:vAlign w:val="bottom"/>
            <w:tcBorders>
              <w:bottom w:val="single" w:sz="8" w:color="AFAFAF"/>
              <w:right w:val="single" w:sz="8" w:color="AFAFAF"/>
            </w:tcBorders>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Borders>
              <w:bottom w:val="single" w:sz="8" w:color="AFAFAF"/>
              <w:right w:val="single" w:sz="8" w:color="AFAFAF"/>
            </w:tcBorders>
          </w:tcPr>
          <w:p>
            <w:pPr>
              <w:jc w:val="center"/>
              <w:ind w:left="448"/>
              <w:spacing w:after="0" w:line="161" w:lineRule="exact"/>
              <w:rPr>
                <w:sz w:val="20"/>
                <w:szCs w:val="20"/>
                <w:color w:val="auto"/>
              </w:rPr>
            </w:pPr>
            <w:r>
              <w:rPr>
                <w:rFonts w:ascii="MS PGothic" w:cs="MS PGothic" w:eastAsia="MS PGothic" w:hAnsi="MS PGothic"/>
                <w:sz w:val="14"/>
                <w:szCs w:val="14"/>
                <w:color w:val="auto"/>
                <w:w w:val="98"/>
              </w:rPr>
              <w:t>✓</w:t>
            </w:r>
            <w:r>
              <w:rPr>
                <w:rFonts w:ascii="Arial" w:cs="Arial" w:eastAsia="Arial" w:hAnsi="Arial"/>
                <w:sz w:val="14"/>
                <w:szCs w:val="14"/>
                <w:color w:val="auto"/>
                <w:w w:val="98"/>
              </w:rPr>
              <w:t xml:space="preserve"> (Chair)</w:t>
            </w:r>
          </w:p>
        </w:tc>
        <w:tc>
          <w:tcPr>
            <w:tcW w:w="1300" w:type="dxa"/>
            <w:vAlign w:val="bottom"/>
            <w:tcBorders>
              <w:bottom w:val="single" w:sz="8" w:color="AFAFAF"/>
            </w:tcBorders>
          </w:tcPr>
          <w:p>
            <w:pPr>
              <w:spacing w:after="0"/>
              <w:rPr>
                <w:sz w:val="14"/>
                <w:szCs w:val="14"/>
                <w:color w:val="auto"/>
              </w:rPr>
            </w:pPr>
          </w:p>
        </w:tc>
      </w:tr>
      <w:tr>
        <w:trPr>
          <w:trHeight w:val="168"/>
        </w:trPr>
        <w:tc>
          <w:tcPr>
            <w:tcW w:w="2440" w:type="dxa"/>
            <w:vAlign w:val="bottom"/>
            <w:tcBorders>
              <w:bottom w:val="single" w:sz="8" w:color="AFAFAF"/>
              <w:right w:val="single" w:sz="8" w:color="AFAFAF"/>
            </w:tcBorders>
          </w:tcPr>
          <w:p>
            <w:pPr>
              <w:ind w:left="140"/>
              <w:spacing w:after="0"/>
              <w:rPr>
                <w:sz w:val="20"/>
                <w:szCs w:val="20"/>
                <w:color w:val="auto"/>
              </w:rPr>
            </w:pPr>
            <w:r>
              <w:rPr>
                <w:rFonts w:ascii="Arial" w:cs="Arial" w:eastAsia="Arial" w:hAnsi="Arial"/>
                <w:sz w:val="14"/>
                <w:szCs w:val="14"/>
                <w:b w:val="1"/>
                <w:bCs w:val="1"/>
                <w:color w:val="auto"/>
              </w:rPr>
              <w:t>Michael E. Daniels</w:t>
            </w:r>
          </w:p>
        </w:tc>
        <w:tc>
          <w:tcPr>
            <w:tcW w:w="3280" w:type="dxa"/>
            <w:vAlign w:val="bottom"/>
            <w:tcBorders>
              <w:bottom w:val="single" w:sz="8" w:color="AFAFAF"/>
              <w:right w:val="single" w:sz="8" w:color="AFAFAF"/>
            </w:tcBorders>
          </w:tcPr>
          <w:p>
            <w:pPr>
              <w:jc w:val="center"/>
              <w:ind w:left="968"/>
              <w:spacing w:after="0" w:line="141" w:lineRule="exact"/>
              <w:rPr>
                <w:sz w:val="20"/>
                <w:szCs w:val="20"/>
                <w:color w:val="auto"/>
              </w:rPr>
            </w:pPr>
            <w:r>
              <w:rPr>
                <w:rFonts w:ascii="MS PGothic" w:cs="MS PGothic" w:eastAsia="MS PGothic" w:hAnsi="MS PGothic"/>
                <w:sz w:val="14"/>
                <w:szCs w:val="14"/>
                <w:color w:val="auto"/>
                <w:w w:val="85"/>
              </w:rPr>
              <w:t>✓</w:t>
            </w:r>
          </w:p>
        </w:tc>
        <w:tc>
          <w:tcPr>
            <w:tcW w:w="2640" w:type="dxa"/>
            <w:vAlign w:val="bottom"/>
            <w:tcBorders>
              <w:bottom w:val="single" w:sz="8" w:color="AFAFAF"/>
              <w:right w:val="single" w:sz="8" w:color="AFAFAF"/>
            </w:tcBorders>
          </w:tcPr>
          <w:p>
            <w:pPr>
              <w:jc w:val="center"/>
              <w:ind w:left="448"/>
              <w:spacing w:after="0" w:line="161" w:lineRule="exact"/>
              <w:rPr>
                <w:sz w:val="20"/>
                <w:szCs w:val="20"/>
                <w:color w:val="auto"/>
              </w:rPr>
            </w:pPr>
            <w:r>
              <w:rPr>
                <w:rFonts w:ascii="MS PGothic" w:cs="MS PGothic" w:eastAsia="MS PGothic" w:hAnsi="MS PGothic"/>
                <w:sz w:val="14"/>
                <w:szCs w:val="14"/>
                <w:color w:val="auto"/>
                <w:w w:val="98"/>
              </w:rPr>
              <w:t>✓</w:t>
            </w:r>
            <w:r>
              <w:rPr>
                <w:rFonts w:ascii="Arial" w:cs="Arial" w:eastAsia="Arial" w:hAnsi="Arial"/>
                <w:sz w:val="14"/>
                <w:szCs w:val="14"/>
                <w:color w:val="auto"/>
                <w:w w:val="98"/>
              </w:rPr>
              <w:t xml:space="preserve"> (Chair)</w:t>
            </w:r>
          </w:p>
        </w:tc>
        <w:tc>
          <w:tcPr>
            <w:tcW w:w="1320" w:type="dxa"/>
            <w:vAlign w:val="bottom"/>
            <w:tcBorders>
              <w:bottom w:val="single" w:sz="8" w:color="AFAFAF"/>
              <w:right w:val="single" w:sz="8" w:color="AFAFAF"/>
            </w:tcBorders>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c>
          <w:tcPr>
            <w:tcW w:w="1300" w:type="dxa"/>
            <w:vAlign w:val="bottom"/>
            <w:tcBorders>
              <w:bottom w:val="single" w:sz="8" w:color="AFAFAF"/>
            </w:tcBorders>
          </w:tcPr>
          <w:p>
            <w:pPr>
              <w:jc w:val="center"/>
              <w:ind w:left="46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8"/>
        </w:trPr>
        <w:tc>
          <w:tcPr>
            <w:tcW w:w="2440" w:type="dxa"/>
            <w:vAlign w:val="bottom"/>
            <w:tcBorders>
              <w:bottom w:val="single" w:sz="8" w:color="AFAFAF"/>
              <w:right w:val="single" w:sz="8" w:color="AFAFAF"/>
            </w:tcBorders>
          </w:tcPr>
          <w:p>
            <w:pPr>
              <w:ind w:left="140"/>
              <w:spacing w:after="0"/>
              <w:rPr>
                <w:sz w:val="20"/>
                <w:szCs w:val="20"/>
                <w:color w:val="auto"/>
              </w:rPr>
            </w:pPr>
            <w:r>
              <w:rPr>
                <w:rFonts w:ascii="Arial" w:cs="Arial" w:eastAsia="Arial" w:hAnsi="Arial"/>
                <w:sz w:val="14"/>
                <w:szCs w:val="14"/>
                <w:b w:val="1"/>
                <w:bCs w:val="1"/>
                <w:color w:val="auto"/>
              </w:rPr>
              <w:t>Vance K. Opperman</w:t>
            </w:r>
          </w:p>
        </w:tc>
        <w:tc>
          <w:tcPr>
            <w:tcW w:w="3280" w:type="dxa"/>
            <w:vAlign w:val="bottom"/>
            <w:tcBorders>
              <w:bottom w:val="single" w:sz="8" w:color="AFAFAF"/>
              <w:right w:val="single" w:sz="8" w:color="AFAFAF"/>
            </w:tcBorders>
          </w:tcPr>
          <w:p>
            <w:pPr>
              <w:jc w:val="center"/>
              <w:ind w:left="968"/>
              <w:spacing w:after="0" w:line="141" w:lineRule="exact"/>
              <w:rPr>
                <w:sz w:val="20"/>
                <w:szCs w:val="20"/>
                <w:color w:val="auto"/>
              </w:rPr>
            </w:pPr>
            <w:r>
              <w:rPr>
                <w:rFonts w:ascii="MS PGothic" w:cs="MS PGothic" w:eastAsia="MS PGothic" w:hAnsi="MS PGothic"/>
                <w:sz w:val="14"/>
                <w:szCs w:val="14"/>
                <w:color w:val="auto"/>
                <w:w w:val="85"/>
              </w:rPr>
              <w:t>✓</w:t>
            </w:r>
          </w:p>
        </w:tc>
        <w:tc>
          <w:tcPr>
            <w:tcW w:w="2640" w:type="dxa"/>
            <w:vAlign w:val="bottom"/>
            <w:tcBorders>
              <w:bottom w:val="single" w:sz="8" w:color="AFAFAF"/>
              <w:right w:val="single" w:sz="8" w:color="AFAFAF"/>
            </w:tcBorders>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Borders>
              <w:bottom w:val="single" w:sz="8" w:color="AFAFAF"/>
              <w:right w:val="single" w:sz="8" w:color="AFAFAF"/>
            </w:tcBorders>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c>
          <w:tcPr>
            <w:tcW w:w="1300" w:type="dxa"/>
            <w:vAlign w:val="bottom"/>
            <w:tcBorders>
              <w:bottom w:val="single" w:sz="8" w:color="AFAFAF"/>
            </w:tcBorders>
          </w:tcPr>
          <w:p>
            <w:pPr>
              <w:jc w:val="center"/>
              <w:ind w:left="46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8"/>
        </w:trPr>
        <w:tc>
          <w:tcPr>
            <w:tcW w:w="2440" w:type="dxa"/>
            <w:vAlign w:val="bottom"/>
            <w:tcBorders>
              <w:bottom w:val="single" w:sz="8" w:color="AFAFAF"/>
              <w:right w:val="single" w:sz="8" w:color="AFAFAF"/>
            </w:tcBorders>
          </w:tcPr>
          <w:p>
            <w:pPr>
              <w:ind w:left="140"/>
              <w:spacing w:after="0"/>
              <w:rPr>
                <w:sz w:val="20"/>
                <w:szCs w:val="20"/>
                <w:color w:val="auto"/>
              </w:rPr>
            </w:pPr>
            <w:r>
              <w:rPr>
                <w:rFonts w:ascii="Arial" w:cs="Arial" w:eastAsia="Arial" w:hAnsi="Arial"/>
                <w:sz w:val="14"/>
                <w:szCs w:val="14"/>
                <w:b w:val="1"/>
                <w:bCs w:val="1"/>
                <w:color w:val="auto"/>
              </w:rPr>
              <w:t>Kristin C. Peck</w:t>
            </w:r>
          </w:p>
        </w:tc>
        <w:tc>
          <w:tcPr>
            <w:tcW w:w="3280" w:type="dxa"/>
            <w:vAlign w:val="bottom"/>
            <w:tcBorders>
              <w:bottom w:val="single" w:sz="8" w:color="AFAFAF"/>
              <w:right w:val="single" w:sz="8" w:color="AFAFAF"/>
            </w:tcBorders>
          </w:tcPr>
          <w:p>
            <w:pPr>
              <w:spacing w:after="0"/>
              <w:rPr>
                <w:sz w:val="14"/>
                <w:szCs w:val="14"/>
                <w:color w:val="auto"/>
              </w:rPr>
            </w:pPr>
          </w:p>
        </w:tc>
        <w:tc>
          <w:tcPr>
            <w:tcW w:w="2640" w:type="dxa"/>
            <w:vAlign w:val="bottom"/>
            <w:tcBorders>
              <w:bottom w:val="single" w:sz="8" w:color="AFAFAF"/>
              <w:right w:val="single" w:sz="8" w:color="AFAFAF"/>
            </w:tcBorders>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Borders>
              <w:bottom w:val="single" w:sz="8" w:color="AFAFAF"/>
              <w:right w:val="single" w:sz="8" w:color="AFAFAF"/>
            </w:tcBorders>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c>
          <w:tcPr>
            <w:tcW w:w="1300" w:type="dxa"/>
            <w:vAlign w:val="bottom"/>
            <w:tcBorders>
              <w:bottom w:val="single" w:sz="8" w:color="AFAFAF"/>
            </w:tcBorders>
          </w:tcPr>
          <w:p>
            <w:pPr>
              <w:spacing w:after="0"/>
              <w:rPr>
                <w:sz w:val="14"/>
                <w:szCs w:val="14"/>
                <w:color w:val="auto"/>
              </w:rPr>
            </w:pPr>
          </w:p>
        </w:tc>
      </w:tr>
      <w:tr>
        <w:trPr>
          <w:trHeight w:val="168"/>
        </w:trPr>
        <w:tc>
          <w:tcPr>
            <w:tcW w:w="2440" w:type="dxa"/>
            <w:vAlign w:val="bottom"/>
            <w:tcBorders>
              <w:bottom w:val="single" w:sz="8" w:color="AFAFAF"/>
              <w:right w:val="single" w:sz="8" w:color="AFAFAF"/>
            </w:tcBorders>
          </w:tcPr>
          <w:p>
            <w:pPr>
              <w:ind w:left="140"/>
              <w:spacing w:after="0"/>
              <w:rPr>
                <w:sz w:val="20"/>
                <w:szCs w:val="20"/>
                <w:color w:val="auto"/>
              </w:rPr>
            </w:pPr>
            <w:r>
              <w:rPr>
                <w:rFonts w:ascii="Arial" w:cs="Arial" w:eastAsia="Arial" w:hAnsi="Arial"/>
                <w:sz w:val="14"/>
                <w:szCs w:val="14"/>
                <w:b w:val="1"/>
                <w:bCs w:val="1"/>
                <w:color w:val="auto"/>
              </w:rPr>
              <w:t>Barry Salzberg</w:t>
            </w:r>
          </w:p>
        </w:tc>
        <w:tc>
          <w:tcPr>
            <w:tcW w:w="3280" w:type="dxa"/>
            <w:vAlign w:val="bottom"/>
            <w:tcBorders>
              <w:bottom w:val="single" w:sz="8" w:color="AFAFAF"/>
              <w:right w:val="single" w:sz="8" w:color="AFAFAF"/>
            </w:tcBorders>
          </w:tcPr>
          <w:p>
            <w:pPr>
              <w:jc w:val="center"/>
              <w:ind w:left="968"/>
              <w:spacing w:after="0" w:line="161" w:lineRule="exact"/>
              <w:rPr>
                <w:sz w:val="20"/>
                <w:szCs w:val="20"/>
                <w:color w:val="auto"/>
              </w:rPr>
            </w:pPr>
            <w:r>
              <w:rPr>
                <w:rFonts w:ascii="MS PGothic" w:cs="MS PGothic" w:eastAsia="MS PGothic" w:hAnsi="MS PGothic"/>
                <w:sz w:val="14"/>
                <w:szCs w:val="14"/>
                <w:color w:val="auto"/>
                <w:w w:val="98"/>
              </w:rPr>
              <w:t>✓</w:t>
            </w:r>
            <w:r>
              <w:rPr>
                <w:rFonts w:ascii="Arial" w:cs="Arial" w:eastAsia="Arial" w:hAnsi="Arial"/>
                <w:sz w:val="14"/>
                <w:szCs w:val="14"/>
                <w:color w:val="auto"/>
                <w:w w:val="98"/>
              </w:rPr>
              <w:t xml:space="preserve"> (Chair)</w:t>
            </w:r>
          </w:p>
        </w:tc>
        <w:tc>
          <w:tcPr>
            <w:tcW w:w="2640" w:type="dxa"/>
            <w:vAlign w:val="bottom"/>
            <w:tcBorders>
              <w:bottom w:val="single" w:sz="8" w:color="AFAFAF"/>
              <w:right w:val="single" w:sz="8" w:color="AFAFAF"/>
            </w:tcBorders>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Borders>
              <w:bottom w:val="single" w:sz="8" w:color="AFAFAF"/>
              <w:right w:val="single" w:sz="8" w:color="AFAFAF"/>
            </w:tcBorders>
          </w:tcPr>
          <w:p>
            <w:pPr>
              <w:spacing w:after="0"/>
              <w:rPr>
                <w:sz w:val="14"/>
                <w:szCs w:val="14"/>
                <w:color w:val="auto"/>
              </w:rPr>
            </w:pPr>
          </w:p>
        </w:tc>
        <w:tc>
          <w:tcPr>
            <w:tcW w:w="1300" w:type="dxa"/>
            <w:vAlign w:val="bottom"/>
            <w:tcBorders>
              <w:bottom w:val="single" w:sz="8" w:color="AFAFAF"/>
            </w:tcBorders>
          </w:tcPr>
          <w:p>
            <w:pPr>
              <w:jc w:val="center"/>
              <w:ind w:left="46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8"/>
        </w:trPr>
        <w:tc>
          <w:tcPr>
            <w:tcW w:w="2440" w:type="dxa"/>
            <w:vAlign w:val="bottom"/>
            <w:tcBorders>
              <w:bottom w:val="single" w:sz="8" w:color="AFAFAF"/>
              <w:right w:val="single" w:sz="8" w:color="AFAFAF"/>
            </w:tcBorders>
          </w:tcPr>
          <w:p>
            <w:pPr>
              <w:ind w:left="140"/>
              <w:spacing w:after="0"/>
              <w:rPr>
                <w:sz w:val="20"/>
                <w:szCs w:val="20"/>
                <w:color w:val="auto"/>
              </w:rPr>
            </w:pPr>
            <w:r>
              <w:rPr>
                <w:rFonts w:ascii="Arial" w:cs="Arial" w:eastAsia="Arial" w:hAnsi="Arial"/>
                <w:sz w:val="14"/>
                <w:szCs w:val="14"/>
                <w:b w:val="1"/>
                <w:bCs w:val="1"/>
                <w:color w:val="auto"/>
              </w:rPr>
              <w:t>Peter Thomson</w:t>
            </w:r>
          </w:p>
        </w:tc>
        <w:tc>
          <w:tcPr>
            <w:tcW w:w="3280" w:type="dxa"/>
            <w:vAlign w:val="bottom"/>
            <w:tcBorders>
              <w:bottom w:val="single" w:sz="8" w:color="AFAFAF"/>
              <w:right w:val="single" w:sz="8" w:color="AFAFAF"/>
            </w:tcBorders>
          </w:tcPr>
          <w:p>
            <w:pPr>
              <w:spacing w:after="0"/>
              <w:rPr>
                <w:sz w:val="14"/>
                <w:szCs w:val="14"/>
                <w:color w:val="auto"/>
              </w:rPr>
            </w:pPr>
          </w:p>
        </w:tc>
        <w:tc>
          <w:tcPr>
            <w:tcW w:w="2640" w:type="dxa"/>
            <w:vAlign w:val="bottom"/>
            <w:tcBorders>
              <w:bottom w:val="single" w:sz="8" w:color="AFAFAF"/>
              <w:right w:val="single" w:sz="8" w:color="AFAFAF"/>
            </w:tcBorders>
          </w:tcPr>
          <w:p>
            <w:pPr>
              <w:spacing w:after="0"/>
              <w:rPr>
                <w:sz w:val="14"/>
                <w:szCs w:val="14"/>
                <w:color w:val="auto"/>
              </w:rPr>
            </w:pPr>
          </w:p>
        </w:tc>
        <w:tc>
          <w:tcPr>
            <w:tcW w:w="1320" w:type="dxa"/>
            <w:vAlign w:val="bottom"/>
            <w:tcBorders>
              <w:bottom w:val="single" w:sz="8" w:color="AFAFAF"/>
              <w:right w:val="single" w:sz="8" w:color="AFAFAF"/>
            </w:tcBorders>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c>
          <w:tcPr>
            <w:tcW w:w="1300" w:type="dxa"/>
            <w:vAlign w:val="bottom"/>
            <w:tcBorders>
              <w:bottom w:val="single" w:sz="8" w:color="AFAFAF"/>
            </w:tcBorders>
          </w:tcPr>
          <w:p>
            <w:pPr>
              <w:spacing w:after="0"/>
              <w:rPr>
                <w:sz w:val="14"/>
                <w:szCs w:val="14"/>
                <w:color w:val="auto"/>
              </w:rPr>
            </w:pPr>
          </w:p>
        </w:tc>
      </w:tr>
      <w:tr>
        <w:trPr>
          <w:trHeight w:val="168"/>
        </w:trPr>
        <w:tc>
          <w:tcPr>
            <w:tcW w:w="2440" w:type="dxa"/>
            <w:vAlign w:val="bottom"/>
            <w:tcBorders>
              <w:bottom w:val="single" w:sz="8" w:color="D95A3B"/>
              <w:right w:val="single" w:sz="8" w:color="AFAFAF"/>
            </w:tcBorders>
          </w:tcPr>
          <w:p>
            <w:pPr>
              <w:ind w:left="140"/>
              <w:spacing w:after="0"/>
              <w:rPr>
                <w:sz w:val="20"/>
                <w:szCs w:val="20"/>
                <w:color w:val="auto"/>
              </w:rPr>
            </w:pPr>
            <w:r>
              <w:rPr>
                <w:rFonts w:ascii="Arial" w:cs="Arial" w:eastAsia="Arial" w:hAnsi="Arial"/>
                <w:sz w:val="14"/>
                <w:szCs w:val="14"/>
                <w:b w:val="1"/>
                <w:bCs w:val="1"/>
                <w:color w:val="auto"/>
              </w:rPr>
              <w:t>Wulf von Schimmelmann</w:t>
            </w:r>
          </w:p>
        </w:tc>
        <w:tc>
          <w:tcPr>
            <w:tcW w:w="3280" w:type="dxa"/>
            <w:vAlign w:val="bottom"/>
            <w:tcBorders>
              <w:bottom w:val="single" w:sz="8" w:color="D95A3B"/>
              <w:right w:val="single" w:sz="8" w:color="AFAFAF"/>
            </w:tcBorders>
          </w:tcPr>
          <w:p>
            <w:pPr>
              <w:jc w:val="center"/>
              <w:ind w:left="968"/>
              <w:spacing w:after="0" w:line="141" w:lineRule="exact"/>
              <w:rPr>
                <w:sz w:val="20"/>
                <w:szCs w:val="20"/>
                <w:color w:val="auto"/>
              </w:rPr>
            </w:pPr>
            <w:r>
              <w:rPr>
                <w:rFonts w:ascii="MS PGothic" w:cs="MS PGothic" w:eastAsia="MS PGothic" w:hAnsi="MS PGothic"/>
                <w:sz w:val="14"/>
                <w:szCs w:val="14"/>
                <w:color w:val="auto"/>
                <w:w w:val="85"/>
              </w:rPr>
              <w:t>✓</w:t>
            </w:r>
          </w:p>
        </w:tc>
        <w:tc>
          <w:tcPr>
            <w:tcW w:w="2640" w:type="dxa"/>
            <w:vAlign w:val="bottom"/>
            <w:tcBorders>
              <w:bottom w:val="single" w:sz="8" w:color="D95A3B"/>
              <w:right w:val="single" w:sz="8" w:color="AFAFAF"/>
            </w:tcBorders>
          </w:tcPr>
          <w:p>
            <w:pPr>
              <w:spacing w:after="0"/>
              <w:rPr>
                <w:sz w:val="14"/>
                <w:szCs w:val="14"/>
                <w:color w:val="auto"/>
              </w:rPr>
            </w:pPr>
          </w:p>
        </w:tc>
        <w:tc>
          <w:tcPr>
            <w:tcW w:w="1320" w:type="dxa"/>
            <w:vAlign w:val="bottom"/>
            <w:tcBorders>
              <w:bottom w:val="single" w:sz="8" w:color="D95A3B"/>
              <w:right w:val="single" w:sz="8" w:color="AFAFAF"/>
            </w:tcBorders>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c>
          <w:tcPr>
            <w:tcW w:w="1300" w:type="dxa"/>
            <w:vAlign w:val="bottom"/>
            <w:tcBorders>
              <w:bottom w:val="single" w:sz="8" w:color="D95A3B"/>
            </w:tcBorders>
          </w:tcPr>
          <w:p>
            <w:pPr>
              <w:spacing w:after="0"/>
              <w:rPr>
                <w:sz w:val="14"/>
                <w:szCs w:val="14"/>
                <w:color w:val="auto"/>
              </w:rPr>
            </w:pPr>
          </w:p>
        </w:tc>
      </w:tr>
      <w:tr>
        <w:trPr>
          <w:trHeight w:val="155"/>
        </w:trPr>
        <w:tc>
          <w:tcPr>
            <w:tcW w:w="2440" w:type="dxa"/>
            <w:vAlign w:val="bottom"/>
            <w:tcBorders>
              <w:bottom w:val="single" w:sz="8" w:color="D95A3B"/>
              <w:right w:val="single" w:sz="8" w:color="AFAFAF"/>
            </w:tcBorders>
          </w:tcPr>
          <w:p>
            <w:pPr>
              <w:ind w:left="140"/>
              <w:spacing w:after="0" w:line="155" w:lineRule="exact"/>
              <w:rPr>
                <w:sz w:val="20"/>
                <w:szCs w:val="20"/>
                <w:color w:val="auto"/>
              </w:rPr>
            </w:pPr>
            <w:r>
              <w:rPr>
                <w:rFonts w:ascii="Arial" w:cs="Arial" w:eastAsia="Arial" w:hAnsi="Arial"/>
                <w:sz w:val="14"/>
                <w:szCs w:val="14"/>
                <w:b w:val="1"/>
                <w:bCs w:val="1"/>
                <w:color w:val="auto"/>
              </w:rPr>
              <w:t>Total</w:t>
            </w:r>
          </w:p>
        </w:tc>
        <w:tc>
          <w:tcPr>
            <w:tcW w:w="3280" w:type="dxa"/>
            <w:vAlign w:val="bottom"/>
            <w:tcBorders>
              <w:bottom w:val="single" w:sz="8" w:color="D95A3B"/>
              <w:right w:val="single" w:sz="8" w:color="AFAFAF"/>
            </w:tcBorders>
          </w:tcPr>
          <w:p>
            <w:pPr>
              <w:jc w:val="center"/>
              <w:ind w:left="968"/>
              <w:spacing w:after="0" w:line="155" w:lineRule="exact"/>
              <w:rPr>
                <w:sz w:val="20"/>
                <w:szCs w:val="20"/>
                <w:color w:val="auto"/>
              </w:rPr>
            </w:pPr>
            <w:r>
              <w:rPr>
                <w:rFonts w:ascii="Arial" w:cs="Arial" w:eastAsia="Arial" w:hAnsi="Arial"/>
                <w:sz w:val="14"/>
                <w:szCs w:val="14"/>
                <w:b w:val="1"/>
                <w:bCs w:val="1"/>
                <w:color w:val="auto"/>
              </w:rPr>
              <w:t>5</w:t>
            </w:r>
          </w:p>
        </w:tc>
        <w:tc>
          <w:tcPr>
            <w:tcW w:w="2640" w:type="dxa"/>
            <w:vAlign w:val="bottom"/>
            <w:tcBorders>
              <w:bottom w:val="single" w:sz="8" w:color="D95A3B"/>
              <w:right w:val="single" w:sz="8" w:color="AFAFAF"/>
            </w:tcBorders>
          </w:tcPr>
          <w:p>
            <w:pPr>
              <w:jc w:val="center"/>
              <w:ind w:left="448"/>
              <w:spacing w:after="0" w:line="155" w:lineRule="exact"/>
              <w:rPr>
                <w:sz w:val="20"/>
                <w:szCs w:val="20"/>
                <w:color w:val="auto"/>
              </w:rPr>
            </w:pPr>
            <w:r>
              <w:rPr>
                <w:rFonts w:ascii="Arial" w:cs="Arial" w:eastAsia="Arial" w:hAnsi="Arial"/>
                <w:sz w:val="14"/>
                <w:szCs w:val="14"/>
                <w:b w:val="1"/>
                <w:bCs w:val="1"/>
                <w:color w:val="auto"/>
              </w:rPr>
              <w:t>6</w:t>
            </w:r>
          </w:p>
        </w:tc>
        <w:tc>
          <w:tcPr>
            <w:tcW w:w="1320" w:type="dxa"/>
            <w:vAlign w:val="bottom"/>
            <w:tcBorders>
              <w:bottom w:val="single" w:sz="8" w:color="D95A3B"/>
              <w:right w:val="single" w:sz="8" w:color="AFAFAF"/>
            </w:tcBorders>
          </w:tcPr>
          <w:p>
            <w:pPr>
              <w:jc w:val="center"/>
              <w:ind w:left="448"/>
              <w:spacing w:after="0" w:line="155" w:lineRule="exact"/>
              <w:rPr>
                <w:sz w:val="20"/>
                <w:szCs w:val="20"/>
                <w:color w:val="auto"/>
              </w:rPr>
            </w:pPr>
            <w:r>
              <w:rPr>
                <w:rFonts w:ascii="Arial" w:cs="Arial" w:eastAsia="Arial" w:hAnsi="Arial"/>
                <w:sz w:val="14"/>
                <w:szCs w:val="14"/>
                <w:b w:val="1"/>
                <w:bCs w:val="1"/>
                <w:color w:val="auto"/>
              </w:rPr>
              <w:t>7</w:t>
            </w:r>
          </w:p>
        </w:tc>
        <w:tc>
          <w:tcPr>
            <w:tcW w:w="1300" w:type="dxa"/>
            <w:vAlign w:val="bottom"/>
            <w:tcBorders>
              <w:bottom w:val="single" w:sz="8" w:color="D95A3B"/>
            </w:tcBorders>
          </w:tcPr>
          <w:p>
            <w:pPr>
              <w:jc w:val="center"/>
              <w:ind w:left="468"/>
              <w:spacing w:after="0" w:line="155" w:lineRule="exact"/>
              <w:rPr>
                <w:sz w:val="20"/>
                <w:szCs w:val="20"/>
                <w:color w:val="auto"/>
              </w:rPr>
            </w:pPr>
            <w:r>
              <w:rPr>
                <w:rFonts w:ascii="Arial" w:cs="Arial" w:eastAsia="Arial" w:hAnsi="Arial"/>
                <w:sz w:val="14"/>
                <w:szCs w:val="14"/>
                <w:b w:val="1"/>
                <w:bCs w:val="1"/>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6277610</wp:posOffset>
            </wp:positionH>
            <wp:positionV relativeFrom="paragraph">
              <wp:posOffset>-1315720</wp:posOffset>
            </wp:positionV>
            <wp:extent cx="8255" cy="1282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-1315720</wp:posOffset>
            </wp:positionV>
            <wp:extent cx="8255" cy="1282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3756660</wp:posOffset>
            </wp:positionH>
            <wp:positionV relativeFrom="paragraph">
              <wp:posOffset>-1315720</wp:posOffset>
            </wp:positionV>
            <wp:extent cx="8255" cy="1282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1671320</wp:posOffset>
            </wp:positionH>
            <wp:positionV relativeFrom="paragraph">
              <wp:posOffset>-1315720</wp:posOffset>
            </wp:positionV>
            <wp:extent cx="8255" cy="128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128270"/>
                    </a:xfrm>
                    <a:prstGeom prst="rect">
                      <a:avLst/>
                    </a:prstGeom>
                    <a:noFill/>
                  </pic:spPr>
                </pic:pic>
              </a:graphicData>
            </a:graphic>
          </wp:anchor>
        </w:drawing>
      </w:r>
    </w:p>
    <w:p>
      <w:pPr>
        <w:spacing w:after="0" w:line="87" w:lineRule="exact"/>
        <w:rPr>
          <w:sz w:val="20"/>
          <w:szCs w:val="20"/>
          <w:color w:val="auto"/>
        </w:rPr>
      </w:pPr>
    </w:p>
    <w:p>
      <w:pPr>
        <w:ind w:left="220" w:right="120"/>
        <w:spacing w:after="0" w:line="273" w:lineRule="auto"/>
        <w:rPr>
          <w:sz w:val="20"/>
          <w:szCs w:val="20"/>
          <w:color w:val="auto"/>
        </w:rPr>
      </w:pPr>
      <w:r>
        <w:rPr>
          <w:rFonts w:ascii="Arial" w:cs="Arial" w:eastAsia="Arial" w:hAnsi="Arial"/>
          <w:sz w:val="17"/>
          <w:szCs w:val="17"/>
          <w:color w:val="auto"/>
        </w:rPr>
        <w:t xml:space="preserve">Each of the board’s committees has a charter. The charters are reviewed annually by the relevant committee and the Corporate Governance Committee. These charters and a committee chair position description are publicly available at </w:t>
      </w:r>
      <w:r>
        <w:rPr>
          <w:rFonts w:ascii="Arial" w:cs="Arial" w:eastAsia="Arial" w:hAnsi="Arial"/>
          <w:sz w:val="17"/>
          <w:szCs w:val="17"/>
          <w:b w:val="1"/>
          <w:bCs w:val="1"/>
          <w:color w:val="D95A3B"/>
        </w:rPr>
        <w:t>www.thomsonreuters.com.</w:t>
      </w:r>
    </w:p>
    <w:p>
      <w:pPr>
        <w:spacing w:after="0" w:line="3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Audit Committee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Responsibilities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Audit Committee is responsible for assisting the board in fulfilling its oversight responsibilities in relation to:</w:t>
      </w:r>
    </w:p>
    <w:p>
      <w:pPr>
        <w:spacing w:after="0" w:line="116" w:lineRule="exact"/>
        <w:rPr>
          <w:sz w:val="20"/>
          <w:szCs w:val="20"/>
          <w:color w:val="auto"/>
        </w:rPr>
      </w:pPr>
    </w:p>
    <w:p>
      <w:pPr>
        <w:ind w:left="440" w:hanging="217"/>
        <w:spacing w:after="0"/>
        <w:tabs>
          <w:tab w:leader="none" w:pos="440" w:val="left"/>
        </w:tabs>
        <w:numPr>
          <w:ilvl w:val="0"/>
          <w:numId w:val="16"/>
        </w:numPr>
        <w:rPr>
          <w:rFonts w:ascii="Arial" w:cs="Arial" w:eastAsia="Arial" w:hAnsi="Arial"/>
          <w:sz w:val="18"/>
          <w:szCs w:val="18"/>
          <w:color w:val="D95A3B"/>
          <w:vertAlign w:val="superscript"/>
        </w:rPr>
      </w:pPr>
      <w:r>
        <w:rPr>
          <w:rFonts w:ascii="Arial" w:cs="Arial" w:eastAsia="Arial" w:hAnsi="Arial"/>
          <w:sz w:val="18"/>
          <w:szCs w:val="18"/>
          <w:color w:val="auto"/>
        </w:rPr>
        <w:t>the integrity of financial statements and other financial information relating to our company;</w:t>
      </w:r>
    </w:p>
    <w:p>
      <w:pPr>
        <w:spacing w:after="0" w:line="89" w:lineRule="exact"/>
        <w:rPr>
          <w:rFonts w:ascii="Arial" w:cs="Arial" w:eastAsia="Arial" w:hAnsi="Arial"/>
          <w:sz w:val="18"/>
          <w:szCs w:val="18"/>
          <w:color w:val="D95A3B"/>
          <w:vertAlign w:val="superscript"/>
        </w:rPr>
      </w:pPr>
    </w:p>
    <w:p>
      <w:pPr>
        <w:ind w:left="440" w:hanging="217"/>
        <w:spacing w:after="0"/>
        <w:tabs>
          <w:tab w:leader="none" w:pos="440" w:val="left"/>
        </w:tabs>
        <w:numPr>
          <w:ilvl w:val="0"/>
          <w:numId w:val="16"/>
        </w:numPr>
        <w:rPr>
          <w:rFonts w:ascii="Arial" w:cs="Arial" w:eastAsia="Arial" w:hAnsi="Arial"/>
          <w:sz w:val="18"/>
          <w:szCs w:val="18"/>
          <w:color w:val="D95A3B"/>
          <w:vertAlign w:val="superscript"/>
        </w:rPr>
      </w:pPr>
      <w:r>
        <w:rPr>
          <w:rFonts w:ascii="Arial" w:cs="Arial" w:eastAsia="Arial" w:hAnsi="Arial"/>
          <w:sz w:val="18"/>
          <w:szCs w:val="18"/>
          <w:color w:val="auto"/>
        </w:rPr>
        <w:t>the qualifications, independence and performance of the independent auditor (PricewaterhouseCoopers LLP);</w:t>
      </w:r>
    </w:p>
    <w:p>
      <w:pPr>
        <w:spacing w:after="0" w:line="89" w:lineRule="exact"/>
        <w:rPr>
          <w:rFonts w:ascii="Arial" w:cs="Arial" w:eastAsia="Arial" w:hAnsi="Arial"/>
          <w:sz w:val="18"/>
          <w:szCs w:val="18"/>
          <w:color w:val="D95A3B"/>
          <w:vertAlign w:val="superscript"/>
        </w:rPr>
      </w:pPr>
    </w:p>
    <w:p>
      <w:pPr>
        <w:ind w:left="440" w:hanging="217"/>
        <w:spacing w:after="0"/>
        <w:tabs>
          <w:tab w:leader="none" w:pos="440" w:val="left"/>
        </w:tabs>
        <w:numPr>
          <w:ilvl w:val="0"/>
          <w:numId w:val="16"/>
        </w:numPr>
        <w:rPr>
          <w:rFonts w:ascii="Arial" w:cs="Arial" w:eastAsia="Arial" w:hAnsi="Arial"/>
          <w:sz w:val="18"/>
          <w:szCs w:val="18"/>
          <w:color w:val="D95A3B"/>
          <w:vertAlign w:val="superscript"/>
        </w:rPr>
      </w:pPr>
      <w:r>
        <w:rPr>
          <w:rFonts w:ascii="Arial" w:cs="Arial" w:eastAsia="Arial" w:hAnsi="Arial"/>
          <w:sz w:val="18"/>
          <w:szCs w:val="18"/>
          <w:color w:val="auto"/>
        </w:rPr>
        <w:t>the adequacy and effectiveness of our internal control over financial reporting and disclosure controls and procedures;</w:t>
      </w:r>
    </w:p>
    <w:p>
      <w:pPr>
        <w:spacing w:after="0" w:line="89" w:lineRule="exact"/>
        <w:rPr>
          <w:rFonts w:ascii="Arial" w:cs="Arial" w:eastAsia="Arial" w:hAnsi="Arial"/>
          <w:sz w:val="18"/>
          <w:szCs w:val="18"/>
          <w:color w:val="D95A3B"/>
          <w:vertAlign w:val="superscript"/>
        </w:rPr>
      </w:pPr>
    </w:p>
    <w:p>
      <w:pPr>
        <w:ind w:left="440" w:hanging="217"/>
        <w:spacing w:after="0"/>
        <w:tabs>
          <w:tab w:leader="none" w:pos="440" w:val="left"/>
        </w:tabs>
        <w:numPr>
          <w:ilvl w:val="0"/>
          <w:numId w:val="16"/>
        </w:numPr>
        <w:rPr>
          <w:rFonts w:ascii="Arial" w:cs="Arial" w:eastAsia="Arial" w:hAnsi="Arial"/>
          <w:sz w:val="18"/>
          <w:szCs w:val="18"/>
          <w:color w:val="D95A3B"/>
          <w:vertAlign w:val="superscript"/>
        </w:rPr>
      </w:pPr>
      <w:r>
        <w:rPr>
          <w:rFonts w:ascii="Arial" w:cs="Arial" w:eastAsia="Arial" w:hAnsi="Arial"/>
          <w:sz w:val="18"/>
          <w:szCs w:val="18"/>
          <w:color w:val="auto"/>
        </w:rPr>
        <w:t>the effectiveness of the internal audit function;</w:t>
      </w:r>
    </w:p>
    <w:p>
      <w:pPr>
        <w:spacing w:after="0" w:line="89" w:lineRule="exact"/>
        <w:rPr>
          <w:rFonts w:ascii="Arial" w:cs="Arial" w:eastAsia="Arial" w:hAnsi="Arial"/>
          <w:sz w:val="18"/>
          <w:szCs w:val="18"/>
          <w:color w:val="D95A3B"/>
          <w:vertAlign w:val="superscript"/>
        </w:rPr>
      </w:pPr>
    </w:p>
    <w:p>
      <w:pPr>
        <w:ind w:left="440" w:hanging="217"/>
        <w:spacing w:after="0"/>
        <w:tabs>
          <w:tab w:leader="none" w:pos="440" w:val="left"/>
        </w:tabs>
        <w:numPr>
          <w:ilvl w:val="0"/>
          <w:numId w:val="16"/>
        </w:numPr>
        <w:rPr>
          <w:rFonts w:ascii="Arial" w:cs="Arial" w:eastAsia="Arial" w:hAnsi="Arial"/>
          <w:sz w:val="18"/>
          <w:szCs w:val="18"/>
          <w:color w:val="D95A3B"/>
          <w:vertAlign w:val="superscript"/>
        </w:rPr>
      </w:pPr>
      <w:r>
        <w:rPr>
          <w:rFonts w:ascii="Arial" w:cs="Arial" w:eastAsia="Arial" w:hAnsi="Arial"/>
          <w:sz w:val="18"/>
          <w:szCs w:val="18"/>
          <w:color w:val="auto"/>
        </w:rPr>
        <w:t>the overall assessment and management of risk; and</w:t>
      </w:r>
    </w:p>
    <w:p>
      <w:pPr>
        <w:spacing w:after="0" w:line="89" w:lineRule="exact"/>
        <w:rPr>
          <w:rFonts w:ascii="Arial" w:cs="Arial" w:eastAsia="Arial" w:hAnsi="Arial"/>
          <w:sz w:val="18"/>
          <w:szCs w:val="18"/>
          <w:color w:val="D95A3B"/>
          <w:vertAlign w:val="superscript"/>
        </w:rPr>
      </w:pPr>
    </w:p>
    <w:p>
      <w:pPr>
        <w:ind w:left="440" w:hanging="217"/>
        <w:spacing w:after="0"/>
        <w:tabs>
          <w:tab w:leader="none" w:pos="440" w:val="left"/>
        </w:tabs>
        <w:numPr>
          <w:ilvl w:val="0"/>
          <w:numId w:val="16"/>
        </w:numPr>
        <w:rPr>
          <w:rFonts w:ascii="Arial" w:cs="Arial" w:eastAsia="Arial" w:hAnsi="Arial"/>
          <w:sz w:val="18"/>
          <w:szCs w:val="18"/>
          <w:color w:val="D95A3B"/>
          <w:vertAlign w:val="superscript"/>
        </w:rPr>
      </w:pPr>
      <w:r>
        <w:rPr>
          <w:rFonts w:ascii="Arial" w:cs="Arial" w:eastAsia="Arial" w:hAnsi="Arial"/>
          <w:sz w:val="18"/>
          <w:szCs w:val="18"/>
          <w:color w:val="auto"/>
        </w:rPr>
        <w:t>any additional matters delegated to the Audit Committee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133985</wp:posOffset>
            </wp:positionV>
            <wp:extent cx="697357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52" w:lineRule="exact"/>
        <w:rPr>
          <w:sz w:val="20"/>
          <w:szCs w:val="20"/>
          <w:color w:val="auto"/>
        </w:rPr>
      </w:pPr>
    </w:p>
    <w:p>
      <w:pPr>
        <w:ind w:left="6100"/>
        <w:spacing w:after="0"/>
        <w:tabs>
          <w:tab w:leader="none" w:pos="106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31</w:t>
      </w:r>
    </w:p>
    <w:p>
      <w:pPr>
        <w:sectPr>
          <w:pgSz w:w="11900" w:h="16838" w:orient="portrait"/>
          <w:cols w:equalWidth="0" w:num="1">
            <w:col w:w="11200"/>
          </w:cols>
          <w:pgMar w:left="240" w:top="458"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the course of fulfilling its mandate, the Audit Committee focused on several topics in 2018, which are reflected in the work plan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81280</wp:posOffset>
            </wp:positionV>
            <wp:extent cx="6973570" cy="1193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73570" cy="119380"/>
                    </a:xfrm>
                    <a:prstGeom prst="rect">
                      <a:avLst/>
                    </a:prstGeom>
                    <a:noFill/>
                  </pic:spPr>
                </pic:pic>
              </a:graphicData>
            </a:graphic>
          </wp:anchor>
        </w:drawing>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2018 Primary Audit Committee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6350</wp:posOffset>
            </wp:positionV>
            <wp:extent cx="69735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ectPr>
          <w:pgSz w:w="11900" w:h="16838" w:orient="portrait"/>
          <w:cols w:equalWidth="0" w:num="1">
            <w:col w:w="11200"/>
          </w:cols>
          <w:pgMar w:left="240" w:top="458" w:right="459" w:bottom="1440" w:gutter="0" w:footer="0" w:header="0"/>
        </w:sectPr>
      </w:pPr>
    </w:p>
    <w:p>
      <w:pPr>
        <w:spacing w:after="0" w:line="29" w:lineRule="exact"/>
        <w:rPr>
          <w:sz w:val="20"/>
          <w:szCs w:val="20"/>
          <w:color w:val="auto"/>
        </w:rPr>
      </w:pPr>
    </w:p>
    <w:p>
      <w:pPr>
        <w:ind w:left="440" w:right="300" w:hanging="217"/>
        <w:spacing w:after="0" w:line="210" w:lineRule="auto"/>
        <w:tabs>
          <w:tab w:leader="none" w:pos="391" w:val="left"/>
        </w:tabs>
        <w:numPr>
          <w:ilvl w:val="0"/>
          <w:numId w:val="17"/>
        </w:numPr>
        <w:rPr>
          <w:rFonts w:ascii="Arial" w:cs="Arial" w:eastAsia="Arial" w:hAnsi="Arial"/>
          <w:sz w:val="18"/>
          <w:szCs w:val="18"/>
          <w:color w:val="D95A3B"/>
          <w:vertAlign w:val="superscript"/>
        </w:rPr>
      </w:pPr>
      <w:r>
        <w:rPr>
          <w:rFonts w:ascii="Arial" w:cs="Arial" w:eastAsia="Arial" w:hAnsi="Arial"/>
          <w:sz w:val="14"/>
          <w:szCs w:val="14"/>
          <w:color w:val="auto"/>
        </w:rPr>
        <w:t>Review and discuss the company’s annual and quarterly consolidated financial statements and related MD&amp;A;</w:t>
      </w:r>
    </w:p>
    <w:p>
      <w:pPr>
        <w:spacing w:after="0" w:line="1" w:lineRule="exact"/>
        <w:rPr>
          <w:rFonts w:ascii="Arial" w:cs="Arial" w:eastAsia="Arial" w:hAnsi="Arial"/>
          <w:sz w:val="18"/>
          <w:szCs w:val="18"/>
          <w:color w:val="D95A3B"/>
          <w:vertAlign w:val="superscript"/>
        </w:rPr>
      </w:pPr>
    </w:p>
    <w:p>
      <w:pPr>
        <w:ind w:left="380" w:hanging="157"/>
        <w:spacing w:after="0" w:line="187" w:lineRule="auto"/>
        <w:tabs>
          <w:tab w:leader="none" w:pos="380" w:val="left"/>
        </w:tabs>
        <w:numPr>
          <w:ilvl w:val="0"/>
          <w:numId w:val="17"/>
        </w:numPr>
        <w:rPr>
          <w:rFonts w:ascii="Arial" w:cs="Arial" w:eastAsia="Arial" w:hAnsi="Arial"/>
          <w:sz w:val="18"/>
          <w:szCs w:val="18"/>
          <w:color w:val="D95A3B"/>
          <w:vertAlign w:val="superscript"/>
        </w:rPr>
      </w:pPr>
      <w:r>
        <w:rPr>
          <w:rFonts w:ascii="Arial" w:cs="Arial" w:eastAsia="Arial" w:hAnsi="Arial"/>
          <w:sz w:val="14"/>
          <w:szCs w:val="14"/>
          <w:color w:val="auto"/>
        </w:rPr>
        <w:t>Review our earnings press releases;</w:t>
      </w:r>
    </w:p>
    <w:p>
      <w:pPr>
        <w:ind w:left="440" w:hanging="217"/>
        <w:spacing w:after="0" w:line="219" w:lineRule="auto"/>
        <w:tabs>
          <w:tab w:leader="none" w:pos="391" w:val="left"/>
        </w:tabs>
        <w:numPr>
          <w:ilvl w:val="0"/>
          <w:numId w:val="17"/>
        </w:numPr>
        <w:rPr>
          <w:rFonts w:ascii="Arial" w:cs="Arial" w:eastAsia="Arial" w:hAnsi="Arial"/>
          <w:sz w:val="18"/>
          <w:szCs w:val="18"/>
          <w:color w:val="D95A3B"/>
          <w:vertAlign w:val="superscript"/>
        </w:rPr>
      </w:pPr>
      <w:r>
        <w:rPr>
          <w:rFonts w:ascii="Arial" w:cs="Arial" w:eastAsia="Arial" w:hAnsi="Arial"/>
          <w:sz w:val="14"/>
          <w:szCs w:val="14"/>
          <w:color w:val="auto"/>
        </w:rPr>
        <w:t>Receive periodic updates from our Corporate Compliance and Audit Department on the internal audit plan and process, internal control over financial reporting and fraud-related matters;</w:t>
      </w:r>
    </w:p>
    <w:p>
      <w:pPr>
        <w:spacing w:after="0" w:line="1" w:lineRule="exact"/>
        <w:rPr>
          <w:rFonts w:ascii="Arial" w:cs="Arial" w:eastAsia="Arial" w:hAnsi="Arial"/>
          <w:sz w:val="18"/>
          <w:szCs w:val="18"/>
          <w:color w:val="D95A3B"/>
          <w:vertAlign w:val="superscript"/>
        </w:rPr>
      </w:pPr>
    </w:p>
    <w:p>
      <w:pPr>
        <w:ind w:left="440" w:right="60" w:hanging="217"/>
        <w:spacing w:after="0" w:line="210" w:lineRule="auto"/>
        <w:tabs>
          <w:tab w:leader="none" w:pos="391" w:val="left"/>
        </w:tabs>
        <w:numPr>
          <w:ilvl w:val="0"/>
          <w:numId w:val="17"/>
        </w:numPr>
        <w:rPr>
          <w:rFonts w:ascii="Arial" w:cs="Arial" w:eastAsia="Arial" w:hAnsi="Arial"/>
          <w:sz w:val="18"/>
          <w:szCs w:val="18"/>
          <w:color w:val="D95A3B"/>
          <w:vertAlign w:val="superscript"/>
        </w:rPr>
      </w:pPr>
      <w:r>
        <w:rPr>
          <w:rFonts w:ascii="Arial" w:cs="Arial" w:eastAsia="Arial" w:hAnsi="Arial"/>
          <w:sz w:val="14"/>
          <w:szCs w:val="14"/>
          <w:color w:val="auto"/>
        </w:rPr>
        <w:t>Receive periodic updates from senior management on financial risk topics such as tax, treasury and accounting;</w:t>
      </w:r>
    </w:p>
    <w:p>
      <w:pPr>
        <w:spacing w:after="0" w:line="1" w:lineRule="exact"/>
        <w:rPr>
          <w:rFonts w:ascii="Arial" w:cs="Arial" w:eastAsia="Arial" w:hAnsi="Arial"/>
          <w:sz w:val="18"/>
          <w:szCs w:val="18"/>
          <w:color w:val="D95A3B"/>
          <w:vertAlign w:val="superscript"/>
        </w:rPr>
      </w:pPr>
    </w:p>
    <w:p>
      <w:pPr>
        <w:ind w:left="440" w:right="20" w:hanging="217"/>
        <w:spacing w:after="0" w:line="227" w:lineRule="auto"/>
        <w:tabs>
          <w:tab w:leader="none" w:pos="391" w:val="left"/>
        </w:tabs>
        <w:numPr>
          <w:ilvl w:val="0"/>
          <w:numId w:val="17"/>
        </w:numPr>
        <w:rPr>
          <w:rFonts w:ascii="Arial" w:cs="Arial" w:eastAsia="Arial" w:hAnsi="Arial"/>
          <w:sz w:val="18"/>
          <w:szCs w:val="18"/>
          <w:color w:val="D95A3B"/>
          <w:vertAlign w:val="superscript"/>
        </w:rPr>
      </w:pPr>
      <w:r>
        <w:rPr>
          <w:rFonts w:ascii="Arial" w:cs="Arial" w:eastAsia="Arial" w:hAnsi="Arial"/>
          <w:sz w:val="14"/>
          <w:szCs w:val="14"/>
          <w:color w:val="auto"/>
        </w:rPr>
        <w:t>Review and discuss the company’s ERM process with the General Counsel and other members of senior management, including the steps and processes taken to identify, assess, monitor and mitigate risks that are viewed as more significant and receive periodic updates from senior management on cybersecurity and other information security matters;*</w:t>
      </w:r>
    </w:p>
    <w:p>
      <w:pPr>
        <w:spacing w:after="0" w:line="2" w:lineRule="exact"/>
        <w:rPr>
          <w:rFonts w:ascii="Arial" w:cs="Arial" w:eastAsia="Arial" w:hAnsi="Arial"/>
          <w:sz w:val="18"/>
          <w:szCs w:val="18"/>
          <w:color w:val="D95A3B"/>
          <w:vertAlign w:val="superscript"/>
        </w:rPr>
      </w:pPr>
    </w:p>
    <w:p>
      <w:pPr>
        <w:ind w:left="380" w:hanging="157"/>
        <w:spacing w:after="0" w:line="199" w:lineRule="auto"/>
        <w:tabs>
          <w:tab w:leader="none" w:pos="380" w:val="left"/>
        </w:tabs>
        <w:numPr>
          <w:ilvl w:val="0"/>
          <w:numId w:val="17"/>
        </w:numPr>
        <w:rPr>
          <w:rFonts w:ascii="Arial" w:cs="Arial" w:eastAsia="Arial" w:hAnsi="Arial"/>
          <w:sz w:val="18"/>
          <w:szCs w:val="18"/>
          <w:color w:val="D95A3B"/>
          <w:vertAlign w:val="superscript"/>
        </w:rPr>
      </w:pPr>
      <w:r>
        <w:rPr>
          <w:rFonts w:ascii="Arial" w:cs="Arial" w:eastAsia="Arial" w:hAnsi="Arial"/>
          <w:sz w:val="14"/>
          <w:szCs w:val="14"/>
          <w:color w:val="auto"/>
        </w:rPr>
        <w:t>Review the scope and plans for the audit of our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16510</wp:posOffset>
            </wp:positionV>
            <wp:extent cx="69735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10" w:right="200" w:hanging="210"/>
        <w:spacing w:after="0" w:line="210" w:lineRule="auto"/>
        <w:tabs>
          <w:tab w:leader="none" w:pos="160" w:val="left"/>
        </w:tabs>
        <w:numPr>
          <w:ilvl w:val="0"/>
          <w:numId w:val="18"/>
        </w:numPr>
        <w:rPr>
          <w:rFonts w:ascii="Arial" w:cs="Arial" w:eastAsia="Arial" w:hAnsi="Arial"/>
          <w:sz w:val="18"/>
          <w:szCs w:val="18"/>
          <w:color w:val="D95A3B"/>
          <w:vertAlign w:val="superscript"/>
        </w:rPr>
      </w:pPr>
      <w:r>
        <w:rPr>
          <w:rFonts w:ascii="Arial" w:cs="Arial" w:eastAsia="Arial" w:hAnsi="Arial"/>
          <w:sz w:val="14"/>
          <w:szCs w:val="14"/>
          <w:color w:val="auto"/>
        </w:rPr>
        <w:t>Review and approve fees to be paid to PricewaterhouseCoopers LLP for its services;</w:t>
      </w:r>
    </w:p>
    <w:p>
      <w:pPr>
        <w:spacing w:after="0" w:line="1" w:lineRule="exact"/>
        <w:rPr>
          <w:rFonts w:ascii="Arial" w:cs="Arial" w:eastAsia="Arial" w:hAnsi="Arial"/>
          <w:sz w:val="18"/>
          <w:szCs w:val="18"/>
          <w:color w:val="D95A3B"/>
          <w:vertAlign w:val="superscript"/>
        </w:rPr>
      </w:pPr>
    </w:p>
    <w:p>
      <w:pPr>
        <w:ind w:left="170" w:hanging="170"/>
        <w:spacing w:after="0" w:line="187" w:lineRule="auto"/>
        <w:tabs>
          <w:tab w:leader="none" w:pos="170" w:val="left"/>
        </w:tabs>
        <w:numPr>
          <w:ilvl w:val="0"/>
          <w:numId w:val="18"/>
        </w:numPr>
        <w:rPr>
          <w:rFonts w:ascii="Arial" w:cs="Arial" w:eastAsia="Arial" w:hAnsi="Arial"/>
          <w:sz w:val="18"/>
          <w:szCs w:val="18"/>
          <w:color w:val="D95A3B"/>
          <w:vertAlign w:val="superscript"/>
        </w:rPr>
      </w:pPr>
      <w:r>
        <w:rPr>
          <w:rFonts w:ascii="Arial" w:cs="Arial" w:eastAsia="Arial" w:hAnsi="Arial"/>
          <w:sz w:val="14"/>
          <w:szCs w:val="14"/>
          <w:color w:val="auto"/>
        </w:rPr>
        <w:t>Discuss with PricewaterhouseCoopers LLP:</w:t>
      </w:r>
    </w:p>
    <w:p>
      <w:pPr>
        <w:ind w:left="430" w:right="160" w:hanging="214"/>
        <w:spacing w:after="0" w:line="210" w:lineRule="auto"/>
        <w:tabs>
          <w:tab w:leader="none" w:pos="380" w:val="left"/>
        </w:tabs>
        <w:numPr>
          <w:ilvl w:val="1"/>
          <w:numId w:val="18"/>
        </w:numPr>
        <w:rPr>
          <w:rFonts w:ascii="Arial" w:cs="Arial" w:eastAsia="Arial" w:hAnsi="Arial"/>
          <w:sz w:val="18"/>
          <w:szCs w:val="18"/>
          <w:color w:val="D95A3B"/>
          <w:vertAlign w:val="superscript"/>
        </w:rPr>
      </w:pPr>
      <w:r>
        <w:rPr>
          <w:rFonts w:ascii="Arial" w:cs="Arial" w:eastAsia="Arial" w:hAnsi="Arial"/>
          <w:sz w:val="14"/>
          <w:szCs w:val="14"/>
          <w:color w:val="auto"/>
        </w:rPr>
        <w:t>its independence from Thomson Reuters (and receiving disclosures from PricewaterhouseCoopers LLP in this regard);</w:t>
      </w:r>
    </w:p>
    <w:p>
      <w:pPr>
        <w:spacing w:after="0" w:line="1" w:lineRule="exact"/>
        <w:rPr>
          <w:rFonts w:ascii="Arial" w:cs="Arial" w:eastAsia="Arial" w:hAnsi="Arial"/>
          <w:sz w:val="18"/>
          <w:szCs w:val="18"/>
          <w:color w:val="D95A3B"/>
          <w:vertAlign w:val="superscript"/>
        </w:rPr>
      </w:pPr>
    </w:p>
    <w:p>
      <w:pPr>
        <w:ind w:left="430" w:right="620" w:hanging="214"/>
        <w:spacing w:after="0" w:line="210" w:lineRule="auto"/>
        <w:tabs>
          <w:tab w:leader="none" w:pos="380" w:val="left"/>
        </w:tabs>
        <w:numPr>
          <w:ilvl w:val="1"/>
          <w:numId w:val="18"/>
        </w:numPr>
        <w:rPr>
          <w:rFonts w:ascii="Arial" w:cs="Arial" w:eastAsia="Arial" w:hAnsi="Arial"/>
          <w:sz w:val="18"/>
          <w:szCs w:val="18"/>
          <w:color w:val="D95A3B"/>
          <w:vertAlign w:val="superscript"/>
        </w:rPr>
      </w:pPr>
      <w:r>
        <w:rPr>
          <w:rFonts w:ascii="Arial" w:cs="Arial" w:eastAsia="Arial" w:hAnsi="Arial"/>
          <w:sz w:val="14"/>
          <w:szCs w:val="14"/>
          <w:color w:val="auto"/>
        </w:rPr>
        <w:t>all critical accounting policies and practices used or to be used by Thomson Reuters;</w:t>
      </w:r>
    </w:p>
    <w:p>
      <w:pPr>
        <w:spacing w:after="0" w:line="1" w:lineRule="exact"/>
        <w:rPr>
          <w:rFonts w:ascii="Arial" w:cs="Arial" w:eastAsia="Arial" w:hAnsi="Arial"/>
          <w:sz w:val="18"/>
          <w:szCs w:val="18"/>
          <w:color w:val="D95A3B"/>
          <w:vertAlign w:val="superscript"/>
        </w:rPr>
      </w:pPr>
    </w:p>
    <w:p>
      <w:pPr>
        <w:ind w:left="430" w:right="320" w:hanging="214"/>
        <w:spacing w:after="0" w:line="219" w:lineRule="auto"/>
        <w:tabs>
          <w:tab w:leader="none" w:pos="380" w:val="left"/>
        </w:tabs>
        <w:numPr>
          <w:ilvl w:val="1"/>
          <w:numId w:val="18"/>
        </w:numPr>
        <w:rPr>
          <w:rFonts w:ascii="Arial" w:cs="Arial" w:eastAsia="Arial" w:hAnsi="Arial"/>
          <w:sz w:val="18"/>
          <w:szCs w:val="18"/>
          <w:color w:val="D95A3B"/>
          <w:vertAlign w:val="superscript"/>
        </w:rPr>
      </w:pPr>
      <w:r>
        <w:rPr>
          <w:rFonts w:ascii="Arial" w:cs="Arial" w:eastAsia="Arial" w:hAnsi="Arial"/>
          <w:sz w:val="14"/>
          <w:szCs w:val="14"/>
          <w:color w:val="auto"/>
        </w:rPr>
        <w:t>all alternative treatments of financial information within IFRS that have been discussed with management, ramifications of the use of such alternative treatments and the treatment preferred by the auditor; and</w:t>
      </w:r>
    </w:p>
    <w:p>
      <w:pPr>
        <w:spacing w:after="0" w:line="1" w:lineRule="exact"/>
        <w:rPr>
          <w:rFonts w:ascii="Arial" w:cs="Arial" w:eastAsia="Arial" w:hAnsi="Arial"/>
          <w:sz w:val="18"/>
          <w:szCs w:val="18"/>
          <w:color w:val="D95A3B"/>
          <w:vertAlign w:val="superscript"/>
        </w:rPr>
      </w:pPr>
    </w:p>
    <w:p>
      <w:pPr>
        <w:ind w:left="390" w:hanging="174"/>
        <w:spacing w:after="0" w:line="199" w:lineRule="auto"/>
        <w:tabs>
          <w:tab w:leader="none" w:pos="390" w:val="left"/>
        </w:tabs>
        <w:numPr>
          <w:ilvl w:val="1"/>
          <w:numId w:val="18"/>
        </w:numPr>
        <w:rPr>
          <w:rFonts w:ascii="Arial" w:cs="Arial" w:eastAsia="Arial" w:hAnsi="Arial"/>
          <w:sz w:val="18"/>
          <w:szCs w:val="18"/>
          <w:color w:val="D95A3B"/>
          <w:vertAlign w:val="superscript"/>
        </w:rPr>
      </w:pPr>
      <w:r>
        <w:rPr>
          <w:rFonts w:ascii="Arial" w:cs="Arial" w:eastAsia="Arial" w:hAnsi="Arial"/>
          <w:sz w:val="14"/>
          <w:szCs w:val="14"/>
          <w:color w:val="auto"/>
        </w:rPr>
        <w:t>all other matters required to be communicated under IFRS.</w:t>
      </w:r>
    </w:p>
    <w:p>
      <w:pPr>
        <w:spacing w:after="0" w:line="676" w:lineRule="exact"/>
        <w:rPr>
          <w:sz w:val="20"/>
          <w:szCs w:val="20"/>
          <w:color w:val="auto"/>
        </w:rPr>
      </w:pPr>
    </w:p>
    <w:p>
      <w:pPr>
        <w:sectPr>
          <w:pgSz w:w="11900" w:h="16838" w:orient="portrait"/>
          <w:cols w:equalWidth="0" w:num="2">
            <w:col w:w="5680" w:space="370"/>
            <w:col w:w="5150"/>
          </w:cols>
          <w:pgMar w:left="240" w:top="458" w:right="459" w:bottom="1440" w:gutter="0" w:footer="0" w:header="0"/>
          <w:type w:val="continuous"/>
        </w:sectPr>
      </w:pPr>
    </w:p>
    <w:p>
      <w:pPr>
        <w:ind w:left="340" w:right="240" w:hanging="117"/>
        <w:spacing w:after="0" w:line="256"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discussed below, these responsibilities were assigned to the Risk Committee when it was created in the second half of 2018. However, the Audit Committee remains responsible for the overall assessment and management of risk.</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Financial Literacy</w:t>
      </w:r>
    </w:p>
    <w:p>
      <w:pPr>
        <w:spacing w:after="0" w:line="35" w:lineRule="exact"/>
        <w:rPr>
          <w:sz w:val="20"/>
          <w:szCs w:val="20"/>
          <w:color w:val="auto"/>
        </w:rPr>
      </w:pPr>
    </w:p>
    <w:p>
      <w:pPr>
        <w:jc w:val="both"/>
        <w:ind w:left="220"/>
        <w:spacing w:after="0" w:line="239" w:lineRule="auto"/>
        <w:rPr>
          <w:sz w:val="20"/>
          <w:szCs w:val="20"/>
          <w:color w:val="auto"/>
        </w:rPr>
      </w:pPr>
      <w:r>
        <w:rPr>
          <w:rFonts w:ascii="Arial" w:cs="Arial" w:eastAsia="Arial" w:hAnsi="Arial"/>
          <w:sz w:val="18"/>
          <w:szCs w:val="18"/>
          <w:color w:val="auto"/>
        </w:rPr>
        <w:t>All members of the Audit Committee are financially literate in accordance with applicable Canadian and U.S. securities rules. Mr. Salzberg qualifies as an “audit committee financial expert” (within the meaning of applicable SEC rules) and meets applicable tests for accounting or related financial management expertise within the meaning of NYSE listing standards.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Audit Committee Members’ Education and Experience</w:t>
      </w:r>
    </w:p>
    <w:p>
      <w:pPr>
        <w:spacing w:after="0" w:line="35" w:lineRule="exact"/>
        <w:rPr>
          <w:sz w:val="20"/>
          <w:szCs w:val="20"/>
          <w:color w:val="auto"/>
        </w:rPr>
      </w:pPr>
    </w:p>
    <w:p>
      <w:pPr>
        <w:ind w:left="220" w:right="860"/>
        <w:spacing w:after="0" w:line="244" w:lineRule="auto"/>
        <w:rPr>
          <w:sz w:val="20"/>
          <w:szCs w:val="20"/>
          <w:color w:val="auto"/>
        </w:rPr>
      </w:pPr>
      <w:r>
        <w:rPr>
          <w:rFonts w:ascii="Arial" w:cs="Arial" w:eastAsia="Arial" w:hAnsi="Arial"/>
          <w:sz w:val="18"/>
          <w:szCs w:val="18"/>
          <w:color w:val="auto"/>
        </w:rPr>
        <w:t>The following is a brief summary of the education and experience of each member of the Audit Committee that is relevant to the performance of his or her responsibilities. Mr. Daniels was appointed to the Audit Committee in 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1790700</wp:posOffset>
            </wp:positionH>
            <wp:positionV relativeFrom="paragraph">
              <wp:posOffset>66675</wp:posOffset>
            </wp:positionV>
            <wp:extent cx="8255" cy="1282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128270"/>
                    </a:xfrm>
                    <a:prstGeom prst="rect">
                      <a:avLst/>
                    </a:prstGeom>
                    <a:noFill/>
                  </pic:spPr>
                </pic:pic>
              </a:graphicData>
            </a:graphic>
          </wp:anchor>
        </w:drawing>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262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Audit Committee Member</w:t>
            </w:r>
          </w:p>
        </w:tc>
        <w:tc>
          <w:tcPr>
            <w:tcW w:w="8360" w:type="dxa"/>
            <w:vAlign w:val="bottom"/>
            <w:tcBorders>
              <w:bottom w:val="single" w:sz="8" w:color="D95A3B"/>
            </w:tcBorders>
            <w:gridSpan w:val="2"/>
            <w:shd w:val="clear" w:color="auto" w:fill="CCCCCC"/>
          </w:tcPr>
          <w:p>
            <w:pPr>
              <w:ind w:left="200"/>
              <w:spacing w:after="0"/>
              <w:rPr>
                <w:sz w:val="20"/>
                <w:szCs w:val="20"/>
                <w:color w:val="auto"/>
              </w:rPr>
            </w:pPr>
            <w:r>
              <w:rPr>
                <w:rFonts w:ascii="Arial" w:cs="Arial" w:eastAsia="Arial" w:hAnsi="Arial"/>
                <w:sz w:val="15"/>
                <w:szCs w:val="15"/>
                <w:b w:val="1"/>
                <w:bCs w:val="1"/>
                <w:color w:val="auto"/>
              </w:rPr>
              <w:t>Education/Experience</w:t>
            </w:r>
          </w:p>
        </w:tc>
        <w:tc>
          <w:tcPr>
            <w:tcW w:w="0" w:type="dxa"/>
            <w:vAlign w:val="bottom"/>
          </w:tcPr>
          <w:p>
            <w:pPr>
              <w:spacing w:after="0"/>
              <w:rPr>
                <w:sz w:val="1"/>
                <w:szCs w:val="1"/>
                <w:color w:val="auto"/>
              </w:rPr>
            </w:pPr>
          </w:p>
        </w:tc>
      </w:tr>
      <w:tr>
        <w:trPr>
          <w:trHeight w:val="146"/>
        </w:trPr>
        <w:tc>
          <w:tcPr>
            <w:tcW w:w="2620" w:type="dxa"/>
            <w:vAlign w:val="bottom"/>
            <w:tcBorders>
              <w:right w:val="single" w:sz="8" w:color="AFAFAF"/>
            </w:tcBorders>
          </w:tcPr>
          <w:p>
            <w:pPr>
              <w:spacing w:after="0" w:line="146" w:lineRule="exact"/>
              <w:rPr>
                <w:sz w:val="20"/>
                <w:szCs w:val="20"/>
                <w:color w:val="auto"/>
              </w:rPr>
            </w:pPr>
            <w:r>
              <w:rPr>
                <w:rFonts w:ascii="Arial" w:cs="Arial" w:eastAsia="Arial" w:hAnsi="Arial"/>
                <w:sz w:val="14"/>
                <w:szCs w:val="14"/>
                <w:b w:val="1"/>
                <w:bCs w:val="1"/>
                <w:color w:val="auto"/>
              </w:rPr>
              <w:t>Barry Salzberg (Chair)</w:t>
            </w:r>
          </w:p>
        </w:tc>
        <w:tc>
          <w:tcPr>
            <w:tcW w:w="300" w:type="dxa"/>
            <w:vAlign w:val="bottom"/>
          </w:tcPr>
          <w:p>
            <w:pPr>
              <w:ind w:left="200"/>
              <w:spacing w:after="0"/>
              <w:rPr>
                <w:sz w:val="20"/>
                <w:szCs w:val="20"/>
                <w:color w:val="auto"/>
              </w:rPr>
            </w:pPr>
            <w:r>
              <w:rPr>
                <w:rFonts w:ascii="Arial" w:cs="Arial" w:eastAsia="Arial" w:hAnsi="Arial"/>
                <w:sz w:val="9"/>
                <w:szCs w:val="9"/>
                <w:color w:val="D95A3B"/>
              </w:rPr>
              <w:t>·</w:t>
            </w:r>
          </w:p>
        </w:tc>
        <w:tc>
          <w:tcPr>
            <w:tcW w:w="8060" w:type="dxa"/>
            <w:vAlign w:val="bottom"/>
          </w:tcPr>
          <w:p>
            <w:pPr>
              <w:ind w:left="60"/>
              <w:spacing w:after="0" w:line="146" w:lineRule="exact"/>
              <w:rPr>
                <w:sz w:val="20"/>
                <w:szCs w:val="20"/>
                <w:color w:val="auto"/>
              </w:rPr>
            </w:pPr>
            <w:r>
              <w:rPr>
                <w:rFonts w:ascii="Arial" w:cs="Arial" w:eastAsia="Arial" w:hAnsi="Arial"/>
                <w:sz w:val="14"/>
                <w:szCs w:val="14"/>
                <w:color w:val="auto"/>
              </w:rPr>
              <w:t>Former Global Chief Executive Officer of Deloitte Touche Tohmatsu Limited</w:t>
            </w:r>
          </w:p>
        </w:tc>
        <w:tc>
          <w:tcPr>
            <w:tcW w:w="0" w:type="dxa"/>
            <w:vAlign w:val="bottom"/>
          </w:tcPr>
          <w:p>
            <w:pPr>
              <w:spacing w:after="0"/>
              <w:rPr>
                <w:sz w:val="1"/>
                <w:szCs w:val="1"/>
                <w:color w:val="auto"/>
              </w:rPr>
            </w:pPr>
          </w:p>
        </w:tc>
      </w:tr>
      <w:tr>
        <w:trPr>
          <w:trHeight w:val="161"/>
        </w:trPr>
        <w:tc>
          <w:tcPr>
            <w:tcW w:w="2620" w:type="dxa"/>
            <w:vAlign w:val="bottom"/>
            <w:tcBorders>
              <w:right w:val="single" w:sz="8" w:color="AFAFAF"/>
            </w:tcBorders>
          </w:tcPr>
          <w:p>
            <w:pPr>
              <w:spacing w:after="0"/>
              <w:rPr>
                <w:sz w:val="14"/>
                <w:szCs w:val="14"/>
                <w:color w:val="auto"/>
              </w:rPr>
            </w:pPr>
          </w:p>
        </w:tc>
        <w:tc>
          <w:tcPr>
            <w:tcW w:w="300" w:type="dxa"/>
            <w:vAlign w:val="bottom"/>
          </w:tcPr>
          <w:p>
            <w:pPr>
              <w:ind w:left="200"/>
              <w:spacing w:after="0"/>
              <w:rPr>
                <w:sz w:val="20"/>
                <w:szCs w:val="20"/>
                <w:color w:val="auto"/>
              </w:rPr>
            </w:pPr>
            <w:r>
              <w:rPr>
                <w:rFonts w:ascii="Arial" w:cs="Arial" w:eastAsia="Arial" w:hAnsi="Arial"/>
                <w:sz w:val="9"/>
                <w:szCs w:val="9"/>
                <w:color w:val="D95A3B"/>
              </w:rPr>
              <w:t>·</w:t>
            </w:r>
          </w:p>
        </w:tc>
        <w:tc>
          <w:tcPr>
            <w:tcW w:w="8060" w:type="dxa"/>
            <w:vAlign w:val="bottom"/>
          </w:tcPr>
          <w:p>
            <w:pPr>
              <w:ind w:left="60"/>
              <w:spacing w:after="0"/>
              <w:rPr>
                <w:sz w:val="20"/>
                <w:szCs w:val="20"/>
                <w:color w:val="auto"/>
              </w:rPr>
            </w:pPr>
            <w:r>
              <w:rPr>
                <w:rFonts w:ascii="Arial" w:cs="Arial" w:eastAsia="Arial" w:hAnsi="Arial"/>
                <w:sz w:val="14"/>
                <w:szCs w:val="14"/>
                <w:color w:val="auto"/>
              </w:rPr>
              <w:t>Former Professor at Columbia Business School</w:t>
            </w:r>
          </w:p>
        </w:tc>
        <w:tc>
          <w:tcPr>
            <w:tcW w:w="0" w:type="dxa"/>
            <w:vAlign w:val="bottom"/>
          </w:tcPr>
          <w:p>
            <w:pPr>
              <w:spacing w:after="0"/>
              <w:rPr>
                <w:sz w:val="1"/>
                <w:szCs w:val="1"/>
                <w:color w:val="auto"/>
              </w:rPr>
            </w:pPr>
          </w:p>
        </w:tc>
      </w:tr>
      <w:tr>
        <w:trPr>
          <w:trHeight w:val="184"/>
        </w:trPr>
        <w:tc>
          <w:tcPr>
            <w:tcW w:w="2620" w:type="dxa"/>
            <w:vAlign w:val="bottom"/>
            <w:tcBorders>
              <w:bottom w:val="single" w:sz="8" w:color="AFAFAF"/>
              <w:right w:val="single" w:sz="8" w:color="AFAFAF"/>
            </w:tcBorders>
          </w:tcPr>
          <w:p>
            <w:pPr>
              <w:spacing w:after="0"/>
              <w:rPr>
                <w:sz w:val="15"/>
                <w:szCs w:val="15"/>
                <w:color w:val="auto"/>
              </w:rPr>
            </w:pPr>
          </w:p>
        </w:tc>
        <w:tc>
          <w:tcPr>
            <w:tcW w:w="300" w:type="dxa"/>
            <w:vAlign w:val="bottom"/>
            <w:tcBorders>
              <w:bottom w:val="single" w:sz="8" w:color="AFAFAF"/>
            </w:tcBorders>
          </w:tcPr>
          <w:p>
            <w:pPr>
              <w:ind w:left="200"/>
              <w:spacing w:after="0"/>
              <w:rPr>
                <w:sz w:val="20"/>
                <w:szCs w:val="20"/>
                <w:color w:val="auto"/>
              </w:rPr>
            </w:pPr>
            <w:r>
              <w:rPr>
                <w:rFonts w:ascii="Arial" w:cs="Arial" w:eastAsia="Arial" w:hAnsi="Arial"/>
                <w:sz w:val="9"/>
                <w:szCs w:val="9"/>
                <w:color w:val="D95A3B"/>
              </w:rPr>
              <w:t>·</w:t>
            </w:r>
          </w:p>
        </w:tc>
        <w:tc>
          <w:tcPr>
            <w:tcW w:w="8060" w:type="dxa"/>
            <w:vAlign w:val="bottom"/>
            <w:tcBorders>
              <w:bottom w:val="single" w:sz="8" w:color="AFAFAF"/>
            </w:tcBorders>
          </w:tcPr>
          <w:p>
            <w:pPr>
              <w:ind w:left="60"/>
              <w:spacing w:after="0"/>
              <w:rPr>
                <w:sz w:val="20"/>
                <w:szCs w:val="20"/>
                <w:color w:val="auto"/>
              </w:rPr>
            </w:pPr>
            <w:r>
              <w:rPr>
                <w:rFonts w:ascii="Arial" w:cs="Arial" w:eastAsia="Arial" w:hAnsi="Arial"/>
                <w:sz w:val="14"/>
                <w:szCs w:val="14"/>
                <w:color w:val="auto"/>
              </w:rPr>
              <w:t>Degree in accounting from Brooklyn College, JD from Brooklyn Law School and LLM in Tax from New York University</w:t>
            </w:r>
          </w:p>
        </w:tc>
        <w:tc>
          <w:tcPr>
            <w:tcW w:w="0" w:type="dxa"/>
            <w:vAlign w:val="bottom"/>
          </w:tcPr>
          <w:p>
            <w:pPr>
              <w:spacing w:after="0"/>
              <w:rPr>
                <w:sz w:val="1"/>
                <w:szCs w:val="1"/>
                <w:color w:val="auto"/>
              </w:rPr>
            </w:pPr>
          </w:p>
        </w:tc>
      </w:tr>
      <w:tr>
        <w:trPr>
          <w:trHeight w:val="146"/>
        </w:trPr>
        <w:tc>
          <w:tcPr>
            <w:tcW w:w="2620" w:type="dxa"/>
            <w:vAlign w:val="bottom"/>
            <w:tcBorders>
              <w:right w:val="single" w:sz="8" w:color="AFAFAF"/>
            </w:tcBorders>
          </w:tcPr>
          <w:p>
            <w:pPr>
              <w:spacing w:after="0" w:line="146" w:lineRule="exact"/>
              <w:rPr>
                <w:sz w:val="20"/>
                <w:szCs w:val="20"/>
                <w:color w:val="auto"/>
              </w:rPr>
            </w:pPr>
            <w:r>
              <w:rPr>
                <w:rFonts w:ascii="Arial" w:cs="Arial" w:eastAsia="Arial" w:hAnsi="Arial"/>
                <w:sz w:val="14"/>
                <w:szCs w:val="14"/>
                <w:b w:val="1"/>
                <w:bCs w:val="1"/>
                <w:color w:val="auto"/>
              </w:rPr>
              <w:t>Sheila C. Bair</w:t>
            </w:r>
          </w:p>
        </w:tc>
        <w:tc>
          <w:tcPr>
            <w:tcW w:w="300" w:type="dxa"/>
            <w:vAlign w:val="bottom"/>
          </w:tcPr>
          <w:p>
            <w:pPr>
              <w:ind w:left="200"/>
              <w:spacing w:after="0"/>
              <w:rPr>
                <w:sz w:val="20"/>
                <w:szCs w:val="20"/>
                <w:color w:val="auto"/>
              </w:rPr>
            </w:pPr>
            <w:r>
              <w:rPr>
                <w:rFonts w:ascii="Arial" w:cs="Arial" w:eastAsia="Arial" w:hAnsi="Arial"/>
                <w:sz w:val="9"/>
                <w:szCs w:val="9"/>
                <w:color w:val="D95A3B"/>
              </w:rPr>
              <w:t>·</w:t>
            </w:r>
          </w:p>
        </w:tc>
        <w:tc>
          <w:tcPr>
            <w:tcW w:w="8060" w:type="dxa"/>
            <w:vAlign w:val="bottom"/>
          </w:tcPr>
          <w:p>
            <w:pPr>
              <w:ind w:left="60"/>
              <w:spacing w:after="0" w:line="146" w:lineRule="exact"/>
              <w:rPr>
                <w:sz w:val="20"/>
                <w:szCs w:val="20"/>
                <w:color w:val="auto"/>
              </w:rPr>
            </w:pPr>
            <w:r>
              <w:rPr>
                <w:rFonts w:ascii="Arial" w:cs="Arial" w:eastAsia="Arial" w:hAnsi="Arial"/>
                <w:sz w:val="14"/>
                <w:szCs w:val="14"/>
                <w:color w:val="auto"/>
              </w:rPr>
              <w:t>Former Chair of the Federal Deposit Insurance Corporation (FDIC)</w:t>
            </w:r>
          </w:p>
        </w:tc>
        <w:tc>
          <w:tcPr>
            <w:tcW w:w="0" w:type="dxa"/>
            <w:vAlign w:val="bottom"/>
          </w:tcPr>
          <w:p>
            <w:pPr>
              <w:spacing w:after="0"/>
              <w:rPr>
                <w:sz w:val="1"/>
                <w:szCs w:val="1"/>
                <w:color w:val="auto"/>
              </w:rPr>
            </w:pPr>
          </w:p>
        </w:tc>
      </w:tr>
      <w:tr>
        <w:trPr>
          <w:trHeight w:val="175"/>
        </w:trPr>
        <w:tc>
          <w:tcPr>
            <w:tcW w:w="2620" w:type="dxa"/>
            <w:vAlign w:val="bottom"/>
            <w:tcBorders>
              <w:right w:val="single" w:sz="8" w:color="AFAFAF"/>
            </w:tcBorders>
          </w:tcPr>
          <w:p>
            <w:pPr>
              <w:spacing w:after="0"/>
              <w:rPr>
                <w:sz w:val="15"/>
                <w:szCs w:val="15"/>
                <w:color w:val="auto"/>
              </w:rPr>
            </w:pPr>
          </w:p>
        </w:tc>
        <w:tc>
          <w:tcPr>
            <w:tcW w:w="300" w:type="dxa"/>
            <w:vAlign w:val="bottom"/>
          </w:tcPr>
          <w:p>
            <w:pPr>
              <w:ind w:left="200"/>
              <w:spacing w:after="0"/>
              <w:rPr>
                <w:sz w:val="20"/>
                <w:szCs w:val="20"/>
                <w:color w:val="auto"/>
              </w:rPr>
            </w:pPr>
            <w:r>
              <w:rPr>
                <w:rFonts w:ascii="Arial" w:cs="Arial" w:eastAsia="Arial" w:hAnsi="Arial"/>
                <w:sz w:val="9"/>
                <w:szCs w:val="9"/>
                <w:color w:val="D95A3B"/>
              </w:rPr>
              <w:t>·</w:t>
            </w:r>
          </w:p>
        </w:tc>
        <w:tc>
          <w:tcPr>
            <w:tcW w:w="8060" w:type="dxa"/>
            <w:vAlign w:val="bottom"/>
          </w:tcPr>
          <w:p>
            <w:pPr>
              <w:ind w:left="60"/>
              <w:spacing w:after="0"/>
              <w:rPr>
                <w:sz w:val="20"/>
                <w:szCs w:val="20"/>
                <w:color w:val="auto"/>
              </w:rPr>
            </w:pPr>
            <w:r>
              <w:rPr>
                <w:rFonts w:ascii="Arial" w:cs="Arial" w:eastAsia="Arial" w:hAnsi="Arial"/>
                <w:sz w:val="14"/>
                <w:szCs w:val="14"/>
                <w:color w:val="auto"/>
              </w:rPr>
              <w:t>Former Dean’s Professor of Financial Regulatory Policy for the Isenberg School of Management at the University of</w:t>
            </w:r>
          </w:p>
        </w:tc>
        <w:tc>
          <w:tcPr>
            <w:tcW w:w="0" w:type="dxa"/>
            <w:vAlign w:val="bottom"/>
          </w:tcPr>
          <w:p>
            <w:pPr>
              <w:spacing w:after="0"/>
              <w:rPr>
                <w:sz w:val="1"/>
                <w:szCs w:val="1"/>
                <w:color w:val="auto"/>
              </w:rPr>
            </w:pPr>
          </w:p>
        </w:tc>
      </w:tr>
      <w:tr>
        <w:trPr>
          <w:trHeight w:val="162"/>
        </w:trPr>
        <w:tc>
          <w:tcPr>
            <w:tcW w:w="2620" w:type="dxa"/>
            <w:vAlign w:val="bottom"/>
            <w:tcBorders>
              <w:right w:val="single" w:sz="8" w:color="AFAFAF"/>
            </w:tcBorders>
          </w:tcPr>
          <w:p>
            <w:pPr>
              <w:spacing w:after="0"/>
              <w:rPr>
                <w:sz w:val="14"/>
                <w:szCs w:val="14"/>
                <w:color w:val="auto"/>
              </w:rPr>
            </w:pPr>
          </w:p>
        </w:tc>
        <w:tc>
          <w:tcPr>
            <w:tcW w:w="300" w:type="dxa"/>
            <w:vAlign w:val="bottom"/>
            <w:vMerge w:val="restart"/>
          </w:tcPr>
          <w:p>
            <w:pPr>
              <w:ind w:left="200"/>
              <w:spacing w:after="0"/>
              <w:rPr>
                <w:sz w:val="20"/>
                <w:szCs w:val="20"/>
                <w:color w:val="auto"/>
              </w:rPr>
            </w:pPr>
            <w:r>
              <w:rPr>
                <w:rFonts w:ascii="Arial" w:cs="Arial" w:eastAsia="Arial" w:hAnsi="Arial"/>
                <w:sz w:val="9"/>
                <w:szCs w:val="9"/>
                <w:color w:val="D95A3B"/>
              </w:rPr>
              <w:t>·</w:t>
            </w:r>
          </w:p>
        </w:tc>
        <w:tc>
          <w:tcPr>
            <w:tcW w:w="8060" w:type="dxa"/>
            <w:vAlign w:val="bottom"/>
          </w:tcPr>
          <w:p>
            <w:pPr>
              <w:ind w:left="120"/>
              <w:spacing w:after="0"/>
              <w:rPr>
                <w:sz w:val="20"/>
                <w:szCs w:val="20"/>
                <w:color w:val="auto"/>
              </w:rPr>
            </w:pPr>
            <w:r>
              <w:rPr>
                <w:rFonts w:ascii="Arial" w:cs="Arial" w:eastAsia="Arial" w:hAnsi="Arial"/>
                <w:sz w:val="14"/>
                <w:szCs w:val="14"/>
                <w:color w:val="auto"/>
              </w:rPr>
              <w:t>Massachusetts-Amherst</w:t>
            </w:r>
          </w:p>
        </w:tc>
        <w:tc>
          <w:tcPr>
            <w:tcW w:w="0" w:type="dxa"/>
            <w:vAlign w:val="bottom"/>
          </w:tcPr>
          <w:p>
            <w:pPr>
              <w:spacing w:after="0"/>
              <w:rPr>
                <w:sz w:val="1"/>
                <w:szCs w:val="1"/>
                <w:color w:val="auto"/>
              </w:rPr>
            </w:pPr>
          </w:p>
        </w:tc>
      </w:tr>
      <w:tr>
        <w:trPr>
          <w:trHeight w:val="148"/>
        </w:trPr>
        <w:tc>
          <w:tcPr>
            <w:tcW w:w="2620" w:type="dxa"/>
            <w:vAlign w:val="bottom"/>
            <w:tcBorders>
              <w:right w:val="single" w:sz="8" w:color="AFAFAF"/>
            </w:tcBorders>
          </w:tcPr>
          <w:p>
            <w:pPr>
              <w:spacing w:after="0"/>
              <w:rPr>
                <w:sz w:val="12"/>
                <w:szCs w:val="12"/>
                <w:color w:val="auto"/>
              </w:rPr>
            </w:pPr>
          </w:p>
        </w:tc>
        <w:tc>
          <w:tcPr>
            <w:tcW w:w="300" w:type="dxa"/>
            <w:vAlign w:val="bottom"/>
            <w:vMerge w:val="continue"/>
          </w:tcPr>
          <w:p>
            <w:pPr>
              <w:spacing w:after="0"/>
              <w:rPr>
                <w:sz w:val="12"/>
                <w:szCs w:val="12"/>
                <w:color w:val="auto"/>
              </w:rPr>
            </w:pPr>
          </w:p>
        </w:tc>
        <w:tc>
          <w:tcPr>
            <w:tcW w:w="8060" w:type="dxa"/>
            <w:vAlign w:val="bottom"/>
          </w:tcPr>
          <w:p>
            <w:pPr>
              <w:ind w:left="60"/>
              <w:spacing w:after="0" w:line="148" w:lineRule="exact"/>
              <w:rPr>
                <w:sz w:val="20"/>
                <w:szCs w:val="20"/>
                <w:color w:val="auto"/>
              </w:rPr>
            </w:pPr>
            <w:r>
              <w:rPr>
                <w:rFonts w:ascii="Arial" w:cs="Arial" w:eastAsia="Arial" w:hAnsi="Arial"/>
                <w:sz w:val="14"/>
                <w:szCs w:val="14"/>
                <w:color w:val="auto"/>
              </w:rPr>
              <w:t>Former Assistant Secretary for Financial Institutions at the U.S. Department of the Treasury</w:t>
            </w:r>
          </w:p>
        </w:tc>
        <w:tc>
          <w:tcPr>
            <w:tcW w:w="0" w:type="dxa"/>
            <w:vAlign w:val="bottom"/>
          </w:tcPr>
          <w:p>
            <w:pPr>
              <w:spacing w:after="0"/>
              <w:rPr>
                <w:sz w:val="1"/>
                <w:szCs w:val="1"/>
                <w:color w:val="auto"/>
              </w:rPr>
            </w:pPr>
          </w:p>
        </w:tc>
      </w:tr>
      <w:tr>
        <w:trPr>
          <w:trHeight w:val="161"/>
        </w:trPr>
        <w:tc>
          <w:tcPr>
            <w:tcW w:w="2620" w:type="dxa"/>
            <w:vAlign w:val="bottom"/>
            <w:tcBorders>
              <w:right w:val="single" w:sz="8" w:color="AFAFAF"/>
            </w:tcBorders>
          </w:tcPr>
          <w:p>
            <w:pPr>
              <w:spacing w:after="0"/>
              <w:rPr>
                <w:sz w:val="14"/>
                <w:szCs w:val="14"/>
                <w:color w:val="auto"/>
              </w:rPr>
            </w:pPr>
          </w:p>
        </w:tc>
        <w:tc>
          <w:tcPr>
            <w:tcW w:w="300" w:type="dxa"/>
            <w:vAlign w:val="bottom"/>
          </w:tcPr>
          <w:p>
            <w:pPr>
              <w:ind w:left="200"/>
              <w:spacing w:after="0"/>
              <w:rPr>
                <w:sz w:val="20"/>
                <w:szCs w:val="20"/>
                <w:color w:val="auto"/>
              </w:rPr>
            </w:pPr>
            <w:r>
              <w:rPr>
                <w:rFonts w:ascii="Arial" w:cs="Arial" w:eastAsia="Arial" w:hAnsi="Arial"/>
                <w:sz w:val="9"/>
                <w:szCs w:val="9"/>
                <w:color w:val="D95A3B"/>
              </w:rPr>
              <w:t>·</w:t>
            </w:r>
          </w:p>
        </w:tc>
        <w:tc>
          <w:tcPr>
            <w:tcW w:w="8060" w:type="dxa"/>
            <w:vAlign w:val="bottom"/>
          </w:tcPr>
          <w:p>
            <w:pPr>
              <w:ind w:left="60"/>
              <w:spacing w:after="0"/>
              <w:rPr>
                <w:sz w:val="20"/>
                <w:szCs w:val="20"/>
                <w:color w:val="auto"/>
              </w:rPr>
            </w:pPr>
            <w:r>
              <w:rPr>
                <w:rFonts w:ascii="Arial" w:cs="Arial" w:eastAsia="Arial" w:hAnsi="Arial"/>
                <w:sz w:val="14"/>
                <w:szCs w:val="14"/>
                <w:color w:val="auto"/>
              </w:rPr>
              <w:t>Former Senior Vice President for Government Relations of the New York Stock Exchange</w:t>
            </w:r>
          </w:p>
        </w:tc>
        <w:tc>
          <w:tcPr>
            <w:tcW w:w="0" w:type="dxa"/>
            <w:vAlign w:val="bottom"/>
          </w:tcPr>
          <w:p>
            <w:pPr>
              <w:spacing w:after="0"/>
              <w:rPr>
                <w:sz w:val="1"/>
                <w:szCs w:val="1"/>
                <w:color w:val="auto"/>
              </w:rPr>
            </w:pPr>
          </w:p>
        </w:tc>
      </w:tr>
      <w:tr>
        <w:trPr>
          <w:trHeight w:val="184"/>
        </w:trPr>
        <w:tc>
          <w:tcPr>
            <w:tcW w:w="2620" w:type="dxa"/>
            <w:vAlign w:val="bottom"/>
            <w:tcBorders>
              <w:bottom w:val="single" w:sz="8" w:color="AFAFAF"/>
              <w:right w:val="single" w:sz="8" w:color="AFAFAF"/>
            </w:tcBorders>
          </w:tcPr>
          <w:p>
            <w:pPr>
              <w:spacing w:after="0"/>
              <w:rPr>
                <w:sz w:val="15"/>
                <w:szCs w:val="15"/>
                <w:color w:val="auto"/>
              </w:rPr>
            </w:pPr>
          </w:p>
        </w:tc>
        <w:tc>
          <w:tcPr>
            <w:tcW w:w="300" w:type="dxa"/>
            <w:vAlign w:val="bottom"/>
            <w:tcBorders>
              <w:bottom w:val="single" w:sz="8" w:color="AFAFAF"/>
            </w:tcBorders>
          </w:tcPr>
          <w:p>
            <w:pPr>
              <w:ind w:left="200"/>
              <w:spacing w:after="0"/>
              <w:rPr>
                <w:sz w:val="20"/>
                <w:szCs w:val="20"/>
                <w:color w:val="auto"/>
              </w:rPr>
            </w:pPr>
            <w:r>
              <w:rPr>
                <w:rFonts w:ascii="Arial" w:cs="Arial" w:eastAsia="Arial" w:hAnsi="Arial"/>
                <w:sz w:val="9"/>
                <w:szCs w:val="9"/>
                <w:color w:val="D95A3B"/>
              </w:rPr>
              <w:t>·</w:t>
            </w:r>
          </w:p>
        </w:tc>
        <w:tc>
          <w:tcPr>
            <w:tcW w:w="8060" w:type="dxa"/>
            <w:vAlign w:val="bottom"/>
            <w:tcBorders>
              <w:bottom w:val="single" w:sz="8" w:color="AFAFAF"/>
            </w:tcBorders>
          </w:tcPr>
          <w:p>
            <w:pPr>
              <w:ind w:left="60"/>
              <w:spacing w:after="0"/>
              <w:rPr>
                <w:sz w:val="20"/>
                <w:szCs w:val="20"/>
                <w:color w:val="auto"/>
              </w:rPr>
            </w:pPr>
            <w:r>
              <w:rPr>
                <w:rFonts w:ascii="Arial" w:cs="Arial" w:eastAsia="Arial" w:hAnsi="Arial"/>
                <w:sz w:val="14"/>
                <w:szCs w:val="14"/>
                <w:color w:val="auto"/>
              </w:rPr>
              <w:t>Former Commissioner of the Commodity Futures Trading Commission</w:t>
            </w:r>
          </w:p>
        </w:tc>
        <w:tc>
          <w:tcPr>
            <w:tcW w:w="0" w:type="dxa"/>
            <w:vAlign w:val="bottom"/>
          </w:tcPr>
          <w:p>
            <w:pPr>
              <w:spacing w:after="0"/>
              <w:rPr>
                <w:sz w:val="1"/>
                <w:szCs w:val="1"/>
                <w:color w:val="auto"/>
              </w:rPr>
            </w:pPr>
          </w:p>
        </w:tc>
      </w:tr>
      <w:tr>
        <w:trPr>
          <w:trHeight w:val="146"/>
        </w:trPr>
        <w:tc>
          <w:tcPr>
            <w:tcW w:w="2620" w:type="dxa"/>
            <w:vAlign w:val="bottom"/>
            <w:tcBorders>
              <w:right w:val="single" w:sz="8" w:color="AFAFAF"/>
            </w:tcBorders>
          </w:tcPr>
          <w:p>
            <w:pPr>
              <w:spacing w:after="0" w:line="146" w:lineRule="exact"/>
              <w:rPr>
                <w:sz w:val="20"/>
                <w:szCs w:val="20"/>
                <w:color w:val="auto"/>
              </w:rPr>
            </w:pPr>
            <w:r>
              <w:rPr>
                <w:rFonts w:ascii="Arial" w:cs="Arial" w:eastAsia="Arial" w:hAnsi="Arial"/>
                <w:sz w:val="14"/>
                <w:szCs w:val="14"/>
                <w:b w:val="1"/>
                <w:bCs w:val="1"/>
                <w:color w:val="auto"/>
              </w:rPr>
              <w:t>Michael E. Daniels</w:t>
            </w:r>
          </w:p>
        </w:tc>
        <w:tc>
          <w:tcPr>
            <w:tcW w:w="300" w:type="dxa"/>
            <w:vAlign w:val="bottom"/>
          </w:tcPr>
          <w:p>
            <w:pPr>
              <w:ind w:left="200"/>
              <w:spacing w:after="0"/>
              <w:rPr>
                <w:sz w:val="20"/>
                <w:szCs w:val="20"/>
                <w:color w:val="auto"/>
              </w:rPr>
            </w:pPr>
            <w:r>
              <w:rPr>
                <w:rFonts w:ascii="Arial" w:cs="Arial" w:eastAsia="Arial" w:hAnsi="Arial"/>
                <w:sz w:val="9"/>
                <w:szCs w:val="9"/>
                <w:color w:val="D95A3B"/>
              </w:rPr>
              <w:t>·</w:t>
            </w:r>
          </w:p>
        </w:tc>
        <w:tc>
          <w:tcPr>
            <w:tcW w:w="8060" w:type="dxa"/>
            <w:vAlign w:val="bottom"/>
          </w:tcPr>
          <w:p>
            <w:pPr>
              <w:ind w:left="60"/>
              <w:spacing w:after="0" w:line="146" w:lineRule="exact"/>
              <w:rPr>
                <w:sz w:val="20"/>
                <w:szCs w:val="20"/>
                <w:color w:val="auto"/>
              </w:rPr>
            </w:pPr>
            <w:r>
              <w:rPr>
                <w:rFonts w:ascii="Arial" w:cs="Arial" w:eastAsia="Arial" w:hAnsi="Arial"/>
                <w:sz w:val="14"/>
                <w:szCs w:val="14"/>
                <w:color w:val="auto"/>
              </w:rPr>
              <w:t>Over 25 years of executive experience at IBM</w:t>
            </w:r>
          </w:p>
        </w:tc>
        <w:tc>
          <w:tcPr>
            <w:tcW w:w="0" w:type="dxa"/>
            <w:vAlign w:val="bottom"/>
          </w:tcPr>
          <w:p>
            <w:pPr>
              <w:spacing w:after="0"/>
              <w:rPr>
                <w:sz w:val="1"/>
                <w:szCs w:val="1"/>
                <w:color w:val="auto"/>
              </w:rPr>
            </w:pPr>
          </w:p>
        </w:tc>
      </w:tr>
      <w:tr>
        <w:trPr>
          <w:trHeight w:val="161"/>
        </w:trPr>
        <w:tc>
          <w:tcPr>
            <w:tcW w:w="2620" w:type="dxa"/>
            <w:vAlign w:val="bottom"/>
            <w:tcBorders>
              <w:right w:val="single" w:sz="8" w:color="AFAFAF"/>
            </w:tcBorders>
          </w:tcPr>
          <w:p>
            <w:pPr>
              <w:spacing w:after="0"/>
              <w:rPr>
                <w:sz w:val="14"/>
                <w:szCs w:val="14"/>
                <w:color w:val="auto"/>
              </w:rPr>
            </w:pPr>
          </w:p>
        </w:tc>
        <w:tc>
          <w:tcPr>
            <w:tcW w:w="300" w:type="dxa"/>
            <w:vAlign w:val="bottom"/>
          </w:tcPr>
          <w:p>
            <w:pPr>
              <w:ind w:left="200"/>
              <w:spacing w:after="0"/>
              <w:rPr>
                <w:sz w:val="20"/>
                <w:szCs w:val="20"/>
                <w:color w:val="auto"/>
              </w:rPr>
            </w:pPr>
            <w:r>
              <w:rPr>
                <w:rFonts w:ascii="Arial" w:cs="Arial" w:eastAsia="Arial" w:hAnsi="Arial"/>
                <w:sz w:val="9"/>
                <w:szCs w:val="9"/>
                <w:color w:val="D95A3B"/>
              </w:rPr>
              <w:t>·</w:t>
            </w:r>
          </w:p>
        </w:tc>
        <w:tc>
          <w:tcPr>
            <w:tcW w:w="8060" w:type="dxa"/>
            <w:vAlign w:val="bottom"/>
          </w:tcPr>
          <w:p>
            <w:pPr>
              <w:ind w:left="60"/>
              <w:spacing w:after="0"/>
              <w:rPr>
                <w:sz w:val="20"/>
                <w:szCs w:val="20"/>
                <w:color w:val="auto"/>
              </w:rPr>
            </w:pPr>
            <w:r>
              <w:rPr>
                <w:rFonts w:ascii="Arial" w:cs="Arial" w:eastAsia="Arial" w:hAnsi="Arial"/>
                <w:sz w:val="14"/>
                <w:szCs w:val="14"/>
                <w:color w:val="auto"/>
              </w:rPr>
              <w:t>Former member of the Tyco International Ltd. audit committee</w:t>
            </w:r>
          </w:p>
        </w:tc>
        <w:tc>
          <w:tcPr>
            <w:tcW w:w="0" w:type="dxa"/>
            <w:vAlign w:val="bottom"/>
          </w:tcPr>
          <w:p>
            <w:pPr>
              <w:spacing w:after="0"/>
              <w:rPr>
                <w:sz w:val="1"/>
                <w:szCs w:val="1"/>
                <w:color w:val="auto"/>
              </w:rPr>
            </w:pPr>
          </w:p>
        </w:tc>
      </w:tr>
      <w:tr>
        <w:trPr>
          <w:trHeight w:val="184"/>
        </w:trPr>
        <w:tc>
          <w:tcPr>
            <w:tcW w:w="2620" w:type="dxa"/>
            <w:vAlign w:val="bottom"/>
            <w:tcBorders>
              <w:bottom w:val="single" w:sz="8" w:color="AFAFAF"/>
              <w:right w:val="single" w:sz="8" w:color="AFAFAF"/>
            </w:tcBorders>
          </w:tcPr>
          <w:p>
            <w:pPr>
              <w:spacing w:after="0"/>
              <w:rPr>
                <w:sz w:val="15"/>
                <w:szCs w:val="15"/>
                <w:color w:val="auto"/>
              </w:rPr>
            </w:pPr>
          </w:p>
        </w:tc>
        <w:tc>
          <w:tcPr>
            <w:tcW w:w="300" w:type="dxa"/>
            <w:vAlign w:val="bottom"/>
            <w:tcBorders>
              <w:bottom w:val="single" w:sz="8" w:color="AFAFAF"/>
            </w:tcBorders>
          </w:tcPr>
          <w:p>
            <w:pPr>
              <w:ind w:left="200"/>
              <w:spacing w:after="0"/>
              <w:rPr>
                <w:sz w:val="20"/>
                <w:szCs w:val="20"/>
                <w:color w:val="auto"/>
              </w:rPr>
            </w:pPr>
            <w:r>
              <w:rPr>
                <w:rFonts w:ascii="Arial" w:cs="Arial" w:eastAsia="Arial" w:hAnsi="Arial"/>
                <w:sz w:val="9"/>
                <w:szCs w:val="9"/>
                <w:color w:val="D95A3B"/>
              </w:rPr>
              <w:t>·</w:t>
            </w:r>
          </w:p>
        </w:tc>
        <w:tc>
          <w:tcPr>
            <w:tcW w:w="8060" w:type="dxa"/>
            <w:vAlign w:val="bottom"/>
            <w:tcBorders>
              <w:bottom w:val="single" w:sz="8" w:color="AFAFAF"/>
            </w:tcBorders>
          </w:tcPr>
          <w:p>
            <w:pPr>
              <w:ind w:left="60"/>
              <w:spacing w:after="0"/>
              <w:rPr>
                <w:sz w:val="20"/>
                <w:szCs w:val="20"/>
                <w:color w:val="auto"/>
              </w:rPr>
            </w:pPr>
            <w:r>
              <w:rPr>
                <w:rFonts w:ascii="Arial" w:cs="Arial" w:eastAsia="Arial" w:hAnsi="Arial"/>
                <w:sz w:val="14"/>
                <w:szCs w:val="14"/>
                <w:color w:val="auto"/>
              </w:rPr>
              <w:t>Member of SS&amp;C Technologies Holdings, Inc. and Johnson Controls International plc boards of directors</w:t>
            </w:r>
          </w:p>
        </w:tc>
        <w:tc>
          <w:tcPr>
            <w:tcW w:w="0" w:type="dxa"/>
            <w:vAlign w:val="bottom"/>
          </w:tcPr>
          <w:p>
            <w:pPr>
              <w:spacing w:after="0"/>
              <w:rPr>
                <w:sz w:val="1"/>
                <w:szCs w:val="1"/>
                <w:color w:val="auto"/>
              </w:rPr>
            </w:pPr>
          </w:p>
        </w:tc>
      </w:tr>
      <w:tr>
        <w:trPr>
          <w:trHeight w:val="146"/>
        </w:trPr>
        <w:tc>
          <w:tcPr>
            <w:tcW w:w="2620" w:type="dxa"/>
            <w:vAlign w:val="bottom"/>
            <w:tcBorders>
              <w:right w:val="single" w:sz="8" w:color="AFAFAF"/>
            </w:tcBorders>
          </w:tcPr>
          <w:p>
            <w:pPr>
              <w:spacing w:after="0" w:line="146" w:lineRule="exact"/>
              <w:rPr>
                <w:sz w:val="20"/>
                <w:szCs w:val="20"/>
                <w:color w:val="auto"/>
              </w:rPr>
            </w:pPr>
            <w:r>
              <w:rPr>
                <w:rFonts w:ascii="Arial" w:cs="Arial" w:eastAsia="Arial" w:hAnsi="Arial"/>
                <w:sz w:val="14"/>
                <w:szCs w:val="14"/>
                <w:b w:val="1"/>
                <w:bCs w:val="1"/>
                <w:color w:val="auto"/>
              </w:rPr>
              <w:t>Vance K. Opperman</w:t>
            </w:r>
          </w:p>
        </w:tc>
        <w:tc>
          <w:tcPr>
            <w:tcW w:w="300" w:type="dxa"/>
            <w:vAlign w:val="bottom"/>
          </w:tcPr>
          <w:p>
            <w:pPr>
              <w:ind w:left="200"/>
              <w:spacing w:after="0"/>
              <w:rPr>
                <w:sz w:val="20"/>
                <w:szCs w:val="20"/>
                <w:color w:val="auto"/>
              </w:rPr>
            </w:pPr>
            <w:r>
              <w:rPr>
                <w:rFonts w:ascii="Arial" w:cs="Arial" w:eastAsia="Arial" w:hAnsi="Arial"/>
                <w:sz w:val="9"/>
                <w:szCs w:val="9"/>
                <w:color w:val="D95A3B"/>
              </w:rPr>
              <w:t>·</w:t>
            </w:r>
          </w:p>
        </w:tc>
        <w:tc>
          <w:tcPr>
            <w:tcW w:w="8060" w:type="dxa"/>
            <w:vAlign w:val="bottom"/>
          </w:tcPr>
          <w:p>
            <w:pPr>
              <w:ind w:left="60"/>
              <w:spacing w:after="0" w:line="146" w:lineRule="exact"/>
              <w:rPr>
                <w:sz w:val="20"/>
                <w:szCs w:val="20"/>
                <w:color w:val="auto"/>
              </w:rPr>
            </w:pPr>
            <w:r>
              <w:rPr>
                <w:rFonts w:ascii="Arial" w:cs="Arial" w:eastAsia="Arial" w:hAnsi="Arial"/>
                <w:sz w:val="14"/>
                <w:szCs w:val="14"/>
                <w:color w:val="auto"/>
              </w:rPr>
              <w:t>Former President and COO of West Publishing Company</w:t>
            </w:r>
          </w:p>
        </w:tc>
        <w:tc>
          <w:tcPr>
            <w:tcW w:w="0" w:type="dxa"/>
            <w:vAlign w:val="bottom"/>
          </w:tcPr>
          <w:p>
            <w:pPr>
              <w:spacing w:after="0"/>
              <w:rPr>
                <w:sz w:val="1"/>
                <w:szCs w:val="1"/>
                <w:color w:val="auto"/>
              </w:rPr>
            </w:pPr>
          </w:p>
        </w:tc>
      </w:tr>
      <w:tr>
        <w:trPr>
          <w:trHeight w:val="161"/>
        </w:trPr>
        <w:tc>
          <w:tcPr>
            <w:tcW w:w="2620" w:type="dxa"/>
            <w:vAlign w:val="bottom"/>
            <w:tcBorders>
              <w:right w:val="single" w:sz="8" w:color="AFAFAF"/>
            </w:tcBorders>
          </w:tcPr>
          <w:p>
            <w:pPr>
              <w:spacing w:after="0"/>
              <w:rPr>
                <w:sz w:val="14"/>
                <w:szCs w:val="14"/>
                <w:color w:val="auto"/>
              </w:rPr>
            </w:pPr>
          </w:p>
        </w:tc>
        <w:tc>
          <w:tcPr>
            <w:tcW w:w="300" w:type="dxa"/>
            <w:vAlign w:val="bottom"/>
          </w:tcPr>
          <w:p>
            <w:pPr>
              <w:ind w:left="200"/>
              <w:spacing w:after="0"/>
              <w:rPr>
                <w:sz w:val="20"/>
                <w:szCs w:val="20"/>
                <w:color w:val="auto"/>
              </w:rPr>
            </w:pPr>
            <w:r>
              <w:rPr>
                <w:rFonts w:ascii="Arial" w:cs="Arial" w:eastAsia="Arial" w:hAnsi="Arial"/>
                <w:sz w:val="9"/>
                <w:szCs w:val="9"/>
                <w:color w:val="D95A3B"/>
              </w:rPr>
              <w:t>·</w:t>
            </w:r>
          </w:p>
        </w:tc>
        <w:tc>
          <w:tcPr>
            <w:tcW w:w="8060" w:type="dxa"/>
            <w:vAlign w:val="bottom"/>
          </w:tcPr>
          <w:p>
            <w:pPr>
              <w:ind w:left="60"/>
              <w:spacing w:after="0"/>
              <w:rPr>
                <w:sz w:val="20"/>
                <w:szCs w:val="20"/>
                <w:color w:val="auto"/>
              </w:rPr>
            </w:pPr>
            <w:r>
              <w:rPr>
                <w:rFonts w:ascii="Arial" w:cs="Arial" w:eastAsia="Arial" w:hAnsi="Arial"/>
                <w:sz w:val="14"/>
                <w:szCs w:val="14"/>
                <w:color w:val="auto"/>
              </w:rPr>
              <w:t>President and CEO of Key Investment, Inc.</w:t>
            </w:r>
          </w:p>
        </w:tc>
        <w:tc>
          <w:tcPr>
            <w:tcW w:w="0" w:type="dxa"/>
            <w:vAlign w:val="bottom"/>
          </w:tcPr>
          <w:p>
            <w:pPr>
              <w:spacing w:after="0"/>
              <w:rPr>
                <w:sz w:val="1"/>
                <w:szCs w:val="1"/>
                <w:color w:val="auto"/>
              </w:rPr>
            </w:pPr>
          </w:p>
        </w:tc>
      </w:tr>
      <w:tr>
        <w:trPr>
          <w:trHeight w:val="162"/>
        </w:trPr>
        <w:tc>
          <w:tcPr>
            <w:tcW w:w="2620" w:type="dxa"/>
            <w:vAlign w:val="bottom"/>
            <w:tcBorders>
              <w:right w:val="single" w:sz="8" w:color="AFAFAF"/>
            </w:tcBorders>
          </w:tcPr>
          <w:p>
            <w:pPr>
              <w:spacing w:after="0"/>
              <w:rPr>
                <w:sz w:val="14"/>
                <w:szCs w:val="14"/>
                <w:color w:val="auto"/>
              </w:rPr>
            </w:pPr>
          </w:p>
        </w:tc>
        <w:tc>
          <w:tcPr>
            <w:tcW w:w="300" w:type="dxa"/>
            <w:vAlign w:val="bottom"/>
          </w:tcPr>
          <w:p>
            <w:pPr>
              <w:ind w:left="200"/>
              <w:spacing w:after="0"/>
              <w:rPr>
                <w:sz w:val="20"/>
                <w:szCs w:val="20"/>
                <w:color w:val="auto"/>
              </w:rPr>
            </w:pPr>
            <w:r>
              <w:rPr>
                <w:rFonts w:ascii="Arial" w:cs="Arial" w:eastAsia="Arial" w:hAnsi="Arial"/>
                <w:sz w:val="9"/>
                <w:szCs w:val="9"/>
                <w:color w:val="D95A3B"/>
              </w:rPr>
              <w:t>·</w:t>
            </w:r>
          </w:p>
        </w:tc>
        <w:tc>
          <w:tcPr>
            <w:tcW w:w="8060" w:type="dxa"/>
            <w:vAlign w:val="bottom"/>
          </w:tcPr>
          <w:p>
            <w:pPr>
              <w:ind w:left="60"/>
              <w:spacing w:after="0"/>
              <w:rPr>
                <w:sz w:val="20"/>
                <w:szCs w:val="20"/>
                <w:color w:val="auto"/>
              </w:rPr>
            </w:pPr>
            <w:r>
              <w:rPr>
                <w:rFonts w:ascii="Arial" w:cs="Arial" w:eastAsia="Arial" w:hAnsi="Arial"/>
                <w:sz w:val="14"/>
                <w:szCs w:val="14"/>
                <w:color w:val="auto"/>
              </w:rPr>
              <w:t>Former Chair of Audit Committee of Thomson Reuters for over 15 years</w:t>
            </w:r>
          </w:p>
        </w:tc>
        <w:tc>
          <w:tcPr>
            <w:tcW w:w="0" w:type="dxa"/>
            <w:vAlign w:val="bottom"/>
          </w:tcPr>
          <w:p>
            <w:pPr>
              <w:spacing w:after="0"/>
              <w:rPr>
                <w:sz w:val="1"/>
                <w:szCs w:val="1"/>
                <w:color w:val="auto"/>
              </w:rPr>
            </w:pPr>
          </w:p>
        </w:tc>
      </w:tr>
      <w:tr>
        <w:trPr>
          <w:trHeight w:val="161"/>
        </w:trPr>
        <w:tc>
          <w:tcPr>
            <w:tcW w:w="2620" w:type="dxa"/>
            <w:vAlign w:val="bottom"/>
            <w:tcBorders>
              <w:right w:val="single" w:sz="8" w:color="AFAFAF"/>
            </w:tcBorders>
          </w:tcPr>
          <w:p>
            <w:pPr>
              <w:spacing w:after="0"/>
              <w:rPr>
                <w:sz w:val="14"/>
                <w:szCs w:val="14"/>
                <w:color w:val="auto"/>
              </w:rPr>
            </w:pPr>
          </w:p>
        </w:tc>
        <w:tc>
          <w:tcPr>
            <w:tcW w:w="300" w:type="dxa"/>
            <w:vAlign w:val="bottom"/>
          </w:tcPr>
          <w:p>
            <w:pPr>
              <w:ind w:left="200"/>
              <w:spacing w:after="0"/>
              <w:rPr>
                <w:sz w:val="20"/>
                <w:szCs w:val="20"/>
                <w:color w:val="auto"/>
              </w:rPr>
            </w:pPr>
            <w:r>
              <w:rPr>
                <w:rFonts w:ascii="Arial" w:cs="Arial" w:eastAsia="Arial" w:hAnsi="Arial"/>
                <w:sz w:val="9"/>
                <w:szCs w:val="9"/>
                <w:color w:val="D95A3B"/>
              </w:rPr>
              <w:t>·</w:t>
            </w:r>
          </w:p>
        </w:tc>
        <w:tc>
          <w:tcPr>
            <w:tcW w:w="8060" w:type="dxa"/>
            <w:vAlign w:val="bottom"/>
          </w:tcPr>
          <w:p>
            <w:pPr>
              <w:ind w:left="60"/>
              <w:spacing w:after="0"/>
              <w:rPr>
                <w:sz w:val="20"/>
                <w:szCs w:val="20"/>
                <w:color w:val="auto"/>
              </w:rPr>
            </w:pPr>
            <w:r>
              <w:rPr>
                <w:rFonts w:ascii="Arial" w:cs="Arial" w:eastAsia="Arial" w:hAnsi="Arial"/>
                <w:sz w:val="14"/>
                <w:szCs w:val="14"/>
                <w:color w:val="auto"/>
              </w:rPr>
              <w:t>Member of TCF Financial Corporation audit committee</w:t>
            </w:r>
          </w:p>
        </w:tc>
        <w:tc>
          <w:tcPr>
            <w:tcW w:w="0" w:type="dxa"/>
            <w:vAlign w:val="bottom"/>
          </w:tcPr>
          <w:p>
            <w:pPr>
              <w:spacing w:after="0"/>
              <w:rPr>
                <w:sz w:val="1"/>
                <w:szCs w:val="1"/>
                <w:color w:val="auto"/>
              </w:rPr>
            </w:pPr>
          </w:p>
        </w:tc>
      </w:tr>
      <w:tr>
        <w:trPr>
          <w:trHeight w:val="184"/>
        </w:trPr>
        <w:tc>
          <w:tcPr>
            <w:tcW w:w="2620" w:type="dxa"/>
            <w:vAlign w:val="bottom"/>
            <w:tcBorders>
              <w:bottom w:val="single" w:sz="8" w:color="AFAFAF"/>
              <w:right w:val="single" w:sz="8" w:color="AFAFAF"/>
            </w:tcBorders>
          </w:tcPr>
          <w:p>
            <w:pPr>
              <w:spacing w:after="0"/>
              <w:rPr>
                <w:sz w:val="15"/>
                <w:szCs w:val="15"/>
                <w:color w:val="auto"/>
              </w:rPr>
            </w:pPr>
          </w:p>
        </w:tc>
        <w:tc>
          <w:tcPr>
            <w:tcW w:w="300" w:type="dxa"/>
            <w:vAlign w:val="bottom"/>
            <w:tcBorders>
              <w:bottom w:val="single" w:sz="8" w:color="AFAFAF"/>
            </w:tcBorders>
          </w:tcPr>
          <w:p>
            <w:pPr>
              <w:ind w:left="200"/>
              <w:spacing w:after="0"/>
              <w:rPr>
                <w:sz w:val="20"/>
                <w:szCs w:val="20"/>
                <w:color w:val="auto"/>
              </w:rPr>
            </w:pPr>
            <w:r>
              <w:rPr>
                <w:rFonts w:ascii="Arial" w:cs="Arial" w:eastAsia="Arial" w:hAnsi="Arial"/>
                <w:sz w:val="9"/>
                <w:szCs w:val="9"/>
                <w:color w:val="D95A3B"/>
              </w:rPr>
              <w:t>·</w:t>
            </w:r>
          </w:p>
        </w:tc>
        <w:tc>
          <w:tcPr>
            <w:tcW w:w="8060" w:type="dxa"/>
            <w:vAlign w:val="bottom"/>
            <w:tcBorders>
              <w:bottom w:val="single" w:sz="8" w:color="AFAFAF"/>
            </w:tcBorders>
          </w:tcPr>
          <w:p>
            <w:pPr>
              <w:ind w:left="60"/>
              <w:spacing w:after="0"/>
              <w:rPr>
                <w:sz w:val="20"/>
                <w:szCs w:val="20"/>
                <w:color w:val="auto"/>
              </w:rPr>
            </w:pPr>
            <w:r>
              <w:rPr>
                <w:rFonts w:ascii="Arial" w:cs="Arial" w:eastAsia="Arial" w:hAnsi="Arial"/>
                <w:sz w:val="14"/>
                <w:szCs w:val="14"/>
                <w:color w:val="auto"/>
              </w:rPr>
              <w:t>Represented financial institutions in securities and financial regulations matters as a practicing attorney</w:t>
            </w:r>
          </w:p>
        </w:tc>
        <w:tc>
          <w:tcPr>
            <w:tcW w:w="0" w:type="dxa"/>
            <w:vAlign w:val="bottom"/>
          </w:tcPr>
          <w:p>
            <w:pPr>
              <w:spacing w:after="0"/>
              <w:rPr>
                <w:sz w:val="1"/>
                <w:szCs w:val="1"/>
                <w:color w:val="auto"/>
              </w:rPr>
            </w:pPr>
          </w:p>
        </w:tc>
      </w:tr>
      <w:tr>
        <w:trPr>
          <w:trHeight w:val="146"/>
        </w:trPr>
        <w:tc>
          <w:tcPr>
            <w:tcW w:w="2620" w:type="dxa"/>
            <w:vAlign w:val="bottom"/>
            <w:tcBorders>
              <w:right w:val="single" w:sz="8" w:color="AFAFAF"/>
            </w:tcBorders>
          </w:tcPr>
          <w:p>
            <w:pPr>
              <w:spacing w:after="0" w:line="146" w:lineRule="exact"/>
              <w:rPr>
                <w:sz w:val="20"/>
                <w:szCs w:val="20"/>
                <w:color w:val="auto"/>
              </w:rPr>
            </w:pPr>
            <w:r>
              <w:rPr>
                <w:rFonts w:ascii="Arial" w:cs="Arial" w:eastAsia="Arial" w:hAnsi="Arial"/>
                <w:sz w:val="14"/>
                <w:szCs w:val="14"/>
                <w:b w:val="1"/>
                <w:bCs w:val="1"/>
                <w:color w:val="auto"/>
              </w:rPr>
              <w:t>Wulf von Schimmelmann</w:t>
            </w:r>
          </w:p>
        </w:tc>
        <w:tc>
          <w:tcPr>
            <w:tcW w:w="300" w:type="dxa"/>
            <w:vAlign w:val="bottom"/>
          </w:tcPr>
          <w:p>
            <w:pPr>
              <w:ind w:left="200"/>
              <w:spacing w:after="0"/>
              <w:rPr>
                <w:sz w:val="20"/>
                <w:szCs w:val="20"/>
                <w:color w:val="auto"/>
              </w:rPr>
            </w:pPr>
            <w:r>
              <w:rPr>
                <w:rFonts w:ascii="Arial" w:cs="Arial" w:eastAsia="Arial" w:hAnsi="Arial"/>
                <w:sz w:val="9"/>
                <w:szCs w:val="9"/>
                <w:color w:val="D95A3B"/>
              </w:rPr>
              <w:t>·</w:t>
            </w:r>
          </w:p>
        </w:tc>
        <w:tc>
          <w:tcPr>
            <w:tcW w:w="8060" w:type="dxa"/>
            <w:vAlign w:val="bottom"/>
          </w:tcPr>
          <w:p>
            <w:pPr>
              <w:ind w:left="60"/>
              <w:spacing w:after="0" w:line="146" w:lineRule="exact"/>
              <w:rPr>
                <w:sz w:val="20"/>
                <w:szCs w:val="20"/>
                <w:color w:val="auto"/>
              </w:rPr>
            </w:pPr>
            <w:r>
              <w:rPr>
                <w:rFonts w:ascii="Arial" w:cs="Arial" w:eastAsia="Arial" w:hAnsi="Arial"/>
                <w:sz w:val="14"/>
                <w:szCs w:val="14"/>
                <w:color w:val="auto"/>
              </w:rPr>
              <w:t>Former CEO of Deutsche Postbank AG</w:t>
            </w:r>
          </w:p>
        </w:tc>
        <w:tc>
          <w:tcPr>
            <w:tcW w:w="0" w:type="dxa"/>
            <w:vAlign w:val="bottom"/>
          </w:tcPr>
          <w:p>
            <w:pPr>
              <w:spacing w:after="0"/>
              <w:rPr>
                <w:sz w:val="1"/>
                <w:szCs w:val="1"/>
                <w:color w:val="auto"/>
              </w:rPr>
            </w:pPr>
          </w:p>
        </w:tc>
      </w:tr>
      <w:tr>
        <w:trPr>
          <w:trHeight w:val="161"/>
        </w:trPr>
        <w:tc>
          <w:tcPr>
            <w:tcW w:w="2620" w:type="dxa"/>
            <w:vAlign w:val="bottom"/>
            <w:tcBorders>
              <w:right w:val="single" w:sz="8" w:color="AFAFAF"/>
            </w:tcBorders>
          </w:tcPr>
          <w:p>
            <w:pPr>
              <w:spacing w:after="0"/>
              <w:rPr>
                <w:sz w:val="14"/>
                <w:szCs w:val="14"/>
                <w:color w:val="auto"/>
              </w:rPr>
            </w:pPr>
          </w:p>
        </w:tc>
        <w:tc>
          <w:tcPr>
            <w:tcW w:w="300" w:type="dxa"/>
            <w:vAlign w:val="bottom"/>
          </w:tcPr>
          <w:p>
            <w:pPr>
              <w:ind w:left="200"/>
              <w:spacing w:after="0"/>
              <w:rPr>
                <w:sz w:val="20"/>
                <w:szCs w:val="20"/>
                <w:color w:val="auto"/>
              </w:rPr>
            </w:pPr>
            <w:r>
              <w:rPr>
                <w:rFonts w:ascii="Arial" w:cs="Arial" w:eastAsia="Arial" w:hAnsi="Arial"/>
                <w:sz w:val="9"/>
                <w:szCs w:val="9"/>
                <w:color w:val="D95A3B"/>
              </w:rPr>
              <w:t>·</w:t>
            </w:r>
          </w:p>
        </w:tc>
        <w:tc>
          <w:tcPr>
            <w:tcW w:w="8060" w:type="dxa"/>
            <w:vAlign w:val="bottom"/>
          </w:tcPr>
          <w:p>
            <w:pPr>
              <w:ind w:left="60"/>
              <w:spacing w:after="0"/>
              <w:rPr>
                <w:sz w:val="20"/>
                <w:szCs w:val="20"/>
                <w:color w:val="auto"/>
              </w:rPr>
            </w:pPr>
            <w:r>
              <w:rPr>
                <w:rFonts w:ascii="Arial" w:cs="Arial" w:eastAsia="Arial" w:hAnsi="Arial"/>
                <w:sz w:val="14"/>
                <w:szCs w:val="14"/>
                <w:color w:val="auto"/>
              </w:rPr>
              <w:t>Degree in Economic Sciences and Ph.D in Economics from the University of Zurich</w:t>
            </w:r>
          </w:p>
        </w:tc>
        <w:tc>
          <w:tcPr>
            <w:tcW w:w="0" w:type="dxa"/>
            <w:vAlign w:val="bottom"/>
          </w:tcPr>
          <w:p>
            <w:pPr>
              <w:spacing w:after="0"/>
              <w:rPr>
                <w:sz w:val="1"/>
                <w:szCs w:val="1"/>
                <w:color w:val="auto"/>
              </w:rPr>
            </w:pPr>
          </w:p>
        </w:tc>
      </w:tr>
      <w:tr>
        <w:trPr>
          <w:trHeight w:val="184"/>
        </w:trPr>
        <w:tc>
          <w:tcPr>
            <w:tcW w:w="2620" w:type="dxa"/>
            <w:vAlign w:val="bottom"/>
            <w:tcBorders>
              <w:bottom w:val="single" w:sz="8" w:color="D95A3B"/>
              <w:right w:val="single" w:sz="8" w:color="AFAFAF"/>
            </w:tcBorders>
          </w:tcPr>
          <w:p>
            <w:pPr>
              <w:spacing w:after="0"/>
              <w:rPr>
                <w:sz w:val="15"/>
                <w:szCs w:val="15"/>
                <w:color w:val="auto"/>
              </w:rPr>
            </w:pPr>
          </w:p>
        </w:tc>
        <w:tc>
          <w:tcPr>
            <w:tcW w:w="300" w:type="dxa"/>
            <w:vAlign w:val="bottom"/>
            <w:tcBorders>
              <w:bottom w:val="single" w:sz="8" w:color="D95A3B"/>
            </w:tcBorders>
          </w:tcPr>
          <w:p>
            <w:pPr>
              <w:ind w:left="200"/>
              <w:spacing w:after="0"/>
              <w:rPr>
                <w:sz w:val="20"/>
                <w:szCs w:val="20"/>
                <w:color w:val="auto"/>
              </w:rPr>
            </w:pPr>
            <w:r>
              <w:rPr>
                <w:rFonts w:ascii="Arial" w:cs="Arial" w:eastAsia="Arial" w:hAnsi="Arial"/>
                <w:sz w:val="9"/>
                <w:szCs w:val="9"/>
                <w:color w:val="D95A3B"/>
              </w:rPr>
              <w:t>·</w:t>
            </w:r>
          </w:p>
        </w:tc>
        <w:tc>
          <w:tcPr>
            <w:tcW w:w="8060" w:type="dxa"/>
            <w:vAlign w:val="bottom"/>
            <w:tcBorders>
              <w:bottom w:val="single" w:sz="8" w:color="D95A3B"/>
            </w:tcBorders>
          </w:tcPr>
          <w:p>
            <w:pPr>
              <w:ind w:left="60"/>
              <w:spacing w:after="0"/>
              <w:rPr>
                <w:sz w:val="20"/>
                <w:szCs w:val="20"/>
                <w:color w:val="auto"/>
              </w:rPr>
            </w:pPr>
            <w:r>
              <w:rPr>
                <w:rFonts w:ascii="Arial" w:cs="Arial" w:eastAsia="Arial" w:hAnsi="Arial"/>
                <w:sz w:val="14"/>
                <w:szCs w:val="14"/>
                <w:color w:val="auto"/>
              </w:rPr>
              <w:t>Member of Maxingvest AG audit committee</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D95A3B"/>
            </w:tcBorders>
          </w:tcPr>
          <w:p>
            <w:pPr>
              <w:spacing w:after="0"/>
              <w:rPr>
                <w:sz w:val="19"/>
                <w:szCs w:val="19"/>
                <w:color w:val="auto"/>
              </w:rPr>
            </w:pPr>
          </w:p>
        </w:tc>
        <w:tc>
          <w:tcPr>
            <w:tcW w:w="300" w:type="dxa"/>
            <w:vAlign w:val="bottom"/>
            <w:tcBorders>
              <w:bottom w:val="single" w:sz="8" w:color="D95A3B"/>
            </w:tcBorders>
          </w:tcPr>
          <w:p>
            <w:pPr>
              <w:spacing w:after="0"/>
              <w:rPr>
                <w:sz w:val="19"/>
                <w:szCs w:val="19"/>
                <w:color w:val="auto"/>
              </w:rPr>
            </w:pPr>
          </w:p>
        </w:tc>
        <w:tc>
          <w:tcPr>
            <w:tcW w:w="8060" w:type="dxa"/>
            <w:vAlign w:val="bottom"/>
            <w:tcBorders>
              <w:bottom w:val="single" w:sz="8" w:color="D95A3B"/>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32</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Financial Reporting</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Audit Committee meets to discuss and review our:</w:t>
      </w:r>
    </w:p>
    <w:p>
      <w:pPr>
        <w:sectPr>
          <w:pgSz w:w="11900" w:h="16838" w:orient="portrait"/>
          <w:cols w:equalWidth="0" w:num="1">
            <w:col w:w="11200"/>
          </w:cols>
          <w:pgMar w:left="240" w:top="458" w:right="459" w:bottom="1440" w:gutter="0" w:footer="0" w:header="0"/>
        </w:sectPr>
      </w:pPr>
    </w:p>
    <w:p>
      <w:pPr>
        <w:spacing w:after="0" w:line="120"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annual and quarterly earnings releases; and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annual and quarterly management’s discussion and analysis (MD&amp;A) and related financial statements.</w:t>
      </w:r>
    </w:p>
    <w:p>
      <w:pPr>
        <w:spacing w:after="0" w:line="128"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jc w:val="both"/>
        <w:ind w:left="220" w:right="80"/>
        <w:spacing w:after="0" w:line="260" w:lineRule="auto"/>
        <w:rPr>
          <w:sz w:val="20"/>
          <w:szCs w:val="20"/>
          <w:color w:val="auto"/>
        </w:rPr>
      </w:pPr>
      <w:r>
        <w:rPr>
          <w:rFonts w:ascii="Arial" w:cs="Arial" w:eastAsia="Arial" w:hAnsi="Arial"/>
          <w:sz w:val="17"/>
          <w:szCs w:val="17"/>
          <w:color w:val="auto"/>
        </w:rPr>
        <w:t>As is customary for a number of global multinational companies, the board of directors has delegated review and approval authority to the Audit Committee for our quarterly earnings releases, MD&amp;A and financial statements. Following the Audit Committee’s recommendation, the full board reviews and approves our annual MD&amp;A and annual audited financial statements, as required by applicable law.</w:t>
      </w:r>
    </w:p>
    <w:p>
      <w:pPr>
        <w:spacing w:after="0" w:line="78"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Prior to an Audit Committee meeting at which draft financial reporting documents will be discussed, a draft is distributed to the members of the Audit Committee for review and comment. The CFO and the Chief Accounting Officer and a representative from the independent auditor meet with the Chair of the Audit Committee to preview the audit-related issues which will be discussed at the Audit Committee meeting. At the Audit Committee meeting, the Chief Accounting Officer discusses the financial statements and disclosure matters and the Audit Committee members are given an opportunity to raise any questions or comments. The independent auditor also participates in the meeting. All of our directors are also provided with a draft and an opportunity to comment before or during the Audit Committee meeting. When the Audit Committee is satisfied with the disclosure, it provides its approval and the material is released.</w:t>
      </w:r>
    </w:p>
    <w:p>
      <w:pPr>
        <w:spacing w:after="0" w:line="96" w:lineRule="exact"/>
        <w:rPr>
          <w:sz w:val="20"/>
          <w:szCs w:val="20"/>
          <w:color w:val="auto"/>
        </w:rPr>
      </w:pPr>
    </w:p>
    <w:p>
      <w:pPr>
        <w:ind w:left="220" w:right="280"/>
        <w:spacing w:after="0" w:line="244" w:lineRule="auto"/>
        <w:rPr>
          <w:sz w:val="20"/>
          <w:szCs w:val="20"/>
          <w:color w:val="auto"/>
        </w:rPr>
      </w:pPr>
      <w:r>
        <w:rPr>
          <w:rFonts w:ascii="Arial" w:cs="Arial" w:eastAsia="Arial" w:hAnsi="Arial"/>
          <w:sz w:val="18"/>
          <w:szCs w:val="18"/>
          <w:color w:val="auto"/>
        </w:rPr>
        <w:t>For the annual report, a draft is distributed to the members of the board in advance of a board meeting for their review and approval. At the board meeting, directors are given an opportunity to raise any questions or comments.</w:t>
      </w:r>
    </w:p>
    <w:p>
      <w:pPr>
        <w:spacing w:after="0" w:line="91" w:lineRule="exact"/>
        <w:rPr>
          <w:sz w:val="20"/>
          <w:szCs w:val="20"/>
          <w:color w:val="auto"/>
        </w:rPr>
      </w:pPr>
    </w:p>
    <w:p>
      <w:pPr>
        <w:ind w:left="220" w:right="20"/>
        <w:spacing w:after="0" w:line="239" w:lineRule="auto"/>
        <w:rPr>
          <w:sz w:val="20"/>
          <w:szCs w:val="20"/>
          <w:color w:val="auto"/>
        </w:rPr>
      </w:pPr>
      <w:r>
        <w:rPr>
          <w:rFonts w:ascii="Arial" w:cs="Arial" w:eastAsia="Arial" w:hAnsi="Arial"/>
          <w:sz w:val="18"/>
          <w:szCs w:val="18"/>
          <w:color w:val="auto"/>
        </w:rPr>
        <w:t>Based upon the reports and discussions described in this circular, and subject to the limitations on the role and responsibilities of the Audit Committee in its charter, the Audit Committee recommended that our board approve the filing of the audited consolidated financial statements and related MD&amp;A and their inclusion in our annual report for the year ended December 31, 2018.</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Independent Auditor</w:t>
      </w:r>
    </w:p>
    <w:p>
      <w:pPr>
        <w:spacing w:after="0" w:line="35"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The Audit Committee is responsible for selecting, evaluating and recommending for nomination the independent auditor to be proposed for appointment or re-appointment. The Audit Committee recommended that PricewaterhouseCoopers LLP be re-appointed as our independent auditor to serve until our next meeting of shareholders in 2020 and that our board submit this appointment to shareholders for approval at the 2019 annual meeting of shareholders. In connection with recommending PricewaterhouseCoopers LLP, the Audit Committee considered the firm’s provision of services to Thomson Reuters over the last year, including the performance of the lead audit engagement partner and the audit team. The Audit Committee also reviewed the appropriateness of PricewaterhouseCoopers LLP’s fees in relation to the size of Thomson Reuters and its global footprint. The Audit Committee continues to be satisfied with PricewaterhouseCoopers LLP’s performance and believes that its continued retention as independent auditor is in the best interests of Thomson Reuters and its shareholders.</w:t>
      </w:r>
    </w:p>
    <w:p>
      <w:pPr>
        <w:spacing w:after="0" w:line="100" w:lineRule="exact"/>
        <w:rPr>
          <w:sz w:val="20"/>
          <w:szCs w:val="20"/>
          <w:color w:val="auto"/>
        </w:rPr>
      </w:pPr>
    </w:p>
    <w:p>
      <w:pPr>
        <w:ind w:left="220" w:right="280"/>
        <w:spacing w:after="0" w:line="239" w:lineRule="auto"/>
        <w:rPr>
          <w:sz w:val="20"/>
          <w:szCs w:val="20"/>
          <w:color w:val="auto"/>
        </w:rPr>
      </w:pPr>
      <w:r>
        <w:rPr>
          <w:rFonts w:ascii="Arial" w:cs="Arial" w:eastAsia="Arial" w:hAnsi="Arial"/>
          <w:sz w:val="18"/>
          <w:szCs w:val="18"/>
          <w:color w:val="auto"/>
        </w:rPr>
        <w:t>Throughout the year, the Audit Committee evaluates and is directly responsible for our company’s relationship with PricewaterhouseCoopers LLP. The Audit Committee appoints PricewaterhouseCoopers LLP as our independent auditor after reviewing and approving its engagement letter. The Audit Committee also determines PricewaterhouseCoopers LLP’s fees.</w:t>
      </w:r>
    </w:p>
    <w:p>
      <w:pPr>
        <w:spacing w:after="0" w:line="95" w:lineRule="exact"/>
        <w:rPr>
          <w:sz w:val="20"/>
          <w:szCs w:val="20"/>
          <w:color w:val="auto"/>
        </w:rPr>
      </w:pPr>
    </w:p>
    <w:p>
      <w:pPr>
        <w:ind w:left="220"/>
        <w:spacing w:after="0" w:line="273" w:lineRule="auto"/>
        <w:rPr>
          <w:sz w:val="20"/>
          <w:szCs w:val="20"/>
          <w:color w:val="auto"/>
        </w:rPr>
      </w:pPr>
      <w:r>
        <w:rPr>
          <w:rFonts w:ascii="Arial" w:cs="Arial" w:eastAsia="Arial" w:hAnsi="Arial"/>
          <w:sz w:val="17"/>
          <w:szCs w:val="17"/>
          <w:color w:val="auto"/>
        </w:rPr>
        <w:t>The Audit Committee and representatives from PricewaterhouseCoopers LLP meet several times during the year. In 2018, representatives from PricewaterhouseCoopers LLP attended each Audit Committee meeting and met with the Audit Committee in separate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102870</wp:posOffset>
            </wp:positionV>
            <wp:extent cx="697357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03"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33</w:t>
      </w:r>
    </w:p>
    <w:p>
      <w:pPr>
        <w:sectPr>
          <w:pgSz w:w="11900" w:h="16838" w:orient="portrait"/>
          <w:cols w:equalWidth="0" w:num="1">
            <w:col w:w="11200"/>
          </w:cols>
          <w:pgMar w:left="240" w:top="458" w:right="4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469265</wp:posOffset>
            </wp:positionV>
            <wp:extent cx="69735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right="100"/>
        <w:spacing w:after="0" w:line="249" w:lineRule="auto"/>
        <w:rPr>
          <w:sz w:val="20"/>
          <w:szCs w:val="20"/>
          <w:color w:val="auto"/>
        </w:rPr>
      </w:pPr>
      <w:r>
        <w:rPr>
          <w:rFonts w:ascii="Arial" w:cs="Arial" w:eastAsia="Arial" w:hAnsi="Arial"/>
          <w:sz w:val="27"/>
          <w:szCs w:val="27"/>
          <w:color w:val="auto"/>
        </w:rPr>
        <w:t>PricewaterhouseCoopers LLP is accountable to the Audit Committee and reports directly to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181610</wp:posOffset>
            </wp:positionV>
            <wp:extent cx="69735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386" w:lineRule="exact"/>
        <w:rPr>
          <w:sz w:val="20"/>
          <w:szCs w:val="20"/>
          <w:color w:val="auto"/>
        </w:rPr>
      </w:pPr>
    </w:p>
    <w:p>
      <w:pPr>
        <w:ind w:left="220" w:right="560"/>
        <w:spacing w:after="0" w:line="244" w:lineRule="auto"/>
        <w:rPr>
          <w:sz w:val="20"/>
          <w:szCs w:val="20"/>
          <w:color w:val="auto"/>
        </w:rPr>
      </w:pPr>
      <w:r>
        <w:rPr>
          <w:rFonts w:ascii="Arial" w:cs="Arial" w:eastAsia="Arial" w:hAnsi="Arial"/>
          <w:sz w:val="18"/>
          <w:szCs w:val="18"/>
          <w:color w:val="auto"/>
        </w:rPr>
        <w:t>On an annual basis, before PricewaterhouseCoopers LLP issues its report on our company’s annual financial statements, the Audit Committee:</w:t>
      </w:r>
    </w:p>
    <w:p>
      <w:pPr>
        <w:spacing w:after="0" w:line="104" w:lineRule="exact"/>
        <w:rPr>
          <w:sz w:val="20"/>
          <w:szCs w:val="20"/>
          <w:color w:val="auto"/>
        </w:rPr>
      </w:pPr>
    </w:p>
    <w:p>
      <w:pPr>
        <w:ind w:left="440" w:right="60" w:hanging="217"/>
        <w:spacing w:after="0" w:line="244" w:lineRule="auto"/>
        <w:tabs>
          <w:tab w:leader="none" w:pos="440" w:val="left"/>
        </w:tabs>
        <w:numPr>
          <w:ilvl w:val="0"/>
          <w:numId w:val="20"/>
        </w:numPr>
        <w:rPr>
          <w:rFonts w:ascii="Arial" w:cs="Arial" w:eastAsia="Arial" w:hAnsi="Arial"/>
          <w:sz w:val="18"/>
          <w:szCs w:val="18"/>
          <w:color w:val="D95A3B"/>
          <w:vertAlign w:val="superscript"/>
        </w:rPr>
      </w:pPr>
      <w:r>
        <w:rPr>
          <w:rFonts w:ascii="Arial" w:cs="Arial" w:eastAsia="Arial" w:hAnsi="Arial"/>
          <w:sz w:val="18"/>
          <w:szCs w:val="18"/>
          <w:color w:val="auto"/>
        </w:rPr>
        <w:t>Confirms that PricewaterhouseCoopers LLP has submitted a written statement describing all of its relationships with Thomson Reuters that, in PricewaterhouseCoopers LLP’s professional judgment, may reasonably be thought to bear on its independence;</w:t>
      </w:r>
    </w:p>
    <w:p>
      <w:pPr>
        <w:spacing w:after="0" w:line="63" w:lineRule="exact"/>
        <w:rPr>
          <w:rFonts w:ascii="Arial" w:cs="Arial" w:eastAsia="Arial" w:hAnsi="Arial"/>
          <w:sz w:val="18"/>
          <w:szCs w:val="18"/>
          <w:color w:val="D95A3B"/>
          <w:vertAlign w:val="superscript"/>
        </w:rPr>
      </w:pPr>
    </w:p>
    <w:p>
      <w:pPr>
        <w:ind w:left="440" w:right="40" w:hanging="217"/>
        <w:spacing w:after="0" w:line="244" w:lineRule="auto"/>
        <w:tabs>
          <w:tab w:leader="none" w:pos="440" w:val="left"/>
        </w:tabs>
        <w:numPr>
          <w:ilvl w:val="0"/>
          <w:numId w:val="20"/>
        </w:numPr>
        <w:rPr>
          <w:rFonts w:ascii="Arial" w:cs="Arial" w:eastAsia="Arial" w:hAnsi="Arial"/>
          <w:sz w:val="18"/>
          <w:szCs w:val="18"/>
          <w:color w:val="D95A3B"/>
          <w:vertAlign w:val="superscript"/>
        </w:rPr>
      </w:pPr>
      <w:r>
        <w:rPr>
          <w:rFonts w:ascii="Arial" w:cs="Arial" w:eastAsia="Arial" w:hAnsi="Arial"/>
          <w:sz w:val="18"/>
          <w:szCs w:val="18"/>
          <w:color w:val="auto"/>
        </w:rPr>
        <w:t>Discusses any disclosed relationships or services, including any non-audit services, that PricewaterhouseCoopers LLP has provided to Thomson Reuters that may affect its independence;</w:t>
      </w:r>
    </w:p>
    <w:p>
      <w:pPr>
        <w:spacing w:after="0" w:line="63" w:lineRule="exact"/>
        <w:rPr>
          <w:rFonts w:ascii="Arial" w:cs="Arial" w:eastAsia="Arial" w:hAnsi="Arial"/>
          <w:sz w:val="18"/>
          <w:szCs w:val="18"/>
          <w:color w:val="D95A3B"/>
          <w:vertAlign w:val="superscript"/>
        </w:rPr>
      </w:pPr>
    </w:p>
    <w:p>
      <w:pPr>
        <w:ind w:left="440" w:hanging="217"/>
        <w:spacing w:after="0" w:line="239" w:lineRule="auto"/>
        <w:tabs>
          <w:tab w:leader="none" w:pos="440" w:val="left"/>
        </w:tabs>
        <w:numPr>
          <w:ilvl w:val="0"/>
          <w:numId w:val="20"/>
        </w:numPr>
        <w:rPr>
          <w:rFonts w:ascii="Arial" w:cs="Arial" w:eastAsia="Arial" w:hAnsi="Arial"/>
          <w:sz w:val="18"/>
          <w:szCs w:val="18"/>
          <w:color w:val="D95A3B"/>
          <w:vertAlign w:val="superscript"/>
        </w:rPr>
      </w:pPr>
      <w:r>
        <w:rPr>
          <w:rFonts w:ascii="Arial" w:cs="Arial" w:eastAsia="Arial" w:hAnsi="Arial"/>
          <w:sz w:val="18"/>
          <w:szCs w:val="18"/>
          <w:color w:val="auto"/>
        </w:rPr>
        <w:t>Obtains written confirmation from PricewaterhouseCoopers LLP that it is independent with respect to Thomson Reuters within the meaning of the Rules of Professional Conduct adopted by the Ontario Institute of Chartered Accountants and the standards established by the Public Company Accounting Oversight Board; and</w:t>
      </w:r>
    </w:p>
    <w:p>
      <w:pPr>
        <w:spacing w:after="0" w:line="68" w:lineRule="exact"/>
        <w:rPr>
          <w:rFonts w:ascii="Arial" w:cs="Arial" w:eastAsia="Arial" w:hAnsi="Arial"/>
          <w:sz w:val="18"/>
          <w:szCs w:val="18"/>
          <w:color w:val="D95A3B"/>
          <w:vertAlign w:val="superscript"/>
        </w:rPr>
      </w:pPr>
    </w:p>
    <w:p>
      <w:pPr>
        <w:ind w:left="440" w:right="340" w:hanging="217"/>
        <w:spacing w:after="0" w:line="244" w:lineRule="auto"/>
        <w:tabs>
          <w:tab w:leader="none" w:pos="440" w:val="left"/>
        </w:tabs>
        <w:numPr>
          <w:ilvl w:val="0"/>
          <w:numId w:val="20"/>
        </w:numPr>
        <w:rPr>
          <w:rFonts w:ascii="Arial" w:cs="Arial" w:eastAsia="Arial" w:hAnsi="Arial"/>
          <w:sz w:val="18"/>
          <w:szCs w:val="18"/>
          <w:color w:val="D95A3B"/>
          <w:vertAlign w:val="superscript"/>
        </w:rPr>
      </w:pPr>
      <w:r>
        <w:rPr>
          <w:rFonts w:ascii="Arial" w:cs="Arial" w:eastAsia="Arial" w:hAnsi="Arial"/>
          <w:sz w:val="18"/>
          <w:szCs w:val="18"/>
          <w:color w:val="auto"/>
        </w:rPr>
        <w:t>Confirms that PricewaterhouseCoopers LLP has complied with applicable law with respect to the rotation of certain members of the audit engagement team for Thomson Reuters.</w:t>
      </w:r>
    </w:p>
    <w:p>
      <w:pPr>
        <w:spacing w:after="0" w:line="50" w:lineRule="exact"/>
        <w:rPr>
          <w:sz w:val="20"/>
          <w:szCs w:val="20"/>
          <w:color w:val="auto"/>
        </w:rPr>
      </w:pPr>
    </w:p>
    <w:p>
      <w:pPr>
        <w:ind w:left="220" w:right="160"/>
        <w:spacing w:after="0" w:line="244" w:lineRule="auto"/>
        <w:rPr>
          <w:sz w:val="20"/>
          <w:szCs w:val="20"/>
          <w:color w:val="auto"/>
        </w:rPr>
      </w:pPr>
      <w:r>
        <w:rPr>
          <w:rFonts w:ascii="Arial" w:cs="Arial" w:eastAsia="Arial" w:hAnsi="Arial"/>
          <w:sz w:val="18"/>
          <w:szCs w:val="18"/>
          <w:color w:val="auto"/>
        </w:rPr>
        <w:t>The Audit Committee has also adopted a policy regarding its pre-approval of all audit and permissible non-audit services provided to our company by PricewaterhouseCoopers LLP.</w:t>
      </w:r>
    </w:p>
    <w:p>
      <w:pPr>
        <w:spacing w:after="0" w:line="64" w:lineRule="exact"/>
        <w:rPr>
          <w:sz w:val="20"/>
          <w:szCs w:val="20"/>
          <w:color w:val="auto"/>
        </w:rPr>
      </w:pPr>
    </w:p>
    <w:p>
      <w:pPr>
        <w:ind w:left="440" w:right="560" w:hanging="217"/>
        <w:spacing w:after="0" w:line="244" w:lineRule="auto"/>
        <w:tabs>
          <w:tab w:leader="none" w:pos="440" w:val="left"/>
        </w:tabs>
        <w:numPr>
          <w:ilvl w:val="0"/>
          <w:numId w:val="21"/>
        </w:numPr>
        <w:rPr>
          <w:rFonts w:ascii="Arial" w:cs="Arial" w:eastAsia="Arial" w:hAnsi="Arial"/>
          <w:sz w:val="18"/>
          <w:szCs w:val="18"/>
          <w:color w:val="D95A3B"/>
          <w:vertAlign w:val="superscript"/>
        </w:rPr>
      </w:pPr>
      <w:r>
        <w:rPr>
          <w:rFonts w:ascii="Arial" w:cs="Arial" w:eastAsia="Arial" w:hAnsi="Arial"/>
          <w:sz w:val="18"/>
          <w:szCs w:val="18"/>
          <w:color w:val="auto"/>
        </w:rPr>
        <w:t>The policy gives detailed guidance to management as to the specific types of services that have been pre-approved by the Audit Committee.</w:t>
      </w:r>
    </w:p>
    <w:p>
      <w:pPr>
        <w:spacing w:after="0" w:line="63" w:lineRule="exact"/>
        <w:rPr>
          <w:rFonts w:ascii="Arial" w:cs="Arial" w:eastAsia="Arial" w:hAnsi="Arial"/>
          <w:sz w:val="18"/>
          <w:szCs w:val="18"/>
          <w:color w:val="D95A3B"/>
          <w:vertAlign w:val="superscript"/>
        </w:rPr>
      </w:pPr>
    </w:p>
    <w:p>
      <w:pPr>
        <w:ind w:left="440" w:right="460" w:hanging="217"/>
        <w:spacing w:after="0" w:line="244" w:lineRule="auto"/>
        <w:tabs>
          <w:tab w:leader="none" w:pos="440" w:val="left"/>
        </w:tabs>
        <w:numPr>
          <w:ilvl w:val="0"/>
          <w:numId w:val="21"/>
        </w:numPr>
        <w:rPr>
          <w:rFonts w:ascii="Arial" w:cs="Arial" w:eastAsia="Arial" w:hAnsi="Arial"/>
          <w:sz w:val="18"/>
          <w:szCs w:val="18"/>
          <w:color w:val="D95A3B"/>
          <w:vertAlign w:val="superscript"/>
        </w:rPr>
      </w:pPr>
      <w:r>
        <w:rPr>
          <w:rFonts w:ascii="Arial" w:cs="Arial" w:eastAsia="Arial" w:hAnsi="Arial"/>
          <w:sz w:val="18"/>
          <w:szCs w:val="18"/>
          <w:color w:val="auto"/>
        </w:rPr>
        <w:t>The policy requires the Audit Committee’s specific pre-approval of all other permitted types of services that have not already been pre-approved.</w:t>
      </w:r>
    </w:p>
    <w:p>
      <w:pPr>
        <w:spacing w:after="0" w:line="91" w:lineRule="exact"/>
        <w:rPr>
          <w:sz w:val="20"/>
          <w:szCs w:val="20"/>
          <w:color w:val="auto"/>
        </w:rPr>
      </w:pPr>
    </w:p>
    <w:p>
      <w:pPr>
        <w:ind w:left="220"/>
        <w:spacing w:after="0" w:line="234" w:lineRule="auto"/>
        <w:rPr>
          <w:sz w:val="20"/>
          <w:szCs w:val="20"/>
          <w:color w:val="auto"/>
        </w:rPr>
      </w:pPr>
      <w:r>
        <w:rPr>
          <w:rFonts w:ascii="Arial" w:cs="Arial" w:eastAsia="Arial" w:hAnsi="Arial"/>
          <w:sz w:val="18"/>
          <w:szCs w:val="18"/>
          <w:color w:val="auto"/>
        </w:rPr>
        <w:t>The Audit Committee’s charter allows the Audit Committee to delegate to one or more members the authority to evaluate and approve engagements in the event that the need arises for approval between Audit Committee meetings. Pursuant to this charter provision, the Audit Committee has delegated this authority to its Chair. If the Chair approves any such engagements, he must report his approval decisions to the full Audit Committee at its next meeting. For the year ended December 31, 2018, none of the audit-related, tax or all other fees of Thomson Reuters described above made use of the de minimis exception to pre-approval provisions contained in Rule</w:t>
      </w:r>
    </w:p>
    <w:p>
      <w:pPr>
        <w:ind w:left="220" w:right="280"/>
        <w:spacing w:after="0" w:line="244" w:lineRule="auto"/>
        <w:rPr>
          <w:sz w:val="20"/>
          <w:szCs w:val="20"/>
          <w:color w:val="auto"/>
        </w:rPr>
      </w:pPr>
      <w:r>
        <w:rPr>
          <w:rFonts w:ascii="Arial" w:cs="Arial" w:eastAsia="Arial" w:hAnsi="Arial"/>
          <w:sz w:val="18"/>
          <w:szCs w:val="18"/>
          <w:color w:val="auto"/>
        </w:rPr>
        <w:t>2-01(c)(7)(i)(c) of SEC Regulation S-X and Section 2.4 of the Canadian Securities Administrators’ Multilateral Instrument 52-110 (Audit Committees).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Internal Audit and Internal Control Over Financial Reporting</w:t>
      </w:r>
    </w:p>
    <w:p>
      <w:pPr>
        <w:spacing w:after="0" w:line="35" w:lineRule="exact"/>
        <w:rPr>
          <w:sz w:val="20"/>
          <w:szCs w:val="20"/>
          <w:color w:val="auto"/>
        </w:rPr>
      </w:pPr>
    </w:p>
    <w:p>
      <w:pPr>
        <w:ind w:left="220" w:right="140"/>
        <w:spacing w:after="0" w:line="238" w:lineRule="auto"/>
        <w:rPr>
          <w:sz w:val="20"/>
          <w:szCs w:val="20"/>
          <w:color w:val="auto"/>
        </w:rPr>
      </w:pPr>
      <w:r>
        <w:rPr>
          <w:rFonts w:ascii="Arial" w:cs="Arial" w:eastAsia="Arial" w:hAnsi="Arial"/>
          <w:sz w:val="18"/>
          <w:szCs w:val="18"/>
          <w:color w:val="auto"/>
        </w:rPr>
        <w:t>Internal control over financial reporting is a process designed to provide reasonable assurance regarding the reliability of financial reporting and the preparation of financial statements for external purposes in accordance with international financial reporting standards. Our company has adopted the Committee of Sponsoring Organizations of the Treadway Commission guidance for implementing our internal control framework as part of compliance with the Sarbanes-Oxley Act and applicable Canadian securities law.</w:t>
      </w:r>
    </w:p>
    <w:p>
      <w:pPr>
        <w:spacing w:after="0" w:line="94" w:lineRule="exact"/>
        <w:rPr>
          <w:sz w:val="20"/>
          <w:szCs w:val="20"/>
          <w:color w:val="auto"/>
        </w:rPr>
      </w:pPr>
    </w:p>
    <w:p>
      <w:pPr>
        <w:ind w:left="220" w:right="200"/>
        <w:spacing w:after="0" w:line="244" w:lineRule="auto"/>
        <w:rPr>
          <w:sz w:val="20"/>
          <w:szCs w:val="20"/>
          <w:color w:val="auto"/>
        </w:rPr>
      </w:pPr>
      <w:r>
        <w:rPr>
          <w:rFonts w:ascii="Arial" w:cs="Arial" w:eastAsia="Arial" w:hAnsi="Arial"/>
          <w:sz w:val="18"/>
          <w:szCs w:val="18"/>
          <w:color w:val="auto"/>
        </w:rPr>
        <w:t>The Corporate Compliance and Audit department of our company, which performs an internal audit function, prepares and oversees the overall plan for our internal control over financial reporting.</w:t>
      </w:r>
    </w:p>
    <w:p>
      <w:pPr>
        <w:spacing w:after="0" w:line="91" w:lineRule="exact"/>
        <w:rPr>
          <w:sz w:val="20"/>
          <w:szCs w:val="20"/>
          <w:color w:val="auto"/>
        </w:rPr>
      </w:pPr>
    </w:p>
    <w:p>
      <w:pPr>
        <w:ind w:left="220" w:right="160"/>
        <w:spacing w:after="0" w:line="238" w:lineRule="auto"/>
        <w:rPr>
          <w:sz w:val="20"/>
          <w:szCs w:val="20"/>
          <w:color w:val="auto"/>
        </w:rPr>
      </w:pPr>
      <w:r>
        <w:rPr>
          <w:rFonts w:ascii="Arial" w:cs="Arial" w:eastAsia="Arial" w:hAnsi="Arial"/>
          <w:sz w:val="18"/>
          <w:szCs w:val="18"/>
          <w:color w:val="auto"/>
        </w:rPr>
        <w:t>Each year, Corporate Compliance and Audit identifies certain processes, entities and/or significant accounts to be within the scope of its internal control focus areas and testing for the year. In determining the proposed scope of its annual internal audit plan, the Corporate Compliance and Audit department identifies, assesses and prioritizes risk to Thomson Reuters and considers both quantitative and qualitative factors.</w:t>
      </w:r>
    </w:p>
    <w:p>
      <w:pPr>
        <w:spacing w:after="0" w:line="94"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In the first quarter of 2018, Corporate Compliance and Audit presented an annual internal audit plan to the Audit Committee for its review and approval. The Corporate Compliance and Audit department then provided updates to the Audit Committee at meetings throughout the year. During the second half of 2018, the Corporate Compliance and Audit department tested applicable controls in order to achieve compliance with the required year-end evaluation of the effectiveness of the internal control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0"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34</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160"/>
          </w:cols>
          <w:pgMar w:left="240" w:top="458"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20" w:right="60"/>
        <w:spacing w:after="0" w:line="238" w:lineRule="auto"/>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December 31, 2018. In March 2019, the Audit Committee reviewed and discussed with management its assessment and report on the effectiveness of our internal control over financial reporting as of December 31, 2018. The Audit Committee also reviewed and discussed with PricewaterhouseCoopers LLP its review and report on the effectiveness of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85725</wp:posOffset>
            </wp:positionV>
            <wp:extent cx="69735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35" w:lineRule="exact"/>
        <w:rPr>
          <w:sz w:val="20"/>
          <w:szCs w:val="20"/>
          <w:color w:val="auto"/>
        </w:rPr>
      </w:pPr>
    </w:p>
    <w:p>
      <w:pPr>
        <w:ind w:left="220" w:right="400"/>
        <w:spacing w:after="0" w:line="249" w:lineRule="auto"/>
        <w:rPr>
          <w:sz w:val="20"/>
          <w:szCs w:val="20"/>
          <w:color w:val="auto"/>
        </w:rPr>
      </w:pPr>
      <w:r>
        <w:rPr>
          <w:rFonts w:ascii="Arial" w:cs="Arial" w:eastAsia="Arial" w:hAnsi="Arial"/>
          <w:sz w:val="27"/>
          <w:szCs w:val="27"/>
          <w:color w:val="auto"/>
        </w:rPr>
        <w:t>The head of the Corporate Compliance and Audit department reports directly to the Audit Committee (with a dotted line reporting relationship to our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181610</wp:posOffset>
            </wp:positionV>
            <wp:extent cx="69735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380"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Disclosure and Communications Controls and Procedures</w:t>
      </w:r>
    </w:p>
    <w:p>
      <w:pPr>
        <w:spacing w:after="0" w:line="35"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We have adopted disclosure controls and procedures to ensure that all information required to be disclosed by us in reports and filings with Canadian and U.S. securities regulatory authorities and stock exchanges and other written and oral information that we publicly disclose is recorded, processed, summarized and reported accurately and within the time periods specified by rules and regulations of the securities regulatory authorities. These disclosure controls and procedures are also designed to ensure that this information is accumulated and communicated to management (including the CEO and CFO), as appropriate, to allow timely decisions regarding required disclosure. The Audit Committee receives an annual update from management regarding the adequacy and effectiveness of our disclosure controls and procedures, including the role and responsibilities of management’s disclosure committee.</w:t>
      </w:r>
    </w:p>
    <w:p>
      <w:pPr>
        <w:spacing w:after="0" w:line="96"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As required by applicable Canadian and U.S. securities laws, our CEO and CFO provide certifications that they have reviewed our annual and quarterly reports, that the reports contain no untrue statements or omissions of material facts and that the reports fairly present our financial condition, results of operations and cash flows. In addition, the CEO and CFO make certifications regarding our disclosure controls and procedures and internal control over financial reporting. Our CEO and CFO concluded that our disclosure controls and procedures were effective as of December 31, 2018.</w:t>
      </w:r>
    </w:p>
    <w:p>
      <w:pPr>
        <w:spacing w:after="0" w:line="95" w:lineRule="exact"/>
        <w:rPr>
          <w:sz w:val="20"/>
          <w:szCs w:val="20"/>
          <w:color w:val="auto"/>
        </w:rPr>
      </w:pPr>
    </w:p>
    <w:p>
      <w:pPr>
        <w:ind w:left="220" w:right="20"/>
        <w:spacing w:after="0" w:line="244" w:lineRule="auto"/>
        <w:rPr>
          <w:sz w:val="20"/>
          <w:szCs w:val="20"/>
          <w:color w:val="auto"/>
        </w:rPr>
      </w:pPr>
      <w:r>
        <w:rPr>
          <w:rFonts w:ascii="Arial" w:cs="Arial" w:eastAsia="Arial" w:hAnsi="Arial"/>
          <w:sz w:val="18"/>
          <w:szCs w:val="18"/>
          <w:color w:val="auto"/>
        </w:rPr>
        <w:t>On a day-to-day basis, inquiries or other communications from shareholders, analysts and the media to management are answered by our investor relations and media relations departments or referred to another appropriate person in our company.</w:t>
      </w:r>
    </w:p>
    <w:p>
      <w:pPr>
        <w:spacing w:after="0" w:line="91" w:lineRule="exact"/>
        <w:rPr>
          <w:sz w:val="20"/>
          <w:szCs w:val="20"/>
          <w:color w:val="auto"/>
        </w:rPr>
      </w:pPr>
    </w:p>
    <w:p>
      <w:pPr>
        <w:ind w:left="220" w:right="260"/>
        <w:spacing w:after="0" w:line="238" w:lineRule="auto"/>
        <w:rPr>
          <w:sz w:val="20"/>
          <w:szCs w:val="20"/>
          <w:color w:val="auto"/>
        </w:rPr>
      </w:pPr>
      <w:r>
        <w:rPr>
          <w:rFonts w:ascii="Arial" w:cs="Arial" w:eastAsia="Arial" w:hAnsi="Arial"/>
          <w:sz w:val="18"/>
          <w:szCs w:val="18"/>
          <w:color w:val="auto"/>
        </w:rPr>
        <w:t>Senior executives meet regularly with financial analysts and institutional investors, and our earnings conference calls are broadcast live via webcast and are accessible to interested shareholders, the media and members of the public. Presentations given by senior executives at investor conferences are promptly made public in the “Investor Relations” section of our website. Some of our non-management directors have attended our Investor Day meetings with analysts and major shareholders.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Risk Assessment and Management</w:t>
      </w:r>
    </w:p>
    <w:p>
      <w:pPr>
        <w:spacing w:after="0" w:line="22"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In 2018, the Audit Committee met with senior management to review the company’s controls and policies regarding risk assessment and risk management, including the steps and process taken to monitor and control risks. As part of this review, senior management presented an overview of its 2018 ERM process to the Audit Committee. The overview reflected key risks identified by management and a proposed calendar of future meetings for “deep dive” reviews and discussions about specific risks (at the board or committee level).</w:t>
      </w:r>
    </w:p>
    <w:p>
      <w:pPr>
        <w:spacing w:after="0" w:line="94" w:lineRule="exact"/>
        <w:rPr>
          <w:sz w:val="20"/>
          <w:szCs w:val="20"/>
          <w:color w:val="auto"/>
        </w:rPr>
      </w:pPr>
    </w:p>
    <w:p>
      <w:pPr>
        <w:ind w:left="220" w:right="140"/>
        <w:spacing w:after="0" w:line="239" w:lineRule="auto"/>
        <w:rPr>
          <w:sz w:val="20"/>
          <w:szCs w:val="20"/>
          <w:color w:val="auto"/>
        </w:rPr>
      </w:pPr>
      <w:r>
        <w:rPr>
          <w:rFonts w:ascii="Arial" w:cs="Arial" w:eastAsia="Arial" w:hAnsi="Arial"/>
          <w:sz w:val="18"/>
          <w:szCs w:val="18"/>
          <w:color w:val="auto"/>
        </w:rPr>
        <w:t>As discussed below, the Risk Committee (which was formed in the second half of 2018) is now primarily responsible for overseeing ERM and various non-financial risks. As part of its financial risk management oversight responsibilities, the Audit Committee met with management in 2018 to discuss treasury risk management and the external tax environment.</w:t>
      </w:r>
    </w:p>
    <w:p>
      <w:pPr>
        <w:spacing w:after="0" w:line="95"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The Audit Committee continues to discuss Thomson Reuters’ guidelines and policies that govern the overall process by which risk assessment and risk management is undertaken at the company. As part of this oversight role, the Audit Committee periodically reviews reports from or meets with the Risk Committee regarding the company’s processes for assessing and managing risk. Risk topics not otherwise assigned to the Audit Committee or the Human Resources Committee are now overseen by the Risk Committee, and the Corporate Governance Committee oversees the division of responsibilities between the Board and its committees. As part of this division of responsibilities, the Audit Committee discusses the company’s major financial risk exposures and the steps that management has taken to monitor and control such exposures.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121285</wp:posOffset>
            </wp:positionV>
            <wp:extent cx="697357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5"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35</w:t>
      </w:r>
    </w:p>
    <w:p>
      <w:pPr>
        <w:sectPr>
          <w:pgSz w:w="11900" w:h="16838" w:orient="portrait"/>
          <w:cols w:equalWidth="0" w:num="1">
            <w:col w:w="11200"/>
          </w:cols>
          <w:pgMar w:left="240" w:top="458"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Whistleblower Policy</w:t>
      </w:r>
    </w:p>
    <w:p>
      <w:pPr>
        <w:spacing w:after="0" w:line="35" w:lineRule="exact"/>
        <w:rPr>
          <w:sz w:val="20"/>
          <w:szCs w:val="20"/>
          <w:color w:val="auto"/>
        </w:rPr>
      </w:pPr>
    </w:p>
    <w:p>
      <w:pPr>
        <w:ind w:left="220" w:right="120"/>
        <w:spacing w:after="0" w:line="237" w:lineRule="auto"/>
        <w:rPr>
          <w:sz w:val="20"/>
          <w:szCs w:val="20"/>
          <w:color w:val="auto"/>
        </w:rPr>
      </w:pPr>
      <w:r>
        <w:rPr>
          <w:rFonts w:ascii="Arial" w:cs="Arial" w:eastAsia="Arial" w:hAnsi="Arial"/>
          <w:sz w:val="18"/>
          <w:szCs w:val="18"/>
          <w:color w:val="auto"/>
        </w:rPr>
        <w:t>The Audit Committee has adopted procedures for the receipt, retention and treatment of complaints received by our company regarding accounting, internal accounting controls, auditing matters, and disclosure controls and procedures, as well as procedures for the confidential, anonymous submission of concerns by our employees regarding questionable accounting, internal accounting controls, auditing matters or disclosure controls and procedures. These procedures are set forth in the Thomson Reuters Code of Business Conduct and Ethics, which is described earlier in this circular.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Corporate Governance Committee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Corporate Governance Committee is responsible for assisting the board in fulfilling its oversight responsibilities in relation to:</w:t>
      </w:r>
    </w:p>
    <w:p>
      <w:pPr>
        <w:sectPr>
          <w:pgSz w:w="11900" w:h="16838" w:orient="portrait"/>
          <w:cols w:equalWidth="0" w:num="1">
            <w:col w:w="11080"/>
          </w:cols>
          <w:pgMar w:left="240" w:top="458" w:right="579" w:bottom="1440" w:gutter="0" w:footer="0" w:header="0"/>
        </w:sectPr>
      </w:pPr>
    </w:p>
    <w:p>
      <w:pPr>
        <w:spacing w:after="0" w:line="108"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company’s overall approach to corporate governance;</w:t>
      </w:r>
    </w:p>
    <w:p>
      <w:pPr>
        <w:spacing w:after="0" w:line="89" w:lineRule="exact"/>
        <w:rPr>
          <w:sz w:val="20"/>
          <w:szCs w:val="20"/>
          <w:color w:val="auto"/>
        </w:rPr>
      </w:pPr>
    </w:p>
    <w:p>
      <w:pPr>
        <w:ind w:right="820"/>
        <w:spacing w:after="0" w:line="343" w:lineRule="auto"/>
        <w:rPr>
          <w:sz w:val="20"/>
          <w:szCs w:val="20"/>
          <w:color w:val="auto"/>
        </w:rPr>
      </w:pPr>
      <w:r>
        <w:rPr>
          <w:rFonts w:ascii="Arial" w:cs="Arial" w:eastAsia="Arial" w:hAnsi="Arial"/>
          <w:sz w:val="18"/>
          <w:szCs w:val="18"/>
          <w:color w:val="auto"/>
        </w:rPr>
        <w:t>the size, composition and structure of the Thomson Reuters board and its committees, including the nomination of directors; orientation and continuing education for directors;</w:t>
      </w:r>
    </w:p>
    <w:p>
      <w:pPr>
        <w:spacing w:after="0" w:line="1" w:lineRule="exact"/>
        <w:rPr>
          <w:sz w:val="20"/>
          <w:szCs w:val="20"/>
          <w:color w:val="auto"/>
        </w:rPr>
      </w:pPr>
    </w:p>
    <w:p>
      <w:pPr>
        <w:ind w:right="3020"/>
        <w:spacing w:after="0" w:line="354" w:lineRule="auto"/>
        <w:rPr>
          <w:sz w:val="20"/>
          <w:szCs w:val="20"/>
          <w:color w:val="auto"/>
        </w:rPr>
      </w:pPr>
      <w:r>
        <w:rPr>
          <w:rFonts w:ascii="Arial" w:cs="Arial" w:eastAsia="Arial" w:hAnsi="Arial"/>
          <w:sz w:val="18"/>
          <w:szCs w:val="18"/>
          <w:color w:val="auto"/>
        </w:rPr>
        <w:t>related party transactions and other matters involving actual or potential conflicts of interest; and any additional matters delegated to the Corporate Governance Committee by the board.</w:t>
      </w:r>
    </w:p>
    <w:p>
      <w:pPr>
        <w:spacing w:after="0" w:line="8" w:lineRule="exact"/>
        <w:rPr>
          <w:sz w:val="20"/>
          <w:szCs w:val="20"/>
          <w:color w:val="auto"/>
        </w:rPr>
      </w:pPr>
    </w:p>
    <w:p>
      <w:pPr>
        <w:sectPr>
          <w:pgSz w:w="11900" w:h="16838" w:orient="portrait"/>
          <w:cols w:equalWidth="0" w:num="2">
            <w:col w:w="240" w:space="200"/>
            <w:col w:w="10640"/>
          </w:cols>
          <w:pgMar w:left="240" w:top="458" w:right="579" w:bottom="1440" w:gutter="0" w:footer="0" w:header="0"/>
          <w:type w:val="continuous"/>
        </w:sectPr>
      </w:pPr>
    </w:p>
    <w:p>
      <w:pPr>
        <w:ind w:left="220"/>
        <w:spacing w:after="0"/>
        <w:rPr>
          <w:sz w:val="20"/>
          <w:szCs w:val="20"/>
          <w:color w:val="auto"/>
        </w:rPr>
      </w:pPr>
      <w:r>
        <w:rPr>
          <w:rFonts w:ascii="Arial" w:cs="Arial" w:eastAsia="Arial" w:hAnsi="Arial"/>
          <w:sz w:val="17"/>
          <w:szCs w:val="17"/>
          <w:color w:val="auto"/>
        </w:rPr>
        <w:t>The following table sets forth the Corporate Governance Committee’s work plan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81280</wp:posOffset>
            </wp:positionV>
            <wp:extent cx="6973570" cy="1193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73570" cy="119380"/>
                    </a:xfrm>
                    <a:prstGeom prst="rect">
                      <a:avLst/>
                    </a:prstGeom>
                    <a:noFill/>
                  </pic:spPr>
                </pic:pic>
              </a:graphicData>
            </a:graphic>
          </wp:anchor>
        </w:drawing>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2018 Primary Corporate Governance Committee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6350</wp:posOffset>
            </wp:positionV>
            <wp:extent cx="69735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ectPr>
          <w:pgSz w:w="11900" w:h="16838" w:orient="portrait"/>
          <w:cols w:equalWidth="0" w:num="1">
            <w:col w:w="11080"/>
          </w:cols>
          <w:pgMar w:left="240" w:top="458" w:right="579" w:bottom="1440" w:gutter="0" w:footer="0" w:header="0"/>
          <w:type w:val="continuous"/>
        </w:sectPr>
      </w:pPr>
    </w:p>
    <w:p>
      <w:pPr>
        <w:spacing w:after="0" w:line="29" w:lineRule="exact"/>
        <w:rPr>
          <w:sz w:val="20"/>
          <w:szCs w:val="20"/>
          <w:color w:val="auto"/>
        </w:rPr>
      </w:pPr>
    </w:p>
    <w:p>
      <w:pPr>
        <w:ind w:left="440" w:hanging="217"/>
        <w:spacing w:after="0" w:line="224" w:lineRule="auto"/>
        <w:tabs>
          <w:tab w:leader="none" w:pos="391" w:val="left"/>
        </w:tabs>
        <w:numPr>
          <w:ilvl w:val="0"/>
          <w:numId w:val="22"/>
        </w:numPr>
        <w:rPr>
          <w:rFonts w:ascii="Arial" w:cs="Arial" w:eastAsia="Arial" w:hAnsi="Arial"/>
          <w:sz w:val="18"/>
          <w:szCs w:val="18"/>
          <w:color w:val="D95A3B"/>
          <w:vertAlign w:val="superscript"/>
        </w:rPr>
      </w:pPr>
      <w:r>
        <w:rPr>
          <w:rFonts w:ascii="Arial" w:cs="Arial" w:eastAsia="Arial" w:hAnsi="Arial"/>
          <w:sz w:val="14"/>
          <w:szCs w:val="14"/>
          <w:color w:val="auto"/>
        </w:rPr>
        <w:t>Review size, composition and structure of the board and its committees for effective decision-making, including the addition of new committee members, the formation of the new Risk Committee and the division of responsibilities between the Risk Committee and the board’s other standing committees</w:t>
      </w:r>
    </w:p>
    <w:p>
      <w:pPr>
        <w:spacing w:after="0" w:line="2" w:lineRule="exact"/>
        <w:rPr>
          <w:rFonts w:ascii="Arial" w:cs="Arial" w:eastAsia="Arial" w:hAnsi="Arial"/>
          <w:sz w:val="18"/>
          <w:szCs w:val="18"/>
          <w:color w:val="D95A3B"/>
          <w:vertAlign w:val="superscript"/>
        </w:rPr>
      </w:pPr>
    </w:p>
    <w:p>
      <w:pPr>
        <w:ind w:left="440" w:right="400" w:hanging="217"/>
        <w:spacing w:after="0" w:line="210" w:lineRule="auto"/>
        <w:tabs>
          <w:tab w:leader="none" w:pos="383" w:val="left"/>
        </w:tabs>
        <w:numPr>
          <w:ilvl w:val="0"/>
          <w:numId w:val="22"/>
        </w:numPr>
        <w:rPr>
          <w:rFonts w:ascii="Arial" w:cs="Arial" w:eastAsia="Arial" w:hAnsi="Arial"/>
          <w:sz w:val="18"/>
          <w:szCs w:val="18"/>
          <w:color w:val="D95A3B"/>
          <w:vertAlign w:val="superscript"/>
        </w:rPr>
      </w:pPr>
      <w:r>
        <w:rPr>
          <w:rFonts w:ascii="Arial" w:cs="Arial" w:eastAsia="Arial" w:hAnsi="Arial"/>
          <w:sz w:val="14"/>
          <w:szCs w:val="14"/>
          <w:color w:val="auto"/>
        </w:rPr>
        <w:t>Assess director independence, financial literacy and audit committee financial expert status</w:t>
      </w:r>
    </w:p>
    <w:p>
      <w:pPr>
        <w:spacing w:after="0" w:line="1" w:lineRule="exact"/>
        <w:rPr>
          <w:rFonts w:ascii="Arial" w:cs="Arial" w:eastAsia="Arial" w:hAnsi="Arial"/>
          <w:sz w:val="18"/>
          <w:szCs w:val="18"/>
          <w:color w:val="D95A3B"/>
          <w:vertAlign w:val="superscript"/>
        </w:rPr>
      </w:pPr>
    </w:p>
    <w:p>
      <w:pPr>
        <w:ind w:left="380" w:hanging="157"/>
        <w:spacing w:after="0" w:line="187" w:lineRule="auto"/>
        <w:tabs>
          <w:tab w:leader="none" w:pos="380" w:val="left"/>
        </w:tabs>
        <w:numPr>
          <w:ilvl w:val="0"/>
          <w:numId w:val="22"/>
        </w:numPr>
        <w:rPr>
          <w:rFonts w:ascii="Arial" w:cs="Arial" w:eastAsia="Arial" w:hAnsi="Arial"/>
          <w:sz w:val="18"/>
          <w:szCs w:val="18"/>
          <w:color w:val="D95A3B"/>
          <w:vertAlign w:val="superscript"/>
        </w:rPr>
      </w:pPr>
      <w:r>
        <w:rPr>
          <w:rFonts w:ascii="Arial" w:cs="Arial" w:eastAsia="Arial" w:hAnsi="Arial"/>
          <w:sz w:val="14"/>
          <w:szCs w:val="14"/>
          <w:color w:val="auto"/>
        </w:rPr>
        <w:t>Report on the results of board, committee and director review processes</w:t>
      </w:r>
    </w:p>
    <w:p>
      <w:pPr>
        <w:ind w:left="380" w:hanging="157"/>
        <w:spacing w:after="0" w:line="187" w:lineRule="auto"/>
        <w:tabs>
          <w:tab w:leader="none" w:pos="380" w:val="left"/>
        </w:tabs>
        <w:numPr>
          <w:ilvl w:val="0"/>
          <w:numId w:val="22"/>
        </w:numPr>
        <w:rPr>
          <w:rFonts w:ascii="Arial" w:cs="Arial" w:eastAsia="Arial" w:hAnsi="Arial"/>
          <w:sz w:val="18"/>
          <w:szCs w:val="18"/>
          <w:color w:val="D95A3B"/>
          <w:vertAlign w:val="superscript"/>
        </w:rPr>
      </w:pPr>
      <w:r>
        <w:rPr>
          <w:rFonts w:ascii="Arial" w:cs="Arial" w:eastAsia="Arial" w:hAnsi="Arial"/>
          <w:sz w:val="14"/>
          <w:szCs w:val="14"/>
          <w:color w:val="auto"/>
        </w:rPr>
        <w:t>Nominate directors for the annual meeting</w:t>
      </w:r>
    </w:p>
    <w:p>
      <w:pPr>
        <w:ind w:left="380" w:hanging="157"/>
        <w:spacing w:after="0" w:line="187" w:lineRule="auto"/>
        <w:tabs>
          <w:tab w:leader="none" w:pos="380" w:val="left"/>
        </w:tabs>
        <w:numPr>
          <w:ilvl w:val="0"/>
          <w:numId w:val="22"/>
        </w:numPr>
        <w:rPr>
          <w:rFonts w:ascii="Arial" w:cs="Arial" w:eastAsia="Arial" w:hAnsi="Arial"/>
          <w:sz w:val="18"/>
          <w:szCs w:val="18"/>
          <w:color w:val="D95A3B"/>
          <w:vertAlign w:val="superscript"/>
        </w:rPr>
      </w:pPr>
      <w:r>
        <w:rPr>
          <w:rFonts w:ascii="Arial" w:cs="Arial" w:eastAsia="Arial" w:hAnsi="Arial"/>
          <w:sz w:val="14"/>
          <w:szCs w:val="14"/>
          <w:color w:val="auto"/>
        </w:rPr>
        <w:t>Review director compensation</w:t>
      </w:r>
    </w:p>
    <w:p>
      <w:pPr>
        <w:ind w:left="380" w:hanging="157"/>
        <w:spacing w:after="0" w:line="187" w:lineRule="auto"/>
        <w:tabs>
          <w:tab w:leader="none" w:pos="380" w:val="left"/>
        </w:tabs>
        <w:numPr>
          <w:ilvl w:val="0"/>
          <w:numId w:val="22"/>
        </w:numPr>
        <w:rPr>
          <w:rFonts w:ascii="Arial" w:cs="Arial" w:eastAsia="Arial" w:hAnsi="Arial"/>
          <w:sz w:val="18"/>
          <w:szCs w:val="18"/>
          <w:color w:val="D95A3B"/>
          <w:vertAlign w:val="superscript"/>
        </w:rPr>
      </w:pPr>
      <w:r>
        <w:rPr>
          <w:rFonts w:ascii="Arial" w:cs="Arial" w:eastAsia="Arial" w:hAnsi="Arial"/>
          <w:sz w:val="14"/>
          <w:szCs w:val="14"/>
          <w:color w:val="auto"/>
        </w:rPr>
        <w:t>Review corporate governance disclosure for draft proxy circular</w:t>
      </w:r>
    </w:p>
    <w:p>
      <w:pPr>
        <w:ind w:left="380" w:hanging="157"/>
        <w:spacing w:after="0" w:line="187" w:lineRule="auto"/>
        <w:tabs>
          <w:tab w:leader="none" w:pos="380" w:val="left"/>
        </w:tabs>
        <w:numPr>
          <w:ilvl w:val="0"/>
          <w:numId w:val="22"/>
        </w:numPr>
        <w:rPr>
          <w:rFonts w:ascii="Arial" w:cs="Arial" w:eastAsia="Arial" w:hAnsi="Arial"/>
          <w:sz w:val="18"/>
          <w:szCs w:val="18"/>
          <w:color w:val="D95A3B"/>
          <w:vertAlign w:val="superscript"/>
        </w:rPr>
      </w:pPr>
      <w:r>
        <w:rPr>
          <w:rFonts w:ascii="Arial" w:cs="Arial" w:eastAsia="Arial" w:hAnsi="Arial"/>
          <w:sz w:val="14"/>
          <w:szCs w:val="14"/>
          <w:color w:val="auto"/>
        </w:rPr>
        <w:t>Review corporate governance guidelines and committee charters</w:t>
      </w:r>
    </w:p>
    <w:p>
      <w:pPr>
        <w:ind w:left="380" w:hanging="157"/>
        <w:spacing w:after="0" w:line="187" w:lineRule="auto"/>
        <w:tabs>
          <w:tab w:leader="none" w:pos="380" w:val="left"/>
        </w:tabs>
        <w:numPr>
          <w:ilvl w:val="0"/>
          <w:numId w:val="22"/>
        </w:numPr>
        <w:rPr>
          <w:rFonts w:ascii="Arial" w:cs="Arial" w:eastAsia="Arial" w:hAnsi="Arial"/>
          <w:sz w:val="18"/>
          <w:szCs w:val="18"/>
          <w:color w:val="D95A3B"/>
          <w:vertAlign w:val="superscript"/>
        </w:rPr>
      </w:pPr>
      <w:r>
        <w:rPr>
          <w:rFonts w:ascii="Arial" w:cs="Arial" w:eastAsia="Arial" w:hAnsi="Arial"/>
          <w:sz w:val="14"/>
          <w:szCs w:val="14"/>
          <w:color w:val="auto"/>
        </w:rPr>
        <w:t>Review committee composition and chairs</w:t>
      </w:r>
    </w:p>
    <w:p>
      <w:pPr>
        <w:ind w:left="380" w:hanging="157"/>
        <w:spacing w:after="0" w:line="187" w:lineRule="auto"/>
        <w:tabs>
          <w:tab w:leader="none" w:pos="380" w:val="left"/>
        </w:tabs>
        <w:numPr>
          <w:ilvl w:val="0"/>
          <w:numId w:val="22"/>
        </w:numPr>
        <w:rPr>
          <w:rFonts w:ascii="Arial" w:cs="Arial" w:eastAsia="Arial" w:hAnsi="Arial"/>
          <w:sz w:val="18"/>
          <w:szCs w:val="18"/>
          <w:color w:val="D95A3B"/>
          <w:vertAlign w:val="superscript"/>
        </w:rPr>
      </w:pPr>
      <w:r>
        <w:rPr>
          <w:rFonts w:ascii="Arial" w:cs="Arial" w:eastAsia="Arial" w:hAnsi="Arial"/>
          <w:sz w:val="14"/>
          <w:szCs w:val="14"/>
          <w:color w:val="auto"/>
        </w:rPr>
        <w:t>Board succession planning</w:t>
      </w:r>
    </w:p>
    <w:p>
      <w:pPr>
        <w:ind w:left="440" w:right="840" w:hanging="217"/>
        <w:spacing w:after="0" w:line="210" w:lineRule="auto"/>
        <w:tabs>
          <w:tab w:leader="none" w:pos="391" w:val="left"/>
        </w:tabs>
        <w:numPr>
          <w:ilvl w:val="0"/>
          <w:numId w:val="22"/>
        </w:numPr>
        <w:rPr>
          <w:rFonts w:ascii="Arial" w:cs="Arial" w:eastAsia="Arial" w:hAnsi="Arial"/>
          <w:sz w:val="18"/>
          <w:szCs w:val="18"/>
          <w:color w:val="D95A3B"/>
          <w:vertAlign w:val="superscript"/>
        </w:rPr>
      </w:pPr>
      <w:r>
        <w:rPr>
          <w:rFonts w:ascii="Arial" w:cs="Arial" w:eastAsia="Arial" w:hAnsi="Arial"/>
          <w:sz w:val="14"/>
          <w:szCs w:val="14"/>
          <w:color w:val="auto"/>
        </w:rPr>
        <w:t>Review external analysis of proxy circular and other shareholder group assessments</w:t>
      </w:r>
    </w:p>
    <w:p>
      <w:pPr>
        <w:spacing w:after="0" w:line="1" w:lineRule="exact"/>
        <w:rPr>
          <w:rFonts w:ascii="Arial" w:cs="Arial" w:eastAsia="Arial" w:hAnsi="Arial"/>
          <w:sz w:val="18"/>
          <w:szCs w:val="18"/>
          <w:color w:val="D95A3B"/>
          <w:vertAlign w:val="superscript"/>
        </w:rPr>
      </w:pPr>
    </w:p>
    <w:p>
      <w:pPr>
        <w:ind w:left="380" w:hanging="157"/>
        <w:spacing w:after="0" w:line="187" w:lineRule="auto"/>
        <w:tabs>
          <w:tab w:leader="none" w:pos="380" w:val="left"/>
        </w:tabs>
        <w:numPr>
          <w:ilvl w:val="0"/>
          <w:numId w:val="22"/>
        </w:numPr>
        <w:rPr>
          <w:rFonts w:ascii="Arial" w:cs="Arial" w:eastAsia="Arial" w:hAnsi="Arial"/>
          <w:sz w:val="18"/>
          <w:szCs w:val="18"/>
          <w:color w:val="D95A3B"/>
          <w:vertAlign w:val="superscript"/>
        </w:rPr>
      </w:pPr>
      <w:r>
        <w:rPr>
          <w:rFonts w:ascii="Arial" w:cs="Arial" w:eastAsia="Arial" w:hAnsi="Arial"/>
          <w:sz w:val="14"/>
          <w:szCs w:val="14"/>
          <w:color w:val="auto"/>
        </w:rPr>
        <w:t>Plan board, committee and director assessments</w:t>
      </w:r>
    </w:p>
    <w:p>
      <w:pPr>
        <w:ind w:left="380" w:hanging="157"/>
        <w:spacing w:after="0" w:line="199" w:lineRule="auto"/>
        <w:tabs>
          <w:tab w:leader="none" w:pos="380" w:val="left"/>
        </w:tabs>
        <w:numPr>
          <w:ilvl w:val="0"/>
          <w:numId w:val="22"/>
        </w:numPr>
        <w:rPr>
          <w:rFonts w:ascii="Arial" w:cs="Arial" w:eastAsia="Arial" w:hAnsi="Arial"/>
          <w:sz w:val="18"/>
          <w:szCs w:val="18"/>
          <w:color w:val="D95A3B"/>
          <w:vertAlign w:val="superscript"/>
        </w:rPr>
      </w:pPr>
      <w:r>
        <w:rPr>
          <w:rFonts w:ascii="Arial" w:cs="Arial" w:eastAsia="Arial" w:hAnsi="Arial"/>
          <w:sz w:val="14"/>
          <w:szCs w:val="14"/>
          <w:color w:val="auto"/>
        </w:rPr>
        <w:t>Review compliance with Thomson Reuters Trust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59055</wp:posOffset>
            </wp:positionV>
            <wp:extent cx="69735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298450</wp:posOffset>
            </wp:positionV>
            <wp:extent cx="697357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10" w:hanging="210"/>
        <w:spacing w:after="0" w:line="217" w:lineRule="auto"/>
        <w:tabs>
          <w:tab w:leader="none" w:pos="160" w:val="left"/>
        </w:tabs>
        <w:numPr>
          <w:ilvl w:val="0"/>
          <w:numId w:val="23"/>
        </w:numPr>
        <w:rPr>
          <w:rFonts w:ascii="Arial" w:cs="Arial" w:eastAsia="Arial" w:hAnsi="Arial"/>
          <w:sz w:val="18"/>
          <w:szCs w:val="18"/>
          <w:color w:val="D95A3B"/>
          <w:vertAlign w:val="superscript"/>
        </w:rPr>
      </w:pPr>
      <w:r>
        <w:rPr>
          <w:rFonts w:ascii="Arial" w:cs="Arial" w:eastAsia="Arial" w:hAnsi="Arial"/>
          <w:sz w:val="14"/>
          <w:szCs w:val="14"/>
          <w:color w:val="auto"/>
        </w:rPr>
        <w:t>Report on effectiveness of Thomson Reuters Code of Business Conduct and Ethics</w:t>
      </w:r>
    </w:p>
    <w:p>
      <w:pPr>
        <w:spacing w:after="0" w:line="93"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auto"/>
        </w:rPr>
        <w:t>Periodically</w:t>
      </w:r>
    </w:p>
    <w:p>
      <w:pPr>
        <w:ind w:left="170" w:hanging="170"/>
        <w:spacing w:after="0" w:line="208" w:lineRule="auto"/>
        <w:tabs>
          <w:tab w:leader="none" w:pos="170" w:val="left"/>
        </w:tabs>
        <w:numPr>
          <w:ilvl w:val="0"/>
          <w:numId w:val="24"/>
        </w:numPr>
        <w:rPr>
          <w:rFonts w:ascii="Arial" w:cs="Arial" w:eastAsia="Arial" w:hAnsi="Arial"/>
          <w:sz w:val="18"/>
          <w:szCs w:val="18"/>
          <w:color w:val="D95A3B"/>
          <w:vertAlign w:val="superscript"/>
        </w:rPr>
      </w:pPr>
      <w:r>
        <w:rPr>
          <w:rFonts w:ascii="Arial" w:cs="Arial" w:eastAsia="Arial" w:hAnsi="Arial"/>
          <w:sz w:val="14"/>
          <w:szCs w:val="14"/>
          <w:color w:val="auto"/>
        </w:rPr>
        <w:t>Review orientation and continuing education initiatives for directors</w:t>
      </w:r>
    </w:p>
    <w:p>
      <w:pPr>
        <w:ind w:left="170" w:hanging="170"/>
        <w:spacing w:after="0" w:line="187" w:lineRule="auto"/>
        <w:tabs>
          <w:tab w:leader="none" w:pos="170" w:val="left"/>
        </w:tabs>
        <w:numPr>
          <w:ilvl w:val="0"/>
          <w:numId w:val="24"/>
        </w:numPr>
        <w:rPr>
          <w:rFonts w:ascii="Arial" w:cs="Arial" w:eastAsia="Arial" w:hAnsi="Arial"/>
          <w:sz w:val="18"/>
          <w:szCs w:val="18"/>
          <w:color w:val="D95A3B"/>
          <w:vertAlign w:val="superscript"/>
        </w:rPr>
      </w:pPr>
      <w:r>
        <w:rPr>
          <w:rFonts w:ascii="Arial" w:cs="Arial" w:eastAsia="Arial" w:hAnsi="Arial"/>
          <w:sz w:val="14"/>
          <w:szCs w:val="14"/>
          <w:color w:val="auto"/>
        </w:rPr>
        <w:t>Review position descriptions for Board</w:t>
      </w:r>
    </w:p>
    <w:p>
      <w:pPr>
        <w:ind w:left="170" w:hanging="170"/>
        <w:spacing w:after="0" w:line="187" w:lineRule="auto"/>
        <w:tabs>
          <w:tab w:leader="none" w:pos="170" w:val="left"/>
        </w:tabs>
        <w:numPr>
          <w:ilvl w:val="0"/>
          <w:numId w:val="24"/>
        </w:numPr>
        <w:rPr>
          <w:rFonts w:ascii="Arial" w:cs="Arial" w:eastAsia="Arial" w:hAnsi="Arial"/>
          <w:sz w:val="18"/>
          <w:szCs w:val="18"/>
          <w:color w:val="D95A3B"/>
          <w:vertAlign w:val="superscript"/>
        </w:rPr>
      </w:pPr>
      <w:r>
        <w:rPr>
          <w:rFonts w:ascii="Arial" w:cs="Arial" w:eastAsia="Arial" w:hAnsi="Arial"/>
          <w:sz w:val="14"/>
          <w:szCs w:val="14"/>
          <w:color w:val="auto"/>
        </w:rPr>
        <w:t>Review related party transactions and conflicts of interest</w:t>
      </w:r>
    </w:p>
    <w:p>
      <w:pPr>
        <w:ind w:left="210" w:right="20" w:hanging="210"/>
        <w:spacing w:after="0" w:line="210" w:lineRule="auto"/>
        <w:tabs>
          <w:tab w:leader="none" w:pos="160" w:val="left"/>
        </w:tabs>
        <w:numPr>
          <w:ilvl w:val="0"/>
          <w:numId w:val="24"/>
        </w:numPr>
        <w:rPr>
          <w:rFonts w:ascii="Arial" w:cs="Arial" w:eastAsia="Arial" w:hAnsi="Arial"/>
          <w:sz w:val="18"/>
          <w:szCs w:val="18"/>
          <w:color w:val="D95A3B"/>
          <w:vertAlign w:val="superscript"/>
        </w:rPr>
      </w:pPr>
      <w:r>
        <w:rPr>
          <w:rFonts w:ascii="Arial" w:cs="Arial" w:eastAsia="Arial" w:hAnsi="Arial"/>
          <w:sz w:val="14"/>
          <w:szCs w:val="14"/>
          <w:color w:val="auto"/>
        </w:rPr>
        <w:t>Monitor developments in corporate governance and recommend appropriate initiatives as part of overall approach to governance</w:t>
      </w:r>
    </w:p>
    <w:p>
      <w:pPr>
        <w:spacing w:after="0" w:line="1" w:lineRule="exact"/>
        <w:rPr>
          <w:rFonts w:ascii="Arial" w:cs="Arial" w:eastAsia="Arial" w:hAnsi="Arial"/>
          <w:sz w:val="18"/>
          <w:szCs w:val="18"/>
          <w:color w:val="D95A3B"/>
          <w:vertAlign w:val="superscript"/>
        </w:rPr>
      </w:pPr>
    </w:p>
    <w:p>
      <w:pPr>
        <w:ind w:left="170" w:hanging="170"/>
        <w:spacing w:after="0" w:line="187" w:lineRule="auto"/>
        <w:tabs>
          <w:tab w:leader="none" w:pos="170" w:val="left"/>
        </w:tabs>
        <w:numPr>
          <w:ilvl w:val="0"/>
          <w:numId w:val="24"/>
        </w:numPr>
        <w:rPr>
          <w:rFonts w:ascii="Arial" w:cs="Arial" w:eastAsia="Arial" w:hAnsi="Arial"/>
          <w:sz w:val="18"/>
          <w:szCs w:val="18"/>
          <w:color w:val="D95A3B"/>
          <w:vertAlign w:val="superscript"/>
        </w:rPr>
      </w:pPr>
      <w:r>
        <w:rPr>
          <w:rFonts w:ascii="Arial" w:cs="Arial" w:eastAsia="Arial" w:hAnsi="Arial"/>
          <w:sz w:val="14"/>
          <w:szCs w:val="14"/>
          <w:color w:val="auto"/>
        </w:rPr>
        <w:t>Consider agendas for meetings of independent directors</w:t>
      </w:r>
    </w:p>
    <w:p>
      <w:pPr>
        <w:ind w:left="170" w:hanging="170"/>
        <w:spacing w:after="0" w:line="187" w:lineRule="auto"/>
        <w:tabs>
          <w:tab w:leader="none" w:pos="170" w:val="left"/>
        </w:tabs>
        <w:numPr>
          <w:ilvl w:val="0"/>
          <w:numId w:val="24"/>
        </w:numPr>
        <w:rPr>
          <w:rFonts w:ascii="Arial" w:cs="Arial" w:eastAsia="Arial" w:hAnsi="Arial"/>
          <w:sz w:val="18"/>
          <w:szCs w:val="18"/>
          <w:color w:val="D95A3B"/>
          <w:vertAlign w:val="superscript"/>
        </w:rPr>
      </w:pPr>
      <w:r>
        <w:rPr>
          <w:rFonts w:ascii="Arial" w:cs="Arial" w:eastAsia="Arial" w:hAnsi="Arial"/>
          <w:sz w:val="14"/>
          <w:szCs w:val="14"/>
          <w:color w:val="auto"/>
        </w:rPr>
        <w:t>Review Board and CEO expenses</w:t>
      </w:r>
    </w:p>
    <w:p>
      <w:pPr>
        <w:ind w:left="170" w:hanging="170"/>
        <w:spacing w:after="0" w:line="187" w:lineRule="auto"/>
        <w:tabs>
          <w:tab w:leader="none" w:pos="170" w:val="left"/>
        </w:tabs>
        <w:numPr>
          <w:ilvl w:val="0"/>
          <w:numId w:val="24"/>
        </w:numPr>
        <w:rPr>
          <w:rFonts w:ascii="Arial" w:cs="Arial" w:eastAsia="Arial" w:hAnsi="Arial"/>
          <w:sz w:val="18"/>
          <w:szCs w:val="18"/>
          <w:color w:val="D95A3B"/>
          <w:vertAlign w:val="superscript"/>
        </w:rPr>
      </w:pPr>
      <w:r>
        <w:rPr>
          <w:rFonts w:ascii="Arial" w:cs="Arial" w:eastAsia="Arial" w:hAnsi="Arial"/>
          <w:sz w:val="14"/>
          <w:szCs w:val="14"/>
          <w:color w:val="auto"/>
        </w:rPr>
        <w:t>Review delegation of authority</w:t>
      </w:r>
    </w:p>
    <w:p>
      <w:pPr>
        <w:ind w:left="170" w:hanging="170"/>
        <w:spacing w:after="0" w:line="187" w:lineRule="auto"/>
        <w:tabs>
          <w:tab w:leader="none" w:pos="170" w:val="left"/>
        </w:tabs>
        <w:numPr>
          <w:ilvl w:val="0"/>
          <w:numId w:val="24"/>
        </w:numPr>
        <w:rPr>
          <w:rFonts w:ascii="Arial" w:cs="Arial" w:eastAsia="Arial" w:hAnsi="Arial"/>
          <w:sz w:val="18"/>
          <w:szCs w:val="18"/>
          <w:color w:val="D95A3B"/>
          <w:vertAlign w:val="superscript"/>
        </w:rPr>
      </w:pPr>
      <w:r>
        <w:rPr>
          <w:rFonts w:ascii="Arial" w:cs="Arial" w:eastAsia="Arial" w:hAnsi="Arial"/>
          <w:sz w:val="14"/>
          <w:szCs w:val="14"/>
          <w:color w:val="auto"/>
        </w:rPr>
        <w:t>Review share ownership expectations and compliance</w:t>
      </w:r>
    </w:p>
    <w:p>
      <w:pPr>
        <w:ind w:left="150" w:hanging="150"/>
        <w:spacing w:after="0" w:line="187" w:lineRule="auto"/>
        <w:tabs>
          <w:tab w:leader="none" w:pos="150" w:val="left"/>
        </w:tabs>
        <w:numPr>
          <w:ilvl w:val="0"/>
          <w:numId w:val="24"/>
        </w:numPr>
        <w:rPr>
          <w:rFonts w:ascii="Arial" w:cs="Arial" w:eastAsia="Arial" w:hAnsi="Arial"/>
          <w:sz w:val="18"/>
          <w:szCs w:val="18"/>
          <w:color w:val="D95A3B"/>
          <w:vertAlign w:val="superscript"/>
        </w:rPr>
      </w:pPr>
      <w:r>
        <w:rPr>
          <w:rFonts w:ascii="Arial" w:cs="Arial" w:eastAsia="Arial" w:hAnsi="Arial"/>
          <w:sz w:val="14"/>
          <w:szCs w:val="14"/>
          <w:color w:val="auto"/>
        </w:rPr>
        <w:t>Approve any waivers of Code of Business Conduct and Ethics</w:t>
      </w:r>
    </w:p>
    <w:p>
      <w:pPr>
        <w:ind w:left="170" w:hanging="170"/>
        <w:spacing w:after="0" w:line="187" w:lineRule="auto"/>
        <w:tabs>
          <w:tab w:leader="none" w:pos="170" w:val="left"/>
        </w:tabs>
        <w:numPr>
          <w:ilvl w:val="0"/>
          <w:numId w:val="24"/>
        </w:numPr>
        <w:rPr>
          <w:rFonts w:ascii="Arial" w:cs="Arial" w:eastAsia="Arial" w:hAnsi="Arial"/>
          <w:sz w:val="18"/>
          <w:szCs w:val="18"/>
          <w:color w:val="D95A3B"/>
          <w:vertAlign w:val="superscript"/>
        </w:rPr>
      </w:pPr>
      <w:r>
        <w:rPr>
          <w:rFonts w:ascii="Arial" w:cs="Arial" w:eastAsia="Arial" w:hAnsi="Arial"/>
          <w:sz w:val="14"/>
          <w:szCs w:val="14"/>
          <w:color w:val="auto"/>
        </w:rPr>
        <w:t>Monitor relationships between senior management and the Board</w:t>
      </w:r>
    </w:p>
    <w:p>
      <w:pPr>
        <w:ind w:left="170" w:hanging="170"/>
        <w:spacing w:after="0" w:line="187" w:lineRule="auto"/>
        <w:tabs>
          <w:tab w:leader="none" w:pos="170" w:val="left"/>
        </w:tabs>
        <w:numPr>
          <w:ilvl w:val="0"/>
          <w:numId w:val="24"/>
        </w:numPr>
        <w:rPr>
          <w:rFonts w:ascii="Arial" w:cs="Arial" w:eastAsia="Arial" w:hAnsi="Arial"/>
          <w:sz w:val="18"/>
          <w:szCs w:val="18"/>
          <w:color w:val="D95A3B"/>
          <w:vertAlign w:val="superscript"/>
        </w:rPr>
      </w:pPr>
      <w:r>
        <w:rPr>
          <w:rFonts w:ascii="Arial" w:cs="Arial" w:eastAsia="Arial" w:hAnsi="Arial"/>
          <w:sz w:val="14"/>
          <w:szCs w:val="14"/>
          <w:color w:val="auto"/>
        </w:rPr>
        <w:t>Be available as a forum for addressing the concerns of individual directors</w:t>
      </w:r>
    </w:p>
    <w:p>
      <w:pPr>
        <w:ind w:left="170" w:hanging="170"/>
        <w:spacing w:after="0" w:line="199" w:lineRule="auto"/>
        <w:tabs>
          <w:tab w:leader="none" w:pos="170" w:val="left"/>
        </w:tabs>
        <w:numPr>
          <w:ilvl w:val="0"/>
          <w:numId w:val="24"/>
        </w:numPr>
        <w:rPr>
          <w:rFonts w:ascii="Arial" w:cs="Arial" w:eastAsia="Arial" w:hAnsi="Arial"/>
          <w:sz w:val="18"/>
          <w:szCs w:val="18"/>
          <w:color w:val="D95A3B"/>
          <w:vertAlign w:val="superscript"/>
        </w:rPr>
      </w:pPr>
      <w:r>
        <w:rPr>
          <w:rFonts w:ascii="Arial" w:cs="Arial" w:eastAsia="Arial" w:hAnsi="Arial"/>
          <w:sz w:val="14"/>
          <w:szCs w:val="14"/>
          <w:color w:val="auto"/>
        </w:rPr>
        <w:t>Review D&amp;O insurance</w:t>
      </w:r>
    </w:p>
    <w:p>
      <w:pPr>
        <w:spacing w:after="0" w:line="240" w:lineRule="exact"/>
        <w:rPr>
          <w:sz w:val="20"/>
          <w:szCs w:val="20"/>
          <w:color w:val="auto"/>
        </w:rPr>
      </w:pPr>
    </w:p>
    <w:p>
      <w:pPr>
        <w:sectPr>
          <w:pgSz w:w="11900" w:h="16838" w:orient="portrait"/>
          <w:cols w:equalWidth="0" w:num="2">
            <w:col w:w="5700" w:space="350"/>
            <w:col w:w="5030"/>
          </w:cols>
          <w:pgMar w:left="240" w:top="458" w:right="57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36</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080"/>
          </w:cols>
          <w:pgMar w:left="240" w:top="458" w:right="57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221615</wp:posOffset>
            </wp:positionV>
            <wp:extent cx="69735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Skills and Experiences of Director Nominees</w:t>
      </w:r>
    </w:p>
    <w:p>
      <w:pPr>
        <w:spacing w:after="0" w:line="22"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We believe that our board reflects an appropriate mix of directors with different skills and experiences. The following table, or skills matrix, summarizes the skills and areas of experience indicated by each director nominee. Our board believes that these skills and experiences are necessary for it to carry out its mandate. The Corporate Governance Committee takes our skills matrix into consideration when identifying potential new director candidates. The skills matrix is reviewed and updated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6833235</wp:posOffset>
            </wp:positionH>
            <wp:positionV relativeFrom="paragraph">
              <wp:posOffset>68580</wp:posOffset>
            </wp:positionV>
            <wp:extent cx="8255" cy="10769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1076960"/>
                    </a:xfrm>
                    <a:prstGeom prst="rect">
                      <a:avLst/>
                    </a:prstGeom>
                    <a:noFill/>
                  </pic:spPr>
                </pic:pic>
              </a:graphicData>
            </a:graphic>
          </wp:anchor>
        </w:drawing>
        <w:drawing>
          <wp:anchor simplePos="0" relativeHeight="251657728" behindDoc="1" locked="0" layoutInCell="0" allowOverlap="1">
            <wp:simplePos x="0" y="0"/>
            <wp:positionH relativeFrom="column">
              <wp:posOffset>6551295</wp:posOffset>
            </wp:positionH>
            <wp:positionV relativeFrom="paragraph">
              <wp:posOffset>68580</wp:posOffset>
            </wp:positionV>
            <wp:extent cx="8255" cy="10769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1076960"/>
                    </a:xfrm>
                    <a:prstGeom prst="rect">
                      <a:avLst/>
                    </a:prstGeom>
                    <a:noFill/>
                  </pic:spPr>
                </pic:pic>
              </a:graphicData>
            </a:graphic>
          </wp:anchor>
        </w:drawing>
        <w:drawing>
          <wp:anchor simplePos="0" relativeHeight="251657728" behindDoc="1" locked="0" layoutInCell="0" allowOverlap="1">
            <wp:simplePos x="0" y="0"/>
            <wp:positionH relativeFrom="column">
              <wp:posOffset>6269355</wp:posOffset>
            </wp:positionH>
            <wp:positionV relativeFrom="paragraph">
              <wp:posOffset>68580</wp:posOffset>
            </wp:positionV>
            <wp:extent cx="8255" cy="10769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1076960"/>
                    </a:xfrm>
                    <a:prstGeom prst="rect">
                      <a:avLst/>
                    </a:prstGeom>
                    <a:noFill/>
                  </pic:spPr>
                </pic:pic>
              </a:graphicData>
            </a:graphic>
          </wp:anchor>
        </w:drawing>
        <w:drawing>
          <wp:anchor simplePos="0" relativeHeight="251657728" behindDoc="1" locked="0" layoutInCell="0" allowOverlap="1">
            <wp:simplePos x="0" y="0"/>
            <wp:positionH relativeFrom="column">
              <wp:posOffset>5986780</wp:posOffset>
            </wp:positionH>
            <wp:positionV relativeFrom="paragraph">
              <wp:posOffset>68580</wp:posOffset>
            </wp:positionV>
            <wp:extent cx="8255" cy="10769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1076960"/>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68580</wp:posOffset>
            </wp:positionV>
            <wp:extent cx="8255" cy="10769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107696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68580</wp:posOffset>
            </wp:positionV>
            <wp:extent cx="8255" cy="10769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1076960"/>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68580</wp:posOffset>
            </wp:positionV>
            <wp:extent cx="8255" cy="10769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107696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68580</wp:posOffset>
            </wp:positionV>
            <wp:extent cx="8255" cy="10769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107696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68580</wp:posOffset>
            </wp:positionV>
            <wp:extent cx="8255" cy="10769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107696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68580</wp:posOffset>
            </wp:positionV>
            <wp:extent cx="8255" cy="10769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1076960"/>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68580</wp:posOffset>
            </wp:positionV>
            <wp:extent cx="8255" cy="10769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1076960"/>
                    </a:xfrm>
                    <a:prstGeom prst="rect">
                      <a:avLst/>
                    </a:prstGeom>
                    <a:noFill/>
                  </pic:spPr>
                </pic:pic>
              </a:graphicData>
            </a:graphic>
          </wp:anchor>
        </w:drawing>
      </w:r>
    </w:p>
    <w:p>
      <w:pPr>
        <w:spacing w:after="0" w:line="88" w:lineRule="exact"/>
        <w:rPr>
          <w:sz w:val="20"/>
          <w:szCs w:val="20"/>
          <w:color w:val="auto"/>
        </w:rPr>
      </w:pPr>
    </w:p>
    <w:tbl>
      <w:tblPr>
        <w:tblLayout w:type="fixed"/>
        <w:tblInd w:w="220" w:type="dxa"/>
        <w:tblCellMar>
          <w:top w:w="0" w:type="dxa"/>
          <w:left w:w="0" w:type="dxa"/>
          <w:bottom w:w="0" w:type="dxa"/>
          <w:right w:w="0" w:type="dxa"/>
        </w:tblCellMar>
      </w:tblPr>
      <w:tr>
        <w:trPr>
          <w:trHeight w:val="1682"/>
        </w:trPr>
        <w:tc>
          <w:tcPr>
            <w:tcW w:w="6380" w:type="dxa"/>
            <w:vAlign w:val="bottom"/>
            <w:tcBorders>
              <w:bottom w:val="single" w:sz="8" w:color="D95A3B"/>
              <w:right w:val="single" w:sz="8" w:color="CCCCCC"/>
            </w:tcBorders>
          </w:tcPr>
          <w:p>
            <w:pPr>
              <w:spacing w:after="0"/>
              <w:rPr>
                <w:sz w:val="24"/>
                <w:szCs w:val="24"/>
                <w:color w:val="auto"/>
              </w:rPr>
            </w:pPr>
          </w:p>
        </w:tc>
        <w:tc>
          <w:tcPr>
            <w:tcW w:w="340" w:type="dxa"/>
            <w:vAlign w:val="bottom"/>
            <w:tcBorders>
              <w:bottom w:val="single" w:sz="8" w:color="D95A3B"/>
              <w:right w:val="single" w:sz="8" w:color="CCCCCC"/>
            </w:tcBorders>
            <w:shd w:val="clear" w:color="auto" w:fill="CCCCCC"/>
          </w:tcPr>
          <w:p>
            <w:pPr>
              <w:spacing w:after="0"/>
              <w:rPr>
                <w:sz w:val="24"/>
                <w:szCs w:val="24"/>
                <w:color w:val="auto"/>
              </w:rPr>
            </w:pPr>
          </w:p>
        </w:tc>
        <w:tc>
          <w:tcPr>
            <w:tcW w:w="360" w:type="dxa"/>
            <w:vAlign w:val="bottom"/>
            <w:tcBorders>
              <w:bottom w:val="single" w:sz="8" w:color="D95A3B"/>
              <w:right w:val="single" w:sz="8" w:color="CCCCCC"/>
            </w:tcBorders>
            <w:shd w:val="clear" w:color="auto" w:fill="CCCCCC"/>
          </w:tcPr>
          <w:p>
            <w:pPr>
              <w:spacing w:after="0"/>
              <w:rPr>
                <w:sz w:val="24"/>
                <w:szCs w:val="24"/>
                <w:color w:val="auto"/>
              </w:rPr>
            </w:pPr>
          </w:p>
        </w:tc>
        <w:tc>
          <w:tcPr>
            <w:tcW w:w="420" w:type="dxa"/>
            <w:vAlign w:val="bottom"/>
            <w:tcBorders>
              <w:bottom w:val="single" w:sz="8" w:color="D95A3B"/>
              <w:right w:val="single" w:sz="8" w:color="CCCCCC"/>
            </w:tcBorders>
            <w:shd w:val="clear" w:color="auto" w:fill="CCCCCC"/>
          </w:tcPr>
          <w:p>
            <w:pPr>
              <w:spacing w:after="0"/>
              <w:rPr>
                <w:sz w:val="24"/>
                <w:szCs w:val="24"/>
                <w:color w:val="auto"/>
              </w:rPr>
            </w:pPr>
          </w:p>
        </w:tc>
        <w:tc>
          <w:tcPr>
            <w:tcW w:w="440" w:type="dxa"/>
            <w:vAlign w:val="bottom"/>
            <w:tcBorders>
              <w:bottom w:val="single" w:sz="8" w:color="D95A3B"/>
              <w:right w:val="single" w:sz="8" w:color="CCCCCC"/>
            </w:tcBorders>
            <w:shd w:val="clear" w:color="auto" w:fill="CCCCCC"/>
          </w:tcPr>
          <w:p>
            <w:pPr>
              <w:spacing w:after="0"/>
              <w:rPr>
                <w:sz w:val="24"/>
                <w:szCs w:val="24"/>
                <w:color w:val="auto"/>
              </w:rPr>
            </w:pPr>
          </w:p>
        </w:tc>
        <w:tc>
          <w:tcPr>
            <w:tcW w:w="420" w:type="dxa"/>
            <w:vAlign w:val="bottom"/>
            <w:tcBorders>
              <w:bottom w:val="single" w:sz="8" w:color="D95A3B"/>
              <w:right w:val="single" w:sz="8" w:color="CCCCCC"/>
            </w:tcBorders>
            <w:shd w:val="clear" w:color="auto" w:fill="CCCCCC"/>
          </w:tcPr>
          <w:p>
            <w:pPr>
              <w:spacing w:after="0"/>
              <w:rPr>
                <w:sz w:val="24"/>
                <w:szCs w:val="24"/>
                <w:color w:val="auto"/>
              </w:rPr>
            </w:pPr>
          </w:p>
        </w:tc>
        <w:tc>
          <w:tcPr>
            <w:tcW w:w="440" w:type="dxa"/>
            <w:vAlign w:val="bottom"/>
            <w:tcBorders>
              <w:bottom w:val="single" w:sz="8" w:color="D95A3B"/>
              <w:right w:val="single" w:sz="8" w:color="CCCCCC"/>
            </w:tcBorders>
            <w:shd w:val="clear" w:color="auto" w:fill="CCCCCC"/>
          </w:tcPr>
          <w:p>
            <w:pPr>
              <w:spacing w:after="0"/>
              <w:rPr>
                <w:sz w:val="24"/>
                <w:szCs w:val="24"/>
                <w:color w:val="auto"/>
              </w:rPr>
            </w:pPr>
          </w:p>
        </w:tc>
        <w:tc>
          <w:tcPr>
            <w:tcW w:w="420" w:type="dxa"/>
            <w:vAlign w:val="bottom"/>
            <w:tcBorders>
              <w:bottom w:val="single" w:sz="8" w:color="D95A3B"/>
              <w:right w:val="single" w:sz="8" w:color="CCCCCC"/>
            </w:tcBorders>
            <w:shd w:val="clear" w:color="auto" w:fill="CCCCCC"/>
          </w:tcPr>
          <w:p>
            <w:pPr>
              <w:spacing w:after="0"/>
              <w:rPr>
                <w:sz w:val="24"/>
                <w:szCs w:val="24"/>
                <w:color w:val="auto"/>
              </w:rPr>
            </w:pPr>
          </w:p>
        </w:tc>
        <w:tc>
          <w:tcPr>
            <w:tcW w:w="460" w:type="dxa"/>
            <w:vAlign w:val="bottom"/>
            <w:tcBorders>
              <w:bottom w:val="single" w:sz="8" w:color="D95A3B"/>
              <w:right w:val="single" w:sz="8" w:color="CCCCCC"/>
            </w:tcBorders>
            <w:shd w:val="clear" w:color="auto" w:fill="CCCCCC"/>
          </w:tcPr>
          <w:p>
            <w:pPr>
              <w:spacing w:after="0"/>
              <w:rPr>
                <w:sz w:val="24"/>
                <w:szCs w:val="24"/>
                <w:color w:val="auto"/>
              </w:rPr>
            </w:pPr>
          </w:p>
        </w:tc>
        <w:tc>
          <w:tcPr>
            <w:tcW w:w="440" w:type="dxa"/>
            <w:vAlign w:val="bottom"/>
            <w:tcBorders>
              <w:bottom w:val="single" w:sz="8" w:color="D95A3B"/>
              <w:right w:val="single" w:sz="8" w:color="CCCCCC"/>
            </w:tcBorders>
            <w:shd w:val="clear" w:color="auto" w:fill="CCCCCC"/>
          </w:tcPr>
          <w:p>
            <w:pPr>
              <w:spacing w:after="0"/>
              <w:rPr>
                <w:sz w:val="24"/>
                <w:szCs w:val="24"/>
                <w:color w:val="auto"/>
              </w:rPr>
            </w:pPr>
          </w:p>
        </w:tc>
        <w:tc>
          <w:tcPr>
            <w:tcW w:w="440" w:type="dxa"/>
            <w:vAlign w:val="bottom"/>
            <w:tcBorders>
              <w:bottom w:val="single" w:sz="8" w:color="D95A3B"/>
              <w:right w:val="single" w:sz="8" w:color="CCCCCC"/>
            </w:tcBorders>
            <w:shd w:val="clear" w:color="auto" w:fill="CCCCCC"/>
          </w:tcPr>
          <w:p>
            <w:pPr>
              <w:spacing w:after="0"/>
              <w:rPr>
                <w:sz w:val="24"/>
                <w:szCs w:val="24"/>
                <w:color w:val="auto"/>
              </w:rPr>
            </w:pPr>
          </w:p>
        </w:tc>
        <w:tc>
          <w:tcPr>
            <w:tcW w:w="420" w:type="dxa"/>
            <w:vAlign w:val="bottom"/>
            <w:tcBorders>
              <w:bottom w:val="single" w:sz="8" w:color="D95A3B"/>
            </w:tcBorders>
            <w:shd w:val="clear" w:color="auto" w:fill="CCCCCC"/>
          </w:tcPr>
          <w:p>
            <w:pPr>
              <w:spacing w:after="0"/>
              <w:rPr>
                <w:sz w:val="24"/>
                <w:szCs w:val="24"/>
                <w:color w:val="auto"/>
              </w:rPr>
            </w:pP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Accounting/Audit</w:t>
            </w:r>
          </w:p>
        </w:tc>
        <w:tc>
          <w:tcPr>
            <w:tcW w:w="340" w:type="dxa"/>
            <w:vAlign w:val="bottom"/>
            <w:tcBorders>
              <w:bottom w:val="single" w:sz="8" w:color="AFAFAF"/>
              <w:right w:val="single" w:sz="8" w:color="AFAFAF"/>
            </w:tcBorders>
          </w:tcPr>
          <w:p>
            <w:pPr>
              <w:spacing w:after="0"/>
              <w:rPr>
                <w:sz w:val="13"/>
                <w:szCs w:val="13"/>
                <w:color w:val="auto"/>
              </w:rPr>
            </w:pPr>
          </w:p>
        </w:tc>
        <w:tc>
          <w:tcPr>
            <w:tcW w:w="36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Board experience (with other companies)</w:t>
            </w:r>
          </w:p>
        </w:tc>
        <w:tc>
          <w:tcPr>
            <w:tcW w:w="34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36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Corporate governance</w:t>
            </w:r>
          </w:p>
        </w:tc>
        <w:tc>
          <w:tcPr>
            <w:tcW w:w="34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36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Corporate social responsibility (CSR)</w:t>
            </w:r>
          </w:p>
        </w:tc>
        <w:tc>
          <w:tcPr>
            <w:tcW w:w="34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36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Executive leadership</w:t>
            </w:r>
          </w:p>
        </w:tc>
        <w:tc>
          <w:tcPr>
            <w:tcW w:w="34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36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Finance</w:t>
            </w:r>
          </w:p>
        </w:tc>
        <w:tc>
          <w:tcPr>
            <w:tcW w:w="340" w:type="dxa"/>
            <w:vAlign w:val="bottom"/>
            <w:tcBorders>
              <w:bottom w:val="single" w:sz="8" w:color="AFAFAF"/>
              <w:right w:val="single" w:sz="8" w:color="AFAFAF"/>
            </w:tcBorders>
          </w:tcPr>
          <w:p>
            <w:pPr>
              <w:spacing w:after="0"/>
              <w:rPr>
                <w:sz w:val="13"/>
                <w:szCs w:val="13"/>
                <w:color w:val="auto"/>
              </w:rPr>
            </w:pPr>
          </w:p>
        </w:tc>
        <w:tc>
          <w:tcPr>
            <w:tcW w:w="36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Government relations/public sector</w:t>
            </w:r>
          </w:p>
        </w:tc>
        <w:tc>
          <w:tcPr>
            <w:tcW w:w="340" w:type="dxa"/>
            <w:vAlign w:val="bottom"/>
            <w:tcBorders>
              <w:bottom w:val="single" w:sz="8" w:color="AFAFAF"/>
              <w:right w:val="single" w:sz="8" w:color="AFAFAF"/>
            </w:tcBorders>
          </w:tcPr>
          <w:p>
            <w:pPr>
              <w:spacing w:after="0"/>
              <w:rPr>
                <w:sz w:val="13"/>
                <w:szCs w:val="13"/>
                <w:color w:val="auto"/>
              </w:rPr>
            </w:pPr>
          </w:p>
        </w:tc>
        <w:tc>
          <w:tcPr>
            <w:tcW w:w="36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tcBorders>
          </w:tcPr>
          <w:p>
            <w:pPr>
              <w:spacing w:after="0"/>
              <w:rPr>
                <w:sz w:val="13"/>
                <w:szCs w:val="13"/>
                <w:color w:val="auto"/>
              </w:rPr>
            </w:pP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Human Resources</w:t>
            </w:r>
          </w:p>
        </w:tc>
        <w:tc>
          <w:tcPr>
            <w:tcW w:w="34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36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Industries in which Thomson Reuters Business Segments operate</w:t>
            </w:r>
          </w:p>
        </w:tc>
        <w:tc>
          <w:tcPr>
            <w:tcW w:w="34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36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International business</w:t>
            </w:r>
          </w:p>
        </w:tc>
        <w:tc>
          <w:tcPr>
            <w:tcW w:w="34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36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Investment management</w:t>
            </w:r>
          </w:p>
        </w:tc>
        <w:tc>
          <w:tcPr>
            <w:tcW w:w="34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36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tcBorders>
          </w:tcPr>
          <w:p>
            <w:pPr>
              <w:spacing w:after="0"/>
              <w:rPr>
                <w:sz w:val="13"/>
                <w:szCs w:val="13"/>
                <w:color w:val="auto"/>
              </w:rPr>
            </w:pP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Legal</w:t>
            </w:r>
          </w:p>
        </w:tc>
        <w:tc>
          <w:tcPr>
            <w:tcW w:w="340" w:type="dxa"/>
            <w:vAlign w:val="bottom"/>
            <w:tcBorders>
              <w:bottom w:val="single" w:sz="8" w:color="AFAFAF"/>
              <w:right w:val="single" w:sz="8" w:color="AFAFAF"/>
            </w:tcBorders>
          </w:tcPr>
          <w:p>
            <w:pPr>
              <w:spacing w:after="0"/>
              <w:rPr>
                <w:sz w:val="13"/>
                <w:szCs w:val="13"/>
                <w:color w:val="auto"/>
              </w:rPr>
            </w:pPr>
          </w:p>
        </w:tc>
        <w:tc>
          <w:tcPr>
            <w:tcW w:w="36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tcBorders>
          </w:tcPr>
          <w:p>
            <w:pPr>
              <w:spacing w:after="0"/>
              <w:rPr>
                <w:sz w:val="13"/>
                <w:szCs w:val="13"/>
                <w:color w:val="auto"/>
              </w:rPr>
            </w:pP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M&amp;A</w:t>
            </w:r>
          </w:p>
        </w:tc>
        <w:tc>
          <w:tcPr>
            <w:tcW w:w="340" w:type="dxa"/>
            <w:vAlign w:val="bottom"/>
            <w:tcBorders>
              <w:bottom w:val="single" w:sz="8" w:color="AFAFAF"/>
              <w:right w:val="single" w:sz="8" w:color="AFAFAF"/>
            </w:tcBorders>
          </w:tcPr>
          <w:p>
            <w:pPr>
              <w:spacing w:after="0"/>
              <w:rPr>
                <w:sz w:val="13"/>
                <w:szCs w:val="13"/>
                <w:color w:val="auto"/>
              </w:rPr>
            </w:pPr>
          </w:p>
        </w:tc>
        <w:tc>
          <w:tcPr>
            <w:tcW w:w="36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tcBorders>
          </w:tcPr>
          <w:p>
            <w:pPr>
              <w:spacing w:after="0"/>
              <w:rPr>
                <w:sz w:val="13"/>
                <w:szCs w:val="13"/>
                <w:color w:val="auto"/>
              </w:rPr>
            </w:pP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Media/Publishing</w:t>
            </w:r>
          </w:p>
        </w:tc>
        <w:tc>
          <w:tcPr>
            <w:tcW w:w="34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36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tcBorders>
          </w:tcPr>
          <w:p>
            <w:pPr>
              <w:spacing w:after="0"/>
              <w:rPr>
                <w:sz w:val="13"/>
                <w:szCs w:val="13"/>
                <w:color w:val="auto"/>
              </w:rPr>
            </w:pP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Operations</w:t>
            </w:r>
          </w:p>
        </w:tc>
        <w:tc>
          <w:tcPr>
            <w:tcW w:w="34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36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Risk management</w:t>
            </w:r>
          </w:p>
        </w:tc>
        <w:tc>
          <w:tcPr>
            <w:tcW w:w="34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36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Sales &amp; Marketing</w:t>
            </w:r>
          </w:p>
        </w:tc>
        <w:tc>
          <w:tcPr>
            <w:tcW w:w="34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36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tcBorders>
          </w:tcPr>
          <w:p>
            <w:pPr>
              <w:spacing w:after="0"/>
              <w:rPr>
                <w:sz w:val="13"/>
                <w:szCs w:val="13"/>
                <w:color w:val="auto"/>
              </w:rPr>
            </w:pP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Strategy</w:t>
            </w:r>
          </w:p>
        </w:tc>
        <w:tc>
          <w:tcPr>
            <w:tcW w:w="34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360" w:type="dxa"/>
            <w:vAlign w:val="bottom"/>
            <w:tcBorders>
              <w:bottom w:val="single" w:sz="8" w:color="AFAFAF"/>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r>
      <w:tr>
        <w:trPr>
          <w:trHeight w:val="155"/>
        </w:trPr>
        <w:tc>
          <w:tcPr>
            <w:tcW w:w="63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Tax</w:t>
            </w:r>
          </w:p>
        </w:tc>
        <w:tc>
          <w:tcPr>
            <w:tcW w:w="340" w:type="dxa"/>
            <w:vAlign w:val="bottom"/>
            <w:tcBorders>
              <w:bottom w:val="single" w:sz="8" w:color="AFAFAF"/>
              <w:right w:val="single" w:sz="8" w:color="AFAFAF"/>
            </w:tcBorders>
          </w:tcPr>
          <w:p>
            <w:pPr>
              <w:spacing w:after="0"/>
              <w:rPr>
                <w:sz w:val="13"/>
                <w:szCs w:val="13"/>
                <w:color w:val="auto"/>
              </w:rPr>
            </w:pPr>
          </w:p>
        </w:tc>
        <w:tc>
          <w:tcPr>
            <w:tcW w:w="36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AFAFAF"/>
              <w:right w:val="single" w:sz="8" w:color="AFAFAF"/>
            </w:tcBorders>
          </w:tcPr>
          <w:p>
            <w:pPr>
              <w:spacing w:after="0"/>
              <w:rPr>
                <w:sz w:val="13"/>
                <w:szCs w:val="13"/>
                <w:color w:val="auto"/>
              </w:rPr>
            </w:pPr>
          </w:p>
        </w:tc>
        <w:tc>
          <w:tcPr>
            <w:tcW w:w="440" w:type="dxa"/>
            <w:vAlign w:val="bottom"/>
            <w:tcBorders>
              <w:bottom w:val="single" w:sz="8" w:color="AFAFAF"/>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AFAFAF"/>
              <w:right w:val="single" w:sz="8" w:color="AFAFAF"/>
            </w:tcBorders>
          </w:tcPr>
          <w:p>
            <w:pPr>
              <w:spacing w:after="0"/>
              <w:rPr>
                <w:sz w:val="13"/>
                <w:szCs w:val="13"/>
                <w:color w:val="auto"/>
              </w:rPr>
            </w:pPr>
          </w:p>
        </w:tc>
        <w:tc>
          <w:tcPr>
            <w:tcW w:w="420" w:type="dxa"/>
            <w:vAlign w:val="bottom"/>
            <w:tcBorders>
              <w:bottom w:val="single" w:sz="8" w:color="AFAFAF"/>
            </w:tcBorders>
          </w:tcPr>
          <w:p>
            <w:pPr>
              <w:spacing w:after="0"/>
              <w:rPr>
                <w:sz w:val="13"/>
                <w:szCs w:val="13"/>
                <w:color w:val="auto"/>
              </w:rPr>
            </w:pPr>
          </w:p>
        </w:tc>
      </w:tr>
      <w:tr>
        <w:trPr>
          <w:trHeight w:val="155"/>
        </w:trPr>
        <w:tc>
          <w:tcPr>
            <w:tcW w:w="638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Technology</w:t>
            </w:r>
          </w:p>
        </w:tc>
        <w:tc>
          <w:tcPr>
            <w:tcW w:w="340" w:type="dxa"/>
            <w:vAlign w:val="bottom"/>
            <w:tcBorders>
              <w:bottom w:val="single" w:sz="8" w:color="D95A3B"/>
              <w:right w:val="single" w:sz="8" w:color="AFAFAF"/>
            </w:tcBorders>
          </w:tcPr>
          <w:p>
            <w:pPr>
              <w:spacing w:after="0"/>
              <w:rPr>
                <w:sz w:val="13"/>
                <w:szCs w:val="13"/>
                <w:color w:val="auto"/>
              </w:rPr>
            </w:pPr>
          </w:p>
        </w:tc>
        <w:tc>
          <w:tcPr>
            <w:tcW w:w="360" w:type="dxa"/>
            <w:vAlign w:val="bottom"/>
            <w:tcBorders>
              <w:bottom w:val="single" w:sz="8" w:color="D95A3B"/>
              <w:right w:val="single" w:sz="8" w:color="AFAFAF"/>
            </w:tcBorders>
          </w:tcPr>
          <w:p>
            <w:pPr>
              <w:ind w:left="20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D95A3B"/>
              <w:right w:val="single" w:sz="8" w:color="AFAFAF"/>
            </w:tcBorders>
          </w:tcPr>
          <w:p>
            <w:pPr>
              <w:spacing w:after="0"/>
              <w:rPr>
                <w:sz w:val="13"/>
                <w:szCs w:val="13"/>
                <w:color w:val="auto"/>
              </w:rPr>
            </w:pPr>
          </w:p>
        </w:tc>
        <w:tc>
          <w:tcPr>
            <w:tcW w:w="440" w:type="dxa"/>
            <w:vAlign w:val="bottom"/>
            <w:tcBorders>
              <w:bottom w:val="single" w:sz="8" w:color="D95A3B"/>
              <w:right w:val="single" w:sz="8" w:color="AFAFAF"/>
            </w:tcBorders>
          </w:tcPr>
          <w:p>
            <w:pPr>
              <w:spacing w:after="0"/>
              <w:rPr>
                <w:sz w:val="13"/>
                <w:szCs w:val="13"/>
                <w:color w:val="auto"/>
              </w:rPr>
            </w:pPr>
          </w:p>
        </w:tc>
        <w:tc>
          <w:tcPr>
            <w:tcW w:w="420" w:type="dxa"/>
            <w:vAlign w:val="bottom"/>
            <w:tcBorders>
              <w:bottom w:val="single" w:sz="8" w:color="D95A3B"/>
              <w:right w:val="single" w:sz="8" w:color="AFAFAF"/>
            </w:tcBorders>
          </w:tcPr>
          <w:p>
            <w:pPr>
              <w:spacing w:after="0"/>
              <w:rPr>
                <w:sz w:val="13"/>
                <w:szCs w:val="13"/>
                <w:color w:val="auto"/>
              </w:rPr>
            </w:pPr>
          </w:p>
        </w:tc>
        <w:tc>
          <w:tcPr>
            <w:tcW w:w="440" w:type="dxa"/>
            <w:vAlign w:val="bottom"/>
            <w:tcBorders>
              <w:bottom w:val="single" w:sz="8" w:color="D95A3B"/>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D95A3B"/>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60" w:type="dxa"/>
            <w:vAlign w:val="bottom"/>
            <w:tcBorders>
              <w:bottom w:val="single" w:sz="8" w:color="D95A3B"/>
              <w:right w:val="single" w:sz="8" w:color="AFAFAF"/>
            </w:tcBorders>
          </w:tcPr>
          <w:p>
            <w:pPr>
              <w:spacing w:after="0"/>
              <w:rPr>
                <w:sz w:val="13"/>
                <w:szCs w:val="13"/>
                <w:color w:val="auto"/>
              </w:rPr>
            </w:pPr>
          </w:p>
        </w:tc>
        <w:tc>
          <w:tcPr>
            <w:tcW w:w="440" w:type="dxa"/>
            <w:vAlign w:val="bottom"/>
            <w:tcBorders>
              <w:bottom w:val="single" w:sz="8" w:color="D95A3B"/>
              <w:right w:val="single" w:sz="8" w:color="AFAFAF"/>
            </w:tcBorders>
          </w:tcPr>
          <w:p>
            <w:pPr>
              <w:ind w:left="240"/>
              <w:spacing w:after="0" w:line="155" w:lineRule="exact"/>
              <w:rPr>
                <w:sz w:val="20"/>
                <w:szCs w:val="20"/>
                <w:color w:val="auto"/>
              </w:rPr>
            </w:pPr>
            <w:r>
              <w:rPr>
                <w:rFonts w:ascii="Arial" w:cs="Arial" w:eastAsia="Arial" w:hAnsi="Arial"/>
                <w:sz w:val="14"/>
                <w:szCs w:val="14"/>
                <w:color w:val="auto"/>
              </w:rPr>
              <w:t>X</w:t>
            </w:r>
          </w:p>
        </w:tc>
        <w:tc>
          <w:tcPr>
            <w:tcW w:w="440" w:type="dxa"/>
            <w:vAlign w:val="bottom"/>
            <w:tcBorders>
              <w:bottom w:val="single" w:sz="8" w:color="D95A3B"/>
              <w:right w:val="single" w:sz="8" w:color="AFAFAF"/>
            </w:tcBorders>
          </w:tcPr>
          <w:p>
            <w:pPr>
              <w:ind w:left="260"/>
              <w:spacing w:after="0" w:line="155" w:lineRule="exact"/>
              <w:rPr>
                <w:sz w:val="20"/>
                <w:szCs w:val="20"/>
                <w:color w:val="auto"/>
              </w:rPr>
            </w:pPr>
            <w:r>
              <w:rPr>
                <w:rFonts w:ascii="Arial" w:cs="Arial" w:eastAsia="Arial" w:hAnsi="Arial"/>
                <w:sz w:val="14"/>
                <w:szCs w:val="14"/>
                <w:color w:val="auto"/>
              </w:rPr>
              <w:t>X</w:t>
            </w:r>
          </w:p>
        </w:tc>
        <w:tc>
          <w:tcPr>
            <w:tcW w:w="420" w:type="dxa"/>
            <w:vAlign w:val="bottom"/>
            <w:tcBorders>
              <w:bottom w:val="single" w:sz="8" w:color="D95A3B"/>
            </w:tcBorders>
          </w:tcPr>
          <w:p>
            <w:pPr>
              <w:ind w:left="260"/>
              <w:spacing w:after="0" w:line="155" w:lineRule="exact"/>
              <w:rPr>
                <w:sz w:val="20"/>
                <w:szCs w:val="20"/>
                <w:color w:val="auto"/>
              </w:rPr>
            </w:pPr>
            <w:r>
              <w:rPr>
                <w:rFonts w:ascii="Arial" w:cs="Arial" w:eastAsia="Arial" w:hAnsi="Arial"/>
                <w:sz w:val="14"/>
                <w:szCs w:val="14"/>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-2836545</wp:posOffset>
            </wp:positionV>
            <wp:extent cx="102235" cy="6070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235" cy="60706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-2828290</wp:posOffset>
            </wp:positionV>
            <wp:extent cx="102870" cy="5981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598170"/>
                    </a:xfrm>
                    <a:prstGeom prst="rect">
                      <a:avLst/>
                    </a:prstGeom>
                    <a:noFill/>
                  </pic:spPr>
                </pic:pic>
              </a:graphicData>
            </a:graphic>
          </wp:anchor>
        </w:drawing>
        <w:drawing>
          <wp:anchor simplePos="0" relativeHeight="251657728" behindDoc="1" locked="0" layoutInCell="0" allowOverlap="1">
            <wp:simplePos x="0" y="0"/>
            <wp:positionH relativeFrom="column">
              <wp:posOffset>4739640</wp:posOffset>
            </wp:positionH>
            <wp:positionV relativeFrom="paragraph">
              <wp:posOffset>-2767965</wp:posOffset>
            </wp:positionV>
            <wp:extent cx="102235" cy="5213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235" cy="521335"/>
                    </a:xfrm>
                    <a:prstGeom prst="rect">
                      <a:avLst/>
                    </a:prstGeom>
                    <a:noFill/>
                  </pic:spPr>
                </pic:pic>
              </a:graphicData>
            </a:graphic>
          </wp:anchor>
        </w:drawing>
        <w:drawing>
          <wp:anchor simplePos="0" relativeHeight="251657728" behindDoc="1" locked="0" layoutInCell="0" allowOverlap="1">
            <wp:simplePos x="0" y="0"/>
            <wp:positionH relativeFrom="column">
              <wp:posOffset>5012690</wp:posOffset>
            </wp:positionH>
            <wp:positionV relativeFrom="paragraph">
              <wp:posOffset>-2819400</wp:posOffset>
            </wp:positionV>
            <wp:extent cx="102235" cy="5727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235" cy="572770"/>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-3152775</wp:posOffset>
            </wp:positionV>
            <wp:extent cx="102235" cy="906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235" cy="9061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-2964815</wp:posOffset>
            </wp:positionV>
            <wp:extent cx="102235" cy="7175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235" cy="717550"/>
                    </a:xfrm>
                    <a:prstGeom prst="rect">
                      <a:avLst/>
                    </a:prstGeom>
                    <a:noFill/>
                  </pic:spPr>
                </pic:pic>
              </a:graphicData>
            </a:graphic>
          </wp:anchor>
        </w:drawing>
        <w:drawing>
          <wp:anchor simplePos="0" relativeHeight="251657728" behindDoc="1" locked="0" layoutInCell="0" allowOverlap="1">
            <wp:simplePos x="0" y="0"/>
            <wp:positionH relativeFrom="column">
              <wp:posOffset>5833110</wp:posOffset>
            </wp:positionH>
            <wp:positionV relativeFrom="paragraph">
              <wp:posOffset>-3024505</wp:posOffset>
            </wp:positionV>
            <wp:extent cx="102235" cy="777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235" cy="777875"/>
                    </a:xfrm>
                    <a:prstGeom prst="rect">
                      <a:avLst/>
                    </a:prstGeom>
                    <a:noFill/>
                  </pic:spPr>
                </pic:pic>
              </a:graphicData>
            </a:graphic>
          </wp:anchor>
        </w:drawing>
        <w:drawing>
          <wp:anchor simplePos="0" relativeHeight="251657728" behindDoc="1" locked="0" layoutInCell="0" allowOverlap="1">
            <wp:simplePos x="0" y="0"/>
            <wp:positionH relativeFrom="column">
              <wp:posOffset>6115050</wp:posOffset>
            </wp:positionH>
            <wp:positionV relativeFrom="paragraph">
              <wp:posOffset>-2811145</wp:posOffset>
            </wp:positionV>
            <wp:extent cx="102235" cy="563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235" cy="563880"/>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-2819400</wp:posOffset>
            </wp:positionV>
            <wp:extent cx="102870" cy="5727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572770"/>
                    </a:xfrm>
                    <a:prstGeom prst="rect">
                      <a:avLst/>
                    </a:prstGeom>
                    <a:noFill/>
                  </pic:spPr>
                </pic:pic>
              </a:graphicData>
            </a:graphic>
          </wp:anchor>
        </w:drawing>
        <w:drawing>
          <wp:anchor simplePos="0" relativeHeight="251657728" behindDoc="1" locked="0" layoutInCell="0" allowOverlap="1">
            <wp:simplePos x="0" y="0"/>
            <wp:positionH relativeFrom="column">
              <wp:posOffset>6679565</wp:posOffset>
            </wp:positionH>
            <wp:positionV relativeFrom="paragraph">
              <wp:posOffset>-2922270</wp:posOffset>
            </wp:positionV>
            <wp:extent cx="102870" cy="6750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675005"/>
                    </a:xfrm>
                    <a:prstGeom prst="rect">
                      <a:avLst/>
                    </a:prstGeom>
                    <a:noFill/>
                  </pic:spPr>
                </pic:pic>
              </a:graphicData>
            </a:graphic>
          </wp:anchor>
        </w:drawing>
        <w:drawing>
          <wp:anchor simplePos="0" relativeHeight="251657728" behindDoc="1" locked="0" layoutInCell="0" allowOverlap="1">
            <wp:simplePos x="0" y="0"/>
            <wp:positionH relativeFrom="column">
              <wp:posOffset>6961505</wp:posOffset>
            </wp:positionH>
            <wp:positionV relativeFrom="paragraph">
              <wp:posOffset>-3229610</wp:posOffset>
            </wp:positionV>
            <wp:extent cx="102235" cy="9740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235" cy="974090"/>
                    </a:xfrm>
                    <a:prstGeom prst="rect">
                      <a:avLst/>
                    </a:prstGeom>
                    <a:noFill/>
                  </pic:spPr>
                </pic:pic>
              </a:graphicData>
            </a:graphic>
          </wp:anchor>
        </w:drawing>
      </w:r>
    </w:p>
    <w:p>
      <w:pPr>
        <w:spacing w:after="0" w:line="81"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Director Qualifications, Recruitment, Board Size and Appointments</w:t>
      </w:r>
    </w:p>
    <w:p>
      <w:pPr>
        <w:spacing w:after="0" w:line="35" w:lineRule="exact"/>
        <w:rPr>
          <w:sz w:val="20"/>
          <w:szCs w:val="20"/>
          <w:color w:val="auto"/>
        </w:rPr>
      </w:pPr>
    </w:p>
    <w:p>
      <w:pPr>
        <w:ind w:left="220" w:right="40"/>
        <w:spacing w:after="0" w:line="238" w:lineRule="auto"/>
        <w:rPr>
          <w:sz w:val="20"/>
          <w:szCs w:val="20"/>
          <w:color w:val="auto"/>
        </w:rPr>
      </w:pPr>
      <w:r>
        <w:rPr>
          <w:rFonts w:ascii="Arial" w:cs="Arial" w:eastAsia="Arial" w:hAnsi="Arial"/>
          <w:sz w:val="18"/>
          <w:szCs w:val="18"/>
          <w:color w:val="auto"/>
        </w:rPr>
        <w:t>The Corporate Governance Committee is responsible for assessing the skills and competencies of current directors, their anticipated tenure and the need for new directors. The Corporate Governance Committee retains a professional search firm to assist it in identifying and evaluating potential director candidates. Through its search firm, the Corporate Governance Committee maintains an evergreen list of potential director candidates.</w:t>
      </w:r>
    </w:p>
    <w:p>
      <w:pPr>
        <w:spacing w:after="0" w:line="94"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The Corporate Governance Committee recommends candidates for initial board membership and board members for re-nomination. Recommendations are based on character, integrity, judgment, skills and competencies, business experience, record of achievement and any other attributes that would enhance the board and overall management of the business and affairs of our company. Diversity is among these other attributes as the Corporate Governance Committee believes that having a diverse board enhances board operations. While the Corporate Governance Committee focuses on finding the best qualified candidates for the board, a nominee’s diversity may be considered favorably in his or her assessment. The Corporate Governance Committee does not specifically define diversity, but values diversity of thought, style, experience, culture, race, color, gender, geographic background, national origin, religion, gender identity and expression, sexual orientation, disability and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0" w:lineRule="exact"/>
        <w:rPr>
          <w:sz w:val="20"/>
          <w:szCs w:val="20"/>
          <w:color w:val="auto"/>
        </w:rPr>
      </w:pPr>
    </w:p>
    <w:p>
      <w:pPr>
        <w:ind w:left="6100"/>
        <w:spacing w:after="0"/>
        <w:tabs>
          <w:tab w:leader="none" w:pos="106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37</w:t>
      </w:r>
    </w:p>
    <w:p>
      <w:pPr>
        <w:sectPr>
          <w:pgSz w:w="11900" w:h="16838" w:orient="portrait"/>
          <w:cols w:equalWidth="0" w:num="1">
            <w:col w:w="11200"/>
          </w:cols>
          <w:pgMar w:left="240" w:top="458"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right="100"/>
        <w:spacing w:after="0" w:line="237" w:lineRule="auto"/>
        <w:rPr>
          <w:sz w:val="20"/>
          <w:szCs w:val="20"/>
          <w:color w:val="auto"/>
        </w:rPr>
      </w:pPr>
      <w:r>
        <w:rPr>
          <w:rFonts w:ascii="Arial" w:cs="Arial" w:eastAsia="Arial" w:hAnsi="Arial"/>
          <w:sz w:val="18"/>
          <w:szCs w:val="18"/>
          <w:color w:val="auto"/>
        </w:rPr>
        <w:t>In identifying candidates for election or re-election, the board and the Corporate Governance Committee consider the level of representation of women on the board. Two of the 11 director nominees proposed for election (approximately 18%) at this year’s meeting are women. When the Corporate Governance Committee engages a professional search firm to help identify and evaluate director candidates, the search firm is advised that identifying women candidates is one of the board’s priorities (along with directors who have technology background and experience).</w:t>
      </w:r>
    </w:p>
    <w:p>
      <w:pPr>
        <w:spacing w:after="0" w:line="95" w:lineRule="exact"/>
        <w:rPr>
          <w:sz w:val="20"/>
          <w:szCs w:val="20"/>
          <w:color w:val="auto"/>
        </w:rPr>
      </w:pPr>
    </w:p>
    <w:p>
      <w:pPr>
        <w:ind w:left="220" w:right="400"/>
        <w:spacing w:after="0" w:line="260" w:lineRule="auto"/>
        <w:rPr>
          <w:sz w:val="20"/>
          <w:szCs w:val="20"/>
          <w:color w:val="auto"/>
        </w:rPr>
      </w:pPr>
      <w:r>
        <w:rPr>
          <w:rFonts w:ascii="Arial" w:cs="Arial" w:eastAsia="Arial" w:hAnsi="Arial"/>
          <w:sz w:val="17"/>
          <w:szCs w:val="17"/>
          <w:color w:val="auto"/>
        </w:rPr>
        <w:t>The Corporate Governance Committee looks at the totality of factors that would enhance the board and overall management of the business and affairs of our company. Therefore, it has not adopted a formal written policy to identify or nominate women directors or targets for the percentage of women directors as the board does not focus on fixed numbers or percentages for any selection criteria.</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Director Orientation and Continuing Education</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new directors are provided with an orientation upon election or appointment to the board, which includes:</w:t>
      </w:r>
    </w:p>
    <w:p>
      <w:pPr>
        <w:sectPr>
          <w:pgSz w:w="11900" w:h="16838" w:orient="portrait"/>
          <w:cols w:equalWidth="0" w:num="1">
            <w:col w:w="11180"/>
          </w:cols>
          <w:pgMar w:left="240" w:top="458" w:right="479" w:bottom="1440" w:gutter="0" w:footer="0" w:header="0"/>
        </w:sectPr>
      </w:pPr>
    </w:p>
    <w:p>
      <w:pPr>
        <w:spacing w:after="0" w:line="108"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1120"/>
        <w:spacing w:after="0" w:line="354" w:lineRule="auto"/>
        <w:rPr>
          <w:sz w:val="20"/>
          <w:szCs w:val="20"/>
          <w:color w:val="auto"/>
        </w:rPr>
      </w:pPr>
      <w:r>
        <w:rPr>
          <w:rFonts w:ascii="Arial" w:cs="Arial" w:eastAsia="Arial" w:hAnsi="Arial"/>
          <w:sz w:val="18"/>
          <w:szCs w:val="18"/>
          <w:color w:val="auto"/>
        </w:rPr>
        <w:t>Induction materials describing our business, our corporate governance structure and related policies and information; and Meetings with the Chairman, Lead Independent Director, CEO, CFO and other executives.</w:t>
      </w:r>
    </w:p>
    <w:p>
      <w:pPr>
        <w:spacing w:after="0" w:line="8" w:lineRule="exact"/>
        <w:rPr>
          <w:sz w:val="20"/>
          <w:szCs w:val="20"/>
          <w:color w:val="auto"/>
        </w:rPr>
      </w:pPr>
    </w:p>
    <w:p>
      <w:pPr>
        <w:sectPr>
          <w:pgSz w:w="11900" w:h="16838" w:orient="portrait"/>
          <w:cols w:equalWidth="0" w:num="2">
            <w:col w:w="240" w:space="200"/>
            <w:col w:w="10740"/>
          </w:cols>
          <w:pgMar w:left="240" w:top="458" w:right="479" w:bottom="1440" w:gutter="0" w:footer="0" w:header="0"/>
          <w:type w:val="continuous"/>
        </w:sectPr>
      </w:pPr>
    </w:p>
    <w:p>
      <w:pPr>
        <w:ind w:left="220" w:right="280"/>
        <w:spacing w:after="0" w:line="244" w:lineRule="auto"/>
        <w:rPr>
          <w:sz w:val="20"/>
          <w:szCs w:val="20"/>
          <w:color w:val="auto"/>
        </w:rPr>
      </w:pPr>
      <w:r>
        <w:rPr>
          <w:rFonts w:ascii="Arial" w:cs="Arial" w:eastAsia="Arial" w:hAnsi="Arial"/>
          <w:sz w:val="18"/>
          <w:szCs w:val="18"/>
          <w:color w:val="auto"/>
        </w:rPr>
        <w:t>The board’s secure website, management reports and other means of communication provide directors with information to ensure their knowledge and understanding of our business remain current.</w:t>
      </w:r>
    </w:p>
    <w:p>
      <w:pPr>
        <w:spacing w:after="0" w:line="91"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Largely in connection with board and committee meetings, members of senior management prepare memoranda and presentations on strategic and operating matters which are distributed to the directors. These board papers are often prepared in connection with matters that require director approval under our policies or applicable law and are also used to inform the directors about developments that senior management believe should be brought to the directors’ attention. The board also periodically receives reports on other non-operational matters, including corporate governance, taxation, pension and treasury matters.</w:t>
      </w:r>
    </w:p>
    <w:p>
      <w:pPr>
        <w:spacing w:after="0" w:line="95" w:lineRule="exact"/>
        <w:rPr>
          <w:sz w:val="20"/>
          <w:szCs w:val="20"/>
          <w:color w:val="auto"/>
        </w:rPr>
      </w:pPr>
    </w:p>
    <w:p>
      <w:pPr>
        <w:ind w:left="220" w:right="580"/>
        <w:spacing w:after="0" w:line="239" w:lineRule="auto"/>
        <w:rPr>
          <w:sz w:val="20"/>
          <w:szCs w:val="20"/>
          <w:color w:val="auto"/>
        </w:rPr>
      </w:pPr>
      <w:r>
        <w:rPr>
          <w:rFonts w:ascii="Arial" w:cs="Arial" w:eastAsia="Arial" w:hAnsi="Arial"/>
          <w:sz w:val="18"/>
          <w:szCs w:val="18"/>
          <w:color w:val="auto"/>
        </w:rPr>
        <w:t>In 2018, as part of our continuing education programs for directors, we made arrangements for members of the Audit Committee to receive access to Thomson Reuters’ Checkpoint Learning business, which offers a series of self-directed, online courses and instructor-led webinars and seminars. Courses cover topics such as accounting, auditing, ethics, finance, tax and technology.</w:t>
      </w:r>
    </w:p>
    <w:p>
      <w:pPr>
        <w:spacing w:after="0" w:line="95" w:lineRule="exact"/>
        <w:rPr>
          <w:sz w:val="20"/>
          <w:szCs w:val="20"/>
          <w:color w:val="auto"/>
        </w:rPr>
      </w:pPr>
    </w:p>
    <w:p>
      <w:pPr>
        <w:ind w:left="220" w:right="280"/>
        <w:spacing w:after="0" w:line="238" w:lineRule="auto"/>
        <w:rPr>
          <w:sz w:val="20"/>
          <w:szCs w:val="20"/>
          <w:color w:val="auto"/>
        </w:rPr>
      </w:pPr>
      <w:r>
        <w:rPr>
          <w:rFonts w:ascii="Arial" w:cs="Arial" w:eastAsia="Arial" w:hAnsi="Arial"/>
          <w:sz w:val="18"/>
          <w:szCs w:val="18"/>
          <w:color w:val="auto"/>
        </w:rPr>
        <w:t>To facilitate ongoing education, the directors are also entitled to attend external continuing education opportunities at the expense of Thomson Reuters. The Corporate Governance Committee is responsible for confirming that procedures are in place and resources are made available to provide directors with appropriate continuing education opportunities. As part of our most recent board effectiveness review process, directors indicated they were pleased to continue on this basis.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Site Visits</w:t>
      </w:r>
    </w:p>
    <w:p>
      <w:pPr>
        <w:spacing w:after="0" w:line="35" w:lineRule="exact"/>
        <w:rPr>
          <w:sz w:val="20"/>
          <w:szCs w:val="20"/>
          <w:color w:val="auto"/>
        </w:rPr>
      </w:pPr>
    </w:p>
    <w:p>
      <w:pPr>
        <w:ind w:left="220" w:right="140"/>
        <w:spacing w:after="0" w:line="238" w:lineRule="auto"/>
        <w:rPr>
          <w:sz w:val="20"/>
          <w:szCs w:val="20"/>
          <w:color w:val="auto"/>
        </w:rPr>
      </w:pPr>
      <w:r>
        <w:rPr>
          <w:rFonts w:ascii="Arial" w:cs="Arial" w:eastAsia="Arial" w:hAnsi="Arial"/>
          <w:sz w:val="18"/>
          <w:szCs w:val="18"/>
          <w:color w:val="auto"/>
        </w:rPr>
        <w:t>In 2018, the Corporate Governance Committee continued its director continuing education/orientation program by facilitating visits by directors to a Thomson Reuters site. The board coordinates the timing of these site visits to coincide with regularly scheduled board meetings. This allows substantially all of the directors to participate in the site visits at the same time and then attend a board meeting as part of one trip. The visits are designed to:</w:t>
      </w:r>
    </w:p>
    <w:p>
      <w:pPr>
        <w:sectPr>
          <w:pgSz w:w="11900" w:h="16838" w:orient="portrait"/>
          <w:cols w:equalWidth="0" w:num="1">
            <w:col w:w="11180"/>
          </w:cols>
          <w:pgMar w:left="240" w:top="458" w:right="479" w:bottom="1440" w:gutter="0" w:footer="0" w:header="0"/>
          <w:type w:val="continuous"/>
        </w:sectPr>
      </w:pPr>
    </w:p>
    <w:p>
      <w:pPr>
        <w:spacing w:after="0" w:line="100"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Enable directors to update themselves first hand on our key businesses, products and services;</w:t>
      </w:r>
    </w:p>
    <w:p>
      <w:pPr>
        <w:spacing w:after="0" w:line="89" w:lineRule="exact"/>
        <w:rPr>
          <w:sz w:val="20"/>
          <w:szCs w:val="20"/>
          <w:color w:val="auto"/>
        </w:rPr>
      </w:pPr>
    </w:p>
    <w:p>
      <w:pPr>
        <w:ind w:right="2240"/>
        <w:spacing w:after="0" w:line="354" w:lineRule="auto"/>
        <w:rPr>
          <w:sz w:val="20"/>
          <w:szCs w:val="20"/>
          <w:color w:val="auto"/>
        </w:rPr>
      </w:pPr>
      <w:r>
        <w:rPr>
          <w:rFonts w:ascii="Arial" w:cs="Arial" w:eastAsia="Arial" w:hAnsi="Arial"/>
          <w:sz w:val="18"/>
          <w:szCs w:val="18"/>
          <w:color w:val="auto"/>
        </w:rPr>
        <w:t>Provide an opportunity for directors to interact with key executives, high potential talent and customers; and Give a broader selection of current and future executives the opportunity to meet directors.</w:t>
      </w:r>
    </w:p>
    <w:p>
      <w:pPr>
        <w:spacing w:after="0" w:line="8" w:lineRule="exact"/>
        <w:rPr>
          <w:sz w:val="20"/>
          <w:szCs w:val="20"/>
          <w:color w:val="auto"/>
        </w:rPr>
      </w:pPr>
    </w:p>
    <w:p>
      <w:pPr>
        <w:sectPr>
          <w:pgSz w:w="11900" w:h="16838" w:orient="portrait"/>
          <w:cols w:equalWidth="0" w:num="2">
            <w:col w:w="240" w:space="200"/>
            <w:col w:w="10740"/>
          </w:cols>
          <w:pgMar w:left="240" w:top="458" w:right="479" w:bottom="1440" w:gutter="0" w:footer="0" w:header="0"/>
          <w:type w:val="continuous"/>
        </w:sectPr>
      </w:pPr>
    </w:p>
    <w:p>
      <w:pPr>
        <w:ind w:left="220" w:right="80"/>
        <w:spacing w:after="0" w:line="239" w:lineRule="auto"/>
        <w:rPr>
          <w:sz w:val="20"/>
          <w:szCs w:val="20"/>
          <w:color w:val="auto"/>
        </w:rPr>
      </w:pPr>
      <w:r>
        <w:rPr>
          <w:rFonts w:ascii="Arial" w:cs="Arial" w:eastAsia="Arial" w:hAnsi="Arial"/>
          <w:sz w:val="18"/>
          <w:szCs w:val="18"/>
          <w:color w:val="auto"/>
        </w:rPr>
        <w:t>In November 2018, the board held a meeting and had a site visit in the Thomson Reuters offices in the Minneapolis/St. Paul, Minnesota area. Directors also had an opportunity to meet with staff of the Thomson Reuters Legal Professionals, Tax Professionals and Corporates segments.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Feedback on this program from directors and location hosts has been positive and it is expected to continue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125730</wp:posOffset>
            </wp:positionV>
            <wp:extent cx="697357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8"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38</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180"/>
          </w:cols>
          <w:pgMar w:left="240" w:top="458" w:right="47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Conflicts of Interest and Transactions Involving Directors or Officers</w:t>
      </w:r>
    </w:p>
    <w:p>
      <w:pPr>
        <w:spacing w:after="0" w:line="35"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In the case of any potential or actual conflict of interest, each director is required to inform the board and executive officers are required to inform the CEO. We also ask our directors and executive officers about potential or actual conflicts of interest in annual questionnaires. Our policies on conflicts of interest are reflected in our Code of Business Conduct and Ethics, our Corporate Governance Guidelines and in supplemental guidance approved by the board.</w:t>
      </w:r>
    </w:p>
    <w:p>
      <w:pPr>
        <w:spacing w:after="0" w:line="94" w:lineRule="exact"/>
        <w:rPr>
          <w:sz w:val="20"/>
          <w:szCs w:val="20"/>
          <w:color w:val="auto"/>
        </w:rPr>
      </w:pPr>
    </w:p>
    <w:p>
      <w:pPr>
        <w:ind w:left="220" w:right="260"/>
        <w:spacing w:after="0" w:line="238" w:lineRule="auto"/>
        <w:rPr>
          <w:sz w:val="20"/>
          <w:szCs w:val="20"/>
          <w:color w:val="auto"/>
        </w:rPr>
      </w:pPr>
      <w:r>
        <w:rPr>
          <w:rFonts w:ascii="Arial" w:cs="Arial" w:eastAsia="Arial" w:hAnsi="Arial"/>
          <w:sz w:val="18"/>
          <w:szCs w:val="18"/>
          <w:color w:val="auto"/>
        </w:rPr>
        <w:t>Unless otherwise expressly determined by the board or relevant committee of the board, a director who has a conflict of interest in a matter before the board or such committee must not receive or review any written materials related to the conflict subject area, nor may the director attend any part of a meeting during which the matter is discussed or participate in any vote on the matter, except where the board or the applicable committee has expressly determined that it is appropriate for him or her to do so.</w:t>
      </w:r>
    </w:p>
    <w:p>
      <w:pPr>
        <w:spacing w:after="0" w:line="94" w:lineRule="exact"/>
        <w:rPr>
          <w:sz w:val="20"/>
          <w:szCs w:val="20"/>
          <w:color w:val="auto"/>
        </w:rPr>
      </w:pPr>
    </w:p>
    <w:p>
      <w:pPr>
        <w:jc w:val="both"/>
        <w:ind w:left="220" w:right="80"/>
        <w:spacing w:after="0" w:line="239" w:lineRule="auto"/>
        <w:rPr>
          <w:sz w:val="20"/>
          <w:szCs w:val="20"/>
          <w:color w:val="auto"/>
        </w:rPr>
      </w:pPr>
      <w:r>
        <w:rPr>
          <w:rFonts w:ascii="Arial" w:cs="Arial" w:eastAsia="Arial" w:hAnsi="Arial"/>
          <w:sz w:val="18"/>
          <w:szCs w:val="18"/>
          <w:color w:val="auto"/>
        </w:rPr>
        <w:t>Significant related party transactions are considered by the Corporate Governance Committee or, where appropriate, a special committee of independent directors or the full board. If a director has a significant, ongoing and irreconcilable conflict, voluntary resignation from the board or the conflicting interest may be appropriate or required.</w:t>
      </w:r>
    </w:p>
    <w:p>
      <w:pPr>
        <w:spacing w:after="0" w:line="95" w:lineRule="exact"/>
        <w:rPr>
          <w:sz w:val="20"/>
          <w:szCs w:val="20"/>
          <w:color w:val="auto"/>
        </w:rPr>
      </w:pPr>
    </w:p>
    <w:p>
      <w:pPr>
        <w:ind w:left="220" w:right="40"/>
        <w:spacing w:after="0" w:line="235" w:lineRule="auto"/>
        <w:rPr>
          <w:sz w:val="20"/>
          <w:szCs w:val="20"/>
          <w:color w:val="auto"/>
        </w:rPr>
      </w:pPr>
      <w:r>
        <w:rPr>
          <w:rFonts w:ascii="Arial" w:cs="Arial" w:eastAsia="Arial" w:hAnsi="Arial"/>
          <w:sz w:val="18"/>
          <w:szCs w:val="18"/>
          <w:color w:val="auto"/>
        </w:rPr>
        <w:t>In July 2018, the board created a Special Committee comprised entirely of independent directors to consider different ways to provide returns to shareholders (including Woodbridge, our principal shareholder) from the F&amp;R transaction and to subsequently make a recommendation to the board. Stikeman Elliott LLP was engaged as legal counsel to the Special Committee. The board’s Lead Independent Director and Woodbridge indicated their support for the Special Committee. Under the mandate of the Special Committee, the board would not approve any transaction unless it had been recommended by the Special Committee. The Special Committee met three times. In August 2018, the Special Committee made a unanimous recommendation to the board regarding a substantial issuer bid to purchase up to $9 billion of our company’s shares. The Special Committee’s recommendation was subsequently approved by the board. Additional information about the role of the Special Committee is provided in our company’s offer to purchase and issuer bid circular dated as of August 28, 2018, a copy of which was filed with the Canadian securities regulatory authorities and the U.S. Securities and Exchange Commission.</w:t>
      </w:r>
    </w:p>
    <w:p>
      <w:pPr>
        <w:spacing w:after="0" w:line="100" w:lineRule="exact"/>
        <w:rPr>
          <w:sz w:val="20"/>
          <w:szCs w:val="20"/>
          <w:color w:val="auto"/>
        </w:rPr>
      </w:pPr>
    </w:p>
    <w:p>
      <w:pPr>
        <w:ind w:left="220"/>
        <w:spacing w:after="0" w:line="244" w:lineRule="auto"/>
        <w:rPr>
          <w:sz w:val="20"/>
          <w:szCs w:val="20"/>
          <w:color w:val="auto"/>
        </w:rPr>
      </w:pPr>
      <w:r>
        <w:rPr>
          <w:rFonts w:ascii="Arial" w:cs="Arial" w:eastAsia="Arial" w:hAnsi="Arial"/>
          <w:sz w:val="18"/>
          <w:szCs w:val="18"/>
          <w:color w:val="auto"/>
        </w:rPr>
        <w:t>For more information about related party transactions in the last two years, please see the management’s discussion and analysis (MD&amp;A) section of our 2018 annual report.</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Board Effectiveness Review</w:t>
      </w:r>
    </w:p>
    <w:p>
      <w:pPr>
        <w:spacing w:after="0" w:line="35" w:lineRule="exact"/>
        <w:rPr>
          <w:sz w:val="20"/>
          <w:szCs w:val="20"/>
          <w:color w:val="auto"/>
        </w:rPr>
      </w:pPr>
    </w:p>
    <w:p>
      <w:pPr>
        <w:ind w:left="220" w:right="700"/>
        <w:spacing w:after="0" w:line="260" w:lineRule="auto"/>
        <w:rPr>
          <w:sz w:val="20"/>
          <w:szCs w:val="20"/>
          <w:color w:val="auto"/>
        </w:rPr>
      </w:pPr>
      <w:r>
        <w:rPr>
          <w:rFonts w:ascii="Arial" w:cs="Arial" w:eastAsia="Arial" w:hAnsi="Arial"/>
          <w:sz w:val="17"/>
          <w:szCs w:val="17"/>
          <w:color w:val="auto"/>
        </w:rPr>
        <w:t>The Corporate Governance Committee oversees an annual review of the effectiveness of the board, its committees and individual directors. The Lead Independent Director meets individually with each director during the year. The Lead Independent Director subsequently provides an update to the Corporate Governance Committee regarding his discussions with individual directors.</w:t>
      </w:r>
    </w:p>
    <w:p>
      <w:pPr>
        <w:spacing w:after="0" w:line="78"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From time to time, director questionnaires or surveys are sent to members of the board to seek feedback and input on the board’s and committees’ supervision of senior management, strategic planning, risk management, financial reporting, disclosure, governance as well as on the conduct and effectiveness of board and committee meetings. Results from questionnaires/surveys are initially discussed with the Corporate Governance Committee and an update is provided to the board.</w:t>
      </w:r>
    </w:p>
    <w:p>
      <w:pPr>
        <w:spacing w:after="0" w:line="94" w:lineRule="exact"/>
        <w:rPr>
          <w:sz w:val="20"/>
          <w:szCs w:val="20"/>
          <w:color w:val="auto"/>
        </w:rPr>
      </w:pPr>
    </w:p>
    <w:p>
      <w:pPr>
        <w:ind w:left="220" w:right="200"/>
        <w:spacing w:after="0" w:line="239" w:lineRule="auto"/>
        <w:rPr>
          <w:sz w:val="20"/>
          <w:szCs w:val="20"/>
          <w:color w:val="auto"/>
        </w:rPr>
      </w:pPr>
      <w:r>
        <w:rPr>
          <w:rFonts w:ascii="Arial" w:cs="Arial" w:eastAsia="Arial" w:hAnsi="Arial"/>
          <w:sz w:val="18"/>
          <w:szCs w:val="18"/>
          <w:color w:val="auto"/>
        </w:rPr>
        <w:t>Annually, the board reviews its responsibilities by assessing our corporate governance guidelines and each committee of the board performs an annual review of its charter. The Corporate Governance Committee also reviews various position descriptions on an annual basis.</w:t>
      </w:r>
    </w:p>
    <w:p>
      <w:pPr>
        <w:spacing w:after="0" w:line="95"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The Corporate Governance Committee believes that each director continues to be effective and that each director has demonstrated a commitment to his or her role on the board and its committees. Based on the Corporate Governance Committee’s recommendations, the board recommends that all of the director nominees be elected at the meeting to be held on June 5, 2019, as each of them is expected to bring valuable skills and experience to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0"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39</w:t>
      </w:r>
    </w:p>
    <w:p>
      <w:pPr>
        <w:sectPr>
          <w:pgSz w:w="11900" w:h="16838" w:orient="portrait"/>
          <w:cols w:equalWidth="0" w:num="1">
            <w:col w:w="11200"/>
          </w:cols>
          <w:pgMar w:left="240" w:top="458"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HR Committee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HR Committee is responsible for assisting the board in fulfilling its oversight responsibilities in relation to:</w:t>
      </w:r>
    </w:p>
    <w:p>
      <w:pPr>
        <w:spacing w:after="0" w:line="128" w:lineRule="exact"/>
        <w:rPr>
          <w:sz w:val="20"/>
          <w:szCs w:val="20"/>
          <w:color w:val="auto"/>
        </w:rPr>
      </w:pPr>
    </w:p>
    <w:p>
      <w:pPr>
        <w:ind w:left="440" w:hanging="217"/>
        <w:spacing w:after="0"/>
        <w:tabs>
          <w:tab w:leader="none" w:pos="440" w:val="left"/>
        </w:tabs>
        <w:numPr>
          <w:ilvl w:val="0"/>
          <w:numId w:val="25"/>
        </w:numPr>
        <w:rPr>
          <w:rFonts w:ascii="Arial" w:cs="Arial" w:eastAsia="Arial" w:hAnsi="Arial"/>
          <w:sz w:val="18"/>
          <w:szCs w:val="18"/>
          <w:color w:val="D95A3B"/>
          <w:vertAlign w:val="superscript"/>
        </w:rPr>
      </w:pPr>
      <w:r>
        <w:rPr>
          <w:rFonts w:ascii="Arial" w:cs="Arial" w:eastAsia="Arial" w:hAnsi="Arial"/>
          <w:sz w:val="18"/>
          <w:szCs w:val="18"/>
          <w:color w:val="auto"/>
        </w:rPr>
        <w:t>the compensation of the CEO and senior management and assessment of compensation risk;</w:t>
      </w:r>
    </w:p>
    <w:p>
      <w:pPr>
        <w:sectPr>
          <w:pgSz w:w="11900" w:h="16838" w:orient="portrait"/>
          <w:cols w:equalWidth="0" w:num="1">
            <w:col w:w="11200"/>
          </w:cols>
          <w:pgMar w:left="240" w:top="458" w:right="459" w:bottom="1440" w:gutter="0" w:footer="0" w:header="0"/>
        </w:sectPr>
      </w:pPr>
    </w:p>
    <w:p>
      <w:pPr>
        <w:spacing w:after="0" w:line="81"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selection and retention of senior management;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planning for the succession of senior management;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professional development for senior management;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diversity initiatives;</w:t>
      </w:r>
    </w:p>
    <w:p>
      <w:pPr>
        <w:spacing w:after="0" w:line="89" w:lineRule="exact"/>
        <w:rPr>
          <w:sz w:val="20"/>
          <w:szCs w:val="20"/>
          <w:color w:val="auto"/>
        </w:rPr>
      </w:pPr>
    </w:p>
    <w:p>
      <w:pPr>
        <w:ind w:right="4700"/>
        <w:spacing w:after="0" w:line="354" w:lineRule="auto"/>
        <w:rPr>
          <w:sz w:val="20"/>
          <w:szCs w:val="20"/>
          <w:color w:val="auto"/>
        </w:rPr>
      </w:pPr>
      <w:r>
        <w:rPr>
          <w:rFonts w:ascii="Arial" w:cs="Arial" w:eastAsia="Arial" w:hAnsi="Arial"/>
          <w:sz w:val="18"/>
          <w:szCs w:val="18"/>
          <w:color w:val="auto"/>
        </w:rPr>
        <w:t>the management of pension and significant benefit plans for employees; and any additional matters delegated to the HR Committee by the board.</w:t>
      </w:r>
    </w:p>
    <w:p>
      <w:pPr>
        <w:spacing w:after="0" w:line="116"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ind w:left="220"/>
        <w:spacing w:after="0"/>
        <w:rPr>
          <w:sz w:val="20"/>
          <w:szCs w:val="20"/>
          <w:color w:val="auto"/>
        </w:rPr>
      </w:pPr>
      <w:r>
        <w:rPr>
          <w:rFonts w:ascii="Arial" w:cs="Arial" w:eastAsia="Arial" w:hAnsi="Arial"/>
          <w:sz w:val="17"/>
          <w:szCs w:val="17"/>
          <w:color w:val="auto"/>
        </w:rPr>
        <w:t>The following table provides an overview of the HR Committee’s work plan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81280</wp:posOffset>
            </wp:positionV>
            <wp:extent cx="6973570" cy="1193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73570" cy="119380"/>
                    </a:xfrm>
                    <a:prstGeom prst="rect">
                      <a:avLst/>
                    </a:prstGeom>
                    <a:noFill/>
                  </pic:spPr>
                </pic:pic>
              </a:graphicData>
            </a:graphic>
          </wp:anchor>
        </w:drawing>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2018 Primary HR Committee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6350</wp:posOffset>
            </wp:positionV>
            <wp:extent cx="69735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ectPr>
          <w:pgSz w:w="11900" w:h="16838" w:orient="portrait"/>
          <w:cols w:equalWidth="0" w:num="1">
            <w:col w:w="11200"/>
          </w:cols>
          <w:pgMar w:left="240" w:top="458" w:right="459" w:bottom="1440" w:gutter="0" w:footer="0" w:header="0"/>
          <w:type w:val="continuous"/>
        </w:sectPr>
      </w:pPr>
    </w:p>
    <w:p>
      <w:pPr>
        <w:ind w:left="380" w:hanging="157"/>
        <w:spacing w:after="0" w:line="220" w:lineRule="auto"/>
        <w:tabs>
          <w:tab w:leader="none" w:pos="380" w:val="left"/>
        </w:tabs>
        <w:numPr>
          <w:ilvl w:val="0"/>
          <w:numId w:val="26"/>
        </w:numPr>
        <w:rPr>
          <w:rFonts w:ascii="Arial" w:cs="Arial" w:eastAsia="Arial" w:hAnsi="Arial"/>
          <w:sz w:val="18"/>
          <w:szCs w:val="18"/>
          <w:color w:val="D95A3B"/>
          <w:vertAlign w:val="superscript"/>
        </w:rPr>
      </w:pPr>
      <w:r>
        <w:rPr>
          <w:rFonts w:ascii="Arial" w:cs="Arial" w:eastAsia="Arial" w:hAnsi="Arial"/>
          <w:sz w:val="14"/>
          <w:szCs w:val="14"/>
          <w:color w:val="auto"/>
        </w:rPr>
        <w:t>Compensation review for the CEO and other executive officers</w:t>
      </w:r>
    </w:p>
    <w:p>
      <w:pPr>
        <w:ind w:left="440" w:hanging="217"/>
        <w:spacing w:after="0" w:line="210" w:lineRule="auto"/>
        <w:tabs>
          <w:tab w:leader="none" w:pos="383" w:val="left"/>
        </w:tabs>
        <w:numPr>
          <w:ilvl w:val="0"/>
          <w:numId w:val="26"/>
        </w:numPr>
        <w:rPr>
          <w:rFonts w:ascii="Arial" w:cs="Arial" w:eastAsia="Arial" w:hAnsi="Arial"/>
          <w:sz w:val="18"/>
          <w:szCs w:val="18"/>
          <w:color w:val="D95A3B"/>
          <w:vertAlign w:val="superscript"/>
        </w:rPr>
      </w:pPr>
      <w:r>
        <w:rPr>
          <w:rFonts w:ascii="Arial" w:cs="Arial" w:eastAsia="Arial" w:hAnsi="Arial"/>
          <w:sz w:val="14"/>
          <w:szCs w:val="14"/>
          <w:color w:val="auto"/>
        </w:rPr>
        <w:t>Annual individual performance evaluation of the CEO and review of evaluations of other executive officers</w:t>
      </w:r>
    </w:p>
    <w:p>
      <w:pPr>
        <w:spacing w:after="0" w:line="1" w:lineRule="exact"/>
        <w:rPr>
          <w:rFonts w:ascii="Arial" w:cs="Arial" w:eastAsia="Arial" w:hAnsi="Arial"/>
          <w:sz w:val="18"/>
          <w:szCs w:val="18"/>
          <w:color w:val="D95A3B"/>
          <w:vertAlign w:val="superscript"/>
        </w:rPr>
      </w:pPr>
    </w:p>
    <w:p>
      <w:pPr>
        <w:ind w:left="380" w:hanging="157"/>
        <w:spacing w:after="0" w:line="187" w:lineRule="auto"/>
        <w:tabs>
          <w:tab w:leader="none" w:pos="380" w:val="left"/>
        </w:tabs>
        <w:numPr>
          <w:ilvl w:val="0"/>
          <w:numId w:val="26"/>
        </w:numPr>
        <w:rPr>
          <w:rFonts w:ascii="Arial" w:cs="Arial" w:eastAsia="Arial" w:hAnsi="Arial"/>
          <w:sz w:val="18"/>
          <w:szCs w:val="18"/>
          <w:color w:val="D95A3B"/>
          <w:vertAlign w:val="superscript"/>
        </w:rPr>
      </w:pPr>
      <w:r>
        <w:rPr>
          <w:rFonts w:ascii="Arial" w:cs="Arial" w:eastAsia="Arial" w:hAnsi="Arial"/>
          <w:sz w:val="14"/>
          <w:szCs w:val="14"/>
          <w:color w:val="auto"/>
        </w:rPr>
        <w:t>Approve 2017 annual and long-term incentive award payouts</w:t>
      </w:r>
    </w:p>
    <w:p>
      <w:pPr>
        <w:ind w:left="380" w:hanging="157"/>
        <w:spacing w:after="0" w:line="187" w:lineRule="auto"/>
        <w:tabs>
          <w:tab w:leader="none" w:pos="380" w:val="left"/>
        </w:tabs>
        <w:numPr>
          <w:ilvl w:val="0"/>
          <w:numId w:val="26"/>
        </w:numPr>
        <w:rPr>
          <w:rFonts w:ascii="Arial" w:cs="Arial" w:eastAsia="Arial" w:hAnsi="Arial"/>
          <w:sz w:val="18"/>
          <w:szCs w:val="18"/>
          <w:color w:val="D95A3B"/>
          <w:vertAlign w:val="superscript"/>
        </w:rPr>
      </w:pPr>
      <w:r>
        <w:rPr>
          <w:rFonts w:ascii="Arial" w:cs="Arial" w:eastAsia="Arial" w:hAnsi="Arial"/>
          <w:sz w:val="14"/>
          <w:szCs w:val="14"/>
          <w:color w:val="auto"/>
        </w:rPr>
        <w:t>Approve 2018 annual and long-term incentive award design and targets</w:t>
      </w:r>
    </w:p>
    <w:p>
      <w:pPr>
        <w:ind w:left="380" w:hanging="157"/>
        <w:spacing w:after="0" w:line="187" w:lineRule="auto"/>
        <w:tabs>
          <w:tab w:leader="none" w:pos="380" w:val="left"/>
        </w:tabs>
        <w:numPr>
          <w:ilvl w:val="0"/>
          <w:numId w:val="26"/>
        </w:numPr>
        <w:rPr>
          <w:rFonts w:ascii="Arial" w:cs="Arial" w:eastAsia="Arial" w:hAnsi="Arial"/>
          <w:sz w:val="18"/>
          <w:szCs w:val="18"/>
          <w:color w:val="D95A3B"/>
          <w:vertAlign w:val="superscript"/>
        </w:rPr>
      </w:pPr>
      <w:r>
        <w:rPr>
          <w:rFonts w:ascii="Arial" w:cs="Arial" w:eastAsia="Arial" w:hAnsi="Arial"/>
          <w:sz w:val="14"/>
          <w:szCs w:val="14"/>
          <w:color w:val="auto"/>
        </w:rPr>
        <w:t>Approve compensation disclosure in the annual management proxy circular</w:t>
      </w:r>
    </w:p>
    <w:p>
      <w:pPr>
        <w:ind w:left="380" w:hanging="157"/>
        <w:spacing w:after="0" w:line="187" w:lineRule="auto"/>
        <w:tabs>
          <w:tab w:leader="none" w:pos="380" w:val="left"/>
        </w:tabs>
        <w:numPr>
          <w:ilvl w:val="0"/>
          <w:numId w:val="26"/>
        </w:numPr>
        <w:rPr>
          <w:rFonts w:ascii="Arial" w:cs="Arial" w:eastAsia="Arial" w:hAnsi="Arial"/>
          <w:sz w:val="18"/>
          <w:szCs w:val="18"/>
          <w:color w:val="D95A3B"/>
          <w:vertAlign w:val="superscript"/>
        </w:rPr>
      </w:pPr>
      <w:r>
        <w:rPr>
          <w:rFonts w:ascii="Arial" w:cs="Arial" w:eastAsia="Arial" w:hAnsi="Arial"/>
          <w:sz w:val="14"/>
          <w:szCs w:val="14"/>
          <w:color w:val="auto"/>
        </w:rPr>
        <w:t>Talent reviews</w:t>
      </w:r>
    </w:p>
    <w:p>
      <w:pPr>
        <w:ind w:left="380" w:hanging="157"/>
        <w:spacing w:after="0" w:line="199" w:lineRule="auto"/>
        <w:tabs>
          <w:tab w:leader="none" w:pos="380" w:val="left"/>
        </w:tabs>
        <w:numPr>
          <w:ilvl w:val="0"/>
          <w:numId w:val="26"/>
        </w:numPr>
        <w:rPr>
          <w:rFonts w:ascii="Arial" w:cs="Arial" w:eastAsia="Arial" w:hAnsi="Arial"/>
          <w:sz w:val="18"/>
          <w:szCs w:val="18"/>
          <w:color w:val="D95A3B"/>
          <w:vertAlign w:val="superscript"/>
        </w:rPr>
      </w:pPr>
      <w:r>
        <w:rPr>
          <w:rFonts w:ascii="Arial" w:cs="Arial" w:eastAsia="Arial" w:hAnsi="Arial"/>
          <w:sz w:val="14"/>
          <w:szCs w:val="14"/>
          <w:color w:val="auto"/>
        </w:rPr>
        <w:t>Succession planning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204470</wp:posOffset>
            </wp:positionV>
            <wp:extent cx="69735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70" w:hanging="170"/>
        <w:spacing w:after="0" w:line="220" w:lineRule="auto"/>
        <w:tabs>
          <w:tab w:leader="none" w:pos="170" w:val="left"/>
        </w:tabs>
        <w:numPr>
          <w:ilvl w:val="0"/>
          <w:numId w:val="27"/>
        </w:numPr>
        <w:rPr>
          <w:rFonts w:ascii="Arial" w:cs="Arial" w:eastAsia="Arial" w:hAnsi="Arial"/>
          <w:sz w:val="18"/>
          <w:szCs w:val="18"/>
          <w:color w:val="D95A3B"/>
          <w:vertAlign w:val="superscript"/>
        </w:rPr>
      </w:pPr>
      <w:r>
        <w:rPr>
          <w:rFonts w:ascii="Arial" w:cs="Arial" w:eastAsia="Arial" w:hAnsi="Arial"/>
          <w:sz w:val="14"/>
          <w:szCs w:val="14"/>
          <w:color w:val="auto"/>
        </w:rPr>
        <w:t>Compensation and talent aspects of the F&amp;R partnership transaction</w:t>
      </w:r>
    </w:p>
    <w:p>
      <w:pPr>
        <w:ind w:left="170" w:hanging="170"/>
        <w:spacing w:after="0" w:line="187" w:lineRule="auto"/>
        <w:tabs>
          <w:tab w:leader="none" w:pos="170" w:val="left"/>
        </w:tabs>
        <w:numPr>
          <w:ilvl w:val="0"/>
          <w:numId w:val="27"/>
        </w:numPr>
        <w:rPr>
          <w:rFonts w:ascii="Arial" w:cs="Arial" w:eastAsia="Arial" w:hAnsi="Arial"/>
          <w:sz w:val="18"/>
          <w:szCs w:val="18"/>
          <w:color w:val="D95A3B"/>
          <w:vertAlign w:val="superscript"/>
        </w:rPr>
      </w:pPr>
      <w:r>
        <w:rPr>
          <w:rFonts w:ascii="Arial" w:cs="Arial" w:eastAsia="Arial" w:hAnsi="Arial"/>
          <w:sz w:val="14"/>
          <w:szCs w:val="14"/>
          <w:color w:val="auto"/>
        </w:rPr>
        <w:t>Compensation program risk assessment</w:t>
      </w:r>
    </w:p>
    <w:p>
      <w:pPr>
        <w:ind w:left="170" w:hanging="170"/>
        <w:spacing w:after="0" w:line="187" w:lineRule="auto"/>
        <w:tabs>
          <w:tab w:leader="none" w:pos="170" w:val="left"/>
        </w:tabs>
        <w:numPr>
          <w:ilvl w:val="0"/>
          <w:numId w:val="27"/>
        </w:numPr>
        <w:rPr>
          <w:rFonts w:ascii="Arial" w:cs="Arial" w:eastAsia="Arial" w:hAnsi="Arial"/>
          <w:sz w:val="18"/>
          <w:szCs w:val="18"/>
          <w:color w:val="D95A3B"/>
          <w:vertAlign w:val="superscript"/>
        </w:rPr>
      </w:pPr>
      <w:r>
        <w:rPr>
          <w:rFonts w:ascii="Arial" w:cs="Arial" w:eastAsia="Arial" w:hAnsi="Arial"/>
          <w:sz w:val="14"/>
          <w:szCs w:val="14"/>
          <w:color w:val="auto"/>
        </w:rPr>
        <w:t>Compensation trends review</w:t>
      </w:r>
    </w:p>
    <w:p>
      <w:pPr>
        <w:ind w:left="170" w:hanging="170"/>
        <w:spacing w:after="0" w:line="187" w:lineRule="auto"/>
        <w:tabs>
          <w:tab w:leader="none" w:pos="170" w:val="left"/>
        </w:tabs>
        <w:numPr>
          <w:ilvl w:val="0"/>
          <w:numId w:val="27"/>
        </w:numPr>
        <w:rPr>
          <w:rFonts w:ascii="Arial" w:cs="Arial" w:eastAsia="Arial" w:hAnsi="Arial"/>
          <w:sz w:val="18"/>
          <w:szCs w:val="18"/>
          <w:color w:val="D95A3B"/>
          <w:vertAlign w:val="superscript"/>
        </w:rPr>
      </w:pPr>
      <w:r>
        <w:rPr>
          <w:rFonts w:ascii="Arial" w:cs="Arial" w:eastAsia="Arial" w:hAnsi="Arial"/>
          <w:sz w:val="14"/>
          <w:szCs w:val="14"/>
          <w:color w:val="auto"/>
        </w:rPr>
        <w:t>Compensation peer group review and approval</w:t>
      </w:r>
    </w:p>
    <w:p>
      <w:pPr>
        <w:ind w:left="170" w:hanging="170"/>
        <w:spacing w:after="0" w:line="187" w:lineRule="auto"/>
        <w:tabs>
          <w:tab w:leader="none" w:pos="170" w:val="left"/>
        </w:tabs>
        <w:numPr>
          <w:ilvl w:val="0"/>
          <w:numId w:val="27"/>
        </w:numPr>
        <w:rPr>
          <w:rFonts w:ascii="Arial" w:cs="Arial" w:eastAsia="Arial" w:hAnsi="Arial"/>
          <w:sz w:val="18"/>
          <w:szCs w:val="18"/>
          <w:color w:val="D95A3B"/>
          <w:vertAlign w:val="superscript"/>
        </w:rPr>
      </w:pPr>
      <w:r>
        <w:rPr>
          <w:rFonts w:ascii="Arial" w:cs="Arial" w:eastAsia="Arial" w:hAnsi="Arial"/>
          <w:sz w:val="14"/>
          <w:szCs w:val="14"/>
          <w:color w:val="auto"/>
        </w:rPr>
        <w:t>Equity share plan reserve analysis</w:t>
      </w:r>
    </w:p>
    <w:p>
      <w:pPr>
        <w:ind w:left="170" w:hanging="170"/>
        <w:spacing w:after="0" w:line="187" w:lineRule="auto"/>
        <w:tabs>
          <w:tab w:leader="none" w:pos="170" w:val="left"/>
        </w:tabs>
        <w:numPr>
          <w:ilvl w:val="0"/>
          <w:numId w:val="27"/>
        </w:numPr>
        <w:rPr>
          <w:rFonts w:ascii="Arial" w:cs="Arial" w:eastAsia="Arial" w:hAnsi="Arial"/>
          <w:sz w:val="18"/>
          <w:szCs w:val="18"/>
          <w:color w:val="D95A3B"/>
          <w:vertAlign w:val="superscript"/>
        </w:rPr>
      </w:pPr>
      <w:r>
        <w:rPr>
          <w:rFonts w:ascii="Arial" w:cs="Arial" w:eastAsia="Arial" w:hAnsi="Arial"/>
          <w:sz w:val="14"/>
          <w:szCs w:val="14"/>
          <w:color w:val="auto"/>
        </w:rPr>
        <w:t>“Say on pay” modeling</w:t>
      </w:r>
    </w:p>
    <w:p>
      <w:pPr>
        <w:ind w:left="170" w:hanging="170"/>
        <w:spacing w:after="0" w:line="187" w:lineRule="auto"/>
        <w:tabs>
          <w:tab w:leader="none" w:pos="170" w:val="left"/>
        </w:tabs>
        <w:numPr>
          <w:ilvl w:val="0"/>
          <w:numId w:val="27"/>
        </w:numPr>
        <w:rPr>
          <w:rFonts w:ascii="Arial" w:cs="Arial" w:eastAsia="Arial" w:hAnsi="Arial"/>
          <w:sz w:val="18"/>
          <w:szCs w:val="18"/>
          <w:color w:val="D95A3B"/>
          <w:vertAlign w:val="superscript"/>
        </w:rPr>
      </w:pPr>
      <w:r>
        <w:rPr>
          <w:rFonts w:ascii="Arial" w:cs="Arial" w:eastAsia="Arial" w:hAnsi="Arial"/>
          <w:sz w:val="14"/>
          <w:szCs w:val="14"/>
          <w:color w:val="auto"/>
        </w:rPr>
        <w:t>Retirement plans review</w:t>
      </w:r>
    </w:p>
    <w:p>
      <w:pPr>
        <w:ind w:left="170" w:hanging="170"/>
        <w:spacing w:after="0" w:line="187" w:lineRule="auto"/>
        <w:tabs>
          <w:tab w:leader="none" w:pos="170" w:val="left"/>
        </w:tabs>
        <w:numPr>
          <w:ilvl w:val="0"/>
          <w:numId w:val="27"/>
        </w:numPr>
        <w:rPr>
          <w:rFonts w:ascii="Arial" w:cs="Arial" w:eastAsia="Arial" w:hAnsi="Arial"/>
          <w:sz w:val="18"/>
          <w:szCs w:val="18"/>
          <w:color w:val="D95A3B"/>
          <w:vertAlign w:val="superscript"/>
        </w:rPr>
      </w:pPr>
      <w:r>
        <w:rPr>
          <w:rFonts w:ascii="Arial" w:cs="Arial" w:eastAsia="Arial" w:hAnsi="Arial"/>
          <w:sz w:val="14"/>
          <w:szCs w:val="14"/>
          <w:color w:val="auto"/>
        </w:rPr>
        <w:t>Review CEO position description</w:t>
      </w:r>
    </w:p>
    <w:p>
      <w:pPr>
        <w:ind w:left="170" w:hanging="170"/>
        <w:spacing w:after="0" w:line="187" w:lineRule="auto"/>
        <w:tabs>
          <w:tab w:leader="none" w:pos="170" w:val="left"/>
        </w:tabs>
        <w:numPr>
          <w:ilvl w:val="0"/>
          <w:numId w:val="27"/>
        </w:numPr>
        <w:rPr>
          <w:rFonts w:ascii="Arial" w:cs="Arial" w:eastAsia="Arial" w:hAnsi="Arial"/>
          <w:sz w:val="18"/>
          <w:szCs w:val="18"/>
          <w:color w:val="D95A3B"/>
          <w:vertAlign w:val="superscript"/>
        </w:rPr>
      </w:pPr>
      <w:r>
        <w:rPr>
          <w:rFonts w:ascii="Arial" w:cs="Arial" w:eastAsia="Arial" w:hAnsi="Arial"/>
          <w:sz w:val="14"/>
          <w:szCs w:val="14"/>
          <w:color w:val="auto"/>
        </w:rPr>
        <w:t>Review senior management’s share ownership guidelines</w:t>
      </w:r>
    </w:p>
    <w:p>
      <w:pPr>
        <w:ind w:left="170" w:hanging="170"/>
        <w:spacing w:after="0" w:line="199" w:lineRule="auto"/>
        <w:tabs>
          <w:tab w:leader="none" w:pos="170" w:val="left"/>
        </w:tabs>
        <w:numPr>
          <w:ilvl w:val="0"/>
          <w:numId w:val="27"/>
        </w:numPr>
        <w:rPr>
          <w:rFonts w:ascii="Arial" w:cs="Arial" w:eastAsia="Arial" w:hAnsi="Arial"/>
          <w:sz w:val="18"/>
          <w:szCs w:val="18"/>
          <w:color w:val="D95A3B"/>
          <w:vertAlign w:val="superscript"/>
        </w:rPr>
      </w:pPr>
      <w:r>
        <w:rPr>
          <w:rFonts w:ascii="Arial" w:cs="Arial" w:eastAsia="Arial" w:hAnsi="Arial"/>
          <w:sz w:val="14"/>
          <w:szCs w:val="14"/>
          <w:color w:val="auto"/>
        </w:rPr>
        <w:t>Periodic consideration of certain new senior executive hirings and terminations</w:t>
      </w:r>
    </w:p>
    <w:p>
      <w:pPr>
        <w:spacing w:after="0" w:line="119" w:lineRule="exact"/>
        <w:rPr>
          <w:sz w:val="20"/>
          <w:szCs w:val="20"/>
          <w:color w:val="auto"/>
        </w:rPr>
      </w:pPr>
    </w:p>
    <w:p>
      <w:pPr>
        <w:sectPr>
          <w:pgSz w:w="11900" w:h="16838" w:orient="portrait"/>
          <w:cols w:equalWidth="0" w:num="2">
            <w:col w:w="5580" w:space="470"/>
            <w:col w:w="5150"/>
          </w:cols>
          <w:pgMar w:left="240" w:top="458" w:right="459" w:bottom="1440" w:gutter="0" w:footer="0" w:header="0"/>
          <w:type w:val="continuous"/>
        </w:sectPr>
      </w:pPr>
    </w:p>
    <w:p>
      <w:pPr>
        <w:ind w:left="220" w:right="140"/>
        <w:spacing w:after="0" w:line="244" w:lineRule="auto"/>
        <w:rPr>
          <w:sz w:val="20"/>
          <w:szCs w:val="20"/>
          <w:color w:val="auto"/>
        </w:rPr>
      </w:pPr>
      <w:r>
        <w:rPr>
          <w:rFonts w:ascii="Arial" w:cs="Arial" w:eastAsia="Arial" w:hAnsi="Arial"/>
          <w:sz w:val="18"/>
          <w:szCs w:val="18"/>
          <w:color w:val="auto"/>
        </w:rPr>
        <w:t>The following is a brief summary of the experience of each member of the HR Committee that is relevant to the performance of his or her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66675</wp:posOffset>
            </wp:positionV>
            <wp:extent cx="8255" cy="1282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128270"/>
                    </a:xfrm>
                    <a:prstGeom prst="rect">
                      <a:avLst/>
                    </a:prstGeom>
                    <a:noFill/>
                  </pic:spPr>
                </pic:pic>
              </a:graphicData>
            </a:graphic>
          </wp:anchor>
        </w:drawing>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308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HR Committee Member</w:t>
            </w:r>
          </w:p>
        </w:tc>
        <w:tc>
          <w:tcPr>
            <w:tcW w:w="7900" w:type="dxa"/>
            <w:vAlign w:val="bottom"/>
            <w:tcBorders>
              <w:bottom w:val="single" w:sz="8" w:color="D95A3B"/>
            </w:tcBorders>
            <w:gridSpan w:val="2"/>
            <w:shd w:val="clear" w:color="auto" w:fill="CCCCCC"/>
          </w:tcPr>
          <w:p>
            <w:pPr>
              <w:ind w:left="200"/>
              <w:spacing w:after="0"/>
              <w:rPr>
                <w:sz w:val="20"/>
                <w:szCs w:val="20"/>
                <w:color w:val="auto"/>
              </w:rPr>
            </w:pPr>
            <w:r>
              <w:rPr>
                <w:rFonts w:ascii="Arial" w:cs="Arial" w:eastAsia="Arial" w:hAnsi="Arial"/>
                <w:sz w:val="15"/>
                <w:szCs w:val="15"/>
                <w:b w:val="1"/>
                <w:bCs w:val="1"/>
                <w:color w:val="auto"/>
              </w:rPr>
              <w:t>Experience</w:t>
            </w:r>
          </w:p>
        </w:tc>
      </w:tr>
      <w:tr>
        <w:trPr>
          <w:trHeight w:val="146"/>
        </w:trPr>
        <w:tc>
          <w:tcPr>
            <w:tcW w:w="3080" w:type="dxa"/>
            <w:vAlign w:val="bottom"/>
            <w:tcBorders>
              <w:right w:val="single" w:sz="8" w:color="AFAFAF"/>
            </w:tcBorders>
          </w:tcPr>
          <w:p>
            <w:pPr>
              <w:ind w:left="140"/>
              <w:spacing w:after="0" w:line="146" w:lineRule="exact"/>
              <w:rPr>
                <w:sz w:val="20"/>
                <w:szCs w:val="20"/>
                <w:color w:val="auto"/>
              </w:rPr>
            </w:pPr>
            <w:r>
              <w:rPr>
                <w:rFonts w:ascii="Arial" w:cs="Arial" w:eastAsia="Arial" w:hAnsi="Arial"/>
                <w:sz w:val="14"/>
                <w:szCs w:val="14"/>
                <w:b w:val="1"/>
                <w:bCs w:val="1"/>
                <w:color w:val="auto"/>
              </w:rPr>
              <w:t>W. Edmund Clark, C.M. (Chair)</w:t>
            </w:r>
          </w:p>
        </w:tc>
        <w:tc>
          <w:tcPr>
            <w:tcW w:w="280" w:type="dxa"/>
            <w:vAlign w:val="bottom"/>
          </w:tcPr>
          <w:p>
            <w:pPr>
              <w:ind w:left="200"/>
              <w:spacing w:after="0"/>
              <w:rPr>
                <w:sz w:val="20"/>
                <w:szCs w:val="20"/>
                <w:color w:val="auto"/>
              </w:rPr>
            </w:pPr>
            <w:r>
              <w:rPr>
                <w:rFonts w:ascii="Arial" w:cs="Arial" w:eastAsia="Arial" w:hAnsi="Arial"/>
                <w:sz w:val="9"/>
                <w:szCs w:val="9"/>
                <w:color w:val="D95A3B"/>
              </w:rPr>
              <w:t>·</w:t>
            </w:r>
          </w:p>
        </w:tc>
        <w:tc>
          <w:tcPr>
            <w:tcW w:w="7620" w:type="dxa"/>
            <w:vAlign w:val="bottom"/>
          </w:tcPr>
          <w:p>
            <w:pPr>
              <w:ind w:left="80"/>
              <w:spacing w:after="0" w:line="146" w:lineRule="exact"/>
              <w:rPr>
                <w:sz w:val="20"/>
                <w:szCs w:val="20"/>
                <w:color w:val="auto"/>
              </w:rPr>
            </w:pPr>
            <w:r>
              <w:rPr>
                <w:rFonts w:ascii="Arial" w:cs="Arial" w:eastAsia="Arial" w:hAnsi="Arial"/>
                <w:sz w:val="14"/>
                <w:szCs w:val="14"/>
                <w:color w:val="auto"/>
              </w:rPr>
              <w:t>Former Group President and Chief Executive Officer of TD Bank Group</w:t>
            </w:r>
          </w:p>
        </w:tc>
      </w:tr>
      <w:tr>
        <w:trPr>
          <w:trHeight w:val="184"/>
        </w:trPr>
        <w:tc>
          <w:tcPr>
            <w:tcW w:w="3080" w:type="dxa"/>
            <w:vAlign w:val="bottom"/>
            <w:tcBorders>
              <w:bottom w:val="single" w:sz="8" w:color="AFAFAF"/>
              <w:right w:val="single" w:sz="8" w:color="AFAFAF"/>
            </w:tcBorders>
          </w:tcPr>
          <w:p>
            <w:pPr>
              <w:spacing w:after="0"/>
              <w:rPr>
                <w:sz w:val="15"/>
                <w:szCs w:val="15"/>
                <w:color w:val="auto"/>
              </w:rPr>
            </w:pPr>
          </w:p>
        </w:tc>
        <w:tc>
          <w:tcPr>
            <w:tcW w:w="280" w:type="dxa"/>
            <w:vAlign w:val="bottom"/>
            <w:tcBorders>
              <w:bottom w:val="single" w:sz="8" w:color="AFAFAF"/>
            </w:tcBorders>
          </w:tcPr>
          <w:p>
            <w:pPr>
              <w:ind w:left="200"/>
              <w:spacing w:after="0"/>
              <w:rPr>
                <w:sz w:val="20"/>
                <w:szCs w:val="20"/>
                <w:color w:val="auto"/>
              </w:rPr>
            </w:pPr>
            <w:r>
              <w:rPr>
                <w:rFonts w:ascii="Arial" w:cs="Arial" w:eastAsia="Arial" w:hAnsi="Arial"/>
                <w:sz w:val="9"/>
                <w:szCs w:val="9"/>
                <w:color w:val="D95A3B"/>
              </w:rPr>
              <w:t>·</w:t>
            </w:r>
          </w:p>
        </w:tc>
        <w:tc>
          <w:tcPr>
            <w:tcW w:w="7620" w:type="dxa"/>
            <w:vAlign w:val="bottom"/>
            <w:tcBorders>
              <w:bottom w:val="single" w:sz="8" w:color="AFAFAF"/>
            </w:tcBorders>
          </w:tcPr>
          <w:p>
            <w:pPr>
              <w:ind w:left="80"/>
              <w:spacing w:after="0"/>
              <w:rPr>
                <w:sz w:val="20"/>
                <w:szCs w:val="20"/>
                <w:color w:val="auto"/>
              </w:rPr>
            </w:pPr>
            <w:r>
              <w:rPr>
                <w:rFonts w:ascii="Arial" w:cs="Arial" w:eastAsia="Arial" w:hAnsi="Arial"/>
                <w:sz w:val="14"/>
                <w:szCs w:val="14"/>
                <w:color w:val="auto"/>
              </w:rPr>
              <w:t>Familiarity with global compensation standards</w:t>
            </w:r>
          </w:p>
        </w:tc>
      </w:tr>
      <w:tr>
        <w:trPr>
          <w:trHeight w:val="146"/>
        </w:trPr>
        <w:tc>
          <w:tcPr>
            <w:tcW w:w="3080" w:type="dxa"/>
            <w:vAlign w:val="bottom"/>
            <w:tcBorders>
              <w:right w:val="single" w:sz="8" w:color="AFAFAF"/>
            </w:tcBorders>
          </w:tcPr>
          <w:p>
            <w:pPr>
              <w:ind w:left="140"/>
              <w:spacing w:after="0" w:line="146" w:lineRule="exact"/>
              <w:rPr>
                <w:sz w:val="20"/>
                <w:szCs w:val="20"/>
                <w:color w:val="auto"/>
              </w:rPr>
            </w:pPr>
            <w:r>
              <w:rPr>
                <w:rFonts w:ascii="Arial" w:cs="Arial" w:eastAsia="Arial" w:hAnsi="Arial"/>
                <w:sz w:val="14"/>
                <w:szCs w:val="14"/>
                <w:b w:val="1"/>
                <w:bCs w:val="1"/>
                <w:color w:val="auto"/>
              </w:rPr>
              <w:t>David W. Binet</w:t>
            </w:r>
          </w:p>
        </w:tc>
        <w:tc>
          <w:tcPr>
            <w:tcW w:w="280" w:type="dxa"/>
            <w:vAlign w:val="bottom"/>
          </w:tcPr>
          <w:p>
            <w:pPr>
              <w:ind w:left="200"/>
              <w:spacing w:after="0"/>
              <w:rPr>
                <w:sz w:val="20"/>
                <w:szCs w:val="20"/>
                <w:color w:val="auto"/>
              </w:rPr>
            </w:pPr>
            <w:r>
              <w:rPr>
                <w:rFonts w:ascii="Arial" w:cs="Arial" w:eastAsia="Arial" w:hAnsi="Arial"/>
                <w:sz w:val="9"/>
                <w:szCs w:val="9"/>
                <w:color w:val="D95A3B"/>
              </w:rPr>
              <w:t>·</w:t>
            </w:r>
          </w:p>
        </w:tc>
        <w:tc>
          <w:tcPr>
            <w:tcW w:w="7620" w:type="dxa"/>
            <w:vAlign w:val="bottom"/>
          </w:tcPr>
          <w:p>
            <w:pPr>
              <w:ind w:left="80"/>
              <w:spacing w:after="0" w:line="146" w:lineRule="exact"/>
              <w:rPr>
                <w:sz w:val="20"/>
                <w:szCs w:val="20"/>
                <w:color w:val="auto"/>
              </w:rPr>
            </w:pPr>
            <w:r>
              <w:rPr>
                <w:rFonts w:ascii="Arial" w:cs="Arial" w:eastAsia="Arial" w:hAnsi="Arial"/>
                <w:sz w:val="14"/>
                <w:szCs w:val="14"/>
                <w:color w:val="auto"/>
              </w:rPr>
              <w:t>Former member of the Compensation Committee of CTV Globemedia</w:t>
            </w:r>
          </w:p>
        </w:tc>
      </w:tr>
      <w:tr>
        <w:trPr>
          <w:trHeight w:val="184"/>
        </w:trPr>
        <w:tc>
          <w:tcPr>
            <w:tcW w:w="3080" w:type="dxa"/>
            <w:vAlign w:val="bottom"/>
            <w:tcBorders>
              <w:bottom w:val="single" w:sz="8" w:color="AFAFAF"/>
              <w:right w:val="single" w:sz="8" w:color="AFAFAF"/>
            </w:tcBorders>
          </w:tcPr>
          <w:p>
            <w:pPr>
              <w:spacing w:after="0"/>
              <w:rPr>
                <w:sz w:val="15"/>
                <w:szCs w:val="15"/>
                <w:color w:val="auto"/>
              </w:rPr>
            </w:pPr>
          </w:p>
        </w:tc>
        <w:tc>
          <w:tcPr>
            <w:tcW w:w="280" w:type="dxa"/>
            <w:vAlign w:val="bottom"/>
            <w:tcBorders>
              <w:bottom w:val="single" w:sz="8" w:color="AFAFAF"/>
            </w:tcBorders>
          </w:tcPr>
          <w:p>
            <w:pPr>
              <w:ind w:left="200"/>
              <w:spacing w:after="0"/>
              <w:rPr>
                <w:sz w:val="20"/>
                <w:szCs w:val="20"/>
                <w:color w:val="auto"/>
              </w:rPr>
            </w:pPr>
            <w:r>
              <w:rPr>
                <w:rFonts w:ascii="Arial" w:cs="Arial" w:eastAsia="Arial" w:hAnsi="Arial"/>
                <w:sz w:val="9"/>
                <w:szCs w:val="9"/>
                <w:color w:val="D95A3B"/>
              </w:rPr>
              <w:t>·</w:t>
            </w:r>
          </w:p>
        </w:tc>
        <w:tc>
          <w:tcPr>
            <w:tcW w:w="7620" w:type="dxa"/>
            <w:vAlign w:val="bottom"/>
            <w:tcBorders>
              <w:bottom w:val="single" w:sz="8" w:color="AFAFAF"/>
            </w:tcBorders>
          </w:tcPr>
          <w:p>
            <w:pPr>
              <w:ind w:left="80"/>
              <w:spacing w:after="0"/>
              <w:rPr>
                <w:sz w:val="20"/>
                <w:szCs w:val="20"/>
                <w:color w:val="auto"/>
              </w:rPr>
            </w:pPr>
            <w:r>
              <w:rPr>
                <w:rFonts w:ascii="Arial" w:cs="Arial" w:eastAsia="Arial" w:hAnsi="Arial"/>
                <w:sz w:val="14"/>
                <w:szCs w:val="14"/>
                <w:color w:val="auto"/>
              </w:rPr>
              <w:t>Secretary to the Thomson Reuters HR Committee for 12 years</w:t>
            </w:r>
          </w:p>
        </w:tc>
      </w:tr>
      <w:tr>
        <w:trPr>
          <w:trHeight w:val="146"/>
        </w:trPr>
        <w:tc>
          <w:tcPr>
            <w:tcW w:w="3080" w:type="dxa"/>
            <w:vAlign w:val="bottom"/>
            <w:tcBorders>
              <w:right w:val="single" w:sz="8" w:color="AFAFAF"/>
            </w:tcBorders>
          </w:tcPr>
          <w:p>
            <w:pPr>
              <w:ind w:left="140"/>
              <w:spacing w:after="0" w:line="146" w:lineRule="exact"/>
              <w:rPr>
                <w:sz w:val="20"/>
                <w:szCs w:val="20"/>
                <w:color w:val="auto"/>
              </w:rPr>
            </w:pPr>
            <w:r>
              <w:rPr>
                <w:rFonts w:ascii="Arial" w:cs="Arial" w:eastAsia="Arial" w:hAnsi="Arial"/>
                <w:sz w:val="14"/>
                <w:szCs w:val="14"/>
                <w:b w:val="1"/>
                <w:bCs w:val="1"/>
                <w:color w:val="auto"/>
              </w:rPr>
              <w:t>Michael E. Daniels</w:t>
            </w:r>
          </w:p>
        </w:tc>
        <w:tc>
          <w:tcPr>
            <w:tcW w:w="280" w:type="dxa"/>
            <w:vAlign w:val="bottom"/>
          </w:tcPr>
          <w:p>
            <w:pPr>
              <w:ind w:left="200"/>
              <w:spacing w:after="0"/>
              <w:rPr>
                <w:sz w:val="20"/>
                <w:szCs w:val="20"/>
                <w:color w:val="auto"/>
              </w:rPr>
            </w:pPr>
            <w:r>
              <w:rPr>
                <w:rFonts w:ascii="Arial" w:cs="Arial" w:eastAsia="Arial" w:hAnsi="Arial"/>
                <w:sz w:val="9"/>
                <w:szCs w:val="9"/>
                <w:color w:val="D95A3B"/>
              </w:rPr>
              <w:t>·</w:t>
            </w:r>
          </w:p>
        </w:tc>
        <w:tc>
          <w:tcPr>
            <w:tcW w:w="7620" w:type="dxa"/>
            <w:vAlign w:val="bottom"/>
          </w:tcPr>
          <w:p>
            <w:pPr>
              <w:ind w:left="80"/>
              <w:spacing w:after="0" w:line="146" w:lineRule="exact"/>
              <w:rPr>
                <w:sz w:val="20"/>
                <w:szCs w:val="20"/>
                <w:color w:val="auto"/>
              </w:rPr>
            </w:pPr>
            <w:r>
              <w:rPr>
                <w:rFonts w:ascii="Arial" w:cs="Arial" w:eastAsia="Arial" w:hAnsi="Arial"/>
                <w:sz w:val="14"/>
                <w:szCs w:val="14"/>
                <w:color w:val="auto"/>
              </w:rPr>
              <w:t>Over 25 years of executive experience at IBM</w:t>
            </w:r>
          </w:p>
        </w:tc>
      </w:tr>
      <w:tr>
        <w:trPr>
          <w:trHeight w:val="162"/>
        </w:trPr>
        <w:tc>
          <w:tcPr>
            <w:tcW w:w="3080" w:type="dxa"/>
            <w:vAlign w:val="bottom"/>
            <w:tcBorders>
              <w:right w:val="single" w:sz="8" w:color="AFAFAF"/>
            </w:tcBorders>
          </w:tcPr>
          <w:p>
            <w:pPr>
              <w:spacing w:after="0"/>
              <w:rPr>
                <w:sz w:val="14"/>
                <w:szCs w:val="14"/>
                <w:color w:val="auto"/>
              </w:rPr>
            </w:pPr>
          </w:p>
        </w:tc>
        <w:tc>
          <w:tcPr>
            <w:tcW w:w="280" w:type="dxa"/>
            <w:vAlign w:val="bottom"/>
          </w:tcPr>
          <w:p>
            <w:pPr>
              <w:ind w:left="200"/>
              <w:spacing w:after="0"/>
              <w:rPr>
                <w:sz w:val="20"/>
                <w:szCs w:val="20"/>
                <w:color w:val="auto"/>
              </w:rPr>
            </w:pPr>
            <w:r>
              <w:rPr>
                <w:rFonts w:ascii="Arial" w:cs="Arial" w:eastAsia="Arial" w:hAnsi="Arial"/>
                <w:sz w:val="9"/>
                <w:szCs w:val="9"/>
                <w:color w:val="D95A3B"/>
              </w:rPr>
              <w:t>·</w:t>
            </w:r>
          </w:p>
        </w:tc>
        <w:tc>
          <w:tcPr>
            <w:tcW w:w="7620" w:type="dxa"/>
            <w:vAlign w:val="bottom"/>
          </w:tcPr>
          <w:p>
            <w:pPr>
              <w:ind w:left="80"/>
              <w:spacing w:after="0"/>
              <w:rPr>
                <w:sz w:val="20"/>
                <w:szCs w:val="20"/>
                <w:color w:val="auto"/>
              </w:rPr>
            </w:pPr>
            <w:r>
              <w:rPr>
                <w:rFonts w:ascii="Arial" w:cs="Arial" w:eastAsia="Arial" w:hAnsi="Arial"/>
                <w:sz w:val="14"/>
                <w:szCs w:val="14"/>
                <w:color w:val="auto"/>
              </w:rPr>
              <w:t>Familiarity with global compensation standards</w:t>
            </w:r>
          </w:p>
        </w:tc>
      </w:tr>
      <w:tr>
        <w:trPr>
          <w:trHeight w:val="184"/>
        </w:trPr>
        <w:tc>
          <w:tcPr>
            <w:tcW w:w="3080" w:type="dxa"/>
            <w:vAlign w:val="bottom"/>
            <w:tcBorders>
              <w:bottom w:val="single" w:sz="8" w:color="AFAFAF"/>
              <w:right w:val="single" w:sz="8" w:color="AFAFAF"/>
            </w:tcBorders>
          </w:tcPr>
          <w:p>
            <w:pPr>
              <w:spacing w:after="0"/>
              <w:rPr>
                <w:sz w:val="15"/>
                <w:szCs w:val="15"/>
                <w:color w:val="auto"/>
              </w:rPr>
            </w:pPr>
          </w:p>
        </w:tc>
        <w:tc>
          <w:tcPr>
            <w:tcW w:w="280" w:type="dxa"/>
            <w:vAlign w:val="bottom"/>
            <w:tcBorders>
              <w:bottom w:val="single" w:sz="8" w:color="AFAFAF"/>
            </w:tcBorders>
          </w:tcPr>
          <w:p>
            <w:pPr>
              <w:ind w:left="200"/>
              <w:spacing w:after="0"/>
              <w:rPr>
                <w:sz w:val="20"/>
                <w:szCs w:val="20"/>
                <w:color w:val="auto"/>
              </w:rPr>
            </w:pPr>
            <w:r>
              <w:rPr>
                <w:rFonts w:ascii="Arial" w:cs="Arial" w:eastAsia="Arial" w:hAnsi="Arial"/>
                <w:sz w:val="9"/>
                <w:szCs w:val="9"/>
                <w:color w:val="D95A3B"/>
              </w:rPr>
              <w:t>·</w:t>
            </w:r>
          </w:p>
        </w:tc>
        <w:tc>
          <w:tcPr>
            <w:tcW w:w="7620" w:type="dxa"/>
            <w:vAlign w:val="bottom"/>
            <w:tcBorders>
              <w:bottom w:val="single" w:sz="8" w:color="AFAFAF"/>
            </w:tcBorders>
          </w:tcPr>
          <w:p>
            <w:pPr>
              <w:ind w:left="80"/>
              <w:spacing w:after="0"/>
              <w:rPr>
                <w:sz w:val="20"/>
                <w:szCs w:val="20"/>
                <w:color w:val="auto"/>
              </w:rPr>
            </w:pPr>
            <w:r>
              <w:rPr>
                <w:rFonts w:ascii="Arial" w:cs="Arial" w:eastAsia="Arial" w:hAnsi="Arial"/>
                <w:sz w:val="14"/>
                <w:szCs w:val="14"/>
                <w:color w:val="auto"/>
              </w:rPr>
              <w:t>Chair of Johnson Controls International plc compensation committee</w:t>
            </w:r>
          </w:p>
        </w:tc>
      </w:tr>
      <w:tr>
        <w:trPr>
          <w:trHeight w:val="146"/>
        </w:trPr>
        <w:tc>
          <w:tcPr>
            <w:tcW w:w="3080" w:type="dxa"/>
            <w:vAlign w:val="bottom"/>
            <w:tcBorders>
              <w:right w:val="single" w:sz="8" w:color="AFAFAF"/>
            </w:tcBorders>
          </w:tcPr>
          <w:p>
            <w:pPr>
              <w:ind w:left="140"/>
              <w:spacing w:after="0" w:line="146" w:lineRule="exact"/>
              <w:rPr>
                <w:sz w:val="20"/>
                <w:szCs w:val="20"/>
                <w:color w:val="auto"/>
              </w:rPr>
            </w:pPr>
            <w:r>
              <w:rPr>
                <w:rFonts w:ascii="Arial" w:cs="Arial" w:eastAsia="Arial" w:hAnsi="Arial"/>
                <w:sz w:val="14"/>
                <w:szCs w:val="14"/>
                <w:b w:val="1"/>
                <w:bCs w:val="1"/>
                <w:color w:val="auto"/>
              </w:rPr>
              <w:t>Vance K. Opperman</w:t>
            </w:r>
          </w:p>
        </w:tc>
        <w:tc>
          <w:tcPr>
            <w:tcW w:w="280" w:type="dxa"/>
            <w:vAlign w:val="bottom"/>
          </w:tcPr>
          <w:p>
            <w:pPr>
              <w:ind w:left="200"/>
              <w:spacing w:after="0"/>
              <w:rPr>
                <w:sz w:val="20"/>
                <w:szCs w:val="20"/>
                <w:color w:val="auto"/>
              </w:rPr>
            </w:pPr>
            <w:r>
              <w:rPr>
                <w:rFonts w:ascii="Arial" w:cs="Arial" w:eastAsia="Arial" w:hAnsi="Arial"/>
                <w:sz w:val="9"/>
                <w:szCs w:val="9"/>
                <w:color w:val="D95A3B"/>
              </w:rPr>
              <w:t>·</w:t>
            </w:r>
          </w:p>
        </w:tc>
        <w:tc>
          <w:tcPr>
            <w:tcW w:w="7620" w:type="dxa"/>
            <w:vAlign w:val="bottom"/>
          </w:tcPr>
          <w:p>
            <w:pPr>
              <w:ind w:left="80"/>
              <w:spacing w:after="0" w:line="146" w:lineRule="exact"/>
              <w:rPr>
                <w:sz w:val="20"/>
                <w:szCs w:val="20"/>
                <w:color w:val="auto"/>
              </w:rPr>
            </w:pPr>
            <w:r>
              <w:rPr>
                <w:rFonts w:ascii="Arial" w:cs="Arial" w:eastAsia="Arial" w:hAnsi="Arial"/>
                <w:sz w:val="14"/>
                <w:szCs w:val="14"/>
                <w:color w:val="auto"/>
              </w:rPr>
              <w:t>Former President and COO of West Publishing Company</w:t>
            </w:r>
          </w:p>
        </w:tc>
      </w:tr>
      <w:tr>
        <w:trPr>
          <w:trHeight w:val="162"/>
        </w:trPr>
        <w:tc>
          <w:tcPr>
            <w:tcW w:w="3080" w:type="dxa"/>
            <w:vAlign w:val="bottom"/>
            <w:tcBorders>
              <w:right w:val="single" w:sz="8" w:color="AFAFAF"/>
            </w:tcBorders>
          </w:tcPr>
          <w:p>
            <w:pPr>
              <w:spacing w:after="0"/>
              <w:rPr>
                <w:sz w:val="14"/>
                <w:szCs w:val="14"/>
                <w:color w:val="auto"/>
              </w:rPr>
            </w:pPr>
          </w:p>
        </w:tc>
        <w:tc>
          <w:tcPr>
            <w:tcW w:w="280" w:type="dxa"/>
            <w:vAlign w:val="bottom"/>
          </w:tcPr>
          <w:p>
            <w:pPr>
              <w:ind w:left="200"/>
              <w:spacing w:after="0"/>
              <w:rPr>
                <w:sz w:val="20"/>
                <w:szCs w:val="20"/>
                <w:color w:val="auto"/>
              </w:rPr>
            </w:pPr>
            <w:r>
              <w:rPr>
                <w:rFonts w:ascii="Arial" w:cs="Arial" w:eastAsia="Arial" w:hAnsi="Arial"/>
                <w:sz w:val="9"/>
                <w:szCs w:val="9"/>
                <w:color w:val="D95A3B"/>
              </w:rPr>
              <w:t>·</w:t>
            </w:r>
          </w:p>
        </w:tc>
        <w:tc>
          <w:tcPr>
            <w:tcW w:w="7620" w:type="dxa"/>
            <w:vAlign w:val="bottom"/>
          </w:tcPr>
          <w:p>
            <w:pPr>
              <w:ind w:left="80"/>
              <w:spacing w:after="0"/>
              <w:rPr>
                <w:sz w:val="20"/>
                <w:szCs w:val="20"/>
                <w:color w:val="auto"/>
              </w:rPr>
            </w:pPr>
            <w:r>
              <w:rPr>
                <w:rFonts w:ascii="Arial" w:cs="Arial" w:eastAsia="Arial" w:hAnsi="Arial"/>
                <w:sz w:val="14"/>
                <w:szCs w:val="14"/>
                <w:color w:val="auto"/>
              </w:rPr>
              <w:t>President and CEO of Key Investment, Inc.</w:t>
            </w:r>
          </w:p>
        </w:tc>
      </w:tr>
      <w:tr>
        <w:trPr>
          <w:trHeight w:val="184"/>
        </w:trPr>
        <w:tc>
          <w:tcPr>
            <w:tcW w:w="3080" w:type="dxa"/>
            <w:vAlign w:val="bottom"/>
            <w:tcBorders>
              <w:bottom w:val="single" w:sz="8" w:color="AFAFAF"/>
              <w:right w:val="single" w:sz="8" w:color="AFAFAF"/>
            </w:tcBorders>
          </w:tcPr>
          <w:p>
            <w:pPr>
              <w:spacing w:after="0"/>
              <w:rPr>
                <w:sz w:val="15"/>
                <w:szCs w:val="15"/>
                <w:color w:val="auto"/>
              </w:rPr>
            </w:pPr>
          </w:p>
        </w:tc>
        <w:tc>
          <w:tcPr>
            <w:tcW w:w="280" w:type="dxa"/>
            <w:vAlign w:val="bottom"/>
            <w:tcBorders>
              <w:bottom w:val="single" w:sz="8" w:color="AFAFAF"/>
            </w:tcBorders>
          </w:tcPr>
          <w:p>
            <w:pPr>
              <w:ind w:left="200"/>
              <w:spacing w:after="0"/>
              <w:rPr>
                <w:sz w:val="20"/>
                <w:szCs w:val="20"/>
                <w:color w:val="auto"/>
              </w:rPr>
            </w:pPr>
            <w:r>
              <w:rPr>
                <w:rFonts w:ascii="Arial" w:cs="Arial" w:eastAsia="Arial" w:hAnsi="Arial"/>
                <w:sz w:val="9"/>
                <w:szCs w:val="9"/>
                <w:color w:val="D95A3B"/>
              </w:rPr>
              <w:t>·</w:t>
            </w:r>
          </w:p>
        </w:tc>
        <w:tc>
          <w:tcPr>
            <w:tcW w:w="7620" w:type="dxa"/>
            <w:vAlign w:val="bottom"/>
            <w:tcBorders>
              <w:bottom w:val="single" w:sz="8" w:color="AFAFAF"/>
            </w:tcBorders>
          </w:tcPr>
          <w:p>
            <w:pPr>
              <w:ind w:left="80"/>
              <w:spacing w:after="0"/>
              <w:rPr>
                <w:sz w:val="20"/>
                <w:szCs w:val="20"/>
                <w:color w:val="auto"/>
              </w:rPr>
            </w:pPr>
            <w:r>
              <w:rPr>
                <w:rFonts w:ascii="Arial" w:cs="Arial" w:eastAsia="Arial" w:hAnsi="Arial"/>
                <w:sz w:val="14"/>
                <w:szCs w:val="14"/>
                <w:color w:val="auto"/>
              </w:rPr>
              <w:t>Chair of TCF Financial Corporation compensation committee</w:t>
            </w:r>
          </w:p>
        </w:tc>
      </w:tr>
      <w:tr>
        <w:trPr>
          <w:trHeight w:val="146"/>
        </w:trPr>
        <w:tc>
          <w:tcPr>
            <w:tcW w:w="3080" w:type="dxa"/>
            <w:vAlign w:val="bottom"/>
            <w:tcBorders>
              <w:right w:val="single" w:sz="8" w:color="AFAFAF"/>
            </w:tcBorders>
          </w:tcPr>
          <w:p>
            <w:pPr>
              <w:ind w:left="140"/>
              <w:spacing w:after="0" w:line="146" w:lineRule="exact"/>
              <w:rPr>
                <w:sz w:val="20"/>
                <w:szCs w:val="20"/>
                <w:color w:val="auto"/>
              </w:rPr>
            </w:pPr>
            <w:r>
              <w:rPr>
                <w:rFonts w:ascii="Arial" w:cs="Arial" w:eastAsia="Arial" w:hAnsi="Arial"/>
                <w:sz w:val="14"/>
                <w:szCs w:val="14"/>
                <w:b w:val="1"/>
                <w:bCs w:val="1"/>
                <w:color w:val="auto"/>
              </w:rPr>
              <w:t>Kristin C. Peck</w:t>
            </w:r>
          </w:p>
        </w:tc>
        <w:tc>
          <w:tcPr>
            <w:tcW w:w="280" w:type="dxa"/>
            <w:vAlign w:val="bottom"/>
          </w:tcPr>
          <w:p>
            <w:pPr>
              <w:ind w:left="200"/>
              <w:spacing w:after="0"/>
              <w:rPr>
                <w:sz w:val="20"/>
                <w:szCs w:val="20"/>
                <w:color w:val="auto"/>
              </w:rPr>
            </w:pPr>
            <w:r>
              <w:rPr>
                <w:rFonts w:ascii="Arial" w:cs="Arial" w:eastAsia="Arial" w:hAnsi="Arial"/>
                <w:sz w:val="9"/>
                <w:szCs w:val="9"/>
                <w:color w:val="D95A3B"/>
              </w:rPr>
              <w:t>·</w:t>
            </w:r>
          </w:p>
        </w:tc>
        <w:tc>
          <w:tcPr>
            <w:tcW w:w="7620" w:type="dxa"/>
            <w:vAlign w:val="bottom"/>
          </w:tcPr>
          <w:p>
            <w:pPr>
              <w:ind w:left="80"/>
              <w:spacing w:after="0" w:line="146" w:lineRule="exact"/>
              <w:rPr>
                <w:sz w:val="20"/>
                <w:szCs w:val="20"/>
                <w:color w:val="auto"/>
              </w:rPr>
            </w:pPr>
            <w:r>
              <w:rPr>
                <w:rFonts w:ascii="Arial" w:cs="Arial" w:eastAsia="Arial" w:hAnsi="Arial"/>
                <w:sz w:val="14"/>
                <w:szCs w:val="14"/>
                <w:color w:val="auto"/>
              </w:rPr>
              <w:t>President of U.S. operations at Zoetis and member of leadership team</w:t>
            </w:r>
          </w:p>
        </w:tc>
      </w:tr>
      <w:tr>
        <w:trPr>
          <w:trHeight w:val="184"/>
        </w:trPr>
        <w:tc>
          <w:tcPr>
            <w:tcW w:w="3080" w:type="dxa"/>
            <w:vAlign w:val="bottom"/>
            <w:tcBorders>
              <w:bottom w:val="single" w:sz="8" w:color="AFAFAF"/>
              <w:right w:val="single" w:sz="8" w:color="AFAFAF"/>
            </w:tcBorders>
          </w:tcPr>
          <w:p>
            <w:pPr>
              <w:spacing w:after="0"/>
              <w:rPr>
                <w:sz w:val="15"/>
                <w:szCs w:val="15"/>
                <w:color w:val="auto"/>
              </w:rPr>
            </w:pPr>
          </w:p>
        </w:tc>
        <w:tc>
          <w:tcPr>
            <w:tcW w:w="280" w:type="dxa"/>
            <w:vAlign w:val="bottom"/>
            <w:tcBorders>
              <w:bottom w:val="single" w:sz="8" w:color="AFAFAF"/>
            </w:tcBorders>
          </w:tcPr>
          <w:p>
            <w:pPr>
              <w:ind w:left="200"/>
              <w:spacing w:after="0"/>
              <w:rPr>
                <w:sz w:val="20"/>
                <w:szCs w:val="20"/>
                <w:color w:val="auto"/>
              </w:rPr>
            </w:pPr>
            <w:r>
              <w:rPr>
                <w:rFonts w:ascii="Arial" w:cs="Arial" w:eastAsia="Arial" w:hAnsi="Arial"/>
                <w:sz w:val="9"/>
                <w:szCs w:val="9"/>
                <w:color w:val="D95A3B"/>
              </w:rPr>
              <w:t>·</w:t>
            </w:r>
          </w:p>
        </w:tc>
        <w:tc>
          <w:tcPr>
            <w:tcW w:w="7620" w:type="dxa"/>
            <w:vAlign w:val="bottom"/>
            <w:tcBorders>
              <w:bottom w:val="single" w:sz="8" w:color="AFAFAF"/>
            </w:tcBorders>
          </w:tcPr>
          <w:p>
            <w:pPr>
              <w:ind w:left="80"/>
              <w:spacing w:after="0"/>
              <w:rPr>
                <w:sz w:val="20"/>
                <w:szCs w:val="20"/>
                <w:color w:val="auto"/>
              </w:rPr>
            </w:pPr>
            <w:r>
              <w:rPr>
                <w:rFonts w:ascii="Arial" w:cs="Arial" w:eastAsia="Arial" w:hAnsi="Arial"/>
                <w:sz w:val="14"/>
                <w:szCs w:val="14"/>
                <w:color w:val="auto"/>
              </w:rPr>
              <w:t>Former member of Pfizer executive leadership team and HR leadership team</w:t>
            </w:r>
          </w:p>
        </w:tc>
      </w:tr>
      <w:tr>
        <w:trPr>
          <w:trHeight w:val="146"/>
        </w:trPr>
        <w:tc>
          <w:tcPr>
            <w:tcW w:w="3080" w:type="dxa"/>
            <w:vAlign w:val="bottom"/>
            <w:tcBorders>
              <w:right w:val="single" w:sz="8" w:color="AFAFAF"/>
            </w:tcBorders>
          </w:tcPr>
          <w:p>
            <w:pPr>
              <w:ind w:left="140"/>
              <w:spacing w:after="0" w:line="146" w:lineRule="exact"/>
              <w:rPr>
                <w:sz w:val="20"/>
                <w:szCs w:val="20"/>
                <w:color w:val="auto"/>
              </w:rPr>
            </w:pPr>
            <w:r>
              <w:rPr>
                <w:rFonts w:ascii="Arial" w:cs="Arial" w:eastAsia="Arial" w:hAnsi="Arial"/>
                <w:sz w:val="14"/>
                <w:szCs w:val="14"/>
                <w:b w:val="1"/>
                <w:bCs w:val="1"/>
                <w:color w:val="auto"/>
              </w:rPr>
              <w:t>Peter J. Thomson</w:t>
            </w:r>
          </w:p>
        </w:tc>
        <w:tc>
          <w:tcPr>
            <w:tcW w:w="280" w:type="dxa"/>
            <w:vAlign w:val="bottom"/>
          </w:tcPr>
          <w:p>
            <w:pPr>
              <w:ind w:left="200"/>
              <w:spacing w:after="0"/>
              <w:rPr>
                <w:sz w:val="20"/>
                <w:szCs w:val="20"/>
                <w:color w:val="auto"/>
              </w:rPr>
            </w:pPr>
            <w:r>
              <w:rPr>
                <w:rFonts w:ascii="Arial" w:cs="Arial" w:eastAsia="Arial" w:hAnsi="Arial"/>
                <w:sz w:val="9"/>
                <w:szCs w:val="9"/>
                <w:color w:val="D95A3B"/>
              </w:rPr>
              <w:t>·</w:t>
            </w:r>
          </w:p>
        </w:tc>
        <w:tc>
          <w:tcPr>
            <w:tcW w:w="7620" w:type="dxa"/>
            <w:vAlign w:val="bottom"/>
          </w:tcPr>
          <w:p>
            <w:pPr>
              <w:ind w:left="80"/>
              <w:spacing w:after="0" w:line="146" w:lineRule="exact"/>
              <w:rPr>
                <w:sz w:val="20"/>
                <w:szCs w:val="20"/>
                <w:color w:val="auto"/>
              </w:rPr>
            </w:pPr>
            <w:r>
              <w:rPr>
                <w:rFonts w:ascii="Arial" w:cs="Arial" w:eastAsia="Arial" w:hAnsi="Arial"/>
                <w:sz w:val="14"/>
                <w:szCs w:val="14"/>
                <w:color w:val="auto"/>
              </w:rPr>
              <w:t>Chair of Woodbridge and familiar with compensation programs at many companies</w:t>
            </w:r>
          </w:p>
        </w:tc>
      </w:tr>
      <w:tr>
        <w:trPr>
          <w:trHeight w:val="184"/>
        </w:trPr>
        <w:tc>
          <w:tcPr>
            <w:tcW w:w="3080" w:type="dxa"/>
            <w:vAlign w:val="bottom"/>
            <w:tcBorders>
              <w:bottom w:val="single" w:sz="8" w:color="AFAFAF"/>
              <w:right w:val="single" w:sz="8" w:color="AFAFAF"/>
            </w:tcBorders>
          </w:tcPr>
          <w:p>
            <w:pPr>
              <w:spacing w:after="0"/>
              <w:rPr>
                <w:sz w:val="15"/>
                <w:szCs w:val="15"/>
                <w:color w:val="auto"/>
              </w:rPr>
            </w:pPr>
          </w:p>
        </w:tc>
        <w:tc>
          <w:tcPr>
            <w:tcW w:w="280" w:type="dxa"/>
            <w:vAlign w:val="bottom"/>
            <w:tcBorders>
              <w:bottom w:val="single" w:sz="8" w:color="AFAFAF"/>
            </w:tcBorders>
          </w:tcPr>
          <w:p>
            <w:pPr>
              <w:ind w:left="200"/>
              <w:spacing w:after="0"/>
              <w:rPr>
                <w:sz w:val="20"/>
                <w:szCs w:val="20"/>
                <w:color w:val="auto"/>
              </w:rPr>
            </w:pPr>
            <w:r>
              <w:rPr>
                <w:rFonts w:ascii="Arial" w:cs="Arial" w:eastAsia="Arial" w:hAnsi="Arial"/>
                <w:sz w:val="9"/>
                <w:szCs w:val="9"/>
                <w:color w:val="D95A3B"/>
              </w:rPr>
              <w:t>·</w:t>
            </w:r>
          </w:p>
        </w:tc>
        <w:tc>
          <w:tcPr>
            <w:tcW w:w="7620" w:type="dxa"/>
            <w:vAlign w:val="bottom"/>
            <w:tcBorders>
              <w:bottom w:val="single" w:sz="8" w:color="AFAFAF"/>
            </w:tcBorders>
          </w:tcPr>
          <w:p>
            <w:pPr>
              <w:ind w:left="80"/>
              <w:spacing w:after="0"/>
              <w:rPr>
                <w:sz w:val="20"/>
                <w:szCs w:val="20"/>
                <w:color w:val="auto"/>
              </w:rPr>
            </w:pPr>
            <w:r>
              <w:rPr>
                <w:rFonts w:ascii="Arial" w:cs="Arial" w:eastAsia="Arial" w:hAnsi="Arial"/>
                <w:sz w:val="14"/>
                <w:szCs w:val="14"/>
                <w:color w:val="auto"/>
              </w:rPr>
              <w:t>Familiarity with global compensation standards</w:t>
            </w:r>
          </w:p>
        </w:tc>
      </w:tr>
      <w:tr>
        <w:trPr>
          <w:trHeight w:val="146"/>
        </w:trPr>
        <w:tc>
          <w:tcPr>
            <w:tcW w:w="3080" w:type="dxa"/>
            <w:vAlign w:val="bottom"/>
            <w:tcBorders>
              <w:right w:val="single" w:sz="8" w:color="AFAFAF"/>
            </w:tcBorders>
          </w:tcPr>
          <w:p>
            <w:pPr>
              <w:ind w:left="140"/>
              <w:spacing w:after="0" w:line="146" w:lineRule="exact"/>
              <w:rPr>
                <w:sz w:val="20"/>
                <w:szCs w:val="20"/>
                <w:color w:val="auto"/>
              </w:rPr>
            </w:pPr>
            <w:r>
              <w:rPr>
                <w:rFonts w:ascii="Arial" w:cs="Arial" w:eastAsia="Arial" w:hAnsi="Arial"/>
                <w:sz w:val="14"/>
                <w:szCs w:val="14"/>
                <w:b w:val="1"/>
                <w:bCs w:val="1"/>
                <w:color w:val="auto"/>
              </w:rPr>
              <w:t>Wulf von Schimmelmann</w:t>
            </w:r>
          </w:p>
        </w:tc>
        <w:tc>
          <w:tcPr>
            <w:tcW w:w="280" w:type="dxa"/>
            <w:vAlign w:val="bottom"/>
          </w:tcPr>
          <w:p>
            <w:pPr>
              <w:ind w:left="200"/>
              <w:spacing w:after="0"/>
              <w:rPr>
                <w:sz w:val="20"/>
                <w:szCs w:val="20"/>
                <w:color w:val="auto"/>
              </w:rPr>
            </w:pPr>
            <w:r>
              <w:rPr>
                <w:rFonts w:ascii="Arial" w:cs="Arial" w:eastAsia="Arial" w:hAnsi="Arial"/>
                <w:sz w:val="9"/>
                <w:szCs w:val="9"/>
                <w:color w:val="D95A3B"/>
              </w:rPr>
              <w:t>·</w:t>
            </w:r>
          </w:p>
        </w:tc>
        <w:tc>
          <w:tcPr>
            <w:tcW w:w="7620" w:type="dxa"/>
            <w:vAlign w:val="bottom"/>
          </w:tcPr>
          <w:p>
            <w:pPr>
              <w:ind w:left="80"/>
              <w:spacing w:after="0" w:line="146" w:lineRule="exact"/>
              <w:rPr>
                <w:sz w:val="20"/>
                <w:szCs w:val="20"/>
                <w:color w:val="auto"/>
              </w:rPr>
            </w:pPr>
            <w:r>
              <w:rPr>
                <w:rFonts w:ascii="Arial" w:cs="Arial" w:eastAsia="Arial" w:hAnsi="Arial"/>
                <w:sz w:val="14"/>
                <w:szCs w:val="14"/>
                <w:color w:val="auto"/>
              </w:rPr>
              <w:t>Former CEO of Deutsche Postbank AG and chair of the HR Committee</w:t>
            </w:r>
          </w:p>
        </w:tc>
      </w:tr>
      <w:tr>
        <w:trPr>
          <w:trHeight w:val="184"/>
        </w:trPr>
        <w:tc>
          <w:tcPr>
            <w:tcW w:w="3080" w:type="dxa"/>
            <w:vAlign w:val="bottom"/>
            <w:tcBorders>
              <w:bottom w:val="single" w:sz="8" w:color="D95A3B"/>
              <w:right w:val="single" w:sz="8" w:color="AFAFAF"/>
            </w:tcBorders>
          </w:tcPr>
          <w:p>
            <w:pPr>
              <w:spacing w:after="0"/>
              <w:rPr>
                <w:sz w:val="15"/>
                <w:szCs w:val="15"/>
                <w:color w:val="auto"/>
              </w:rPr>
            </w:pPr>
          </w:p>
        </w:tc>
        <w:tc>
          <w:tcPr>
            <w:tcW w:w="280" w:type="dxa"/>
            <w:vAlign w:val="bottom"/>
            <w:tcBorders>
              <w:bottom w:val="single" w:sz="8" w:color="D95A3B"/>
            </w:tcBorders>
          </w:tcPr>
          <w:p>
            <w:pPr>
              <w:ind w:left="200"/>
              <w:spacing w:after="0"/>
              <w:rPr>
                <w:sz w:val="20"/>
                <w:szCs w:val="20"/>
                <w:color w:val="auto"/>
              </w:rPr>
            </w:pPr>
            <w:r>
              <w:rPr>
                <w:rFonts w:ascii="Arial" w:cs="Arial" w:eastAsia="Arial" w:hAnsi="Arial"/>
                <w:sz w:val="9"/>
                <w:szCs w:val="9"/>
                <w:color w:val="D95A3B"/>
              </w:rPr>
              <w:t>·</w:t>
            </w:r>
          </w:p>
        </w:tc>
        <w:tc>
          <w:tcPr>
            <w:tcW w:w="7620" w:type="dxa"/>
            <w:vAlign w:val="bottom"/>
            <w:tcBorders>
              <w:bottom w:val="single" w:sz="8" w:color="D95A3B"/>
            </w:tcBorders>
          </w:tcPr>
          <w:p>
            <w:pPr>
              <w:ind w:left="80"/>
              <w:spacing w:after="0"/>
              <w:rPr>
                <w:sz w:val="20"/>
                <w:szCs w:val="20"/>
                <w:color w:val="auto"/>
              </w:rPr>
            </w:pPr>
            <w:r>
              <w:rPr>
                <w:rFonts w:ascii="Arial" w:cs="Arial" w:eastAsia="Arial" w:hAnsi="Arial"/>
                <w:sz w:val="14"/>
                <w:szCs w:val="14"/>
                <w:color w:val="auto"/>
              </w:rPr>
              <w:t>Former member of Deutsche Post DHL AG HR Committee</w:t>
            </w:r>
          </w:p>
        </w:tc>
      </w:tr>
      <w:tr>
        <w:trPr>
          <w:trHeight w:val="229"/>
        </w:trPr>
        <w:tc>
          <w:tcPr>
            <w:tcW w:w="3080" w:type="dxa"/>
            <w:vAlign w:val="bottom"/>
            <w:tcBorders>
              <w:bottom w:val="single" w:sz="8" w:color="D95A3B"/>
            </w:tcBorders>
          </w:tcPr>
          <w:p>
            <w:pPr>
              <w:spacing w:after="0"/>
              <w:rPr>
                <w:sz w:val="19"/>
                <w:szCs w:val="19"/>
                <w:color w:val="auto"/>
              </w:rPr>
            </w:pPr>
          </w:p>
        </w:tc>
        <w:tc>
          <w:tcPr>
            <w:tcW w:w="280" w:type="dxa"/>
            <w:vAlign w:val="bottom"/>
            <w:tcBorders>
              <w:bottom w:val="single" w:sz="8" w:color="D95A3B"/>
            </w:tcBorders>
          </w:tcPr>
          <w:p>
            <w:pPr>
              <w:spacing w:after="0"/>
              <w:rPr>
                <w:sz w:val="19"/>
                <w:szCs w:val="19"/>
                <w:color w:val="auto"/>
              </w:rPr>
            </w:pPr>
          </w:p>
        </w:tc>
        <w:tc>
          <w:tcPr>
            <w:tcW w:w="7620" w:type="dxa"/>
            <w:vAlign w:val="bottom"/>
            <w:tcBorders>
              <w:bottom w:val="single" w:sz="8" w:color="D95A3B"/>
            </w:tcBorders>
          </w:tcPr>
          <w:p>
            <w:pPr>
              <w:spacing w:after="0"/>
              <w:rPr>
                <w:sz w:val="19"/>
                <w:szCs w:val="19"/>
                <w:color w:val="auto"/>
              </w:rPr>
            </w:pPr>
          </w:p>
        </w:tc>
      </w:tr>
    </w:tbl>
    <w:p>
      <w:pPr>
        <w:spacing w:after="0" w:line="10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40</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Human Capital Management</w:t>
      </w:r>
    </w:p>
    <w:p>
      <w:pPr>
        <w:spacing w:after="0" w:line="103" w:lineRule="exact"/>
        <w:rPr>
          <w:sz w:val="20"/>
          <w:szCs w:val="20"/>
          <w:color w:val="auto"/>
        </w:rPr>
      </w:pPr>
    </w:p>
    <w:p>
      <w:pPr>
        <w:ind w:left="220" w:right="100"/>
        <w:spacing w:after="0" w:line="236" w:lineRule="auto"/>
        <w:rPr>
          <w:sz w:val="20"/>
          <w:szCs w:val="20"/>
          <w:color w:val="auto"/>
        </w:rPr>
      </w:pPr>
      <w:r>
        <w:rPr>
          <w:rFonts w:ascii="Arial" w:cs="Arial" w:eastAsia="Arial" w:hAnsi="Arial"/>
          <w:sz w:val="18"/>
          <w:szCs w:val="18"/>
          <w:color w:val="auto"/>
        </w:rPr>
        <w:t>Our human capital practices and initiatives are designed to attract, motivate and retain high quality and talented employees across all of our businesses who feel valued, are provided with opportunities to grow, and are driven to succeed. The HR Committee and our board regularly engage with management on a variety of human capital topics that apply to our current workforce of approximately 25,000 employees, such as compensation and benefits, culture and employee engagement, talent acquisition/development, and diversity and inclusion. The board and management engage in detailed succession planning discussions for all senior roles, and the principles employed at the senior-most levels of the organization are embraced by management throughout the entire organization. A more detailed discussion of some of these topics is provided later in this section.</w:t>
      </w:r>
    </w:p>
    <w:p>
      <w:pPr>
        <w:spacing w:after="0" w:line="96"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Over the last year and a half, oversight of human capital management has been a greater focus area for the HR Committee and the board in light of the F&amp;R transaction, which effectively split our global workforce in half between Thomson Reuters and the newly created Refinitiv partnership. The F&amp;R transaction resulted in significant organizational changes and our ability to successfully evolve our human capital is essential to our strategy and future success. As part of these ongoing discussions, management has been periodically reporting metrics and data to the HR Committee and board on various human capital topics, which has informed our directors in providing management with feedback and input. While we voluntarily publish numerous human capital-related metrics and data in our securities filings and on our website, some metrics and data are not publicly disclosed due to competitive considerations.</w:t>
      </w:r>
    </w:p>
    <w:p>
      <w:pPr>
        <w:spacing w:after="0" w:line="96" w:lineRule="exact"/>
        <w:rPr>
          <w:sz w:val="20"/>
          <w:szCs w:val="20"/>
          <w:color w:val="auto"/>
        </w:rPr>
      </w:pPr>
    </w:p>
    <w:p>
      <w:pPr>
        <w:ind w:left="220" w:right="500"/>
        <w:spacing w:after="0" w:line="239" w:lineRule="auto"/>
        <w:rPr>
          <w:sz w:val="20"/>
          <w:szCs w:val="20"/>
          <w:color w:val="auto"/>
        </w:rPr>
      </w:pPr>
      <w:r>
        <w:rPr>
          <w:rFonts w:ascii="Arial" w:cs="Arial" w:eastAsia="Arial" w:hAnsi="Arial"/>
          <w:sz w:val="18"/>
          <w:szCs w:val="18"/>
          <w:color w:val="auto"/>
        </w:rPr>
        <w:t>We expect that human capital management will continue to be an important focus area in the future for the board and its committees because it ensures solid stewardship of our organization, supports important societal objectives, and is key to ensuring strategic advantage in the marketplace.</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Compensation Planning</w:t>
      </w:r>
    </w:p>
    <w:p>
      <w:pPr>
        <w:spacing w:after="0" w:line="35" w:lineRule="exact"/>
        <w:rPr>
          <w:sz w:val="20"/>
          <w:szCs w:val="20"/>
          <w:color w:val="auto"/>
        </w:rPr>
      </w:pPr>
    </w:p>
    <w:p>
      <w:pPr>
        <w:ind w:left="220" w:right="120"/>
        <w:spacing w:after="0" w:line="239" w:lineRule="auto"/>
        <w:rPr>
          <w:sz w:val="20"/>
          <w:szCs w:val="20"/>
          <w:color w:val="auto"/>
        </w:rPr>
      </w:pPr>
      <w:r>
        <w:rPr>
          <w:rFonts w:ascii="Arial" w:cs="Arial" w:eastAsia="Arial" w:hAnsi="Arial"/>
          <w:sz w:val="18"/>
          <w:szCs w:val="18"/>
          <w:color w:val="auto"/>
        </w:rPr>
        <w:t>The HR Committee’s responsibilities include establishing, implementing and overseeing our compensation policies and programs. A detailed discussion of the HR Committee’s responsibilities in this area is provided in the “Compensation Discussion and Analysis” section of this circular.</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CEO Performance Evaluation and Objectives Setting</w:t>
      </w:r>
    </w:p>
    <w:p>
      <w:pPr>
        <w:spacing w:after="0" w:line="35" w:lineRule="exact"/>
        <w:rPr>
          <w:sz w:val="20"/>
          <w:szCs w:val="20"/>
          <w:color w:val="auto"/>
        </w:rPr>
      </w:pPr>
    </w:p>
    <w:p>
      <w:pPr>
        <w:ind w:left="220" w:right="160"/>
        <w:spacing w:after="0" w:line="239" w:lineRule="auto"/>
        <w:rPr>
          <w:sz w:val="20"/>
          <w:szCs w:val="20"/>
          <w:color w:val="auto"/>
        </w:rPr>
      </w:pPr>
      <w:r>
        <w:rPr>
          <w:rFonts w:ascii="Arial" w:cs="Arial" w:eastAsia="Arial" w:hAnsi="Arial"/>
          <w:sz w:val="18"/>
          <w:szCs w:val="18"/>
          <w:color w:val="auto"/>
        </w:rPr>
        <w:t>The HR Committee assists the board in setting objectives each year for the CEO. The HR Committee evaluates the performance of the CEO against these objectives at year end. The HR Committee reports to the full board on the objectives for the forthcoming year and the performance against objectives in the preceding year. The HR Committee also maintains a written position description for the CEO.</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Talent Management and Succession Planning</w:t>
      </w:r>
    </w:p>
    <w:p>
      <w:pPr>
        <w:spacing w:after="0" w:line="22" w:lineRule="exact"/>
        <w:rPr>
          <w:sz w:val="20"/>
          <w:szCs w:val="20"/>
          <w:color w:val="auto"/>
        </w:rPr>
      </w:pPr>
    </w:p>
    <w:p>
      <w:pPr>
        <w:ind w:left="220" w:right="140"/>
        <w:spacing w:after="0" w:line="256" w:lineRule="auto"/>
        <w:rPr>
          <w:sz w:val="20"/>
          <w:szCs w:val="20"/>
          <w:color w:val="auto"/>
        </w:rPr>
      </w:pPr>
      <w:r>
        <w:rPr>
          <w:rFonts w:ascii="Arial" w:cs="Arial" w:eastAsia="Arial" w:hAnsi="Arial"/>
          <w:sz w:val="17"/>
          <w:szCs w:val="17"/>
          <w:color w:val="auto"/>
        </w:rPr>
        <w:t>A robust framework directly aligned with our business priorities is in place to enable an integrated approach to talent management and succession planning. We commit to developing a strong leadership pipeline by providing our current and future leaders with opportunities to learn and transform themselves, to drive business performance and add customer value. The CEO and Chief People Officer are stewards of enterprise talent agenda and sponsor key development programs that build a robust and diverse leadership bench.</w:t>
      </w:r>
    </w:p>
    <w:p>
      <w:pPr>
        <w:spacing w:after="0" w:line="81" w:lineRule="exact"/>
        <w:rPr>
          <w:sz w:val="20"/>
          <w:szCs w:val="20"/>
          <w:color w:val="auto"/>
        </w:rPr>
      </w:pPr>
    </w:p>
    <w:p>
      <w:pPr>
        <w:ind w:left="220" w:right="120"/>
        <w:spacing w:after="0" w:line="256" w:lineRule="auto"/>
        <w:rPr>
          <w:sz w:val="20"/>
          <w:szCs w:val="20"/>
          <w:color w:val="auto"/>
        </w:rPr>
      </w:pPr>
      <w:r>
        <w:rPr>
          <w:rFonts w:ascii="Arial" w:cs="Arial" w:eastAsia="Arial" w:hAnsi="Arial"/>
          <w:sz w:val="17"/>
          <w:szCs w:val="17"/>
          <w:color w:val="auto"/>
        </w:rPr>
        <w:t>We integrate our talent and succession planning process with the primary objective of having high performing individuals in critical roles across the organization. Last year, we implemented our “Talent to Value” approach through which we identified roles that drive outsized value for Thomson Reuters. Our intent is to differentiate development of talent in these roles, and manage talent similar to how we manage capital, investing in them to prepare for broader and more complex roles that have disproportionate impact on the value agenda.</w:t>
      </w:r>
    </w:p>
    <w:p>
      <w:pPr>
        <w:spacing w:after="0" w:line="81" w:lineRule="exact"/>
        <w:rPr>
          <w:sz w:val="20"/>
          <w:szCs w:val="20"/>
          <w:color w:val="auto"/>
        </w:rPr>
      </w:pPr>
    </w:p>
    <w:p>
      <w:pPr>
        <w:ind w:left="220" w:right="120"/>
        <w:spacing w:after="0" w:line="238" w:lineRule="auto"/>
        <w:rPr>
          <w:sz w:val="20"/>
          <w:szCs w:val="20"/>
          <w:color w:val="auto"/>
        </w:rPr>
      </w:pPr>
      <w:r>
        <w:rPr>
          <w:rFonts w:ascii="Arial" w:cs="Arial" w:eastAsia="Arial" w:hAnsi="Arial"/>
          <w:sz w:val="18"/>
          <w:szCs w:val="18"/>
          <w:color w:val="auto"/>
        </w:rPr>
        <w:t>Stepping up advancement of women and other diverse talent into key leadership roles continues to be a top priority and is reinforced by our commitment to develop a robust pipeline of diverse leaders. This, coupled with our philosophy to develop and promote from within, strengthens our culture, retains our key talent and provides more options for succession. We also complement this with selective external hiring to procure critical skills, close any talent gaps and foster diverse thinking.</w:t>
      </w:r>
    </w:p>
    <w:p>
      <w:pPr>
        <w:spacing w:after="0" w:line="94"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The HR Committee plays a key role in overseeing talent management and succession planning strategies, with strong support from our CEO and Chief People Officer. Annually, the HR Committee partners with the CEO and the Chief People Officer in reviewing succession and developmental plans for executive management, critical talent and succession risk metrics, progress made over the year and plans for the upcoming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3"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41</w:t>
      </w:r>
    </w:p>
    <w:p>
      <w:pPr>
        <w:sectPr>
          <w:pgSz w:w="11900" w:h="16838" w:orient="portrait"/>
          <w:cols w:equalWidth="0" w:num="1">
            <w:col w:w="11200"/>
          </w:cols>
          <w:pgMar w:left="240" w:top="458"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Diversity and Inclusion</w:t>
      </w:r>
    </w:p>
    <w:p>
      <w:pPr>
        <w:spacing w:after="0" w:line="35" w:lineRule="exact"/>
        <w:rPr>
          <w:sz w:val="20"/>
          <w:szCs w:val="20"/>
          <w:color w:val="auto"/>
        </w:rPr>
      </w:pPr>
    </w:p>
    <w:p>
      <w:pPr>
        <w:ind w:left="220" w:right="140"/>
        <w:spacing w:after="0" w:line="239" w:lineRule="auto"/>
        <w:rPr>
          <w:sz w:val="20"/>
          <w:szCs w:val="20"/>
          <w:color w:val="auto"/>
        </w:rPr>
      </w:pPr>
      <w:r>
        <w:rPr>
          <w:rFonts w:ascii="Arial" w:cs="Arial" w:eastAsia="Arial" w:hAnsi="Arial"/>
          <w:sz w:val="18"/>
          <w:szCs w:val="18"/>
          <w:color w:val="auto"/>
        </w:rPr>
        <w:t>Diversity. Inclusion. They are more than just words for us. They are an integral part of our values, guiding us in everything we do. As an organization with diverse businesses competing in the global marketplace, we understand that one of the most effective ways of meeting and exceeding the needs of our diverse customers and shareholders is to have a workforce that reflects diversity.</w:t>
      </w:r>
    </w:p>
    <w:p>
      <w:pPr>
        <w:spacing w:after="0" w:line="95" w:lineRule="exact"/>
        <w:rPr>
          <w:sz w:val="20"/>
          <w:szCs w:val="20"/>
          <w:color w:val="auto"/>
        </w:rPr>
      </w:pPr>
    </w:p>
    <w:p>
      <w:pPr>
        <w:ind w:left="220" w:right="320"/>
        <w:spacing w:after="0" w:line="238" w:lineRule="auto"/>
        <w:rPr>
          <w:sz w:val="20"/>
          <w:szCs w:val="20"/>
          <w:color w:val="auto"/>
        </w:rPr>
      </w:pPr>
      <w:r>
        <w:rPr>
          <w:rFonts w:ascii="Arial" w:cs="Arial" w:eastAsia="Arial" w:hAnsi="Arial"/>
          <w:sz w:val="18"/>
          <w:szCs w:val="18"/>
          <w:color w:val="auto"/>
        </w:rPr>
        <w:t>We also acknowledge that creative ideas and innovative solutions only happen when we foster an environment that helps people bring their uniqueness to work. We believe that a culture where every employee is treated with respect, feels valued and has a sense of belonging will help employees unleash their true potential. Our objective is to seek out and hire talented, dedicated individuals from all walks of life and give them an opportunity to learn, develop and succeed within Thomson Reuters.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Women in Leadership</w:t>
      </w:r>
    </w:p>
    <w:p>
      <w:pPr>
        <w:spacing w:after="0" w:line="35"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A key component of our diversity and inclusion approach is identification, development and advancement of women globally for leadership positions. In 2018, the overall representation of women in senior leadership positions at Thomson Reuters and our subsidiaries was 36%, just below our goal of 40% by 2020. This goal is strongly embedded into our talent practices and we are committed to drive continued efforts in this area. In addition, in 2018, 44 of our 125 global senior executives were women and 5 of 17 members of the CEO’s Operating Committee were women, including the President of the Tax Professionals segment (Charlotte Rushton), our General Counsel (Deirdre Stanley) and our Chief People Officer (Mary Alice Vuicic).</w:t>
      </w:r>
    </w:p>
    <w:p>
      <w:pPr>
        <w:spacing w:after="0" w:line="98" w:lineRule="exact"/>
        <w:rPr>
          <w:sz w:val="20"/>
          <w:szCs w:val="20"/>
          <w:color w:val="auto"/>
        </w:rPr>
      </w:pPr>
    </w:p>
    <w:p>
      <w:pPr>
        <w:ind w:left="220" w:right="220"/>
        <w:spacing w:after="0" w:line="239" w:lineRule="auto"/>
        <w:rPr>
          <w:sz w:val="20"/>
          <w:szCs w:val="20"/>
          <w:color w:val="auto"/>
        </w:rPr>
      </w:pPr>
      <w:r>
        <w:rPr>
          <w:rFonts w:ascii="Arial" w:cs="Arial" w:eastAsia="Arial" w:hAnsi="Arial"/>
          <w:sz w:val="18"/>
          <w:szCs w:val="18"/>
          <w:color w:val="auto"/>
        </w:rPr>
        <w:t>We are focused on accelerating the development of women to strengthen our succession bench through various strategic initiatives, including our Women’s Advisory Task Force chaired by our CEO, and the Women’s Leadership Program focused on developing women early in their careers, helping them realize their full potential and accelerating their growth and readiness.</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Risk Committee</w:t>
      </w:r>
    </w:p>
    <w:p>
      <w:pPr>
        <w:spacing w:after="0" w:line="65" w:lineRule="exact"/>
        <w:rPr>
          <w:sz w:val="20"/>
          <w:szCs w:val="20"/>
          <w:color w:val="auto"/>
        </w:rPr>
      </w:pPr>
    </w:p>
    <w:p>
      <w:pPr>
        <w:ind w:left="220" w:right="640"/>
        <w:spacing w:after="0" w:line="244" w:lineRule="auto"/>
        <w:rPr>
          <w:sz w:val="20"/>
          <w:szCs w:val="20"/>
          <w:color w:val="auto"/>
        </w:rPr>
      </w:pPr>
      <w:r>
        <w:rPr>
          <w:rFonts w:ascii="Arial" w:cs="Arial" w:eastAsia="Arial" w:hAnsi="Arial"/>
          <w:sz w:val="18"/>
          <w:szCs w:val="18"/>
          <w:color w:val="auto"/>
        </w:rPr>
        <w:t>In the second half of 2018, a new Risk Committee was formed and subsequently met once. The Risk Committee is responsible for assisting the board in fulfilling its oversight responsibilities in relation to:</w:t>
      </w:r>
    </w:p>
    <w:p>
      <w:pPr>
        <w:sectPr>
          <w:pgSz w:w="11900" w:h="16838" w:orient="portrait"/>
          <w:cols w:equalWidth="0" w:num="1">
            <w:col w:w="11180"/>
          </w:cols>
          <w:pgMar w:left="240" w:top="458" w:right="479" w:bottom="1440" w:gutter="0" w:footer="0" w:header="0"/>
        </w:sectPr>
      </w:pPr>
    </w:p>
    <w:p>
      <w:pPr>
        <w:spacing w:after="0" w:line="96"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Thomson Reuters’ identification, assessment and management of enterprise risks, other than financial risks (which are overseen by the Audit Committee) or risks related to talent/employee matters (which are overseen by the HR Committee); and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any additional matters delegated to the Risk Committee by the board.</w:t>
      </w:r>
    </w:p>
    <w:p>
      <w:pPr>
        <w:spacing w:after="0" w:line="116" w:lineRule="exact"/>
        <w:rPr>
          <w:sz w:val="20"/>
          <w:szCs w:val="20"/>
          <w:color w:val="auto"/>
        </w:rPr>
      </w:pPr>
    </w:p>
    <w:p>
      <w:pPr>
        <w:sectPr>
          <w:pgSz w:w="11900" w:h="16838" w:orient="portrait"/>
          <w:cols w:equalWidth="0" w:num="2">
            <w:col w:w="240" w:space="200"/>
            <w:col w:w="10740"/>
          </w:cols>
          <w:pgMar w:left="240" w:top="458" w:right="479" w:bottom="1440" w:gutter="0" w:footer="0" w:header="0"/>
          <w:type w:val="continuous"/>
        </w:sectPr>
      </w:pPr>
    </w:p>
    <w:p>
      <w:pPr>
        <w:ind w:left="220" w:right="260"/>
        <w:spacing w:after="0" w:line="238" w:lineRule="auto"/>
        <w:rPr>
          <w:sz w:val="20"/>
          <w:szCs w:val="20"/>
          <w:color w:val="auto"/>
        </w:rPr>
      </w:pPr>
      <w:r>
        <w:rPr>
          <w:rFonts w:ascii="Arial" w:cs="Arial" w:eastAsia="Arial" w:hAnsi="Arial"/>
          <w:sz w:val="18"/>
          <w:szCs w:val="18"/>
          <w:color w:val="auto"/>
        </w:rPr>
        <w:t>While the Risk Committee now oversees and manages our company’s framework policies and procedures with respect to risk identification, assessment and management, it is the responsibility of our CEO and senior management to identify, assess and manage our company’s risks through the design, implementation and maintenance of our ERM program. The Risk Committee’s responsibilities include reviewing and approving the ERM framework on an annual basis.</w:t>
      </w:r>
    </w:p>
    <w:p>
      <w:pPr>
        <w:spacing w:after="0" w:line="94" w:lineRule="exact"/>
        <w:rPr>
          <w:sz w:val="20"/>
          <w:szCs w:val="20"/>
          <w:color w:val="auto"/>
        </w:rPr>
      </w:pPr>
    </w:p>
    <w:p>
      <w:pPr>
        <w:ind w:left="220"/>
        <w:spacing w:after="0" w:line="244" w:lineRule="auto"/>
        <w:rPr>
          <w:sz w:val="20"/>
          <w:szCs w:val="20"/>
          <w:color w:val="auto"/>
        </w:rPr>
      </w:pPr>
      <w:r>
        <w:rPr>
          <w:rFonts w:ascii="Arial" w:cs="Arial" w:eastAsia="Arial" w:hAnsi="Arial"/>
          <w:sz w:val="18"/>
          <w:szCs w:val="18"/>
          <w:color w:val="auto"/>
        </w:rPr>
        <w:t>The Risk Committee’s responsibilities also extend to overseeing our company’s efforts to identify, evaluate and mitigate major risks related to:</w:t>
      </w:r>
    </w:p>
    <w:p>
      <w:pPr>
        <w:sectPr>
          <w:pgSz w:w="11900" w:h="16838" w:orient="portrait"/>
          <w:cols w:equalWidth="0" w:num="1">
            <w:col w:w="11180"/>
          </w:cols>
          <w:pgMar w:left="240" w:top="458" w:right="479" w:bottom="1440" w:gutter="0" w:footer="0" w:header="0"/>
          <w:type w:val="continuous"/>
        </w:sectPr>
      </w:pPr>
    </w:p>
    <w:p>
      <w:pPr>
        <w:spacing w:after="0" w:line="96"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840"/>
        <w:spacing w:after="0" w:line="343" w:lineRule="auto"/>
        <w:rPr>
          <w:sz w:val="20"/>
          <w:szCs w:val="20"/>
          <w:color w:val="auto"/>
        </w:rPr>
      </w:pPr>
      <w:r>
        <w:rPr>
          <w:rFonts w:ascii="Arial" w:cs="Arial" w:eastAsia="Arial" w:hAnsi="Arial"/>
          <w:sz w:val="18"/>
          <w:szCs w:val="18"/>
          <w:color w:val="auto"/>
        </w:rPr>
        <w:t>Cybersecurity, data protection controls, business continuity/disaster recovery systems and other information security matters; Regulatory compliance risks that are not overseen by the Audit Committee;</w:t>
      </w:r>
    </w:p>
    <w:p>
      <w:pPr>
        <w:spacing w:after="0" w:line="1" w:lineRule="exact"/>
        <w:rPr>
          <w:sz w:val="20"/>
          <w:szCs w:val="20"/>
          <w:color w:val="auto"/>
        </w:rPr>
      </w:pPr>
    </w:p>
    <w:p>
      <w:pPr>
        <w:ind w:right="540"/>
        <w:spacing w:after="0" w:line="244" w:lineRule="auto"/>
        <w:rPr>
          <w:sz w:val="20"/>
          <w:szCs w:val="20"/>
          <w:color w:val="auto"/>
        </w:rPr>
      </w:pPr>
      <w:r>
        <w:rPr>
          <w:rFonts w:ascii="Arial" w:cs="Arial" w:eastAsia="Arial" w:hAnsi="Arial"/>
          <w:sz w:val="18"/>
          <w:szCs w:val="18"/>
          <w:color w:val="auto"/>
        </w:rPr>
        <w:t>Reputational risks, other than those related to compliance with the Thomson Reuters Trust Principles, which are overseen by the Corporate Governance Committee; and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Strategic risks, particularly those related to emerging technologies.</w:t>
      </w:r>
    </w:p>
    <w:p>
      <w:pPr>
        <w:spacing w:after="0" w:line="116" w:lineRule="exact"/>
        <w:rPr>
          <w:sz w:val="20"/>
          <w:szCs w:val="20"/>
          <w:color w:val="auto"/>
        </w:rPr>
      </w:pPr>
    </w:p>
    <w:p>
      <w:pPr>
        <w:sectPr>
          <w:pgSz w:w="11900" w:h="16838" w:orient="portrait"/>
          <w:cols w:equalWidth="0" w:num="2">
            <w:col w:w="240" w:space="200"/>
            <w:col w:w="10740"/>
          </w:cols>
          <w:pgMar w:left="240" w:top="458" w:right="479" w:bottom="1440" w:gutter="0" w:footer="0" w:header="0"/>
          <w:type w:val="continuous"/>
        </w:sectPr>
      </w:pPr>
    </w:p>
    <w:p>
      <w:pPr>
        <w:ind w:left="220" w:right="100"/>
        <w:spacing w:after="0" w:line="238" w:lineRule="auto"/>
        <w:rPr>
          <w:sz w:val="20"/>
          <w:szCs w:val="20"/>
          <w:color w:val="auto"/>
        </w:rPr>
      </w:pPr>
      <w:r>
        <w:rPr>
          <w:rFonts w:ascii="Arial" w:cs="Arial" w:eastAsia="Arial" w:hAnsi="Arial"/>
          <w:sz w:val="18"/>
          <w:szCs w:val="18"/>
          <w:color w:val="auto"/>
        </w:rPr>
        <w:t>At its initial meeting in November 2018, the Risk Committee reviewed a calendar/work plan for 2019 and agreed that the committee’s meetings would generally follow the Audit Committee meetings to maintain alignment and coordination between the two committees. The Risk Committee also reviewed and approved a proposed ERM process for 2019 and also received a cybersecurity update from the company’s Chief Information Security Officer and an outside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3"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42</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180"/>
          </w:cols>
          <w:pgMar w:left="240" w:top="458" w:right="47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About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327660</wp:posOffset>
            </wp:positionV>
            <wp:extent cx="69735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7"/>
          <w:szCs w:val="27"/>
          <w:color w:val="D95A3B"/>
        </w:rPr>
        <w:t>HIGHLIGHTS</w:t>
      </w:r>
    </w:p>
    <w:p>
      <w:pPr>
        <w:spacing w:after="0" w:line="120" w:lineRule="exact"/>
        <w:rPr>
          <w:sz w:val="20"/>
          <w:szCs w:val="20"/>
          <w:color w:val="auto"/>
        </w:rPr>
      </w:pPr>
    </w:p>
    <w:p>
      <w:pPr>
        <w:ind w:left="440" w:right="240" w:hanging="217"/>
        <w:spacing w:after="0" w:line="249" w:lineRule="auto"/>
        <w:tabs>
          <w:tab w:leader="none" w:pos="440" w:val="left"/>
        </w:tabs>
        <w:numPr>
          <w:ilvl w:val="0"/>
          <w:numId w:val="28"/>
        </w:numPr>
        <w:rPr>
          <w:rFonts w:ascii="Arial" w:cs="Arial" w:eastAsia="Arial" w:hAnsi="Arial"/>
          <w:sz w:val="18"/>
          <w:szCs w:val="18"/>
          <w:color w:val="D95A3B"/>
          <w:vertAlign w:val="superscript"/>
        </w:rPr>
      </w:pPr>
      <w:r>
        <w:rPr>
          <w:rFonts w:ascii="Arial" w:cs="Arial" w:eastAsia="Arial" w:hAnsi="Arial"/>
          <w:sz w:val="27"/>
          <w:szCs w:val="27"/>
          <w:color w:val="auto"/>
        </w:rPr>
        <w:t>We are proposing to re-appoint PricewaterhouseCoopers LLP (U.S.) as our independent auditor for another year until the 2020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181610</wp:posOffset>
            </wp:positionV>
            <wp:extent cx="69735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386" w:lineRule="exact"/>
        <w:rPr>
          <w:sz w:val="20"/>
          <w:szCs w:val="20"/>
          <w:color w:val="auto"/>
        </w:rPr>
      </w:pPr>
    </w:p>
    <w:p>
      <w:pPr>
        <w:ind w:left="220" w:right="100"/>
        <w:spacing w:after="0" w:line="239" w:lineRule="auto"/>
        <w:rPr>
          <w:sz w:val="20"/>
          <w:szCs w:val="20"/>
          <w:color w:val="auto"/>
        </w:rPr>
      </w:pPr>
      <w:r>
        <w:rPr>
          <w:rFonts w:ascii="Arial" w:cs="Arial" w:eastAsia="Arial" w:hAnsi="Arial"/>
          <w:sz w:val="18"/>
          <w:szCs w:val="18"/>
          <w:color w:val="auto"/>
        </w:rPr>
        <w:t>The board unanimously recommends that PricewaterhouseCoopers LLP (U.S.) be appointed as the auditor of our company, to hold office until the next annual meeting of shareholders. It is also recommended that the board be authorized to fix the remuneration of PricewaterhouseCoopers LLP (U.S.).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fees related to services rendered by PricewaterhouseCoopers LLP and its affiliates in 2018 and 2017.</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9120" w:type="dxa"/>
            <w:vAlign w:val="bottom"/>
            <w:tcBorders>
              <w:bottom w:val="single" w:sz="8" w:color="D95A3B"/>
            </w:tcBorders>
            <w:shd w:val="clear" w:color="auto" w:fill="CCCCCC"/>
          </w:tcPr>
          <w:p>
            <w:pPr>
              <w:spacing w:after="0"/>
              <w:rPr>
                <w:sz w:val="20"/>
                <w:szCs w:val="20"/>
                <w:color w:val="auto"/>
              </w:rPr>
            </w:pPr>
            <w:r>
              <w:rPr>
                <w:rFonts w:ascii="Arial" w:cs="Arial" w:eastAsia="Arial" w:hAnsi="Arial"/>
                <w:sz w:val="14"/>
                <w:szCs w:val="14"/>
                <w:b w:val="1"/>
                <w:bCs w:val="1"/>
                <w:color w:val="auto"/>
              </w:rPr>
              <w:t>(in millions of U.S. dollars)</w:t>
            </w:r>
          </w:p>
        </w:tc>
        <w:tc>
          <w:tcPr>
            <w:tcW w:w="320" w:type="dxa"/>
            <w:vAlign w:val="bottom"/>
            <w:tcBorders>
              <w:bottom w:val="single" w:sz="8" w:color="D95A3B"/>
            </w:tcBorders>
            <w:shd w:val="clear" w:color="auto" w:fill="CCCCCC"/>
          </w:tcPr>
          <w:p>
            <w:pPr>
              <w:spacing w:after="0"/>
              <w:rPr>
                <w:sz w:val="16"/>
                <w:szCs w:val="16"/>
                <w:color w:val="auto"/>
              </w:rPr>
            </w:pPr>
          </w:p>
        </w:tc>
        <w:tc>
          <w:tcPr>
            <w:tcW w:w="560" w:type="dxa"/>
            <w:vAlign w:val="bottom"/>
            <w:tcBorders>
              <w:bottom w:val="single" w:sz="8" w:color="D95A3B"/>
            </w:tcBorders>
            <w:shd w:val="clear" w:color="auto" w:fill="CCCCCC"/>
          </w:tcPr>
          <w:p>
            <w:pPr>
              <w:jc w:val="right"/>
              <w:ind w:right="168"/>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D95A3B"/>
            </w:tcBorders>
            <w:shd w:val="clear" w:color="auto" w:fill="CCCCCC"/>
          </w:tcPr>
          <w:p>
            <w:pPr>
              <w:spacing w:after="0"/>
              <w:rPr>
                <w:sz w:val="16"/>
                <w:szCs w:val="16"/>
                <w:color w:val="auto"/>
              </w:rPr>
            </w:pPr>
          </w:p>
        </w:tc>
        <w:tc>
          <w:tcPr>
            <w:tcW w:w="680" w:type="dxa"/>
            <w:vAlign w:val="bottom"/>
            <w:tcBorders>
              <w:bottom w:val="single" w:sz="8" w:color="D95A3B"/>
            </w:tcBorders>
            <w:shd w:val="clear" w:color="auto" w:fill="CCCCCC"/>
          </w:tcPr>
          <w:p>
            <w:pPr>
              <w:jc w:val="right"/>
              <w:ind w:right="268"/>
              <w:spacing w:after="0"/>
              <w:rPr>
                <w:sz w:val="20"/>
                <w:szCs w:val="20"/>
                <w:color w:val="auto"/>
              </w:rPr>
            </w:pPr>
            <w:r>
              <w:rPr>
                <w:rFonts w:ascii="Arial" w:cs="Arial" w:eastAsia="Arial" w:hAnsi="Arial"/>
                <w:sz w:val="14"/>
                <w:szCs w:val="14"/>
                <w:b w:val="1"/>
                <w:bCs w:val="1"/>
                <w:color w:val="auto"/>
              </w:rPr>
              <w:t>2017</w:t>
            </w:r>
          </w:p>
        </w:tc>
      </w:tr>
      <w:tr>
        <w:trPr>
          <w:trHeight w:val="155"/>
        </w:trPr>
        <w:tc>
          <w:tcPr>
            <w:tcW w:w="912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Audit fees</w:t>
            </w:r>
          </w:p>
        </w:tc>
        <w:tc>
          <w:tcPr>
            <w:tcW w:w="320" w:type="dxa"/>
            <w:vAlign w:val="bottom"/>
            <w:tcBorders>
              <w:bottom w:val="single" w:sz="8" w:color="AFAFA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FAFAF"/>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18.5</w:t>
            </w:r>
          </w:p>
        </w:tc>
        <w:tc>
          <w:tcPr>
            <w:tcW w:w="300" w:type="dxa"/>
            <w:vAlign w:val="bottom"/>
            <w:tcBorders>
              <w:bottom w:val="single" w:sz="8" w:color="AFAFAF"/>
            </w:tcBorders>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19.7</w:t>
            </w:r>
          </w:p>
        </w:tc>
      </w:tr>
      <w:tr>
        <w:trPr>
          <w:trHeight w:val="155"/>
        </w:trPr>
        <w:tc>
          <w:tcPr>
            <w:tcW w:w="912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Audit-related fees</w:t>
            </w:r>
          </w:p>
        </w:tc>
        <w:tc>
          <w:tcPr>
            <w:tcW w:w="320" w:type="dxa"/>
            <w:vAlign w:val="bottom"/>
            <w:tcBorders>
              <w:bottom w:val="single" w:sz="8" w:color="AFAFAF"/>
            </w:tcBorders>
          </w:tcPr>
          <w:p>
            <w:pPr>
              <w:spacing w:after="0"/>
              <w:rPr>
                <w:sz w:val="13"/>
                <w:szCs w:val="13"/>
                <w:color w:val="auto"/>
              </w:rPr>
            </w:pPr>
          </w:p>
        </w:tc>
        <w:tc>
          <w:tcPr>
            <w:tcW w:w="560" w:type="dxa"/>
            <w:vAlign w:val="bottom"/>
            <w:tcBorders>
              <w:bottom w:val="single" w:sz="8" w:color="AFAFAF"/>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12.9</w:t>
            </w:r>
          </w:p>
        </w:tc>
        <w:tc>
          <w:tcPr>
            <w:tcW w:w="300" w:type="dxa"/>
            <w:vAlign w:val="bottom"/>
            <w:tcBorders>
              <w:bottom w:val="single" w:sz="8" w:color="AFAFAF"/>
            </w:tcBorders>
          </w:tcPr>
          <w:p>
            <w:pPr>
              <w:spacing w:after="0"/>
              <w:rPr>
                <w:sz w:val="13"/>
                <w:szCs w:val="13"/>
                <w:color w:val="auto"/>
              </w:rPr>
            </w:pPr>
          </w:p>
        </w:tc>
        <w:tc>
          <w:tcPr>
            <w:tcW w:w="680" w:type="dxa"/>
            <w:vAlign w:val="bottom"/>
            <w:tcBorders>
              <w:bottom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4.8</w:t>
            </w:r>
          </w:p>
        </w:tc>
      </w:tr>
      <w:tr>
        <w:trPr>
          <w:trHeight w:val="155"/>
        </w:trPr>
        <w:tc>
          <w:tcPr>
            <w:tcW w:w="912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Tax fees</w:t>
            </w:r>
          </w:p>
        </w:tc>
        <w:tc>
          <w:tcPr>
            <w:tcW w:w="320" w:type="dxa"/>
            <w:vAlign w:val="bottom"/>
            <w:tcBorders>
              <w:bottom w:val="single" w:sz="8" w:color="AFAFAF"/>
            </w:tcBorders>
          </w:tcPr>
          <w:p>
            <w:pPr>
              <w:spacing w:after="0"/>
              <w:rPr>
                <w:sz w:val="13"/>
                <w:szCs w:val="13"/>
                <w:color w:val="auto"/>
              </w:rPr>
            </w:pPr>
          </w:p>
        </w:tc>
        <w:tc>
          <w:tcPr>
            <w:tcW w:w="560" w:type="dxa"/>
            <w:vAlign w:val="bottom"/>
            <w:tcBorders>
              <w:bottom w:val="single" w:sz="8" w:color="AFAFAF"/>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3.8</w:t>
            </w:r>
          </w:p>
        </w:tc>
        <w:tc>
          <w:tcPr>
            <w:tcW w:w="300" w:type="dxa"/>
            <w:vAlign w:val="bottom"/>
            <w:tcBorders>
              <w:bottom w:val="single" w:sz="8" w:color="AFAFAF"/>
            </w:tcBorders>
          </w:tcPr>
          <w:p>
            <w:pPr>
              <w:spacing w:after="0"/>
              <w:rPr>
                <w:sz w:val="13"/>
                <w:szCs w:val="13"/>
                <w:color w:val="auto"/>
              </w:rPr>
            </w:pPr>
          </w:p>
        </w:tc>
        <w:tc>
          <w:tcPr>
            <w:tcW w:w="680" w:type="dxa"/>
            <w:vAlign w:val="bottom"/>
            <w:tcBorders>
              <w:bottom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3.2</w:t>
            </w:r>
          </w:p>
        </w:tc>
      </w:tr>
      <w:tr>
        <w:trPr>
          <w:trHeight w:val="155"/>
        </w:trPr>
        <w:tc>
          <w:tcPr>
            <w:tcW w:w="9120" w:type="dxa"/>
            <w:vAlign w:val="bottom"/>
            <w:tcBorders>
              <w:bottom w:val="single" w:sz="8" w:color="D95A3B"/>
            </w:tcBorders>
          </w:tcPr>
          <w:p>
            <w:pPr>
              <w:spacing w:after="0" w:line="155" w:lineRule="exact"/>
              <w:rPr>
                <w:sz w:val="20"/>
                <w:szCs w:val="20"/>
                <w:color w:val="auto"/>
              </w:rPr>
            </w:pPr>
            <w:r>
              <w:rPr>
                <w:rFonts w:ascii="Arial" w:cs="Arial" w:eastAsia="Arial" w:hAnsi="Arial"/>
                <w:sz w:val="14"/>
                <w:szCs w:val="14"/>
                <w:b w:val="1"/>
                <w:bCs w:val="1"/>
                <w:color w:val="auto"/>
              </w:rPr>
              <w:t>All other fees</w:t>
            </w:r>
          </w:p>
        </w:tc>
        <w:tc>
          <w:tcPr>
            <w:tcW w:w="320" w:type="dxa"/>
            <w:vAlign w:val="bottom"/>
            <w:tcBorders>
              <w:bottom w:val="single" w:sz="8" w:color="D95A3B"/>
            </w:tcBorders>
          </w:tcPr>
          <w:p>
            <w:pPr>
              <w:spacing w:after="0"/>
              <w:rPr>
                <w:sz w:val="13"/>
                <w:szCs w:val="13"/>
                <w:color w:val="auto"/>
              </w:rPr>
            </w:pPr>
          </w:p>
        </w:tc>
        <w:tc>
          <w:tcPr>
            <w:tcW w:w="560" w:type="dxa"/>
            <w:vAlign w:val="bottom"/>
            <w:tcBorders>
              <w:bottom w:val="single" w:sz="8" w:color="D95A3B"/>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0.1</w:t>
            </w:r>
          </w:p>
        </w:tc>
        <w:tc>
          <w:tcPr>
            <w:tcW w:w="300" w:type="dxa"/>
            <w:vAlign w:val="bottom"/>
            <w:tcBorders>
              <w:bottom w:val="single" w:sz="8" w:color="D95A3B"/>
            </w:tcBorders>
          </w:tcPr>
          <w:p>
            <w:pPr>
              <w:spacing w:after="0"/>
              <w:rPr>
                <w:sz w:val="13"/>
                <w:szCs w:val="13"/>
                <w:color w:val="auto"/>
              </w:rPr>
            </w:pPr>
          </w:p>
        </w:tc>
        <w:tc>
          <w:tcPr>
            <w:tcW w:w="680" w:type="dxa"/>
            <w:vAlign w:val="bottom"/>
            <w:tcBorders>
              <w:bottom w:val="single" w:sz="8" w:color="D95A3B"/>
            </w:tcBorders>
          </w:tcPr>
          <w:p>
            <w:pPr>
              <w:jc w:val="right"/>
              <w:ind w:right="248"/>
              <w:spacing w:after="0" w:line="155" w:lineRule="exact"/>
              <w:rPr>
                <w:sz w:val="20"/>
                <w:szCs w:val="20"/>
                <w:color w:val="auto"/>
              </w:rPr>
            </w:pPr>
            <w:r>
              <w:rPr>
                <w:rFonts w:ascii="Arial" w:cs="Arial" w:eastAsia="Arial" w:hAnsi="Arial"/>
                <w:sz w:val="14"/>
                <w:szCs w:val="14"/>
                <w:color w:val="auto"/>
              </w:rPr>
              <w:t>0.2</w:t>
            </w:r>
          </w:p>
        </w:tc>
      </w:tr>
      <w:tr>
        <w:trPr>
          <w:trHeight w:val="155"/>
        </w:trPr>
        <w:tc>
          <w:tcPr>
            <w:tcW w:w="9120" w:type="dxa"/>
            <w:vAlign w:val="bottom"/>
            <w:tcBorders>
              <w:bottom w:val="single" w:sz="8" w:color="D95A3B"/>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D95A3B"/>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95A3B"/>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35.3</w:t>
            </w:r>
          </w:p>
        </w:tc>
        <w:tc>
          <w:tcPr>
            <w:tcW w:w="300" w:type="dxa"/>
            <w:vAlign w:val="bottom"/>
            <w:tcBorders>
              <w:bottom w:val="single" w:sz="8" w:color="D95A3B"/>
            </w:tcBorders>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D95A3B"/>
            </w:tcBorders>
          </w:tcPr>
          <w:p>
            <w:pPr>
              <w:jc w:val="right"/>
              <w:ind w:right="248"/>
              <w:spacing w:after="0" w:line="155" w:lineRule="exact"/>
              <w:rPr>
                <w:sz w:val="20"/>
                <w:szCs w:val="20"/>
                <w:color w:val="auto"/>
              </w:rPr>
            </w:pPr>
            <w:r>
              <w:rPr>
                <w:rFonts w:ascii="Arial" w:cs="Arial" w:eastAsia="Arial" w:hAnsi="Arial"/>
                <w:sz w:val="14"/>
                <w:szCs w:val="14"/>
                <w:color w:val="auto"/>
              </w:rPr>
              <w:t>27.9</w:t>
            </w: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are descriptions of fees for services rendered by PricewaterhouseCoopers LLP in 2018 and 2017.</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Audit Fees</w:t>
      </w:r>
    </w:p>
    <w:p>
      <w:pPr>
        <w:spacing w:after="0" w:line="35" w:lineRule="exact"/>
        <w:rPr>
          <w:sz w:val="20"/>
          <w:szCs w:val="20"/>
          <w:color w:val="auto"/>
        </w:rPr>
      </w:pPr>
    </w:p>
    <w:p>
      <w:pPr>
        <w:ind w:left="220" w:right="240"/>
        <w:spacing w:after="0" w:line="237" w:lineRule="auto"/>
        <w:rPr>
          <w:sz w:val="20"/>
          <w:szCs w:val="20"/>
          <w:color w:val="auto"/>
        </w:rPr>
      </w:pPr>
      <w:r>
        <w:rPr>
          <w:rFonts w:ascii="Arial" w:cs="Arial" w:eastAsia="Arial" w:hAnsi="Arial"/>
          <w:sz w:val="18"/>
          <w:szCs w:val="18"/>
          <w:color w:val="auto"/>
        </w:rPr>
        <w:t>These audit fees were for professional services rendered for the audits of consolidated financial statements, reviews of interim financial statements included in periodic reports, audits related to internal control over financial reporting, statutory audits and services that generally only the independent auditor can reasonably provide, such as comfort letters and consents. These services included French translations of our financial statements, MD&amp;A and financial information included in our interim and annual filings and prospectuses and other offering documents.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Audit-related Fees</w:t>
      </w:r>
    </w:p>
    <w:p>
      <w:pPr>
        <w:spacing w:after="0" w:line="22" w:lineRule="exact"/>
        <w:rPr>
          <w:sz w:val="20"/>
          <w:szCs w:val="20"/>
          <w:color w:val="auto"/>
        </w:rPr>
      </w:pPr>
    </w:p>
    <w:p>
      <w:pPr>
        <w:ind w:left="220" w:right="160"/>
        <w:spacing w:after="0" w:line="237" w:lineRule="auto"/>
        <w:rPr>
          <w:sz w:val="20"/>
          <w:szCs w:val="20"/>
          <w:color w:val="auto"/>
        </w:rPr>
      </w:pPr>
      <w:r>
        <w:rPr>
          <w:rFonts w:ascii="Arial" w:cs="Arial" w:eastAsia="Arial" w:hAnsi="Arial"/>
          <w:sz w:val="18"/>
          <w:szCs w:val="18"/>
          <w:color w:val="auto"/>
        </w:rPr>
        <w:t>These audit-related fees were for assurance and related services that are reasonably related to the performance of the audit or review of the financial statements and are not reported under the “audit fees” category above. These services included subsidiary carve-out audits (including for the sale of a majority stake in our F&amp;R business), transaction due diligence, internal control attestation engagements, licensing of technical research material, audits of various employee benefit plans and agreed-upon procedures principally related to executive compensation reporting in the management proxy circular.</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Tax Fees</w:t>
      </w:r>
    </w:p>
    <w:p>
      <w:pPr>
        <w:spacing w:after="0" w:line="35" w:lineRule="exact"/>
        <w:rPr>
          <w:sz w:val="20"/>
          <w:szCs w:val="20"/>
          <w:color w:val="auto"/>
        </w:rPr>
      </w:pPr>
    </w:p>
    <w:p>
      <w:pPr>
        <w:ind w:left="220" w:right="320"/>
        <w:spacing w:after="0" w:line="239" w:lineRule="auto"/>
        <w:rPr>
          <w:sz w:val="20"/>
          <w:szCs w:val="20"/>
          <w:color w:val="auto"/>
        </w:rPr>
      </w:pPr>
      <w:r>
        <w:rPr>
          <w:rFonts w:ascii="Arial" w:cs="Arial" w:eastAsia="Arial" w:hAnsi="Arial"/>
          <w:sz w:val="18"/>
          <w:szCs w:val="18"/>
          <w:color w:val="auto"/>
        </w:rPr>
        <w:t>Tax fees were for tax compliance, tax advice and tax planning. These services included the preparation and review of corporate and expatriate tax returns, assistance with tax audits and transfer pricing matters, advisory services relating to federal, state, provincial and international tax compliance, and restructurings, mergers and acquisitions.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All Other Fees</w:t>
      </w:r>
    </w:p>
    <w:p>
      <w:pPr>
        <w:spacing w:after="0" w:line="35" w:lineRule="exact"/>
        <w:rPr>
          <w:sz w:val="20"/>
          <w:szCs w:val="20"/>
          <w:color w:val="auto"/>
        </w:rPr>
      </w:pPr>
    </w:p>
    <w:p>
      <w:pPr>
        <w:ind w:left="220" w:right="320"/>
        <w:spacing w:after="0" w:line="244" w:lineRule="auto"/>
        <w:rPr>
          <w:sz w:val="20"/>
          <w:szCs w:val="20"/>
          <w:color w:val="auto"/>
        </w:rPr>
      </w:pPr>
      <w:r>
        <w:rPr>
          <w:rFonts w:ascii="Arial" w:cs="Arial" w:eastAsia="Arial" w:hAnsi="Arial"/>
          <w:sz w:val="18"/>
          <w:szCs w:val="18"/>
          <w:color w:val="auto"/>
        </w:rPr>
        <w:t>Fees disclosed in the tables above under the item “all other fees” were for services other than the audit fees, audit-related fees and tax fees described above. These services include independent IT process reviews.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Pre-approval Policies and Procedures</w:t>
      </w:r>
    </w:p>
    <w:p>
      <w:pPr>
        <w:spacing w:after="0" w:line="22" w:lineRule="exact"/>
        <w:rPr>
          <w:sz w:val="20"/>
          <w:szCs w:val="20"/>
          <w:color w:val="auto"/>
        </w:rPr>
      </w:pPr>
    </w:p>
    <w:p>
      <w:pPr>
        <w:ind w:left="220" w:right="740"/>
        <w:spacing w:after="0" w:line="244" w:lineRule="auto"/>
        <w:rPr>
          <w:sz w:val="20"/>
          <w:szCs w:val="20"/>
          <w:color w:val="auto"/>
        </w:rPr>
      </w:pPr>
      <w:r>
        <w:rPr>
          <w:rFonts w:ascii="Arial" w:cs="Arial" w:eastAsia="Arial" w:hAnsi="Arial"/>
          <w:sz w:val="18"/>
          <w:szCs w:val="18"/>
          <w:color w:val="auto"/>
        </w:rPr>
        <w:t>Information regarding our policy regarding pre-approval of all audit and permissible non-audit services is set forth in the corporate governance disclosure included earlier in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118110</wp:posOffset>
            </wp:positionV>
            <wp:extent cx="697357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0"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43</w:t>
      </w:r>
    </w:p>
    <w:p>
      <w:pPr>
        <w:sectPr>
          <w:pgSz w:w="11900" w:h="16838" w:orient="portrait"/>
          <w:cols w:equalWidth="0" w:num="1">
            <w:col w:w="11200"/>
          </w:cols>
          <w:pgMar w:left="240" w:top="458"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right="880"/>
        <w:spacing w:after="0" w:line="243" w:lineRule="auto"/>
        <w:rPr>
          <w:sz w:val="20"/>
          <w:szCs w:val="20"/>
          <w:color w:val="auto"/>
        </w:rPr>
      </w:pPr>
      <w:r>
        <w:rPr>
          <w:rFonts w:ascii="Arial" w:cs="Arial" w:eastAsia="Arial" w:hAnsi="Arial"/>
          <w:sz w:val="47"/>
          <w:szCs w:val="47"/>
          <w:color w:val="D95A3B"/>
        </w:rPr>
        <w:t>Advisory Resolution on Executive Compensation (Say 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309245</wp:posOffset>
            </wp:positionV>
            <wp:extent cx="69735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27"/>
          <w:szCs w:val="27"/>
          <w:color w:val="D95A3B"/>
        </w:rPr>
        <w:t>HIGHLIGHTS</w:t>
      </w:r>
    </w:p>
    <w:p>
      <w:pPr>
        <w:spacing w:after="0" w:line="120" w:lineRule="exact"/>
        <w:rPr>
          <w:sz w:val="20"/>
          <w:szCs w:val="20"/>
          <w:color w:val="auto"/>
        </w:rPr>
      </w:pPr>
    </w:p>
    <w:p>
      <w:pPr>
        <w:ind w:left="440" w:right="620" w:hanging="217"/>
        <w:spacing w:after="0" w:line="249" w:lineRule="auto"/>
        <w:tabs>
          <w:tab w:leader="none" w:pos="440" w:val="left"/>
        </w:tabs>
        <w:numPr>
          <w:ilvl w:val="0"/>
          <w:numId w:val="29"/>
        </w:numPr>
        <w:rPr>
          <w:rFonts w:ascii="Arial" w:cs="Arial" w:eastAsia="Arial" w:hAnsi="Arial"/>
          <w:sz w:val="18"/>
          <w:szCs w:val="18"/>
          <w:color w:val="D95A3B"/>
          <w:vertAlign w:val="superscript"/>
        </w:rPr>
      </w:pPr>
      <w:r>
        <w:rPr>
          <w:rFonts w:ascii="Arial" w:cs="Arial" w:eastAsia="Arial" w:hAnsi="Arial"/>
          <w:sz w:val="27"/>
          <w:szCs w:val="27"/>
          <w:color w:val="auto"/>
        </w:rPr>
        <w:t>We are proposing a non-binding advisory “say on pay” resolution related to executive compensation.</w:t>
      </w:r>
    </w:p>
    <w:p>
      <w:pPr>
        <w:spacing w:after="0" w:line="95" w:lineRule="exact"/>
        <w:rPr>
          <w:rFonts w:ascii="Arial" w:cs="Arial" w:eastAsia="Arial" w:hAnsi="Arial"/>
          <w:sz w:val="18"/>
          <w:szCs w:val="18"/>
          <w:color w:val="D95A3B"/>
          <w:vertAlign w:val="superscript"/>
        </w:rPr>
      </w:pPr>
    </w:p>
    <w:p>
      <w:pPr>
        <w:ind w:left="440" w:right="560" w:hanging="217"/>
        <w:spacing w:after="0" w:line="249" w:lineRule="auto"/>
        <w:tabs>
          <w:tab w:leader="none" w:pos="440" w:val="left"/>
        </w:tabs>
        <w:numPr>
          <w:ilvl w:val="0"/>
          <w:numId w:val="29"/>
        </w:numPr>
        <w:rPr>
          <w:rFonts w:ascii="Arial" w:cs="Arial" w:eastAsia="Arial" w:hAnsi="Arial"/>
          <w:sz w:val="18"/>
          <w:szCs w:val="18"/>
          <w:color w:val="D95A3B"/>
          <w:vertAlign w:val="superscript"/>
        </w:rPr>
      </w:pPr>
      <w:r>
        <w:rPr>
          <w:rFonts w:ascii="Arial" w:cs="Arial" w:eastAsia="Arial" w:hAnsi="Arial"/>
          <w:sz w:val="27"/>
          <w:szCs w:val="27"/>
          <w:color w:val="auto"/>
        </w:rPr>
        <w:t>This is a recommended best practice of the Canadian Coalition for Good Governance (CCGG).</w:t>
      </w:r>
    </w:p>
    <w:p>
      <w:pPr>
        <w:spacing w:after="0" w:line="95" w:lineRule="exact"/>
        <w:rPr>
          <w:rFonts w:ascii="Arial" w:cs="Arial" w:eastAsia="Arial" w:hAnsi="Arial"/>
          <w:sz w:val="18"/>
          <w:szCs w:val="18"/>
          <w:color w:val="D95A3B"/>
          <w:vertAlign w:val="superscript"/>
        </w:rPr>
      </w:pPr>
    </w:p>
    <w:p>
      <w:pPr>
        <w:ind w:left="440" w:hanging="217"/>
        <w:spacing w:after="0"/>
        <w:tabs>
          <w:tab w:leader="none" w:pos="440" w:val="left"/>
        </w:tabs>
        <w:numPr>
          <w:ilvl w:val="0"/>
          <w:numId w:val="29"/>
        </w:numPr>
        <w:rPr>
          <w:rFonts w:ascii="Arial" w:cs="Arial" w:eastAsia="Arial" w:hAnsi="Arial"/>
          <w:sz w:val="18"/>
          <w:szCs w:val="18"/>
          <w:color w:val="D95A3B"/>
          <w:vertAlign w:val="superscript"/>
        </w:rPr>
      </w:pPr>
      <w:r>
        <w:rPr>
          <w:rFonts w:ascii="Arial" w:cs="Arial" w:eastAsia="Arial" w:hAnsi="Arial"/>
          <w:sz w:val="27"/>
          <w:szCs w:val="27"/>
          <w:color w:val="auto"/>
        </w:rPr>
        <w:t>We plan to continue holding this advisory vote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196850</wp:posOffset>
            </wp:positionV>
            <wp:extent cx="69735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20" w:right="60"/>
        <w:spacing w:after="0" w:line="238" w:lineRule="auto"/>
        <w:rPr>
          <w:sz w:val="20"/>
          <w:szCs w:val="20"/>
          <w:color w:val="auto"/>
        </w:rPr>
      </w:pPr>
      <w:r>
        <w:rPr>
          <w:rFonts w:ascii="Arial" w:cs="Arial" w:eastAsia="Arial" w:hAnsi="Arial"/>
          <w:sz w:val="18"/>
          <w:szCs w:val="18"/>
          <w:color w:val="auto"/>
        </w:rPr>
        <w:t>Our overall philosophy regarding executive compensation is to pay for performance. We believe this drives our management team to achieve higher levels of results for the benefit of Thomson Reuters and our shareholders. In the “Compensation Discussion and Analysis” section of this circular, we explain our compensation principles, how we design our compensation program and why we pay each component of compensation.</w:t>
      </w:r>
    </w:p>
    <w:p>
      <w:pPr>
        <w:spacing w:after="0" w:line="94" w:lineRule="exact"/>
        <w:rPr>
          <w:sz w:val="20"/>
          <w:szCs w:val="20"/>
          <w:color w:val="auto"/>
        </w:rPr>
      </w:pPr>
    </w:p>
    <w:p>
      <w:pPr>
        <w:ind w:left="220" w:right="160"/>
        <w:spacing w:after="0" w:line="239" w:lineRule="auto"/>
        <w:rPr>
          <w:sz w:val="20"/>
          <w:szCs w:val="20"/>
          <w:color w:val="auto"/>
        </w:rPr>
      </w:pPr>
      <w:r>
        <w:rPr>
          <w:rFonts w:ascii="Arial" w:cs="Arial" w:eastAsia="Arial" w:hAnsi="Arial"/>
          <w:sz w:val="18"/>
          <w:szCs w:val="18"/>
          <w:color w:val="auto"/>
        </w:rPr>
        <w:t>As part of our dialogue with shareholders about our executive compensation programs, we are once again proposing a “say on pay” advisory resolution for this year’s meeting (as we have done since 2008). An identical resolution was approved by approximately 97% of the votes cast at last year’s annual meeting of shareholders.</w:t>
      </w:r>
    </w:p>
    <w:p>
      <w:pPr>
        <w:spacing w:after="0" w:line="95" w:lineRule="exact"/>
        <w:rPr>
          <w:sz w:val="20"/>
          <w:szCs w:val="20"/>
          <w:color w:val="auto"/>
        </w:rPr>
      </w:pPr>
    </w:p>
    <w:p>
      <w:pPr>
        <w:ind w:left="220"/>
        <w:spacing w:after="0" w:line="239" w:lineRule="auto"/>
        <w:rPr>
          <w:sz w:val="20"/>
          <w:szCs w:val="20"/>
          <w:color w:val="auto"/>
        </w:rPr>
      </w:pPr>
      <w:r>
        <w:rPr>
          <w:rFonts w:ascii="Arial" w:cs="Arial" w:eastAsia="Arial" w:hAnsi="Arial"/>
          <w:sz w:val="18"/>
          <w:szCs w:val="18"/>
          <w:color w:val="auto"/>
        </w:rPr>
        <w:t>As this is an advisory resolution, the results will not be binding upon the board. However, the board will take voting results into account, as appropriate, when considering future compensation policies, procedures and decisions and in determining whether there is a need to significantly increase its engagement with shareholders on compensation-related matters.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disclose the results of the shareholder advisory resolution as part of our report on voting results for the meeting.</w:t>
      </w:r>
    </w:p>
    <w:p>
      <w:pPr>
        <w:spacing w:after="0" w:line="103" w:lineRule="exact"/>
        <w:rPr>
          <w:sz w:val="20"/>
          <w:szCs w:val="20"/>
          <w:color w:val="auto"/>
        </w:rPr>
      </w:pPr>
    </w:p>
    <w:p>
      <w:pPr>
        <w:ind w:left="220" w:right="60"/>
        <w:spacing w:after="0" w:line="247" w:lineRule="auto"/>
        <w:rPr>
          <w:sz w:val="20"/>
          <w:szCs w:val="20"/>
          <w:color w:val="auto"/>
        </w:rPr>
      </w:pPr>
      <w:r>
        <w:rPr>
          <w:rFonts w:ascii="Arial" w:cs="Arial" w:eastAsia="Arial" w:hAnsi="Arial"/>
          <w:sz w:val="17"/>
          <w:szCs w:val="17"/>
          <w:color w:val="auto"/>
        </w:rPr>
        <w:t>Our “named executive officers” for purposes of the “Compensation Discussion and Analysis” section of this circular are our CEO (Jim Smith), CFO (Stephane Bello) and the three other most highly compensated executive officers as of December 31, 2018 (Brian Peccarelli</w:t>
      </w:r>
    </w:p>
    <w:p>
      <w:pPr>
        <w:spacing w:after="0" w:line="1" w:lineRule="exact"/>
        <w:rPr>
          <w:sz w:val="20"/>
          <w:szCs w:val="20"/>
          <w:color w:val="auto"/>
        </w:rPr>
      </w:pPr>
    </w:p>
    <w:p>
      <w:pPr>
        <w:ind w:left="220" w:right="720"/>
        <w:spacing w:after="0" w:line="244" w:lineRule="auto"/>
        <w:rPr>
          <w:sz w:val="20"/>
          <w:szCs w:val="20"/>
          <w:color w:val="auto"/>
        </w:rPr>
      </w:pPr>
      <w:r>
        <w:rPr>
          <w:rFonts w:ascii="Arial" w:cs="Arial" w:eastAsia="Arial" w:hAnsi="Arial"/>
          <w:sz w:val="18"/>
          <w:szCs w:val="18"/>
          <w:color w:val="auto"/>
        </w:rPr>
        <w:t>– Executive Vice President and Chief Operating Officer, Customer Markets; Neil Masterson – Executive Vice President and Chief Operating Officer, Operations &amp; Enablement; and Michael Friedenberg – President, Reuters News).</w:t>
      </w:r>
    </w:p>
    <w:p>
      <w:pPr>
        <w:spacing w:after="0" w:line="91" w:lineRule="exact"/>
        <w:rPr>
          <w:sz w:val="20"/>
          <w:szCs w:val="20"/>
          <w:color w:val="auto"/>
        </w:rPr>
      </w:pPr>
    </w:p>
    <w:p>
      <w:pPr>
        <w:ind w:left="220" w:right="40"/>
        <w:spacing w:after="0" w:line="244" w:lineRule="auto"/>
        <w:rPr>
          <w:sz w:val="20"/>
          <w:szCs w:val="20"/>
          <w:color w:val="auto"/>
        </w:rPr>
      </w:pPr>
      <w:r>
        <w:rPr>
          <w:rFonts w:ascii="Arial" w:cs="Arial" w:eastAsia="Arial" w:hAnsi="Arial"/>
          <w:sz w:val="18"/>
          <w:szCs w:val="18"/>
          <w:color w:val="auto"/>
        </w:rPr>
        <w:t xml:space="preserve">Shareholders with questions about our compensation programs are encouraged to contact our Investor Relations department by e-mail at </w:t>
      </w:r>
      <w:r>
        <w:rPr>
          <w:rFonts w:ascii="Arial" w:cs="Arial" w:eastAsia="Arial" w:hAnsi="Arial"/>
          <w:sz w:val="18"/>
          <w:szCs w:val="18"/>
          <w:b w:val="1"/>
          <w:bCs w:val="1"/>
          <w:color w:val="D95A3B"/>
        </w:rPr>
        <w:t xml:space="preserve">investor.relations@thomsonreuters.com </w:t>
      </w:r>
      <w:r>
        <w:rPr>
          <w:rFonts w:ascii="Arial" w:cs="Arial" w:eastAsia="Arial" w:hAnsi="Arial"/>
          <w:sz w:val="18"/>
          <w:szCs w:val="18"/>
          <w:color w:val="000000"/>
        </w:rPr>
        <w:t>or by phone at 1.203.539.8452.</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The board unanimously recommends that you vote FOR the following resolution:</w:t>
      </w:r>
    </w:p>
    <w:p>
      <w:pPr>
        <w:spacing w:after="0" w:line="129" w:lineRule="exact"/>
        <w:rPr>
          <w:sz w:val="20"/>
          <w:szCs w:val="20"/>
          <w:color w:val="auto"/>
        </w:rPr>
      </w:pPr>
    </w:p>
    <w:p>
      <w:pPr>
        <w:ind w:left="220" w:right="40"/>
        <w:spacing w:after="0" w:line="244" w:lineRule="auto"/>
        <w:rPr>
          <w:sz w:val="20"/>
          <w:szCs w:val="20"/>
          <w:color w:val="auto"/>
        </w:rPr>
      </w:pPr>
      <w:r>
        <w:rPr>
          <w:rFonts w:ascii="Arial" w:cs="Arial" w:eastAsia="Arial" w:hAnsi="Arial"/>
          <w:sz w:val="18"/>
          <w:szCs w:val="18"/>
          <w:color w:val="auto"/>
        </w:rPr>
        <w:t>“RESOLVED, on an advisory basis, and not to diminish the role and responsibilities of the board of directors, that the shareholders accept the approach to executive compensation as described in the 2019 management proxy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118110</wp:posOffset>
            </wp:positionV>
            <wp:extent cx="697357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26"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44</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160"/>
          </w:cols>
          <w:pgMar w:left="240" w:top="458"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327660</wp:posOffset>
            </wp:positionV>
            <wp:extent cx="69735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Executive Summary</w:t>
      </w:r>
    </w:p>
    <w:p>
      <w:pPr>
        <w:spacing w:after="0" w:line="47" w:lineRule="exact"/>
        <w:rPr>
          <w:sz w:val="20"/>
          <w:szCs w:val="20"/>
          <w:color w:val="auto"/>
        </w:rPr>
      </w:pPr>
    </w:p>
    <w:p>
      <w:pPr>
        <w:ind w:left="220" w:right="100"/>
        <w:spacing w:after="0" w:line="244" w:lineRule="auto"/>
        <w:rPr>
          <w:sz w:val="20"/>
          <w:szCs w:val="20"/>
          <w:color w:val="auto"/>
        </w:rPr>
      </w:pPr>
      <w:r>
        <w:rPr>
          <w:rFonts w:ascii="Arial" w:cs="Arial" w:eastAsia="Arial" w:hAnsi="Arial"/>
          <w:sz w:val="18"/>
          <w:szCs w:val="18"/>
          <w:i w:val="1"/>
          <w:iCs w:val="1"/>
          <w:color w:val="auto"/>
        </w:rPr>
        <w:t>“Pay for performance” is the foundation of our compensation philosophy for our named executive officers. Their compensation is primarily variable and performance-based, utilizing multiple and complementary financial measures that are aligned with our strategy to drive shareholder value. This section explains our compensation principles, how we design our compensation program, why we pay each component of compensation and how we performed and what we paid to our named executive officers in 2018.</w:t>
      </w:r>
    </w:p>
    <w:p>
      <w:pPr>
        <w:spacing w:after="0" w:line="91" w:lineRule="exact"/>
        <w:rPr>
          <w:sz w:val="20"/>
          <w:szCs w:val="20"/>
          <w:color w:val="auto"/>
        </w:rPr>
      </w:pPr>
    </w:p>
    <w:p>
      <w:pPr>
        <w:ind w:left="220" w:right="180"/>
        <w:spacing w:after="0" w:line="239" w:lineRule="auto"/>
        <w:rPr>
          <w:sz w:val="20"/>
          <w:szCs w:val="20"/>
          <w:color w:val="auto"/>
        </w:rPr>
      </w:pPr>
      <w:r>
        <w:rPr>
          <w:rFonts w:ascii="Arial" w:cs="Arial" w:eastAsia="Arial" w:hAnsi="Arial"/>
          <w:sz w:val="18"/>
          <w:szCs w:val="18"/>
          <w:color w:val="auto"/>
        </w:rPr>
        <w:t>2018 was truly a watershed year for our company. One year ago, the task ahead of us seemed daunting. We entered the year with a 1% growth business, a highly complex F&amp;R transaction to execute, significant stranded costs to resolve and a major repositioning of the go-forward Thomson Reuters business on the horizon.</w:t>
      </w:r>
    </w:p>
    <w:p>
      <w:pPr>
        <w:spacing w:after="0" w:line="95" w:lineRule="exact"/>
        <w:rPr>
          <w:sz w:val="20"/>
          <w:szCs w:val="20"/>
          <w:color w:val="auto"/>
        </w:rPr>
      </w:pPr>
    </w:p>
    <w:p>
      <w:pPr>
        <w:ind w:left="220" w:right="260"/>
        <w:spacing w:after="0" w:line="239" w:lineRule="auto"/>
        <w:rPr>
          <w:sz w:val="20"/>
          <w:szCs w:val="20"/>
          <w:color w:val="auto"/>
        </w:rPr>
      </w:pPr>
      <w:r>
        <w:rPr>
          <w:rFonts w:ascii="Arial" w:cs="Arial" w:eastAsia="Arial" w:hAnsi="Arial"/>
          <w:sz w:val="18"/>
          <w:szCs w:val="18"/>
          <w:color w:val="auto"/>
        </w:rPr>
        <w:t>In 2018 (and for the seventh consecutive year), our full-year financial performance achieved or exceeded our guidance for each performance metric. We grew revenues approximately 3% organically overall, and grew 4% organically in our core Legal Professionals, Tax Professionals and Corporates segments (which represent 80% of our revenue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69215</wp:posOffset>
            </wp:positionV>
            <wp:extent cx="4785995" cy="18459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85995" cy="1845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compares our actual performance in 2018 to the outlook that we provided last year as external guidance:</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5040" w:type="dxa"/>
            <w:vAlign w:val="bottom"/>
            <w:vMerge w:val="restart"/>
            <w:shd w:val="clear" w:color="auto" w:fill="CCCCCC"/>
          </w:tcPr>
          <w:p>
            <w:pPr>
              <w:spacing w:after="0"/>
              <w:rPr>
                <w:sz w:val="20"/>
                <w:szCs w:val="20"/>
                <w:color w:val="auto"/>
              </w:rPr>
            </w:pPr>
            <w:r>
              <w:rPr>
                <w:rFonts w:ascii="Arial" w:cs="Arial" w:eastAsia="Arial" w:hAnsi="Arial"/>
                <w:sz w:val="15"/>
                <w:szCs w:val="15"/>
                <w:b w:val="1"/>
                <w:bCs w:val="1"/>
                <w:color w:val="auto"/>
              </w:rPr>
              <w:t>Non-IFRS Financial Measures</w:t>
            </w:r>
            <w:r>
              <w:rPr>
                <w:rFonts w:ascii="Arial" w:cs="Arial" w:eastAsia="Arial" w:hAnsi="Arial"/>
                <w:sz w:val="12"/>
                <w:szCs w:val="12"/>
                <w:b w:val="1"/>
                <w:bCs w:val="1"/>
                <w:color w:val="auto"/>
              </w:rPr>
              <w:t>1</w:t>
            </w:r>
          </w:p>
        </w:tc>
        <w:tc>
          <w:tcPr>
            <w:tcW w:w="3360" w:type="dxa"/>
            <w:vAlign w:val="bottom"/>
            <w:vMerge w:val="restart"/>
            <w:shd w:val="clear" w:color="auto" w:fill="CCCCCC"/>
          </w:tcPr>
          <w:p>
            <w:pPr>
              <w:ind w:left="220"/>
              <w:spacing w:after="0"/>
              <w:rPr>
                <w:sz w:val="20"/>
                <w:szCs w:val="20"/>
                <w:color w:val="auto"/>
              </w:rPr>
            </w:pPr>
            <w:r>
              <w:rPr>
                <w:rFonts w:ascii="Arial" w:cs="Arial" w:eastAsia="Arial" w:hAnsi="Arial"/>
                <w:sz w:val="15"/>
                <w:szCs w:val="15"/>
                <w:b w:val="1"/>
                <w:bCs w:val="1"/>
                <w:color w:val="auto"/>
              </w:rPr>
              <w:t>2018 Outlook</w:t>
            </w:r>
            <w:r>
              <w:rPr>
                <w:rFonts w:ascii="Arial" w:cs="Arial" w:eastAsia="Arial" w:hAnsi="Arial"/>
                <w:sz w:val="12"/>
                <w:szCs w:val="12"/>
                <w:b w:val="1"/>
                <w:bCs w:val="1"/>
                <w:color w:val="auto"/>
              </w:rPr>
              <w:t>2</w:t>
            </w:r>
          </w:p>
        </w:tc>
        <w:tc>
          <w:tcPr>
            <w:tcW w:w="2580" w:type="dxa"/>
            <w:vAlign w:val="bottom"/>
            <w:gridSpan w:val="2"/>
            <w:shd w:val="clear" w:color="auto" w:fill="CCCCCC"/>
          </w:tcPr>
          <w:p>
            <w:pPr>
              <w:ind w:left="140"/>
              <w:spacing w:after="0"/>
              <w:rPr>
                <w:sz w:val="20"/>
                <w:szCs w:val="20"/>
                <w:color w:val="auto"/>
              </w:rPr>
            </w:pPr>
            <w:r>
              <w:rPr>
                <w:rFonts w:ascii="Arial" w:cs="Arial" w:eastAsia="Arial" w:hAnsi="Arial"/>
                <w:sz w:val="15"/>
                <w:szCs w:val="15"/>
                <w:b w:val="1"/>
                <w:bCs w:val="1"/>
                <w:color w:val="auto"/>
              </w:rPr>
              <w:t>2018 Actual Performance</w:t>
            </w:r>
          </w:p>
        </w:tc>
        <w:tc>
          <w:tcPr>
            <w:tcW w:w="0" w:type="dxa"/>
            <w:vAlign w:val="bottom"/>
          </w:tcPr>
          <w:p>
            <w:pPr>
              <w:spacing w:after="0"/>
              <w:rPr>
                <w:sz w:val="1"/>
                <w:szCs w:val="1"/>
                <w:color w:val="auto"/>
              </w:rPr>
            </w:pPr>
          </w:p>
        </w:tc>
      </w:tr>
      <w:tr>
        <w:trPr>
          <w:trHeight w:val="25"/>
        </w:trPr>
        <w:tc>
          <w:tcPr>
            <w:tcW w:w="5040" w:type="dxa"/>
            <w:vAlign w:val="bottom"/>
            <w:vMerge w:val="continue"/>
            <w:shd w:val="clear" w:color="auto" w:fill="CCCCCC"/>
          </w:tcPr>
          <w:p>
            <w:pPr>
              <w:spacing w:after="0"/>
              <w:rPr>
                <w:sz w:val="2"/>
                <w:szCs w:val="2"/>
                <w:color w:val="auto"/>
              </w:rPr>
            </w:pPr>
          </w:p>
        </w:tc>
        <w:tc>
          <w:tcPr>
            <w:tcW w:w="3360" w:type="dxa"/>
            <w:vAlign w:val="bottom"/>
            <w:vMerge w:val="continue"/>
            <w:shd w:val="clear" w:color="auto" w:fill="CCCCCC"/>
          </w:tcPr>
          <w:p>
            <w:pPr>
              <w:spacing w:after="0"/>
              <w:rPr>
                <w:sz w:val="2"/>
                <w:szCs w:val="2"/>
                <w:color w:val="auto"/>
              </w:rPr>
            </w:pPr>
          </w:p>
        </w:tc>
        <w:tc>
          <w:tcPr>
            <w:tcW w:w="1880" w:type="dxa"/>
            <w:vAlign w:val="bottom"/>
            <w:shd w:val="clear" w:color="auto" w:fill="CCCCCC"/>
          </w:tcPr>
          <w:p>
            <w:pPr>
              <w:ind w:left="140"/>
              <w:spacing w:after="0"/>
              <w:rPr>
                <w:sz w:val="20"/>
                <w:szCs w:val="20"/>
                <w:color w:val="auto"/>
              </w:rPr>
            </w:pPr>
            <w:r>
              <w:rPr>
                <w:rFonts w:ascii="Arial" w:cs="Arial" w:eastAsia="Arial" w:hAnsi="Arial"/>
                <w:sz w:val="2"/>
                <w:szCs w:val="2"/>
                <w:b w:val="1"/>
                <w:bCs w:val="1"/>
                <w:color w:val="auto"/>
              </w:rPr>
              <w:t>(in constant currency)</w:t>
            </w:r>
          </w:p>
        </w:tc>
        <w:tc>
          <w:tcPr>
            <w:tcW w:w="700" w:type="dxa"/>
            <w:vAlign w:val="bottom"/>
            <w:shd w:val="clear" w:color="auto" w:fill="CCCC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040" w:type="dxa"/>
            <w:vAlign w:val="bottom"/>
            <w:tcBorders>
              <w:bottom w:val="single" w:sz="8" w:color="D95A3B"/>
            </w:tcBorders>
            <w:shd w:val="clear" w:color="auto" w:fill="CCCCCC"/>
          </w:tcPr>
          <w:p>
            <w:pPr>
              <w:spacing w:after="0"/>
              <w:rPr>
                <w:sz w:val="14"/>
                <w:szCs w:val="14"/>
                <w:color w:val="auto"/>
              </w:rPr>
            </w:pPr>
          </w:p>
        </w:tc>
        <w:tc>
          <w:tcPr>
            <w:tcW w:w="3360" w:type="dxa"/>
            <w:vAlign w:val="bottom"/>
            <w:tcBorders>
              <w:bottom w:val="single" w:sz="8" w:color="D95A3B"/>
            </w:tcBorders>
            <w:shd w:val="clear" w:color="auto" w:fill="CCCCCC"/>
          </w:tcPr>
          <w:p>
            <w:pPr>
              <w:spacing w:after="0"/>
              <w:rPr>
                <w:sz w:val="14"/>
                <w:szCs w:val="14"/>
                <w:color w:val="auto"/>
              </w:rPr>
            </w:pPr>
          </w:p>
        </w:tc>
        <w:tc>
          <w:tcPr>
            <w:tcW w:w="1880" w:type="dxa"/>
            <w:vAlign w:val="bottom"/>
            <w:tcBorders>
              <w:bottom w:val="single" w:sz="8" w:color="D95A3B"/>
            </w:tcBorders>
            <w:shd w:val="clear" w:color="auto" w:fill="CCCCCC"/>
          </w:tcPr>
          <w:p>
            <w:pPr>
              <w:ind w:left="1760"/>
              <w:spacing w:after="0"/>
              <w:rPr>
                <w:sz w:val="20"/>
                <w:szCs w:val="20"/>
                <w:color w:val="auto"/>
              </w:rPr>
            </w:pPr>
            <w:r>
              <w:rPr>
                <w:rFonts w:ascii="Arial" w:cs="Arial" w:eastAsia="Arial" w:hAnsi="Arial"/>
                <w:sz w:val="13"/>
                <w:szCs w:val="13"/>
                <w:b w:val="1"/>
                <w:bCs w:val="1"/>
                <w:color w:val="auto"/>
              </w:rPr>
              <w:t>2</w:t>
            </w:r>
          </w:p>
        </w:tc>
        <w:tc>
          <w:tcPr>
            <w:tcW w:w="700" w:type="dxa"/>
            <w:vAlign w:val="bottom"/>
            <w:tcBorders>
              <w:bottom w:val="single" w:sz="8" w:color="D95A3B"/>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line="160" w:lineRule="exact"/>
              <w:rPr>
                <w:sz w:val="20"/>
                <w:szCs w:val="20"/>
                <w:color w:val="auto"/>
              </w:rPr>
            </w:pPr>
            <w:r>
              <w:rPr>
                <w:rFonts w:ascii="Arial" w:cs="Arial" w:eastAsia="Arial" w:hAnsi="Arial"/>
                <w:sz w:val="14"/>
                <w:szCs w:val="14"/>
                <w:b w:val="1"/>
                <w:bCs w:val="1"/>
                <w:color w:val="auto"/>
              </w:rPr>
              <w:t>Revenues</w:t>
            </w:r>
          </w:p>
        </w:tc>
        <w:tc>
          <w:tcPr>
            <w:tcW w:w="3360" w:type="dxa"/>
            <w:vAlign w:val="bottom"/>
          </w:tcPr>
          <w:p>
            <w:pPr>
              <w:ind w:left="220"/>
              <w:spacing w:after="0" w:line="160" w:lineRule="exact"/>
              <w:rPr>
                <w:sz w:val="20"/>
                <w:szCs w:val="20"/>
                <w:color w:val="auto"/>
              </w:rPr>
            </w:pPr>
            <w:r>
              <w:rPr>
                <w:rFonts w:ascii="Arial" w:cs="Arial" w:eastAsia="Arial" w:hAnsi="Arial"/>
                <w:sz w:val="14"/>
                <w:szCs w:val="14"/>
                <w:color w:val="auto"/>
              </w:rPr>
              <w:t>Low single digit growth (excludes fourth quarter</w:t>
            </w:r>
          </w:p>
        </w:tc>
        <w:tc>
          <w:tcPr>
            <w:tcW w:w="1880" w:type="dxa"/>
            <w:vAlign w:val="bottom"/>
          </w:tcPr>
          <w:p>
            <w:pPr>
              <w:ind w:left="140"/>
              <w:spacing w:after="0" w:line="160" w:lineRule="exact"/>
              <w:rPr>
                <w:sz w:val="20"/>
                <w:szCs w:val="20"/>
                <w:color w:val="auto"/>
              </w:rPr>
            </w:pPr>
            <w:r>
              <w:rPr>
                <w:rFonts w:ascii="Arial" w:cs="Arial" w:eastAsia="Arial" w:hAnsi="Arial"/>
                <w:sz w:val="14"/>
                <w:szCs w:val="14"/>
                <w:color w:val="auto"/>
              </w:rPr>
              <w:t>2.5%</w:t>
            </w:r>
          </w:p>
        </w:tc>
        <w:tc>
          <w:tcPr>
            <w:tcW w:w="700" w:type="dxa"/>
            <w:vAlign w:val="bottom"/>
          </w:tcPr>
          <w:p>
            <w:pPr>
              <w:ind w:left="40"/>
              <w:spacing w:after="0" w:line="141" w:lineRule="exact"/>
              <w:rPr>
                <w:sz w:val="20"/>
                <w:szCs w:val="20"/>
                <w:color w:val="auto"/>
              </w:rPr>
            </w:pPr>
            <w:r>
              <w:rPr>
                <w:rFonts w:ascii="MS PGothic" w:cs="MS PGothic" w:eastAsia="MS PGothic" w:hAnsi="MS PGothic"/>
                <w:sz w:val="14"/>
                <w:szCs w:val="14"/>
                <w:color w:val="D95A3B"/>
              </w:rPr>
              <w:t>✓</w:t>
            </w: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3360" w:type="dxa"/>
            <w:vAlign w:val="bottom"/>
          </w:tcPr>
          <w:p>
            <w:pPr>
              <w:ind w:left="220"/>
              <w:spacing w:after="0"/>
              <w:rPr>
                <w:sz w:val="20"/>
                <w:szCs w:val="20"/>
                <w:color w:val="auto"/>
              </w:rPr>
            </w:pPr>
            <w:r>
              <w:rPr>
                <w:rFonts w:ascii="Arial" w:cs="Arial" w:eastAsia="Arial" w:hAnsi="Arial"/>
                <w:sz w:val="14"/>
                <w:szCs w:val="14"/>
                <w:color w:val="auto"/>
              </w:rPr>
              <w:t>2018 revenues within Reuters News from</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3360" w:type="dxa"/>
            <w:vAlign w:val="bottom"/>
          </w:tcPr>
          <w:p>
            <w:pPr>
              <w:ind w:left="220"/>
              <w:spacing w:after="0"/>
              <w:rPr>
                <w:sz w:val="20"/>
                <w:szCs w:val="20"/>
                <w:color w:val="auto"/>
              </w:rPr>
            </w:pPr>
            <w:r>
              <w:rPr>
                <w:rFonts w:ascii="Arial" w:cs="Arial" w:eastAsia="Arial" w:hAnsi="Arial"/>
                <w:sz w:val="14"/>
                <w:szCs w:val="14"/>
                <w:color w:val="auto"/>
              </w:rPr>
              <w:t>Refinitiv following the closing of the F&amp;R</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40" w:type="dxa"/>
            <w:vAlign w:val="bottom"/>
            <w:tcBorders>
              <w:bottom w:val="single" w:sz="8" w:color="AFAFAF"/>
            </w:tcBorders>
          </w:tcPr>
          <w:p>
            <w:pPr>
              <w:spacing w:after="0"/>
              <w:rPr>
                <w:sz w:val="13"/>
                <w:szCs w:val="13"/>
                <w:color w:val="auto"/>
              </w:rPr>
            </w:pPr>
          </w:p>
        </w:tc>
        <w:tc>
          <w:tcPr>
            <w:tcW w:w="3360" w:type="dxa"/>
            <w:vAlign w:val="bottom"/>
            <w:tcBorders>
              <w:bottom w:val="single" w:sz="8" w:color="AFAFAF"/>
            </w:tcBorders>
          </w:tcPr>
          <w:p>
            <w:pPr>
              <w:ind w:left="220"/>
              <w:spacing w:after="0" w:line="157" w:lineRule="exact"/>
              <w:rPr>
                <w:sz w:val="20"/>
                <w:szCs w:val="20"/>
                <w:color w:val="auto"/>
              </w:rPr>
            </w:pPr>
            <w:r>
              <w:rPr>
                <w:rFonts w:ascii="Arial" w:cs="Arial" w:eastAsia="Arial" w:hAnsi="Arial"/>
                <w:sz w:val="14"/>
                <w:szCs w:val="14"/>
                <w:color w:val="auto"/>
              </w:rPr>
              <w:t>transaction)</w:t>
            </w:r>
          </w:p>
        </w:tc>
        <w:tc>
          <w:tcPr>
            <w:tcW w:w="1880" w:type="dxa"/>
            <w:vAlign w:val="bottom"/>
            <w:tcBorders>
              <w:bottom w:val="single" w:sz="8" w:color="AFAFAF"/>
            </w:tcBorders>
          </w:tcPr>
          <w:p>
            <w:pPr>
              <w:spacing w:after="0"/>
              <w:rPr>
                <w:sz w:val="13"/>
                <w:szCs w:val="13"/>
                <w:color w:val="auto"/>
              </w:rPr>
            </w:pPr>
          </w:p>
        </w:tc>
        <w:tc>
          <w:tcPr>
            <w:tcW w:w="700" w:type="dxa"/>
            <w:vAlign w:val="bottom"/>
            <w:tcBorders>
              <w:bottom w:val="single" w:sz="8" w:color="AFAFA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line="160" w:lineRule="exact"/>
              <w:rPr>
                <w:sz w:val="20"/>
                <w:szCs w:val="20"/>
                <w:color w:val="auto"/>
              </w:rPr>
            </w:pPr>
            <w:r>
              <w:rPr>
                <w:rFonts w:ascii="Arial" w:cs="Arial" w:eastAsia="Arial" w:hAnsi="Arial"/>
                <w:sz w:val="14"/>
                <w:szCs w:val="14"/>
                <w:b w:val="1"/>
                <w:bCs w:val="1"/>
                <w:color w:val="auto"/>
              </w:rPr>
              <w:t>Adjusted EBITDA</w:t>
            </w:r>
          </w:p>
        </w:tc>
        <w:tc>
          <w:tcPr>
            <w:tcW w:w="3360" w:type="dxa"/>
            <w:vAlign w:val="bottom"/>
          </w:tcPr>
          <w:p>
            <w:pPr>
              <w:ind w:left="220"/>
              <w:spacing w:after="0" w:line="160" w:lineRule="exact"/>
              <w:rPr>
                <w:sz w:val="20"/>
                <w:szCs w:val="20"/>
                <w:color w:val="auto"/>
              </w:rPr>
            </w:pPr>
            <w:r>
              <w:rPr>
                <w:rFonts w:ascii="Arial" w:cs="Arial" w:eastAsia="Arial" w:hAnsi="Arial"/>
                <w:sz w:val="14"/>
                <w:szCs w:val="14"/>
                <w:color w:val="auto"/>
              </w:rPr>
              <w:t>Approximately $1.3 billion including the</w:t>
            </w:r>
          </w:p>
        </w:tc>
        <w:tc>
          <w:tcPr>
            <w:tcW w:w="1880" w:type="dxa"/>
            <w:vAlign w:val="bottom"/>
          </w:tcPr>
          <w:p>
            <w:pPr>
              <w:ind w:left="140"/>
              <w:spacing w:after="0" w:line="160" w:lineRule="exact"/>
              <w:rPr>
                <w:sz w:val="20"/>
                <w:szCs w:val="20"/>
                <w:color w:val="auto"/>
              </w:rPr>
            </w:pPr>
            <w:r>
              <w:rPr>
                <w:rFonts w:ascii="Arial" w:cs="Arial" w:eastAsia="Arial" w:hAnsi="Arial"/>
                <w:sz w:val="14"/>
                <w:szCs w:val="14"/>
                <w:color w:val="auto"/>
              </w:rPr>
              <w:t>$1.3 billion</w:t>
            </w:r>
          </w:p>
        </w:tc>
        <w:tc>
          <w:tcPr>
            <w:tcW w:w="700" w:type="dxa"/>
            <w:vAlign w:val="bottom"/>
          </w:tcPr>
          <w:p>
            <w:pPr>
              <w:ind w:left="40"/>
              <w:spacing w:after="0" w:line="141" w:lineRule="exact"/>
              <w:rPr>
                <w:sz w:val="20"/>
                <w:szCs w:val="20"/>
                <w:color w:val="auto"/>
              </w:rPr>
            </w:pPr>
            <w:r>
              <w:rPr>
                <w:rFonts w:ascii="MS PGothic" w:cs="MS PGothic" w:eastAsia="MS PGothic" w:hAnsi="MS PGothic"/>
                <w:sz w:val="14"/>
                <w:szCs w:val="14"/>
                <w:color w:val="D95A3B"/>
              </w:rPr>
              <w:t>✓</w:t>
            </w:r>
          </w:p>
        </w:tc>
        <w:tc>
          <w:tcPr>
            <w:tcW w:w="0" w:type="dxa"/>
            <w:vAlign w:val="bottom"/>
          </w:tcPr>
          <w:p>
            <w:pPr>
              <w:spacing w:after="0"/>
              <w:rPr>
                <w:sz w:val="1"/>
                <w:szCs w:val="1"/>
                <w:color w:val="auto"/>
              </w:rPr>
            </w:pPr>
          </w:p>
        </w:tc>
      </w:tr>
      <w:tr>
        <w:trPr>
          <w:trHeight w:val="157"/>
        </w:trPr>
        <w:tc>
          <w:tcPr>
            <w:tcW w:w="5040" w:type="dxa"/>
            <w:vAlign w:val="bottom"/>
            <w:tcBorders>
              <w:bottom w:val="single" w:sz="8" w:color="AFAFAF"/>
            </w:tcBorders>
          </w:tcPr>
          <w:p>
            <w:pPr>
              <w:spacing w:after="0"/>
              <w:rPr>
                <w:sz w:val="13"/>
                <w:szCs w:val="13"/>
                <w:color w:val="auto"/>
              </w:rPr>
            </w:pPr>
          </w:p>
        </w:tc>
        <w:tc>
          <w:tcPr>
            <w:tcW w:w="3360" w:type="dxa"/>
            <w:vAlign w:val="bottom"/>
            <w:tcBorders>
              <w:bottom w:val="single" w:sz="8" w:color="AFAFAF"/>
            </w:tcBorders>
          </w:tcPr>
          <w:p>
            <w:pPr>
              <w:ind w:left="220"/>
              <w:spacing w:after="0" w:line="157" w:lineRule="exact"/>
              <w:rPr>
                <w:sz w:val="20"/>
                <w:szCs w:val="20"/>
                <w:color w:val="auto"/>
              </w:rPr>
            </w:pPr>
            <w:r>
              <w:rPr>
                <w:rFonts w:ascii="Arial" w:cs="Arial" w:eastAsia="Arial" w:hAnsi="Arial"/>
                <w:sz w:val="14"/>
                <w:szCs w:val="14"/>
                <w:color w:val="auto"/>
              </w:rPr>
              <w:t>Corporate costs referred to below</w:t>
            </w:r>
          </w:p>
        </w:tc>
        <w:tc>
          <w:tcPr>
            <w:tcW w:w="1880" w:type="dxa"/>
            <w:vAlign w:val="bottom"/>
            <w:tcBorders>
              <w:bottom w:val="single" w:sz="8" w:color="AFAFAF"/>
            </w:tcBorders>
          </w:tcPr>
          <w:p>
            <w:pPr>
              <w:spacing w:after="0"/>
              <w:rPr>
                <w:sz w:val="13"/>
                <w:szCs w:val="13"/>
                <w:color w:val="auto"/>
              </w:rPr>
            </w:pPr>
          </w:p>
        </w:tc>
        <w:tc>
          <w:tcPr>
            <w:tcW w:w="700" w:type="dxa"/>
            <w:vAlign w:val="bottom"/>
            <w:tcBorders>
              <w:bottom w:val="single" w:sz="8" w:color="AFAFA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line="160" w:lineRule="exact"/>
              <w:rPr>
                <w:sz w:val="20"/>
                <w:szCs w:val="20"/>
                <w:color w:val="auto"/>
              </w:rPr>
            </w:pPr>
            <w:r>
              <w:rPr>
                <w:rFonts w:ascii="Arial" w:cs="Arial" w:eastAsia="Arial" w:hAnsi="Arial"/>
                <w:sz w:val="14"/>
                <w:szCs w:val="14"/>
                <w:b w:val="1"/>
                <w:bCs w:val="1"/>
                <w:color w:val="auto"/>
              </w:rPr>
              <w:t>Total Corporate costs</w:t>
            </w:r>
          </w:p>
        </w:tc>
        <w:tc>
          <w:tcPr>
            <w:tcW w:w="3360" w:type="dxa"/>
            <w:vAlign w:val="bottom"/>
          </w:tcPr>
          <w:p>
            <w:pPr>
              <w:ind w:left="220"/>
              <w:spacing w:after="0" w:line="160" w:lineRule="exact"/>
              <w:rPr>
                <w:sz w:val="20"/>
                <w:szCs w:val="20"/>
                <w:color w:val="auto"/>
              </w:rPr>
            </w:pPr>
            <w:r>
              <w:rPr>
                <w:rFonts w:ascii="Arial" w:cs="Arial" w:eastAsia="Arial" w:hAnsi="Arial"/>
                <w:sz w:val="14"/>
                <w:szCs w:val="14"/>
                <w:color w:val="auto"/>
              </w:rPr>
              <w:t>Between $500 million and $600 million</w:t>
            </w:r>
          </w:p>
        </w:tc>
        <w:tc>
          <w:tcPr>
            <w:tcW w:w="1880" w:type="dxa"/>
            <w:vAlign w:val="bottom"/>
          </w:tcPr>
          <w:p>
            <w:pPr>
              <w:ind w:left="140"/>
              <w:spacing w:after="0" w:line="160" w:lineRule="exact"/>
              <w:rPr>
                <w:sz w:val="20"/>
                <w:szCs w:val="20"/>
                <w:color w:val="auto"/>
              </w:rPr>
            </w:pPr>
            <w:r>
              <w:rPr>
                <w:rFonts w:ascii="Arial" w:cs="Arial" w:eastAsia="Arial" w:hAnsi="Arial"/>
                <w:sz w:val="11"/>
                <w:szCs w:val="11"/>
                <w:color w:val="auto"/>
              </w:rPr>
              <w:t xml:space="preserve">$499 million </w:t>
            </w:r>
            <w:r>
              <w:rPr>
                <w:rFonts w:ascii="Arial" w:cs="Arial" w:eastAsia="Arial" w:hAnsi="Arial"/>
                <w:sz w:val="18"/>
                <w:szCs w:val="18"/>
                <w:color w:val="auto"/>
                <w:vertAlign w:val="superscript"/>
              </w:rPr>
              <w:t>3</w:t>
            </w:r>
          </w:p>
        </w:tc>
        <w:tc>
          <w:tcPr>
            <w:tcW w:w="700" w:type="dxa"/>
            <w:vAlign w:val="bottom"/>
          </w:tcPr>
          <w:p>
            <w:pPr>
              <w:ind w:left="40"/>
              <w:spacing w:after="0" w:line="141" w:lineRule="exact"/>
              <w:rPr>
                <w:sz w:val="20"/>
                <w:szCs w:val="20"/>
                <w:color w:val="auto"/>
              </w:rPr>
            </w:pPr>
            <w:r>
              <w:rPr>
                <w:rFonts w:ascii="MS PGothic" w:cs="MS PGothic" w:eastAsia="MS PGothic" w:hAnsi="MS PGothic"/>
                <w:sz w:val="14"/>
                <w:szCs w:val="14"/>
                <w:color w:val="D95A3B"/>
              </w:rPr>
              <w:t>✓</w:t>
            </w: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3360" w:type="dxa"/>
            <w:vAlign w:val="bottom"/>
          </w:tcPr>
          <w:p>
            <w:pPr>
              <w:ind w:left="220"/>
              <w:spacing w:after="0"/>
              <w:rPr>
                <w:sz w:val="20"/>
                <w:szCs w:val="20"/>
                <w:color w:val="auto"/>
              </w:rPr>
            </w:pPr>
            <w:r>
              <w:rPr>
                <w:rFonts w:ascii="Arial" w:cs="Arial" w:eastAsia="Arial" w:hAnsi="Arial"/>
                <w:sz w:val="14"/>
                <w:szCs w:val="14"/>
                <w:color w:val="auto"/>
              </w:rPr>
              <w:t>(including stranded costs and investments to</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3360" w:type="dxa"/>
            <w:vAlign w:val="bottom"/>
          </w:tcPr>
          <w:p>
            <w:pPr>
              <w:ind w:left="220"/>
              <w:spacing w:after="0"/>
              <w:rPr>
                <w:sz w:val="20"/>
                <w:szCs w:val="20"/>
                <w:color w:val="auto"/>
              </w:rPr>
            </w:pPr>
            <w:r>
              <w:rPr>
                <w:rFonts w:ascii="Arial" w:cs="Arial" w:eastAsia="Arial" w:hAnsi="Arial"/>
                <w:sz w:val="14"/>
                <w:szCs w:val="14"/>
                <w:color w:val="auto"/>
              </w:rPr>
              <w:t>reposition our company following the closing of</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40" w:type="dxa"/>
            <w:vAlign w:val="bottom"/>
            <w:tcBorders>
              <w:bottom w:val="single" w:sz="8" w:color="AFAFAF"/>
            </w:tcBorders>
          </w:tcPr>
          <w:p>
            <w:pPr>
              <w:spacing w:after="0"/>
              <w:rPr>
                <w:sz w:val="13"/>
                <w:szCs w:val="13"/>
                <w:color w:val="auto"/>
              </w:rPr>
            </w:pPr>
          </w:p>
        </w:tc>
        <w:tc>
          <w:tcPr>
            <w:tcW w:w="3360" w:type="dxa"/>
            <w:vAlign w:val="bottom"/>
            <w:tcBorders>
              <w:bottom w:val="single" w:sz="8" w:color="AFAFAF"/>
            </w:tcBorders>
          </w:tcPr>
          <w:p>
            <w:pPr>
              <w:ind w:left="220"/>
              <w:spacing w:after="0" w:line="157" w:lineRule="exact"/>
              <w:rPr>
                <w:sz w:val="20"/>
                <w:szCs w:val="20"/>
                <w:color w:val="auto"/>
              </w:rPr>
            </w:pPr>
            <w:r>
              <w:rPr>
                <w:rFonts w:ascii="Arial" w:cs="Arial" w:eastAsia="Arial" w:hAnsi="Arial"/>
                <w:sz w:val="14"/>
                <w:szCs w:val="14"/>
                <w:color w:val="auto"/>
              </w:rPr>
              <w:t>the F&amp;R transaction)</w:t>
            </w:r>
          </w:p>
        </w:tc>
        <w:tc>
          <w:tcPr>
            <w:tcW w:w="1880" w:type="dxa"/>
            <w:vAlign w:val="bottom"/>
            <w:tcBorders>
              <w:bottom w:val="single" w:sz="8" w:color="AFAFAF"/>
            </w:tcBorders>
          </w:tcPr>
          <w:p>
            <w:pPr>
              <w:spacing w:after="0"/>
              <w:rPr>
                <w:sz w:val="13"/>
                <w:szCs w:val="13"/>
                <w:color w:val="auto"/>
              </w:rPr>
            </w:pPr>
          </w:p>
        </w:tc>
        <w:tc>
          <w:tcPr>
            <w:tcW w:w="700" w:type="dxa"/>
            <w:vAlign w:val="bottom"/>
            <w:tcBorders>
              <w:bottom w:val="single" w:sz="8" w:color="AFAFA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0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Depreciation and amortization of computer software</w:t>
            </w:r>
          </w:p>
        </w:tc>
        <w:tc>
          <w:tcPr>
            <w:tcW w:w="3360" w:type="dxa"/>
            <w:vAlign w:val="bottom"/>
            <w:tcBorders>
              <w:bottom w:val="single" w:sz="8" w:color="AFAFAF"/>
            </w:tcBorders>
          </w:tcPr>
          <w:p>
            <w:pPr>
              <w:ind w:left="220"/>
              <w:spacing w:after="0"/>
              <w:rPr>
                <w:sz w:val="20"/>
                <w:szCs w:val="20"/>
                <w:color w:val="auto"/>
              </w:rPr>
            </w:pPr>
            <w:r>
              <w:rPr>
                <w:rFonts w:ascii="Arial" w:cs="Arial" w:eastAsia="Arial" w:hAnsi="Arial"/>
                <w:sz w:val="14"/>
                <w:szCs w:val="14"/>
                <w:color w:val="auto"/>
              </w:rPr>
              <w:t>Between $500 million and $525 million</w:t>
            </w:r>
          </w:p>
        </w:tc>
        <w:tc>
          <w:tcPr>
            <w:tcW w:w="1880" w:type="dxa"/>
            <w:vAlign w:val="bottom"/>
            <w:tcBorders>
              <w:bottom w:val="single" w:sz="8" w:color="AFAFAF"/>
            </w:tcBorders>
          </w:tcPr>
          <w:p>
            <w:pPr>
              <w:ind w:left="140"/>
              <w:spacing w:after="0"/>
              <w:rPr>
                <w:sz w:val="20"/>
                <w:szCs w:val="20"/>
                <w:color w:val="auto"/>
              </w:rPr>
            </w:pPr>
            <w:r>
              <w:rPr>
                <w:rFonts w:ascii="Arial" w:cs="Arial" w:eastAsia="Arial" w:hAnsi="Arial"/>
                <w:sz w:val="14"/>
                <w:szCs w:val="14"/>
                <w:color w:val="auto"/>
              </w:rPr>
              <w:t>$510 million</w:t>
            </w:r>
          </w:p>
        </w:tc>
        <w:tc>
          <w:tcPr>
            <w:tcW w:w="700" w:type="dxa"/>
            <w:vAlign w:val="bottom"/>
            <w:tcBorders>
              <w:bottom w:val="single" w:sz="8" w:color="AFAFAF"/>
            </w:tcBorders>
          </w:tcPr>
          <w:p>
            <w:pPr>
              <w:ind w:left="40"/>
              <w:spacing w:after="0" w:line="141" w:lineRule="exact"/>
              <w:rPr>
                <w:sz w:val="20"/>
                <w:szCs w:val="20"/>
                <w:color w:val="auto"/>
              </w:rPr>
            </w:pPr>
            <w:r>
              <w:rPr>
                <w:rFonts w:ascii="MS PGothic" w:cs="MS PGothic" w:eastAsia="MS PGothic" w:hAnsi="MS PGothic"/>
                <w:sz w:val="14"/>
                <w:szCs w:val="14"/>
                <w:color w:val="D95A3B"/>
              </w:rPr>
              <w:t>✓</w:t>
            </w:r>
          </w:p>
        </w:tc>
        <w:tc>
          <w:tcPr>
            <w:tcW w:w="0" w:type="dxa"/>
            <w:vAlign w:val="bottom"/>
          </w:tcPr>
          <w:p>
            <w:pPr>
              <w:spacing w:after="0"/>
              <w:rPr>
                <w:sz w:val="1"/>
                <w:szCs w:val="1"/>
                <w:color w:val="auto"/>
              </w:rPr>
            </w:pPr>
          </w:p>
        </w:tc>
      </w:tr>
      <w:tr>
        <w:trPr>
          <w:trHeight w:val="168"/>
        </w:trPr>
        <w:tc>
          <w:tcPr>
            <w:tcW w:w="50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Capital expenditures, as a percentage of revenues</w:t>
            </w:r>
          </w:p>
        </w:tc>
        <w:tc>
          <w:tcPr>
            <w:tcW w:w="3360" w:type="dxa"/>
            <w:vAlign w:val="bottom"/>
            <w:tcBorders>
              <w:bottom w:val="single" w:sz="8" w:color="AFAFAF"/>
            </w:tcBorders>
          </w:tcPr>
          <w:p>
            <w:pPr>
              <w:ind w:left="220"/>
              <w:spacing w:after="0"/>
              <w:rPr>
                <w:sz w:val="20"/>
                <w:szCs w:val="20"/>
                <w:color w:val="auto"/>
              </w:rPr>
            </w:pPr>
            <w:r>
              <w:rPr>
                <w:rFonts w:ascii="Arial" w:cs="Arial" w:eastAsia="Arial" w:hAnsi="Arial"/>
                <w:sz w:val="14"/>
                <w:szCs w:val="14"/>
                <w:color w:val="auto"/>
              </w:rPr>
              <w:t>Approximately 10% of revenues</w:t>
            </w:r>
          </w:p>
        </w:tc>
        <w:tc>
          <w:tcPr>
            <w:tcW w:w="1880" w:type="dxa"/>
            <w:vAlign w:val="bottom"/>
            <w:tcBorders>
              <w:bottom w:val="single" w:sz="8" w:color="AFAFAF"/>
            </w:tcBorders>
          </w:tcPr>
          <w:p>
            <w:pPr>
              <w:ind w:left="140"/>
              <w:spacing w:after="0"/>
              <w:rPr>
                <w:sz w:val="20"/>
                <w:szCs w:val="20"/>
                <w:color w:val="auto"/>
              </w:rPr>
            </w:pPr>
            <w:r>
              <w:rPr>
                <w:rFonts w:ascii="Arial" w:cs="Arial" w:eastAsia="Arial" w:hAnsi="Arial"/>
                <w:sz w:val="14"/>
                <w:szCs w:val="14"/>
                <w:color w:val="auto"/>
              </w:rPr>
              <w:t>Approximately 10%</w:t>
            </w:r>
          </w:p>
        </w:tc>
        <w:tc>
          <w:tcPr>
            <w:tcW w:w="700" w:type="dxa"/>
            <w:vAlign w:val="bottom"/>
            <w:tcBorders>
              <w:bottom w:val="single" w:sz="8" w:color="AFAFAF"/>
            </w:tcBorders>
          </w:tcPr>
          <w:p>
            <w:pPr>
              <w:ind w:left="40"/>
              <w:spacing w:after="0" w:line="141" w:lineRule="exact"/>
              <w:rPr>
                <w:sz w:val="20"/>
                <w:szCs w:val="20"/>
                <w:color w:val="auto"/>
              </w:rPr>
            </w:pPr>
            <w:r>
              <w:rPr>
                <w:rFonts w:ascii="MS PGothic" w:cs="MS PGothic" w:eastAsia="MS PGothic" w:hAnsi="MS PGothic"/>
                <w:sz w:val="14"/>
                <w:szCs w:val="14"/>
                <w:color w:val="D95A3B"/>
              </w:rPr>
              <w:t>✓</w:t>
            </w:r>
          </w:p>
        </w:tc>
        <w:tc>
          <w:tcPr>
            <w:tcW w:w="0" w:type="dxa"/>
            <w:vAlign w:val="bottom"/>
          </w:tcPr>
          <w:p>
            <w:pPr>
              <w:spacing w:after="0"/>
              <w:rPr>
                <w:sz w:val="1"/>
                <w:szCs w:val="1"/>
                <w:color w:val="auto"/>
              </w:rPr>
            </w:pPr>
          </w:p>
        </w:tc>
      </w:tr>
      <w:tr>
        <w:trPr>
          <w:trHeight w:val="168"/>
        </w:trPr>
        <w:tc>
          <w:tcPr>
            <w:tcW w:w="5040" w:type="dxa"/>
            <w:vAlign w:val="bottom"/>
            <w:tcBorders>
              <w:bottom w:val="single" w:sz="8" w:color="D95A3B"/>
            </w:tcBorders>
          </w:tcPr>
          <w:p>
            <w:pPr>
              <w:spacing w:after="0"/>
              <w:rPr>
                <w:sz w:val="20"/>
                <w:szCs w:val="20"/>
                <w:color w:val="auto"/>
              </w:rPr>
            </w:pPr>
            <w:r>
              <w:rPr>
                <w:rFonts w:ascii="Arial" w:cs="Arial" w:eastAsia="Arial" w:hAnsi="Arial"/>
                <w:sz w:val="14"/>
                <w:szCs w:val="14"/>
                <w:b w:val="1"/>
                <w:bCs w:val="1"/>
                <w:color w:val="auto"/>
              </w:rPr>
              <w:t>Effective tax rate on adjusted earnings</w:t>
            </w:r>
          </w:p>
        </w:tc>
        <w:tc>
          <w:tcPr>
            <w:tcW w:w="3360" w:type="dxa"/>
            <w:vAlign w:val="bottom"/>
            <w:tcBorders>
              <w:bottom w:val="single" w:sz="8" w:color="D95A3B"/>
            </w:tcBorders>
          </w:tcPr>
          <w:p>
            <w:pPr>
              <w:ind w:left="220"/>
              <w:spacing w:after="0"/>
              <w:rPr>
                <w:sz w:val="20"/>
                <w:szCs w:val="20"/>
                <w:color w:val="auto"/>
              </w:rPr>
            </w:pPr>
            <w:r>
              <w:rPr>
                <w:rFonts w:ascii="Arial" w:cs="Arial" w:eastAsia="Arial" w:hAnsi="Arial"/>
                <w:sz w:val="14"/>
                <w:szCs w:val="14"/>
                <w:color w:val="auto"/>
              </w:rPr>
              <w:t>Between 17% and 19%</w:t>
            </w:r>
          </w:p>
        </w:tc>
        <w:tc>
          <w:tcPr>
            <w:tcW w:w="1880" w:type="dxa"/>
            <w:vAlign w:val="bottom"/>
            <w:tcBorders>
              <w:bottom w:val="single" w:sz="8" w:color="D95A3B"/>
            </w:tcBorders>
          </w:tcPr>
          <w:p>
            <w:pPr>
              <w:ind w:left="140"/>
              <w:spacing w:after="0"/>
              <w:rPr>
                <w:sz w:val="20"/>
                <w:szCs w:val="20"/>
                <w:color w:val="auto"/>
              </w:rPr>
            </w:pPr>
            <w:r>
              <w:rPr>
                <w:rFonts w:ascii="Arial" w:cs="Arial" w:eastAsia="Arial" w:hAnsi="Arial"/>
                <w:sz w:val="14"/>
                <w:szCs w:val="14"/>
                <w:color w:val="auto"/>
              </w:rPr>
              <w:t>15%</w:t>
            </w:r>
          </w:p>
        </w:tc>
        <w:tc>
          <w:tcPr>
            <w:tcW w:w="700" w:type="dxa"/>
            <w:vAlign w:val="bottom"/>
            <w:tcBorders>
              <w:bottom w:val="single" w:sz="8" w:color="D95A3B"/>
            </w:tcBorders>
          </w:tcPr>
          <w:p>
            <w:pPr>
              <w:ind w:left="40"/>
              <w:spacing w:after="0" w:line="141" w:lineRule="exact"/>
              <w:rPr>
                <w:sz w:val="20"/>
                <w:szCs w:val="20"/>
                <w:color w:val="auto"/>
              </w:rPr>
            </w:pPr>
            <w:r>
              <w:rPr>
                <w:rFonts w:ascii="MS PGothic" w:cs="MS PGothic" w:eastAsia="MS PGothic" w:hAnsi="MS PGothic"/>
                <w:sz w:val="14"/>
                <w:szCs w:val="14"/>
                <w:color w:val="D95A3B"/>
              </w:rPr>
              <w: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1 Please refer to Appendix A of the management’s discussion and analysis section of our 2018 annual report for additional information on non-IFRS financial measures.</w:t>
      </w:r>
    </w:p>
    <w:p>
      <w:pPr>
        <w:ind w:left="340" w:right="500"/>
        <w:spacing w:after="0" w:line="237" w:lineRule="auto"/>
        <w:rPr>
          <w:sz w:val="20"/>
          <w:szCs w:val="20"/>
          <w:color w:val="auto"/>
        </w:rPr>
      </w:pPr>
      <w:r>
        <w:rPr>
          <w:rFonts w:ascii="Arial" w:cs="Arial" w:eastAsia="Arial" w:hAnsi="Arial"/>
          <w:sz w:val="13"/>
          <w:szCs w:val="13"/>
          <w:color w:val="auto"/>
        </w:rPr>
        <w:t>2 Our 2018 Outlook and 2018 actual performance were measured at constant currency rates relative to 2017. Please refer to Appendix B of the management’s discussion and analysis section of our 2018 annual report for reconciliations of our non-IFRS financial measures to the most directly comparable IFRS financial measures.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3 Corporate costs at actual rates include expenses of $466 million that are part of adjusted EBITDA and $33 million of capital spending, which is not part of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127635</wp:posOffset>
            </wp:positionV>
            <wp:extent cx="697357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55"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45</w:t>
      </w:r>
    </w:p>
    <w:p>
      <w:pPr>
        <w:sectPr>
          <w:pgSz w:w="11900" w:h="16838" w:orient="portrait"/>
          <w:cols w:equalWidth="0" w:num="1">
            <w:col w:w="11200"/>
          </w:cols>
          <w:pgMar w:left="240" w:top="458"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2018, we successfully executed against our three key objectives:</w:t>
      </w:r>
    </w:p>
    <w:p>
      <w:pPr>
        <w:spacing w:after="0" w:line="98" w:lineRule="exact"/>
        <w:rPr>
          <w:sz w:val="20"/>
          <w:szCs w:val="20"/>
          <w:color w:val="auto"/>
        </w:rPr>
      </w:pPr>
    </w:p>
    <w:p>
      <w:pPr>
        <w:ind w:left="660" w:right="20" w:hanging="437"/>
        <w:spacing w:after="0" w:line="237" w:lineRule="auto"/>
        <w:tabs>
          <w:tab w:leader="none" w:pos="660" w:val="left"/>
        </w:tabs>
        <w:numPr>
          <w:ilvl w:val="0"/>
          <w:numId w:val="31"/>
        </w:numPr>
        <w:rPr>
          <w:rFonts w:ascii="MS PGothic" w:cs="MS PGothic" w:eastAsia="MS PGothic" w:hAnsi="MS PGothic"/>
          <w:sz w:val="18"/>
          <w:szCs w:val="18"/>
          <w:color w:val="D95A3B"/>
        </w:rPr>
      </w:pPr>
      <w:r>
        <w:rPr>
          <w:rFonts w:ascii="Arial" w:cs="Arial" w:eastAsia="Arial" w:hAnsi="Arial"/>
          <w:sz w:val="18"/>
          <w:szCs w:val="18"/>
          <w:i w:val="1"/>
          <w:iCs w:val="1"/>
          <w:color w:val="D95A3B"/>
        </w:rPr>
        <w:t xml:space="preserve">We closed the F&amp;R transaction, solidified our capital structure and separated F&amp;R from the remaining Thomson Reuters business </w:t>
      </w:r>
      <w:r>
        <w:rPr>
          <w:rFonts w:ascii="Arial" w:cs="Arial" w:eastAsia="Arial" w:hAnsi="Arial"/>
          <w:sz w:val="18"/>
          <w:szCs w:val="18"/>
          <w:color w:val="000000"/>
        </w:rPr>
        <w:t>–</w:t>
      </w:r>
      <w:r>
        <w:rPr>
          <w:rFonts w:ascii="Arial" w:cs="Arial" w:eastAsia="Arial" w:hAnsi="Arial"/>
          <w:sz w:val="18"/>
          <w:szCs w:val="18"/>
          <w:i w:val="1"/>
          <w:iCs w:val="1"/>
          <w:color w:val="D95A3B"/>
        </w:rPr>
        <w:t xml:space="preserve"> </w:t>
      </w:r>
      <w:r>
        <w:rPr>
          <w:rFonts w:ascii="Arial" w:cs="Arial" w:eastAsia="Arial" w:hAnsi="Arial"/>
          <w:sz w:val="18"/>
          <w:szCs w:val="18"/>
          <w:color w:val="000000"/>
        </w:rPr>
        <w:t>In October 2018, we sold a 55% interest in our former F&amp;R business to private equity funds managed by Blackstone for approximately $17 billion and retained a 45% interest in the new company, which is now known as Refinitiv. We returned $10 billion of the proceeds to our shareholders through a series of transactions and repaid approximately $4 billion of debt. We intend to use approximately $2 billion of the proceeds to fund strategic, targeted acquisitions to bolster our positions in key growth segments of our remaining businesses or to repurchase shares. The Refinitiv strategic partnership highlights our efforts and the success that we have had investing to stabilize and grow our financial services business over the last several years. We believe that our 45% equity stake in a well-positioned financial business with a strong strategic partner will also allow us to participate in the future upside for the business. As part of the transaction, Reuters News and Refinitiv entered into a 30-year agreement pursuant to which Reuters News will supply news and editorial content to Refinitiv for a minimum of $325 million per year.</w:t>
      </w:r>
    </w:p>
    <w:p>
      <w:pPr>
        <w:spacing w:after="0" w:line="55" w:lineRule="exact"/>
        <w:rPr>
          <w:rFonts w:ascii="MS PGothic" w:cs="MS PGothic" w:eastAsia="MS PGothic" w:hAnsi="MS PGothic"/>
          <w:sz w:val="18"/>
          <w:szCs w:val="18"/>
          <w:color w:val="D95A3B"/>
        </w:rPr>
      </w:pPr>
    </w:p>
    <w:p>
      <w:pPr>
        <w:ind w:left="660" w:hanging="437"/>
        <w:spacing w:after="0" w:line="238" w:lineRule="auto"/>
        <w:tabs>
          <w:tab w:leader="none" w:pos="660" w:val="left"/>
        </w:tabs>
        <w:numPr>
          <w:ilvl w:val="0"/>
          <w:numId w:val="31"/>
        </w:numPr>
        <w:rPr>
          <w:rFonts w:ascii="MS PGothic" w:cs="MS PGothic" w:eastAsia="MS PGothic" w:hAnsi="MS PGothic"/>
          <w:sz w:val="18"/>
          <w:szCs w:val="18"/>
          <w:color w:val="D95A3B"/>
        </w:rPr>
      </w:pPr>
      <w:r>
        <w:rPr>
          <w:rFonts w:ascii="Arial" w:cs="Arial" w:eastAsia="Arial" w:hAnsi="Arial"/>
          <w:sz w:val="18"/>
          <w:szCs w:val="18"/>
          <w:i w:val="1"/>
          <w:iCs w:val="1"/>
          <w:color w:val="D95A3B"/>
        </w:rPr>
        <w:t xml:space="preserve">We restructured the remaining Thomson Reuters business into new customer-focused segments </w:t>
      </w:r>
      <w:r>
        <w:rPr>
          <w:rFonts w:ascii="Arial" w:cs="Arial" w:eastAsia="Arial" w:hAnsi="Arial"/>
          <w:sz w:val="18"/>
          <w:szCs w:val="18"/>
          <w:color w:val="000000"/>
        </w:rPr>
        <w:t>– Our new structure moves</w:t>
      </w:r>
      <w:r>
        <w:rPr>
          <w:rFonts w:ascii="Arial" w:cs="Arial" w:eastAsia="Arial" w:hAnsi="Arial"/>
          <w:sz w:val="18"/>
          <w:szCs w:val="18"/>
          <w:i w:val="1"/>
          <w:iCs w:val="1"/>
          <w:color w:val="D95A3B"/>
        </w:rPr>
        <w:t xml:space="preserve"> </w:t>
      </w:r>
      <w:r>
        <w:rPr>
          <w:rFonts w:ascii="Arial" w:cs="Arial" w:eastAsia="Arial" w:hAnsi="Arial"/>
          <w:sz w:val="18"/>
          <w:szCs w:val="18"/>
          <w:color w:val="000000"/>
        </w:rPr>
        <w:t>decision making closer to the customer and allows us to serve our customers better with our full suite of offerings. Our customers are faced with a rapidly evolving global regulatory framework, fast-paced technological change and new business models that demand efficiency. We believe that our subject matter expertise, positioning, brand and scale are strengths that will drive customers to partner with our company for solutions that are tailored to their workflows and designed to help make their operations more efficient. In connection with restructuring our business, we appointed several new leaders in 2018. Our current leadership team exhibits commercial acumen and customer-centricity that we are modeling across the organization. We are building a flatter organization with fewer management layers, ensuring less distance between leadership and our customers.</w:t>
      </w:r>
    </w:p>
    <w:p>
      <w:pPr>
        <w:spacing w:after="0" w:line="53" w:lineRule="exact"/>
        <w:rPr>
          <w:rFonts w:ascii="MS PGothic" w:cs="MS PGothic" w:eastAsia="MS PGothic" w:hAnsi="MS PGothic"/>
          <w:sz w:val="18"/>
          <w:szCs w:val="18"/>
          <w:color w:val="D95A3B"/>
        </w:rPr>
      </w:pPr>
    </w:p>
    <w:p>
      <w:pPr>
        <w:ind w:left="660" w:right="20" w:hanging="437"/>
        <w:spacing w:after="0" w:line="244" w:lineRule="auto"/>
        <w:tabs>
          <w:tab w:leader="none" w:pos="660" w:val="left"/>
        </w:tabs>
        <w:numPr>
          <w:ilvl w:val="0"/>
          <w:numId w:val="31"/>
        </w:numPr>
        <w:rPr>
          <w:rFonts w:ascii="MS PGothic" w:cs="MS PGothic" w:eastAsia="MS PGothic" w:hAnsi="MS PGothic"/>
          <w:sz w:val="18"/>
          <w:szCs w:val="18"/>
          <w:color w:val="D95A3B"/>
        </w:rPr>
      </w:pPr>
      <w:r>
        <w:rPr>
          <w:rFonts w:ascii="Arial" w:cs="Arial" w:eastAsia="Arial" w:hAnsi="Arial"/>
          <w:sz w:val="18"/>
          <w:szCs w:val="18"/>
          <w:i w:val="1"/>
          <w:iCs w:val="1"/>
          <w:color w:val="D95A3B"/>
        </w:rPr>
        <w:t xml:space="preserve">We repositioned the company for future growth </w:t>
      </w:r>
      <w:r>
        <w:rPr>
          <w:rFonts w:ascii="Arial" w:cs="Arial" w:eastAsia="Arial" w:hAnsi="Arial"/>
          <w:sz w:val="18"/>
          <w:szCs w:val="18"/>
          <w:color w:val="000000"/>
        </w:rPr>
        <w:t>– Our new customer segments are aligned around the customer, allowing us to</w:t>
      </w:r>
      <w:r>
        <w:rPr>
          <w:rFonts w:ascii="Arial" w:cs="Arial" w:eastAsia="Arial" w:hAnsi="Arial"/>
          <w:sz w:val="18"/>
          <w:szCs w:val="18"/>
          <w:i w:val="1"/>
          <w:iCs w:val="1"/>
          <w:color w:val="D95A3B"/>
        </w:rPr>
        <w:t xml:space="preserve"> </w:t>
      </w:r>
      <w:r>
        <w:rPr>
          <w:rFonts w:ascii="Arial" w:cs="Arial" w:eastAsia="Arial" w:hAnsi="Arial"/>
          <w:sz w:val="18"/>
          <w:szCs w:val="18"/>
          <w:color w:val="000000"/>
        </w:rPr>
        <w:t>concentrate on the customer experience and offer full value propositions to address the needs of each customer. We believe that this model will allow us to sell more to existing customers, while also attracting and acquiring new customers that are looking for comprehensive solutions. Our growth strategy also includes providing more software and solutions to our customers.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believe that our compensation program is strongly connected to our ability to achieve success for Thomson Reuters.</w:t>
      </w:r>
    </w:p>
    <w:p>
      <w:pPr>
        <w:spacing w:after="0" w:line="98" w:lineRule="exact"/>
        <w:rPr>
          <w:sz w:val="20"/>
          <w:szCs w:val="20"/>
          <w:color w:val="auto"/>
        </w:rPr>
      </w:pPr>
    </w:p>
    <w:p>
      <w:pPr>
        <w:jc w:val="both"/>
        <w:ind w:left="660" w:right="160" w:hanging="437"/>
        <w:spacing w:after="0" w:line="249" w:lineRule="auto"/>
        <w:tabs>
          <w:tab w:leader="none" w:pos="660" w:val="left"/>
        </w:tabs>
        <w:numPr>
          <w:ilvl w:val="0"/>
          <w:numId w:val="32"/>
        </w:numPr>
        <w:rPr>
          <w:rFonts w:ascii="MS PGothic" w:cs="MS PGothic" w:eastAsia="MS PGothic" w:hAnsi="MS PGothic"/>
          <w:sz w:val="18"/>
          <w:szCs w:val="18"/>
          <w:color w:val="D95A3B"/>
        </w:rPr>
      </w:pPr>
      <w:r>
        <w:rPr>
          <w:rFonts w:ascii="Arial" w:cs="Arial" w:eastAsia="Arial" w:hAnsi="Arial"/>
          <w:sz w:val="18"/>
          <w:szCs w:val="18"/>
          <w:i w:val="1"/>
          <w:iCs w:val="1"/>
          <w:color w:val="D95A3B"/>
        </w:rPr>
        <w:t xml:space="preserve">2018 compensation decisions were aligned with our strategic objectives </w:t>
      </w:r>
      <w:r>
        <w:rPr>
          <w:rFonts w:ascii="Arial" w:cs="Arial" w:eastAsia="Arial" w:hAnsi="Arial"/>
          <w:sz w:val="18"/>
          <w:szCs w:val="18"/>
          <w:color w:val="000000"/>
        </w:rPr>
        <w:t>– During 2018, the HR Committee was actively engaged in</w:t>
      </w:r>
      <w:r>
        <w:rPr>
          <w:rFonts w:ascii="Arial" w:cs="Arial" w:eastAsia="Arial" w:hAnsi="Arial"/>
          <w:sz w:val="18"/>
          <w:szCs w:val="18"/>
          <w:i w:val="1"/>
          <w:iCs w:val="1"/>
          <w:color w:val="D95A3B"/>
        </w:rPr>
        <w:t xml:space="preserve"> </w:t>
      </w:r>
      <w:r>
        <w:rPr>
          <w:rFonts w:ascii="Arial" w:cs="Arial" w:eastAsia="Arial" w:hAnsi="Arial"/>
          <w:sz w:val="18"/>
          <w:szCs w:val="18"/>
          <w:color w:val="000000"/>
        </w:rPr>
        <w:t>reviewing and discussing the design and approach to our compensation, talent and culture programs to fit the Thomson Reuters of the future.</w:t>
      </w:r>
    </w:p>
    <w:p>
      <w:pPr>
        <w:spacing w:after="0" w:line="60" w:lineRule="exact"/>
        <w:rPr>
          <w:rFonts w:ascii="MS PGothic" w:cs="MS PGothic" w:eastAsia="MS PGothic" w:hAnsi="MS PGothic"/>
          <w:sz w:val="18"/>
          <w:szCs w:val="18"/>
          <w:color w:val="D95A3B"/>
        </w:rPr>
      </w:pPr>
    </w:p>
    <w:p>
      <w:pPr>
        <w:ind w:left="980" w:right="60" w:hanging="326"/>
        <w:spacing w:after="0" w:line="236" w:lineRule="auto"/>
        <w:tabs>
          <w:tab w:leader="none" w:pos="980" w:val="left"/>
        </w:tabs>
        <w:numPr>
          <w:ilvl w:val="1"/>
          <w:numId w:val="32"/>
        </w:numPr>
        <w:rPr>
          <w:rFonts w:ascii="Arial" w:cs="Arial" w:eastAsia="Arial" w:hAnsi="Arial"/>
          <w:sz w:val="15"/>
          <w:szCs w:val="15"/>
          <w:color w:val="auto"/>
        </w:rPr>
      </w:pPr>
      <w:r>
        <w:rPr>
          <w:rFonts w:ascii="Arial" w:cs="Arial" w:eastAsia="Arial" w:hAnsi="Arial"/>
          <w:sz w:val="18"/>
          <w:szCs w:val="18"/>
          <w:color w:val="auto"/>
        </w:rPr>
        <w:t>In 2018, a significant portion of executive pay was at risk and linked to both operational performance and stock price. 88% of our CEO’s 2018 target compensation was variable and approximately 74% of the other named executive officers’ 2018 target compensation was variable. In 2018, we did not increase base salaries or the value of target annual and long-term incentive awards for Messrs. Smith and Bello. As part of restructuring Thomson Reuters into a new customer-focused organization, Messrs. Peccarelli and Masterson each received increases to their base salary and long-term incentive awards and special equity awards in connection with their promotions to co-Chief Operating Officers and to increase retention. Mr. Friedenberg joined our company in December 2018 and received a sign-on equity award and cash bonus.</w:t>
      </w:r>
    </w:p>
    <w:p>
      <w:pPr>
        <w:spacing w:after="0" w:line="69" w:lineRule="exact"/>
        <w:rPr>
          <w:rFonts w:ascii="Arial" w:cs="Arial" w:eastAsia="Arial" w:hAnsi="Arial"/>
          <w:sz w:val="15"/>
          <w:szCs w:val="15"/>
          <w:color w:val="auto"/>
        </w:rPr>
      </w:pPr>
    </w:p>
    <w:p>
      <w:pPr>
        <w:ind w:left="980" w:right="240" w:hanging="326"/>
        <w:spacing w:after="0" w:line="247" w:lineRule="auto"/>
        <w:tabs>
          <w:tab w:leader="none" w:pos="980" w:val="left"/>
        </w:tabs>
        <w:numPr>
          <w:ilvl w:val="1"/>
          <w:numId w:val="32"/>
        </w:numPr>
        <w:rPr>
          <w:rFonts w:ascii="Arial" w:cs="Arial" w:eastAsia="Arial" w:hAnsi="Arial"/>
          <w:sz w:val="14"/>
          <w:szCs w:val="14"/>
          <w:color w:val="auto"/>
        </w:rPr>
      </w:pPr>
      <w:r>
        <w:rPr>
          <w:rFonts w:ascii="Arial" w:cs="Arial" w:eastAsia="Arial" w:hAnsi="Arial"/>
          <w:sz w:val="17"/>
          <w:szCs w:val="17"/>
          <w:color w:val="auto"/>
        </w:rPr>
        <w:t>Our incentive plan goals reflected our published business outlook, operating plan and long-term strategy. Annual incentive awards focused on growth objectives for the year with metrics based on total revenues, book of business and cash operating income (adjusted EBITDA less capital expenditures). 2018 was the first year that we brought most annual incentive plan participants under a single plan rather than having different plans for different business segments. Our financial performance ended up far exceeding our targets, which resulted in one of the highest annual incentive plan payouts in more than a decade. 2018 annual incentive awards for our CEO, CFO and one of our Chief Operating Officers (Mr. Masterson), which were based 80% on our company’s results (excluding our former F&amp;R business) and 20% based on the performance of the F&amp;R business, had a payout of approximately 129% of target based on financial performance. Our other two named executive officers –</w:t>
      </w:r>
    </w:p>
    <w:p>
      <w:pPr>
        <w:spacing w:after="0" w:line="5" w:lineRule="exact"/>
        <w:rPr>
          <w:rFonts w:ascii="Arial" w:cs="Arial" w:eastAsia="Arial" w:hAnsi="Arial"/>
          <w:sz w:val="14"/>
          <w:szCs w:val="14"/>
          <w:color w:val="auto"/>
        </w:rPr>
      </w:pPr>
    </w:p>
    <w:p>
      <w:pPr>
        <w:ind w:left="980" w:right="20"/>
        <w:spacing w:after="0" w:line="238" w:lineRule="auto"/>
        <w:rPr>
          <w:rFonts w:ascii="Arial" w:cs="Arial" w:eastAsia="Arial" w:hAnsi="Arial"/>
          <w:sz w:val="14"/>
          <w:szCs w:val="14"/>
          <w:color w:val="auto"/>
        </w:rPr>
      </w:pPr>
      <w:r>
        <w:rPr>
          <w:rFonts w:ascii="Arial" w:cs="Arial" w:eastAsia="Arial" w:hAnsi="Arial"/>
          <w:sz w:val="18"/>
          <w:szCs w:val="18"/>
          <w:color w:val="auto"/>
        </w:rPr>
        <w:t>Mr. Peccarelli and Mr. Friedenberg – received 2018 annual incentive awards that were based 100% on our company’s results (excluding F&amp;R) and those awards had a payout of approximately 134% of target. As discussed in this compensation discussion and analysis, payouts for Messrs. Bello, Peccarelli and Masterson were increased based on 2018 individual performance against strategic objectives.</w:t>
      </w:r>
    </w:p>
    <w:p>
      <w:pPr>
        <w:spacing w:after="0" w:line="67" w:lineRule="exact"/>
        <w:rPr>
          <w:rFonts w:ascii="Arial" w:cs="Arial" w:eastAsia="Arial" w:hAnsi="Arial"/>
          <w:sz w:val="14"/>
          <w:szCs w:val="14"/>
          <w:color w:val="auto"/>
        </w:rPr>
      </w:pPr>
    </w:p>
    <w:p>
      <w:pPr>
        <w:ind w:left="980" w:right="260" w:hanging="326"/>
        <w:spacing w:after="0" w:line="239" w:lineRule="auto"/>
        <w:tabs>
          <w:tab w:leader="none" w:pos="980" w:val="left"/>
        </w:tabs>
        <w:numPr>
          <w:ilvl w:val="1"/>
          <w:numId w:val="32"/>
        </w:numPr>
        <w:rPr>
          <w:rFonts w:ascii="Arial" w:cs="Arial" w:eastAsia="Arial" w:hAnsi="Arial"/>
          <w:sz w:val="15"/>
          <w:szCs w:val="15"/>
          <w:color w:val="auto"/>
        </w:rPr>
      </w:pPr>
      <w:r>
        <w:rPr>
          <w:rFonts w:ascii="Arial" w:cs="Arial" w:eastAsia="Arial" w:hAnsi="Arial"/>
          <w:sz w:val="18"/>
          <w:szCs w:val="18"/>
          <w:color w:val="auto"/>
        </w:rPr>
        <w:t>Performance restricted share units (PRSUs) granted as long-term incentive awards for the three-year period ended December 31, 2018 were earned at 100% of target, reflecting actual performance for 2016 and 2017 (the first two years of the cycle) and a deemed 100% performance for 2018 (the last year of the cycle) due to complexities associated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120650</wp:posOffset>
            </wp:positionV>
            <wp:extent cx="697357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4"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46</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000" w:right="80"/>
        <w:spacing w:after="0" w:line="251" w:lineRule="auto"/>
        <w:rPr>
          <w:sz w:val="20"/>
          <w:szCs w:val="20"/>
          <w:color w:val="auto"/>
        </w:rPr>
      </w:pPr>
      <w:r>
        <w:rPr>
          <w:rFonts w:ascii="Arial" w:cs="Arial" w:eastAsia="Arial" w:hAnsi="Arial"/>
          <w:sz w:val="17"/>
          <w:szCs w:val="17"/>
          <w:color w:val="auto"/>
        </w:rPr>
        <w:t>measuring 2018 performance in light of the F&amp;R transaction. 2016-2018 PRSU awards were designed to measure performance for payout purposes based on the three-year average for each award metric. The impact of effectively splitting our company in half in 2018 made the initial performance goals no longer measurable on a comparable basis. As a result of the significant changes related to the F&amp;R transaction and to increase retention, we modified the structure of long-term incentive awards granted to our named executive officers for the 2018-2020 period to reflect 50% time based restricted share units (TRSUs) and 50% stock options to ensure an equity-based focus during a year in which setting multi-year performance goals with precision was not possible due to the transformative nature of the F&amp;R transaction. As discussed in this compensation discussion and analysis, PRSUs (weighed 50%) were added back as a performance component of long-term incentive awards granted in 2019.</w:t>
      </w:r>
    </w:p>
    <w:p>
      <w:pPr>
        <w:spacing w:after="0" w:line="42" w:lineRule="exact"/>
        <w:rPr>
          <w:sz w:val="20"/>
          <w:szCs w:val="20"/>
          <w:color w:val="auto"/>
        </w:rPr>
      </w:pPr>
    </w:p>
    <w:p>
      <w:pPr>
        <w:ind w:left="660" w:right="40" w:hanging="437"/>
        <w:spacing w:after="0" w:line="244" w:lineRule="auto"/>
        <w:tabs>
          <w:tab w:leader="none" w:pos="660" w:val="left"/>
        </w:tabs>
        <w:numPr>
          <w:ilvl w:val="0"/>
          <w:numId w:val="33"/>
        </w:numPr>
        <w:rPr>
          <w:rFonts w:ascii="MS PGothic" w:cs="MS PGothic" w:eastAsia="MS PGothic" w:hAnsi="MS PGothic"/>
          <w:sz w:val="18"/>
          <w:szCs w:val="18"/>
          <w:color w:val="D95A3B"/>
        </w:rPr>
      </w:pPr>
      <w:r>
        <w:rPr>
          <w:rFonts w:ascii="Arial" w:cs="Arial" w:eastAsia="Arial" w:hAnsi="Arial"/>
          <w:sz w:val="18"/>
          <w:szCs w:val="18"/>
          <w:i w:val="1"/>
          <w:iCs w:val="1"/>
          <w:color w:val="D95A3B"/>
        </w:rPr>
        <w:t xml:space="preserve">Our compensation program is strongly aligned with shareholder return and value </w:t>
      </w:r>
      <w:r>
        <w:rPr>
          <w:rFonts w:ascii="Arial" w:cs="Arial" w:eastAsia="Arial" w:hAnsi="Arial"/>
          <w:sz w:val="18"/>
          <w:szCs w:val="18"/>
          <w:color w:val="000000"/>
        </w:rPr>
        <w:t>– In this compensation discussion and analysis</w:t>
      </w:r>
      <w:r>
        <w:rPr>
          <w:rFonts w:ascii="Arial" w:cs="Arial" w:eastAsia="Arial" w:hAnsi="Arial"/>
          <w:sz w:val="18"/>
          <w:szCs w:val="18"/>
          <w:i w:val="1"/>
          <w:iCs w:val="1"/>
          <w:color w:val="D95A3B"/>
        </w:rPr>
        <w:t xml:space="preserve"> </w:t>
      </w:r>
      <w:r>
        <w:rPr>
          <w:rFonts w:ascii="Arial" w:cs="Arial" w:eastAsia="Arial" w:hAnsi="Arial"/>
          <w:sz w:val="18"/>
          <w:szCs w:val="18"/>
          <w:color w:val="000000"/>
        </w:rPr>
        <w:t>section, we provide graphs that show our executive officer compensation over the last five years has been strongly aligned with total shareholder return. We also require our executive officers to maintain meaningful levels of share ownership that are multiples of their respective base salaries, creating a strong link to our shareholders and the long-term success of our company.</w:t>
      </w:r>
    </w:p>
    <w:p>
      <w:pPr>
        <w:spacing w:after="0" w:line="46" w:lineRule="exact"/>
        <w:rPr>
          <w:rFonts w:ascii="MS PGothic" w:cs="MS PGothic" w:eastAsia="MS PGothic" w:hAnsi="MS PGothic"/>
          <w:sz w:val="18"/>
          <w:szCs w:val="18"/>
          <w:color w:val="D95A3B"/>
        </w:rPr>
      </w:pPr>
    </w:p>
    <w:p>
      <w:pPr>
        <w:ind w:left="660" w:right="60" w:hanging="437"/>
        <w:spacing w:after="0" w:line="253" w:lineRule="auto"/>
        <w:tabs>
          <w:tab w:leader="none" w:pos="660" w:val="left"/>
        </w:tabs>
        <w:numPr>
          <w:ilvl w:val="0"/>
          <w:numId w:val="33"/>
        </w:numPr>
        <w:rPr>
          <w:rFonts w:ascii="MS PGothic" w:cs="MS PGothic" w:eastAsia="MS PGothic" w:hAnsi="MS PGothic"/>
          <w:sz w:val="17"/>
          <w:szCs w:val="17"/>
          <w:color w:val="D95A3B"/>
        </w:rPr>
      </w:pPr>
      <w:r>
        <w:rPr>
          <w:rFonts w:ascii="Arial" w:cs="Arial" w:eastAsia="Arial" w:hAnsi="Arial"/>
          <w:sz w:val="17"/>
          <w:szCs w:val="17"/>
          <w:i w:val="1"/>
          <w:iCs w:val="1"/>
          <w:color w:val="D95A3B"/>
        </w:rPr>
        <w:t xml:space="preserve">We benchmark executive compensation and performance against global peer companies that we compete with for customers and talent </w:t>
      </w:r>
      <w:r>
        <w:rPr>
          <w:rFonts w:ascii="Arial" w:cs="Arial" w:eastAsia="Arial" w:hAnsi="Arial"/>
          <w:sz w:val="17"/>
          <w:szCs w:val="17"/>
          <w:color w:val="000000"/>
        </w:rPr>
        <w:t>– In 2018, the HR Committee approved a new global peer group for executive compensation purposes to reflect our</w:t>
      </w:r>
      <w:r>
        <w:rPr>
          <w:rFonts w:ascii="Arial" w:cs="Arial" w:eastAsia="Arial" w:hAnsi="Arial"/>
          <w:sz w:val="17"/>
          <w:szCs w:val="17"/>
          <w:i w:val="1"/>
          <w:iCs w:val="1"/>
          <w:color w:val="D95A3B"/>
        </w:rPr>
        <w:t xml:space="preserve"> </w:t>
      </w:r>
      <w:r>
        <w:rPr>
          <w:rFonts w:ascii="Arial" w:cs="Arial" w:eastAsia="Arial" w:hAnsi="Arial"/>
          <w:sz w:val="17"/>
          <w:szCs w:val="17"/>
          <w:color w:val="000000"/>
        </w:rPr>
        <w:t>company’s smaller size once the F&amp;R transaction closed. Several companies in our previous peer group that operated in the financial services industry were removed. When constructing our new global peer group, the HR Committee did not include other Canadian companies with a common Global Industry Classification System (GICS) code. While we acknowledge that proxy advisors tend to focus on these companies, we believe that they do not provide a meaningful or relevant comparison of our competitive market for talent given the particular executive talent pool from which we recruit and the significant differences in industries, businesses and operational strategy between our companies and other Canadian companies with a common GICS code. The HR Committee did, however, also approve a new Canadian peer group in 2018 given our company’s increasing presence in Toronto. This Canadian peer group is also referenced by the HR Committee as part of executive compensation benchmarking.</w:t>
      </w:r>
    </w:p>
    <w:p>
      <w:pPr>
        <w:spacing w:after="0" w:line="38" w:lineRule="exact"/>
        <w:rPr>
          <w:rFonts w:ascii="MS PGothic" w:cs="MS PGothic" w:eastAsia="MS PGothic" w:hAnsi="MS PGothic"/>
          <w:sz w:val="17"/>
          <w:szCs w:val="17"/>
          <w:color w:val="D95A3B"/>
        </w:rPr>
      </w:pPr>
    </w:p>
    <w:p>
      <w:pPr>
        <w:ind w:left="660" w:hanging="437"/>
        <w:spacing w:after="0" w:line="242" w:lineRule="auto"/>
        <w:tabs>
          <w:tab w:leader="none" w:pos="660" w:val="left"/>
        </w:tabs>
        <w:numPr>
          <w:ilvl w:val="0"/>
          <w:numId w:val="33"/>
        </w:numPr>
        <w:rPr>
          <w:rFonts w:ascii="MS PGothic" w:cs="MS PGothic" w:eastAsia="MS PGothic" w:hAnsi="MS PGothic"/>
          <w:sz w:val="18"/>
          <w:szCs w:val="18"/>
          <w:color w:val="D95A3B"/>
        </w:rPr>
      </w:pPr>
      <w:r>
        <w:rPr>
          <w:rFonts w:ascii="Arial" w:cs="Arial" w:eastAsia="Arial" w:hAnsi="Arial"/>
          <w:sz w:val="18"/>
          <w:szCs w:val="18"/>
          <w:i w:val="1"/>
          <w:iCs w:val="1"/>
          <w:color w:val="D95A3B"/>
        </w:rPr>
        <w:t xml:space="preserve">Our compensation program is aligned with good governance practices and has received strong shareholder support in recent years </w:t>
      </w:r>
      <w:r>
        <w:rPr>
          <w:rFonts w:ascii="Arial" w:cs="Arial" w:eastAsia="Arial" w:hAnsi="Arial"/>
          <w:sz w:val="18"/>
          <w:szCs w:val="18"/>
          <w:color w:val="000000"/>
        </w:rPr>
        <w:t>–</w:t>
      </w:r>
      <w:r>
        <w:rPr>
          <w:rFonts w:ascii="Arial" w:cs="Arial" w:eastAsia="Arial" w:hAnsi="Arial"/>
          <w:sz w:val="18"/>
          <w:szCs w:val="18"/>
          <w:i w:val="1"/>
          <w:iCs w:val="1"/>
          <w:color w:val="D95A3B"/>
        </w:rPr>
        <w:t xml:space="preserve"> </w:t>
      </w:r>
      <w:r>
        <w:rPr>
          <w:rFonts w:ascii="Arial" w:cs="Arial" w:eastAsia="Arial" w:hAnsi="Arial"/>
          <w:sz w:val="18"/>
          <w:szCs w:val="18"/>
          <w:color w:val="000000"/>
        </w:rPr>
        <w:t>Our plans and programs reflect strong governance principles. The HR Committee has an independent advisor (FW Cook) for executive compensation matters. We also engage with our shareholders on compensation matters during the year and we provide a “say on pay” resolution each year at our annual meeting of shareholders. Over the last five years, approximately 98% of votes have been cast “for” our “say on pay” advisory resolutions.</w:t>
      </w:r>
    </w:p>
    <w:p>
      <w:pPr>
        <w:spacing w:after="0" w:line="46" w:lineRule="exact"/>
        <w:rPr>
          <w:rFonts w:ascii="MS PGothic" w:cs="MS PGothic" w:eastAsia="MS PGothic" w:hAnsi="MS PGothic"/>
          <w:sz w:val="18"/>
          <w:szCs w:val="18"/>
          <w:color w:val="D95A3B"/>
        </w:rPr>
      </w:pPr>
    </w:p>
    <w:p>
      <w:pPr>
        <w:ind w:left="660" w:right="280" w:hanging="437"/>
        <w:spacing w:after="0" w:line="249" w:lineRule="auto"/>
        <w:tabs>
          <w:tab w:leader="none" w:pos="660" w:val="left"/>
        </w:tabs>
        <w:numPr>
          <w:ilvl w:val="0"/>
          <w:numId w:val="33"/>
        </w:numPr>
        <w:rPr>
          <w:rFonts w:ascii="MS PGothic" w:cs="MS PGothic" w:eastAsia="MS PGothic" w:hAnsi="MS PGothic"/>
          <w:sz w:val="18"/>
          <w:szCs w:val="18"/>
          <w:color w:val="D95A3B"/>
        </w:rPr>
      </w:pPr>
      <w:r>
        <w:rPr>
          <w:rFonts w:ascii="Arial" w:cs="Arial" w:eastAsia="Arial" w:hAnsi="Arial"/>
          <w:sz w:val="18"/>
          <w:szCs w:val="18"/>
          <w:i w:val="1"/>
          <w:iCs w:val="1"/>
          <w:color w:val="D95A3B"/>
        </w:rPr>
        <w:t xml:space="preserve">We do not believe that we have any problematic pay practices and risk is taken into account in our compensation programs </w:t>
      </w:r>
      <w:r>
        <w:rPr>
          <w:rFonts w:ascii="Arial" w:cs="Arial" w:eastAsia="Arial" w:hAnsi="Arial"/>
          <w:sz w:val="18"/>
          <w:szCs w:val="18"/>
          <w:i w:val="1"/>
          <w:iCs w:val="1"/>
          <w:color w:val="000000"/>
        </w:rPr>
        <w:t>–</w:t>
      </w:r>
      <w:r>
        <w:rPr>
          <w:rFonts w:ascii="Arial" w:cs="Arial" w:eastAsia="Arial" w:hAnsi="Arial"/>
          <w:sz w:val="18"/>
          <w:szCs w:val="18"/>
          <w:i w:val="1"/>
          <w:iCs w:val="1"/>
          <w:color w:val="D95A3B"/>
        </w:rPr>
        <w:t xml:space="preserve"> </w:t>
      </w:r>
      <w:r>
        <w:rPr>
          <w:rFonts w:ascii="Arial" w:cs="Arial" w:eastAsia="Arial" w:hAnsi="Arial"/>
          <w:sz w:val="18"/>
          <w:szCs w:val="18"/>
          <w:color w:val="000000"/>
        </w:rPr>
        <w:t>The</w:t>
      </w:r>
      <w:r>
        <w:rPr>
          <w:rFonts w:ascii="Arial" w:cs="Arial" w:eastAsia="Arial" w:hAnsi="Arial"/>
          <w:sz w:val="18"/>
          <w:szCs w:val="18"/>
          <w:i w:val="1"/>
          <w:iCs w:val="1"/>
          <w:color w:val="D95A3B"/>
        </w:rPr>
        <w:t xml:space="preserve"> </w:t>
      </w:r>
      <w:r>
        <w:rPr>
          <w:rFonts w:ascii="Arial" w:cs="Arial" w:eastAsia="Arial" w:hAnsi="Arial"/>
          <w:sz w:val="18"/>
          <w:szCs w:val="18"/>
          <w:color w:val="000000"/>
        </w:rPr>
        <w:t>HR Committee’s independent advisor is of the view that our compensation program appears unlikely to create incentives for excessive risk taking and includes meaningful safeguards to mitigate compensation program risk.</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Looking Forward: Key 2019 Compensation Decisions</w:t>
      </w:r>
    </w:p>
    <w:p>
      <w:pPr>
        <w:spacing w:after="0" w:line="79" w:lineRule="exact"/>
        <w:rPr>
          <w:sz w:val="20"/>
          <w:szCs w:val="20"/>
          <w:color w:val="auto"/>
        </w:rPr>
      </w:pPr>
    </w:p>
    <w:p>
      <w:pPr>
        <w:ind w:left="220" w:right="300"/>
        <w:spacing w:after="0" w:line="239" w:lineRule="auto"/>
        <w:rPr>
          <w:sz w:val="20"/>
          <w:szCs w:val="20"/>
          <w:color w:val="auto"/>
        </w:rPr>
      </w:pPr>
      <w:r>
        <w:rPr>
          <w:rFonts w:ascii="Arial" w:cs="Arial" w:eastAsia="Arial" w:hAnsi="Arial"/>
          <w:sz w:val="18"/>
          <w:szCs w:val="18"/>
          <w:color w:val="auto"/>
        </w:rPr>
        <w:t>In March 2019, the HR Committee decided not to increase any of our named executive officers’ base salaries after an evaluation of current market positioning of their compensation. Our named executive officers were also granted 2019 annual and long-term incentive awards with target payouts reflected at the same percentages of base salary as their 2018 targets.</w:t>
      </w:r>
    </w:p>
    <w:p>
      <w:pPr>
        <w:spacing w:after="0" w:line="95" w:lineRule="exact"/>
        <w:rPr>
          <w:sz w:val="20"/>
          <w:szCs w:val="20"/>
          <w:color w:val="auto"/>
        </w:rPr>
      </w:pPr>
    </w:p>
    <w:p>
      <w:pPr>
        <w:ind w:left="220" w:right="60"/>
        <w:spacing w:after="0" w:line="239" w:lineRule="auto"/>
        <w:rPr>
          <w:sz w:val="20"/>
          <w:szCs w:val="20"/>
          <w:color w:val="auto"/>
        </w:rPr>
      </w:pPr>
      <w:r>
        <w:rPr>
          <w:rFonts w:ascii="Arial" w:cs="Arial" w:eastAsia="Arial" w:hAnsi="Arial"/>
          <w:sz w:val="18"/>
          <w:szCs w:val="18"/>
          <w:color w:val="auto"/>
        </w:rPr>
        <w:t>2019 annual incentive awards for our named executive officers were weighted 1/3 each on organic revenue, book of business and adjusted EBITDA less capital expenditures performance. All metrics are based on Thomson Reuters consolidated performance, which the HR Committee believes promotes teamwork and enables more enterprise collaboration.</w:t>
      </w:r>
    </w:p>
    <w:p>
      <w:pPr>
        <w:spacing w:after="0" w:line="95"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2019 long-term incentive awards for our named executive officers were split between 50% PRSUs, 25% TRSUs and 25% stock options. PRSUs granted for the 2019-2021 performance period are weighted 50% each on average organic revenue growth and average free cash flow per share performance. The HR Committee believes that organic revenue growth over a multi-year period complements the same metric as reflected in 2019 annual incentive awards and aligns to the company’s strategic priorities. The HR Committee also believes that including a component of TRSUs in long-term awards balances the award mix and supports retention, while still promoting a performance culture in the organization.</w:t>
      </w:r>
    </w:p>
    <w:p>
      <w:pPr>
        <w:spacing w:after="0" w:line="98" w:lineRule="exact"/>
        <w:rPr>
          <w:sz w:val="20"/>
          <w:szCs w:val="20"/>
          <w:color w:val="auto"/>
        </w:rPr>
      </w:pPr>
    </w:p>
    <w:p>
      <w:pPr>
        <w:ind w:left="220" w:right="200"/>
        <w:spacing w:after="0" w:line="244" w:lineRule="auto"/>
        <w:rPr>
          <w:sz w:val="20"/>
          <w:szCs w:val="20"/>
          <w:color w:val="auto"/>
        </w:rPr>
      </w:pPr>
      <w:r>
        <w:rPr>
          <w:rFonts w:ascii="Arial" w:cs="Arial" w:eastAsia="Arial" w:hAnsi="Arial"/>
          <w:sz w:val="18"/>
          <w:szCs w:val="18"/>
          <w:color w:val="auto"/>
        </w:rPr>
        <w:t>The HR Committee believes that the 2019 compensation program continues to align executive pay with the company’s annual and long-term strategic and financial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118110</wp:posOffset>
            </wp:positionV>
            <wp:extent cx="697357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26"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47</w:t>
      </w:r>
    </w:p>
    <w:p>
      <w:pPr>
        <w:sectPr>
          <w:pgSz w:w="11900" w:h="16838" w:orient="portrait"/>
          <w:cols w:equalWidth="0" w:num="1">
            <w:col w:w="11200"/>
          </w:cols>
          <w:pgMar w:left="240" w:top="458"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Our 2018 Compensation Program</w:t>
      </w:r>
    </w:p>
    <w:p>
      <w:pPr>
        <w:spacing w:after="0" w:line="79" w:lineRule="exact"/>
        <w:rPr>
          <w:sz w:val="20"/>
          <w:szCs w:val="20"/>
          <w:color w:val="auto"/>
        </w:rPr>
      </w:pPr>
    </w:p>
    <w:p>
      <w:pPr>
        <w:ind w:left="220" w:right="180"/>
        <w:spacing w:after="0" w:line="239" w:lineRule="auto"/>
        <w:rPr>
          <w:sz w:val="20"/>
          <w:szCs w:val="20"/>
          <w:color w:val="auto"/>
        </w:rPr>
      </w:pPr>
      <w:r>
        <w:rPr>
          <w:rFonts w:ascii="Arial" w:cs="Arial" w:eastAsia="Arial" w:hAnsi="Arial"/>
          <w:sz w:val="18"/>
          <w:szCs w:val="18"/>
          <w:color w:val="auto"/>
        </w:rPr>
        <w:t>The HR Committee of the board structured our 2018 compensation program in a way that was consistent with our strategic objectives, A named executive officer’s total compensation typically comprises the following components. We describe each of these components in more detail later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69215</wp:posOffset>
            </wp:positionV>
            <wp:extent cx="8255" cy="1282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69215</wp:posOffset>
            </wp:positionV>
            <wp:extent cx="8255" cy="1282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69215</wp:posOffset>
            </wp:positionV>
            <wp:extent cx="8255" cy="1282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69215</wp:posOffset>
            </wp:positionV>
            <wp:extent cx="8255" cy="1282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1807845</wp:posOffset>
            </wp:positionH>
            <wp:positionV relativeFrom="paragraph">
              <wp:posOffset>69215</wp:posOffset>
            </wp:positionV>
            <wp:extent cx="8255" cy="1282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128270"/>
                    </a:xfrm>
                    <a:prstGeom prst="rect">
                      <a:avLst/>
                    </a:prstGeom>
                    <a:noFill/>
                  </pic:spPr>
                </pic:pic>
              </a:graphicData>
            </a:graphic>
          </wp:anchor>
        </w:drawing>
      </w:r>
    </w:p>
    <w:p>
      <w:pPr>
        <w:spacing w:after="0" w:line="89"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264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Component</w:t>
            </w:r>
          </w:p>
        </w:tc>
        <w:tc>
          <w:tcPr>
            <w:tcW w:w="2640" w:type="dxa"/>
            <w:vAlign w:val="bottom"/>
            <w:tcBorders>
              <w:bottom w:val="single" w:sz="8" w:color="D95A3B"/>
              <w:right w:val="single" w:sz="8" w:color="CCCCCC"/>
            </w:tcBorders>
            <w:shd w:val="clear" w:color="auto" w:fill="CCCCCC"/>
          </w:tcPr>
          <w:p>
            <w:pPr>
              <w:ind w:left="100"/>
              <w:spacing w:after="0"/>
              <w:rPr>
                <w:sz w:val="20"/>
                <w:szCs w:val="20"/>
                <w:color w:val="auto"/>
              </w:rPr>
            </w:pPr>
            <w:r>
              <w:rPr>
                <w:rFonts w:ascii="Arial" w:cs="Arial" w:eastAsia="Arial" w:hAnsi="Arial"/>
                <w:sz w:val="15"/>
                <w:szCs w:val="15"/>
                <w:b w:val="1"/>
                <w:bCs w:val="1"/>
                <w:color w:val="auto"/>
              </w:rPr>
              <w:t>Description</w:t>
            </w:r>
          </w:p>
        </w:tc>
        <w:tc>
          <w:tcPr>
            <w:tcW w:w="1320" w:type="dxa"/>
            <w:vAlign w:val="bottom"/>
            <w:tcBorders>
              <w:bottom w:val="single" w:sz="8" w:color="D95A3B"/>
              <w:right w:val="single" w:sz="8" w:color="CCCCCC"/>
            </w:tcBorders>
            <w:shd w:val="clear" w:color="auto" w:fill="CCCCCC"/>
          </w:tcPr>
          <w:p>
            <w:pPr>
              <w:ind w:left="80"/>
              <w:spacing w:after="0"/>
              <w:rPr>
                <w:sz w:val="20"/>
                <w:szCs w:val="20"/>
                <w:color w:val="auto"/>
              </w:rPr>
            </w:pPr>
            <w:r>
              <w:rPr>
                <w:rFonts w:ascii="Arial" w:cs="Arial" w:eastAsia="Arial" w:hAnsi="Arial"/>
                <w:sz w:val="15"/>
                <w:szCs w:val="15"/>
                <w:b w:val="1"/>
                <w:bCs w:val="1"/>
                <w:color w:val="auto"/>
              </w:rPr>
              <w:t>Type</w:t>
            </w:r>
          </w:p>
        </w:tc>
        <w:tc>
          <w:tcPr>
            <w:tcW w:w="1420" w:type="dxa"/>
            <w:vAlign w:val="bottom"/>
            <w:tcBorders>
              <w:bottom w:val="single" w:sz="8" w:color="D95A3B"/>
              <w:right w:val="single" w:sz="8" w:color="CCCCCC"/>
            </w:tcBorders>
            <w:shd w:val="clear" w:color="auto" w:fill="CCCCCC"/>
          </w:tcPr>
          <w:p>
            <w:pPr>
              <w:ind w:left="100"/>
              <w:spacing w:after="0"/>
              <w:rPr>
                <w:sz w:val="20"/>
                <w:szCs w:val="20"/>
                <w:color w:val="auto"/>
              </w:rPr>
            </w:pPr>
            <w:r>
              <w:rPr>
                <w:rFonts w:ascii="Arial" w:cs="Arial" w:eastAsia="Arial" w:hAnsi="Arial"/>
                <w:sz w:val="15"/>
                <w:szCs w:val="15"/>
                <w:b w:val="1"/>
                <w:bCs w:val="1"/>
                <w:color w:val="auto"/>
              </w:rPr>
              <w:t>2018 Measures</w:t>
            </w:r>
          </w:p>
        </w:tc>
        <w:tc>
          <w:tcPr>
            <w:tcW w:w="680" w:type="dxa"/>
            <w:vAlign w:val="bottom"/>
            <w:tcBorders>
              <w:bottom w:val="single" w:sz="8" w:color="D95A3B"/>
              <w:right w:val="single" w:sz="8" w:color="CCCCCC"/>
            </w:tcBorders>
            <w:shd w:val="clear" w:color="auto" w:fill="CCCCCC"/>
          </w:tcPr>
          <w:p>
            <w:pPr>
              <w:ind w:left="80"/>
              <w:spacing w:after="0"/>
              <w:rPr>
                <w:sz w:val="20"/>
                <w:szCs w:val="20"/>
                <w:color w:val="auto"/>
              </w:rPr>
            </w:pPr>
            <w:r>
              <w:rPr>
                <w:rFonts w:ascii="Arial" w:cs="Arial" w:eastAsia="Arial" w:hAnsi="Arial"/>
                <w:sz w:val="15"/>
                <w:szCs w:val="15"/>
                <w:b w:val="1"/>
                <w:bCs w:val="1"/>
                <w:color w:val="auto"/>
              </w:rPr>
              <w:t>Form</w:t>
            </w:r>
          </w:p>
        </w:tc>
        <w:tc>
          <w:tcPr>
            <w:tcW w:w="2280" w:type="dxa"/>
            <w:vAlign w:val="bottom"/>
            <w:tcBorders>
              <w:bottom w:val="single" w:sz="8" w:color="D95A3B"/>
            </w:tcBorders>
            <w:shd w:val="clear" w:color="auto" w:fill="CCCCCC"/>
          </w:tcPr>
          <w:p>
            <w:pPr>
              <w:ind w:left="100"/>
              <w:spacing w:after="0"/>
              <w:rPr>
                <w:sz w:val="20"/>
                <w:szCs w:val="20"/>
                <w:color w:val="auto"/>
              </w:rPr>
            </w:pPr>
            <w:r>
              <w:rPr>
                <w:rFonts w:ascii="Arial" w:cs="Arial" w:eastAsia="Arial" w:hAnsi="Arial"/>
                <w:sz w:val="15"/>
                <w:szCs w:val="15"/>
                <w:b w:val="1"/>
                <w:bCs w:val="1"/>
                <w:color w:val="auto"/>
              </w:rPr>
              <w:t>Purpose</w:t>
            </w:r>
          </w:p>
        </w:tc>
        <w:tc>
          <w:tcPr>
            <w:tcW w:w="0" w:type="dxa"/>
            <w:vAlign w:val="bottom"/>
          </w:tcPr>
          <w:p>
            <w:pPr>
              <w:spacing w:after="0"/>
              <w:rPr>
                <w:sz w:val="1"/>
                <w:szCs w:val="1"/>
                <w:color w:val="auto"/>
              </w:rPr>
            </w:pPr>
          </w:p>
        </w:tc>
      </w:tr>
      <w:tr>
        <w:trPr>
          <w:trHeight w:val="160"/>
        </w:trPr>
        <w:tc>
          <w:tcPr>
            <w:tcW w:w="2640" w:type="dxa"/>
            <w:vAlign w:val="bottom"/>
            <w:tcBorders>
              <w:right w:val="single" w:sz="8" w:color="AFAFAF"/>
            </w:tcBorders>
          </w:tcPr>
          <w:p>
            <w:pPr>
              <w:ind w:left="140"/>
              <w:spacing w:after="0" w:line="160" w:lineRule="exact"/>
              <w:rPr>
                <w:sz w:val="20"/>
                <w:szCs w:val="20"/>
                <w:color w:val="auto"/>
              </w:rPr>
            </w:pPr>
            <w:r>
              <w:rPr>
                <w:rFonts w:ascii="Arial" w:cs="Arial" w:eastAsia="Arial" w:hAnsi="Arial"/>
                <w:sz w:val="14"/>
                <w:szCs w:val="14"/>
                <w:b w:val="1"/>
                <w:bCs w:val="1"/>
                <w:color w:val="auto"/>
              </w:rPr>
              <w:t>Base salary</w:t>
            </w:r>
          </w:p>
        </w:tc>
        <w:tc>
          <w:tcPr>
            <w:tcW w:w="2640" w:type="dxa"/>
            <w:vAlign w:val="bottom"/>
            <w:tcBorders>
              <w:right w:val="single" w:sz="8" w:color="AFAFAF"/>
            </w:tcBorders>
          </w:tcPr>
          <w:p>
            <w:pPr>
              <w:ind w:left="100"/>
              <w:spacing w:after="0" w:line="160" w:lineRule="exact"/>
              <w:rPr>
                <w:sz w:val="20"/>
                <w:szCs w:val="20"/>
                <w:color w:val="auto"/>
              </w:rPr>
            </w:pPr>
            <w:r>
              <w:rPr>
                <w:rFonts w:ascii="Arial" w:cs="Arial" w:eastAsia="Arial" w:hAnsi="Arial"/>
                <w:sz w:val="14"/>
                <w:szCs w:val="14"/>
                <w:color w:val="auto"/>
              </w:rPr>
              <w:t>Payments made throughout</w:t>
            </w:r>
          </w:p>
        </w:tc>
        <w:tc>
          <w:tcPr>
            <w:tcW w:w="1320" w:type="dxa"/>
            <w:vAlign w:val="bottom"/>
            <w:tcBorders>
              <w:right w:val="single" w:sz="8" w:color="AFAFAF"/>
            </w:tcBorders>
          </w:tcPr>
          <w:p>
            <w:pPr>
              <w:ind w:left="80"/>
              <w:spacing w:after="0" w:line="160" w:lineRule="exact"/>
              <w:rPr>
                <w:sz w:val="20"/>
                <w:szCs w:val="20"/>
                <w:color w:val="auto"/>
              </w:rPr>
            </w:pPr>
            <w:r>
              <w:rPr>
                <w:rFonts w:ascii="Arial" w:cs="Arial" w:eastAsia="Arial" w:hAnsi="Arial"/>
                <w:sz w:val="14"/>
                <w:szCs w:val="14"/>
                <w:color w:val="auto"/>
              </w:rPr>
              <w:t>Fixed</w:t>
            </w:r>
          </w:p>
        </w:tc>
        <w:tc>
          <w:tcPr>
            <w:tcW w:w="1420" w:type="dxa"/>
            <w:vAlign w:val="bottom"/>
            <w:tcBorders>
              <w:right w:val="single" w:sz="8" w:color="AFAFAF"/>
            </w:tcBorders>
          </w:tcPr>
          <w:p>
            <w:pPr>
              <w:ind w:left="100"/>
              <w:spacing w:after="0" w:line="160" w:lineRule="exact"/>
              <w:rPr>
                <w:sz w:val="20"/>
                <w:szCs w:val="20"/>
                <w:color w:val="auto"/>
              </w:rPr>
            </w:pPr>
            <w:r>
              <w:rPr>
                <w:rFonts w:ascii="Arial" w:cs="Arial" w:eastAsia="Arial" w:hAnsi="Arial"/>
                <w:sz w:val="14"/>
                <w:szCs w:val="14"/>
                <w:color w:val="auto"/>
              </w:rPr>
              <w:t>Individual</w:t>
            </w:r>
          </w:p>
        </w:tc>
        <w:tc>
          <w:tcPr>
            <w:tcW w:w="680" w:type="dxa"/>
            <w:vAlign w:val="bottom"/>
            <w:tcBorders>
              <w:right w:val="single" w:sz="8" w:color="AFAFAF"/>
            </w:tcBorders>
          </w:tcPr>
          <w:p>
            <w:pPr>
              <w:ind w:left="80"/>
              <w:spacing w:after="0" w:line="160" w:lineRule="exact"/>
              <w:rPr>
                <w:sz w:val="20"/>
                <w:szCs w:val="20"/>
                <w:color w:val="auto"/>
              </w:rPr>
            </w:pPr>
            <w:r>
              <w:rPr>
                <w:rFonts w:ascii="Arial" w:cs="Arial" w:eastAsia="Arial" w:hAnsi="Arial"/>
                <w:sz w:val="14"/>
                <w:szCs w:val="14"/>
                <w:color w:val="auto"/>
              </w:rPr>
              <w:t>Cash</w:t>
            </w:r>
          </w:p>
        </w:tc>
        <w:tc>
          <w:tcPr>
            <w:tcW w:w="2280" w:type="dxa"/>
            <w:vAlign w:val="bottom"/>
          </w:tcPr>
          <w:p>
            <w:pPr>
              <w:ind w:left="100"/>
              <w:spacing w:after="0" w:line="160" w:lineRule="exact"/>
              <w:rPr>
                <w:sz w:val="20"/>
                <w:szCs w:val="20"/>
                <w:color w:val="auto"/>
              </w:rPr>
            </w:pPr>
            <w:r>
              <w:rPr>
                <w:rFonts w:ascii="Arial" w:cs="Arial" w:eastAsia="Arial" w:hAnsi="Arial"/>
                <w:sz w:val="14"/>
                <w:szCs w:val="14"/>
                <w:color w:val="auto"/>
              </w:rPr>
              <w:t>Provides predictable amount of</w:t>
            </w: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the year at an established rate.</w:t>
            </w: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performance, role,</w:t>
            </w:r>
          </w:p>
        </w:tc>
        <w:tc>
          <w:tcPr>
            <w:tcW w:w="680" w:type="dxa"/>
            <w:vAlign w:val="bottom"/>
            <w:tcBorders>
              <w:right w:val="single" w:sz="8" w:color="AFAFAF"/>
            </w:tcBorders>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fixed income as short-term</w:t>
            </w: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responsibilities and</w:t>
            </w:r>
          </w:p>
        </w:tc>
        <w:tc>
          <w:tcPr>
            <w:tcW w:w="680" w:type="dxa"/>
            <w:vAlign w:val="bottom"/>
            <w:tcBorders>
              <w:right w:val="single" w:sz="8" w:color="AFAFAF"/>
            </w:tcBorders>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157"/>
        </w:trPr>
        <w:tc>
          <w:tcPr>
            <w:tcW w:w="2640" w:type="dxa"/>
            <w:vAlign w:val="bottom"/>
            <w:tcBorders>
              <w:bottom w:val="single" w:sz="8" w:color="AFAFAF"/>
              <w:right w:val="single" w:sz="8" w:color="AFAFAF"/>
            </w:tcBorders>
          </w:tcPr>
          <w:p>
            <w:pPr>
              <w:spacing w:after="0"/>
              <w:rPr>
                <w:sz w:val="13"/>
                <w:szCs w:val="13"/>
                <w:color w:val="auto"/>
              </w:rPr>
            </w:pPr>
          </w:p>
        </w:tc>
        <w:tc>
          <w:tcPr>
            <w:tcW w:w="2640" w:type="dxa"/>
            <w:vAlign w:val="bottom"/>
            <w:tcBorders>
              <w:bottom w:val="single" w:sz="8" w:color="AFAFAF"/>
              <w:right w:val="single" w:sz="8" w:color="AFAFAF"/>
            </w:tcBorders>
          </w:tcPr>
          <w:p>
            <w:pPr>
              <w:spacing w:after="0"/>
              <w:rPr>
                <w:sz w:val="13"/>
                <w:szCs w:val="13"/>
                <w:color w:val="auto"/>
              </w:rPr>
            </w:pPr>
          </w:p>
        </w:tc>
        <w:tc>
          <w:tcPr>
            <w:tcW w:w="1320" w:type="dxa"/>
            <w:vAlign w:val="bottom"/>
            <w:tcBorders>
              <w:bottom w:val="single" w:sz="8" w:color="AFAFAF"/>
              <w:right w:val="single" w:sz="8" w:color="AFAFAF"/>
            </w:tcBorders>
          </w:tcPr>
          <w:p>
            <w:pPr>
              <w:spacing w:after="0"/>
              <w:rPr>
                <w:sz w:val="13"/>
                <w:szCs w:val="13"/>
                <w:color w:val="auto"/>
              </w:rPr>
            </w:pPr>
          </w:p>
        </w:tc>
        <w:tc>
          <w:tcPr>
            <w:tcW w:w="1420" w:type="dxa"/>
            <w:vAlign w:val="bottom"/>
            <w:tcBorders>
              <w:bottom w:val="single" w:sz="8" w:color="AFAFAF"/>
              <w:right w:val="single" w:sz="8" w:color="AFAFAF"/>
            </w:tcBorders>
          </w:tcPr>
          <w:p>
            <w:pPr>
              <w:ind w:left="100"/>
              <w:spacing w:after="0" w:line="157" w:lineRule="exact"/>
              <w:rPr>
                <w:sz w:val="20"/>
                <w:szCs w:val="20"/>
                <w:color w:val="auto"/>
              </w:rPr>
            </w:pPr>
            <w:r>
              <w:rPr>
                <w:rFonts w:ascii="Arial" w:cs="Arial" w:eastAsia="Arial" w:hAnsi="Arial"/>
                <w:sz w:val="14"/>
                <w:szCs w:val="14"/>
                <w:color w:val="auto"/>
              </w:rPr>
              <w:t>experience.</w:t>
            </w:r>
          </w:p>
        </w:tc>
        <w:tc>
          <w:tcPr>
            <w:tcW w:w="680" w:type="dxa"/>
            <w:vAlign w:val="bottom"/>
            <w:tcBorders>
              <w:bottom w:val="single" w:sz="8" w:color="AFAFAF"/>
              <w:right w:val="single" w:sz="8" w:color="AFAFAF"/>
            </w:tcBorders>
          </w:tcPr>
          <w:p>
            <w:pPr>
              <w:spacing w:after="0"/>
              <w:rPr>
                <w:sz w:val="13"/>
                <w:szCs w:val="13"/>
                <w:color w:val="auto"/>
              </w:rPr>
            </w:pPr>
          </w:p>
        </w:tc>
        <w:tc>
          <w:tcPr>
            <w:tcW w:w="2280" w:type="dxa"/>
            <w:vAlign w:val="bottom"/>
            <w:tcBorders>
              <w:bottom w:val="single" w:sz="8" w:color="AFAFA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40" w:type="dxa"/>
            <w:vAlign w:val="bottom"/>
            <w:tcBorders>
              <w:right w:val="single" w:sz="8" w:color="AFAFAF"/>
            </w:tcBorders>
          </w:tcPr>
          <w:p>
            <w:pPr>
              <w:ind w:left="140"/>
              <w:spacing w:after="0" w:line="160" w:lineRule="exact"/>
              <w:rPr>
                <w:sz w:val="20"/>
                <w:szCs w:val="20"/>
                <w:color w:val="auto"/>
              </w:rPr>
            </w:pPr>
            <w:r>
              <w:rPr>
                <w:rFonts w:ascii="Arial" w:cs="Arial" w:eastAsia="Arial" w:hAnsi="Arial"/>
                <w:sz w:val="14"/>
                <w:szCs w:val="14"/>
                <w:b w:val="1"/>
                <w:bCs w:val="1"/>
                <w:color w:val="auto"/>
              </w:rPr>
              <w:t>Annual incentive award</w:t>
            </w:r>
          </w:p>
        </w:tc>
        <w:tc>
          <w:tcPr>
            <w:tcW w:w="2640" w:type="dxa"/>
            <w:vAlign w:val="bottom"/>
            <w:tcBorders>
              <w:right w:val="single" w:sz="8" w:color="AFAFAF"/>
            </w:tcBorders>
          </w:tcPr>
          <w:p>
            <w:pPr>
              <w:ind w:left="100"/>
              <w:spacing w:after="0" w:line="160" w:lineRule="exact"/>
              <w:rPr>
                <w:sz w:val="20"/>
                <w:szCs w:val="20"/>
                <w:color w:val="auto"/>
              </w:rPr>
            </w:pPr>
            <w:r>
              <w:rPr>
                <w:rFonts w:ascii="Arial" w:cs="Arial" w:eastAsia="Arial" w:hAnsi="Arial"/>
                <w:sz w:val="14"/>
                <w:szCs w:val="14"/>
                <w:color w:val="auto"/>
              </w:rPr>
              <w:t>Variable payment made in March after</w:t>
            </w:r>
          </w:p>
        </w:tc>
        <w:tc>
          <w:tcPr>
            <w:tcW w:w="1320" w:type="dxa"/>
            <w:vAlign w:val="bottom"/>
            <w:tcBorders>
              <w:right w:val="single" w:sz="8" w:color="AFAFAF"/>
            </w:tcBorders>
          </w:tcPr>
          <w:p>
            <w:pPr>
              <w:ind w:left="80"/>
              <w:spacing w:after="0" w:line="160" w:lineRule="exact"/>
              <w:rPr>
                <w:sz w:val="20"/>
                <w:szCs w:val="20"/>
                <w:color w:val="auto"/>
              </w:rPr>
            </w:pPr>
            <w:r>
              <w:rPr>
                <w:rFonts w:ascii="Arial" w:cs="Arial" w:eastAsia="Arial" w:hAnsi="Arial"/>
                <w:sz w:val="14"/>
                <w:szCs w:val="14"/>
                <w:color w:val="auto"/>
              </w:rPr>
              <w:t>Performance-</w:t>
            </w:r>
          </w:p>
        </w:tc>
        <w:tc>
          <w:tcPr>
            <w:tcW w:w="1420" w:type="dxa"/>
            <w:vAlign w:val="bottom"/>
            <w:tcBorders>
              <w:right w:val="single" w:sz="8" w:color="AFAFAF"/>
            </w:tcBorders>
          </w:tcPr>
          <w:p>
            <w:pPr>
              <w:ind w:left="100"/>
              <w:spacing w:after="0" w:line="160" w:lineRule="exact"/>
              <w:rPr>
                <w:sz w:val="20"/>
                <w:szCs w:val="20"/>
                <w:color w:val="auto"/>
              </w:rPr>
            </w:pPr>
            <w:r>
              <w:rPr>
                <w:rFonts w:ascii="Arial" w:cs="Arial" w:eastAsia="Arial" w:hAnsi="Arial"/>
                <w:sz w:val="14"/>
                <w:szCs w:val="14"/>
                <w:color w:val="auto"/>
              </w:rPr>
              <w:t>Revenues (1/3).</w:t>
            </w:r>
          </w:p>
        </w:tc>
        <w:tc>
          <w:tcPr>
            <w:tcW w:w="680" w:type="dxa"/>
            <w:vAlign w:val="bottom"/>
            <w:tcBorders>
              <w:right w:val="single" w:sz="8" w:color="AFAFAF"/>
            </w:tcBorders>
          </w:tcPr>
          <w:p>
            <w:pPr>
              <w:ind w:left="80"/>
              <w:spacing w:after="0" w:line="160" w:lineRule="exact"/>
              <w:rPr>
                <w:sz w:val="20"/>
                <w:szCs w:val="20"/>
                <w:color w:val="auto"/>
              </w:rPr>
            </w:pPr>
            <w:r>
              <w:rPr>
                <w:rFonts w:ascii="Arial" w:cs="Arial" w:eastAsia="Arial" w:hAnsi="Arial"/>
                <w:sz w:val="14"/>
                <w:szCs w:val="14"/>
                <w:color w:val="auto"/>
              </w:rPr>
              <w:t>Cash</w:t>
            </w:r>
          </w:p>
        </w:tc>
        <w:tc>
          <w:tcPr>
            <w:tcW w:w="2280" w:type="dxa"/>
            <w:vAlign w:val="bottom"/>
          </w:tcPr>
          <w:p>
            <w:pPr>
              <w:ind w:left="100"/>
              <w:spacing w:after="0" w:line="160" w:lineRule="exact"/>
              <w:rPr>
                <w:sz w:val="20"/>
                <w:szCs w:val="20"/>
                <w:color w:val="auto"/>
              </w:rPr>
            </w:pPr>
            <w:r>
              <w:rPr>
                <w:rFonts w:ascii="Arial" w:cs="Arial" w:eastAsia="Arial" w:hAnsi="Arial"/>
                <w:sz w:val="14"/>
                <w:szCs w:val="14"/>
                <w:color w:val="auto"/>
              </w:rPr>
              <w:t>Focuses executives on our</w:t>
            </w:r>
          </w:p>
        </w:tc>
        <w:tc>
          <w:tcPr>
            <w:tcW w:w="0" w:type="dxa"/>
            <w:vAlign w:val="bottom"/>
          </w:tcPr>
          <w:p>
            <w:pPr>
              <w:spacing w:after="0"/>
              <w:rPr>
                <w:sz w:val="1"/>
                <w:szCs w:val="1"/>
                <w:color w:val="auto"/>
              </w:rPr>
            </w:pPr>
          </w:p>
        </w:tc>
      </w:tr>
      <w:tr>
        <w:trPr>
          <w:trHeight w:val="161"/>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results for the previous year are</w:t>
            </w:r>
          </w:p>
        </w:tc>
        <w:tc>
          <w:tcPr>
            <w:tcW w:w="13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based</w:t>
            </w:r>
          </w:p>
        </w:tc>
        <w:tc>
          <w:tcPr>
            <w:tcW w:w="142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Adjusted EBITDA</w:t>
            </w:r>
          </w:p>
        </w:tc>
        <w:tc>
          <w:tcPr>
            <w:tcW w:w="680" w:type="dxa"/>
            <w:vAlign w:val="bottom"/>
            <w:tcBorders>
              <w:right w:val="single" w:sz="8" w:color="AFAFAF"/>
            </w:tcBorders>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financial goals and objectives for</w:t>
            </w:r>
          </w:p>
        </w:tc>
        <w:tc>
          <w:tcPr>
            <w:tcW w:w="0" w:type="dxa"/>
            <w:vAlign w:val="bottom"/>
          </w:tcPr>
          <w:p>
            <w:pPr>
              <w:spacing w:after="0"/>
              <w:rPr>
                <w:sz w:val="1"/>
                <w:szCs w:val="1"/>
                <w:color w:val="auto"/>
              </w:rPr>
            </w:pPr>
          </w:p>
        </w:tc>
      </w:tr>
      <w:tr>
        <w:trPr>
          <w:trHeight w:val="67"/>
        </w:trPr>
        <w:tc>
          <w:tcPr>
            <w:tcW w:w="2640" w:type="dxa"/>
            <w:vAlign w:val="bottom"/>
            <w:tcBorders>
              <w:right w:val="single" w:sz="8" w:color="AFAFAF"/>
            </w:tcBorders>
          </w:tcPr>
          <w:p>
            <w:pPr>
              <w:spacing w:after="0"/>
              <w:rPr>
                <w:sz w:val="5"/>
                <w:szCs w:val="5"/>
                <w:color w:val="auto"/>
              </w:rPr>
            </w:pPr>
          </w:p>
        </w:tc>
        <w:tc>
          <w:tcPr>
            <w:tcW w:w="264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available, and dependent on company</w:t>
            </w:r>
          </w:p>
        </w:tc>
        <w:tc>
          <w:tcPr>
            <w:tcW w:w="1320" w:type="dxa"/>
            <w:vAlign w:val="bottom"/>
            <w:tcBorders>
              <w:right w:val="single" w:sz="8" w:color="AFAFAF"/>
            </w:tcBorders>
          </w:tcPr>
          <w:p>
            <w:pPr>
              <w:spacing w:after="0"/>
              <w:rPr>
                <w:sz w:val="5"/>
                <w:szCs w:val="5"/>
                <w:color w:val="auto"/>
              </w:rPr>
            </w:pPr>
          </w:p>
        </w:tc>
        <w:tc>
          <w:tcPr>
            <w:tcW w:w="1420" w:type="dxa"/>
            <w:vAlign w:val="bottom"/>
            <w:tcBorders>
              <w:right w:val="single" w:sz="8" w:color="AFAFAF"/>
            </w:tcBorders>
            <w:vMerge w:val="continue"/>
          </w:tcPr>
          <w:p>
            <w:pPr>
              <w:spacing w:after="0"/>
              <w:rPr>
                <w:sz w:val="5"/>
                <w:szCs w:val="5"/>
                <w:color w:val="auto"/>
              </w:rPr>
            </w:pPr>
          </w:p>
        </w:tc>
        <w:tc>
          <w:tcPr>
            <w:tcW w:w="680" w:type="dxa"/>
            <w:vAlign w:val="bottom"/>
            <w:tcBorders>
              <w:right w:val="single" w:sz="8" w:color="AFAFAF"/>
            </w:tcBorders>
          </w:tcPr>
          <w:p>
            <w:pPr>
              <w:spacing w:after="0"/>
              <w:rPr>
                <w:sz w:val="5"/>
                <w:szCs w:val="5"/>
                <w:color w:val="auto"/>
              </w:rPr>
            </w:pPr>
          </w:p>
        </w:tc>
        <w:tc>
          <w:tcPr>
            <w:tcW w:w="2280" w:type="dxa"/>
            <w:vAlign w:val="bottom"/>
            <w:vMerge w:val="restart"/>
          </w:tcPr>
          <w:p>
            <w:pPr>
              <w:ind w:left="100"/>
              <w:spacing w:after="0"/>
              <w:rPr>
                <w:sz w:val="20"/>
                <w:szCs w:val="20"/>
                <w:color w:val="auto"/>
              </w:rPr>
            </w:pPr>
            <w:r>
              <w:rPr>
                <w:rFonts w:ascii="Arial" w:cs="Arial" w:eastAsia="Arial" w:hAnsi="Arial"/>
                <w:sz w:val="14"/>
                <w:szCs w:val="14"/>
                <w:color w:val="auto"/>
              </w:rPr>
              <w:t>the year.</w:t>
            </w:r>
          </w:p>
        </w:tc>
        <w:tc>
          <w:tcPr>
            <w:tcW w:w="0" w:type="dxa"/>
            <w:vAlign w:val="bottom"/>
          </w:tcPr>
          <w:p>
            <w:pPr>
              <w:spacing w:after="0"/>
              <w:rPr>
                <w:sz w:val="1"/>
                <w:szCs w:val="1"/>
                <w:color w:val="auto"/>
              </w:rPr>
            </w:pPr>
          </w:p>
        </w:tc>
      </w:tr>
      <w:tr>
        <w:trPr>
          <w:trHeight w:val="94"/>
        </w:trPr>
        <w:tc>
          <w:tcPr>
            <w:tcW w:w="2640" w:type="dxa"/>
            <w:vAlign w:val="bottom"/>
            <w:tcBorders>
              <w:right w:val="single" w:sz="8" w:color="AFAFAF"/>
            </w:tcBorders>
          </w:tcPr>
          <w:p>
            <w:pPr>
              <w:spacing w:after="0"/>
              <w:rPr>
                <w:sz w:val="8"/>
                <w:szCs w:val="8"/>
                <w:color w:val="auto"/>
              </w:rPr>
            </w:pPr>
          </w:p>
        </w:tc>
        <w:tc>
          <w:tcPr>
            <w:tcW w:w="2640" w:type="dxa"/>
            <w:vAlign w:val="bottom"/>
            <w:tcBorders>
              <w:right w:val="single" w:sz="8" w:color="AFAFAF"/>
            </w:tcBorders>
            <w:vMerge w:val="continue"/>
          </w:tcPr>
          <w:p>
            <w:pPr>
              <w:spacing w:after="0"/>
              <w:rPr>
                <w:sz w:val="8"/>
                <w:szCs w:val="8"/>
                <w:color w:val="auto"/>
              </w:rPr>
            </w:pPr>
          </w:p>
        </w:tc>
        <w:tc>
          <w:tcPr>
            <w:tcW w:w="1320" w:type="dxa"/>
            <w:vAlign w:val="bottom"/>
            <w:tcBorders>
              <w:right w:val="single" w:sz="8" w:color="AFAFAF"/>
            </w:tcBorders>
          </w:tcPr>
          <w:p>
            <w:pPr>
              <w:spacing w:after="0"/>
              <w:rPr>
                <w:sz w:val="8"/>
                <w:szCs w:val="8"/>
                <w:color w:val="auto"/>
              </w:rPr>
            </w:pPr>
          </w:p>
        </w:tc>
        <w:tc>
          <w:tcPr>
            <w:tcW w:w="142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less capital</w:t>
            </w:r>
          </w:p>
        </w:tc>
        <w:tc>
          <w:tcPr>
            <w:tcW w:w="680" w:type="dxa"/>
            <w:vAlign w:val="bottom"/>
            <w:tcBorders>
              <w:right w:val="single" w:sz="8" w:color="AFAFAF"/>
            </w:tcBorders>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640" w:type="dxa"/>
            <w:vAlign w:val="bottom"/>
            <w:tcBorders>
              <w:right w:val="single" w:sz="8" w:color="AFAFAF"/>
            </w:tcBorders>
          </w:tcPr>
          <w:p>
            <w:pPr>
              <w:spacing w:after="0"/>
              <w:rPr>
                <w:sz w:val="5"/>
                <w:szCs w:val="5"/>
                <w:color w:val="auto"/>
              </w:rPr>
            </w:pPr>
          </w:p>
        </w:tc>
        <w:tc>
          <w:tcPr>
            <w:tcW w:w="264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performance against objective financial</w:t>
            </w:r>
          </w:p>
        </w:tc>
        <w:tc>
          <w:tcPr>
            <w:tcW w:w="1320" w:type="dxa"/>
            <w:vAlign w:val="bottom"/>
            <w:tcBorders>
              <w:right w:val="single" w:sz="8" w:color="AFAFAF"/>
            </w:tcBorders>
          </w:tcPr>
          <w:p>
            <w:pPr>
              <w:spacing w:after="0"/>
              <w:rPr>
                <w:sz w:val="5"/>
                <w:szCs w:val="5"/>
                <w:color w:val="auto"/>
              </w:rPr>
            </w:pPr>
          </w:p>
        </w:tc>
        <w:tc>
          <w:tcPr>
            <w:tcW w:w="1420" w:type="dxa"/>
            <w:vAlign w:val="bottom"/>
            <w:tcBorders>
              <w:right w:val="single" w:sz="8" w:color="AFAFAF"/>
            </w:tcBorders>
            <w:vMerge w:val="continue"/>
          </w:tcPr>
          <w:p>
            <w:pPr>
              <w:spacing w:after="0"/>
              <w:rPr>
                <w:sz w:val="5"/>
                <w:szCs w:val="5"/>
                <w:color w:val="auto"/>
              </w:rPr>
            </w:pPr>
          </w:p>
        </w:tc>
        <w:tc>
          <w:tcPr>
            <w:tcW w:w="680" w:type="dxa"/>
            <w:vAlign w:val="bottom"/>
            <w:tcBorders>
              <w:right w:val="single" w:sz="8" w:color="AFAFAF"/>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right w:val="single" w:sz="8" w:color="AFAFAF"/>
            </w:tcBorders>
          </w:tcPr>
          <w:p>
            <w:pPr>
              <w:spacing w:after="0"/>
              <w:rPr>
                <w:sz w:val="8"/>
                <w:szCs w:val="8"/>
                <w:color w:val="auto"/>
              </w:rPr>
            </w:pPr>
          </w:p>
        </w:tc>
        <w:tc>
          <w:tcPr>
            <w:tcW w:w="2640" w:type="dxa"/>
            <w:vAlign w:val="bottom"/>
            <w:tcBorders>
              <w:right w:val="single" w:sz="8" w:color="AFAFAF"/>
            </w:tcBorders>
            <w:vMerge w:val="continue"/>
          </w:tcPr>
          <w:p>
            <w:pPr>
              <w:spacing w:after="0"/>
              <w:rPr>
                <w:sz w:val="8"/>
                <w:szCs w:val="8"/>
                <w:color w:val="auto"/>
              </w:rPr>
            </w:pPr>
          </w:p>
        </w:tc>
        <w:tc>
          <w:tcPr>
            <w:tcW w:w="1320" w:type="dxa"/>
            <w:vAlign w:val="bottom"/>
            <w:tcBorders>
              <w:right w:val="single" w:sz="8" w:color="AFAFAF"/>
            </w:tcBorders>
          </w:tcPr>
          <w:p>
            <w:pPr>
              <w:spacing w:after="0"/>
              <w:rPr>
                <w:sz w:val="8"/>
                <w:szCs w:val="8"/>
                <w:color w:val="auto"/>
              </w:rPr>
            </w:pPr>
          </w:p>
        </w:tc>
        <w:tc>
          <w:tcPr>
            <w:tcW w:w="142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expenditures (1/3).</w:t>
            </w:r>
          </w:p>
        </w:tc>
        <w:tc>
          <w:tcPr>
            <w:tcW w:w="680" w:type="dxa"/>
            <w:vAlign w:val="bottom"/>
            <w:tcBorders>
              <w:right w:val="single" w:sz="8" w:color="AFAFAF"/>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640" w:type="dxa"/>
            <w:vAlign w:val="bottom"/>
            <w:tcBorders>
              <w:right w:val="single" w:sz="8" w:color="AFAFAF"/>
            </w:tcBorders>
          </w:tcPr>
          <w:p>
            <w:pPr>
              <w:spacing w:after="0"/>
              <w:rPr>
                <w:sz w:val="6"/>
                <w:szCs w:val="6"/>
                <w:color w:val="auto"/>
              </w:rPr>
            </w:pPr>
          </w:p>
        </w:tc>
        <w:tc>
          <w:tcPr>
            <w:tcW w:w="264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targets established at the beginning of</w:t>
            </w:r>
          </w:p>
        </w:tc>
        <w:tc>
          <w:tcPr>
            <w:tcW w:w="1320" w:type="dxa"/>
            <w:vAlign w:val="bottom"/>
            <w:tcBorders>
              <w:right w:val="single" w:sz="8" w:color="AFAFAF"/>
            </w:tcBorders>
          </w:tcPr>
          <w:p>
            <w:pPr>
              <w:spacing w:after="0"/>
              <w:rPr>
                <w:sz w:val="6"/>
                <w:szCs w:val="6"/>
                <w:color w:val="auto"/>
              </w:rPr>
            </w:pPr>
          </w:p>
        </w:tc>
        <w:tc>
          <w:tcPr>
            <w:tcW w:w="1420" w:type="dxa"/>
            <w:vAlign w:val="bottom"/>
            <w:tcBorders>
              <w:right w:val="single" w:sz="8" w:color="AFAFAF"/>
            </w:tcBorders>
            <w:vMerge w:val="continue"/>
          </w:tcPr>
          <w:p>
            <w:pPr>
              <w:spacing w:after="0"/>
              <w:rPr>
                <w:sz w:val="6"/>
                <w:szCs w:val="6"/>
                <w:color w:val="auto"/>
              </w:rPr>
            </w:pPr>
          </w:p>
        </w:tc>
        <w:tc>
          <w:tcPr>
            <w:tcW w:w="680" w:type="dxa"/>
            <w:vAlign w:val="bottom"/>
            <w:tcBorders>
              <w:right w:val="single" w:sz="8" w:color="AFAFAF"/>
            </w:tcBorders>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640" w:type="dxa"/>
            <w:vAlign w:val="bottom"/>
            <w:tcBorders>
              <w:right w:val="single" w:sz="8" w:color="AFAFAF"/>
            </w:tcBorders>
          </w:tcPr>
          <w:p>
            <w:pPr>
              <w:spacing w:after="0"/>
              <w:rPr>
                <w:sz w:val="7"/>
                <w:szCs w:val="7"/>
                <w:color w:val="auto"/>
              </w:rPr>
            </w:pPr>
          </w:p>
        </w:tc>
        <w:tc>
          <w:tcPr>
            <w:tcW w:w="2640" w:type="dxa"/>
            <w:vAlign w:val="bottom"/>
            <w:tcBorders>
              <w:right w:val="single" w:sz="8" w:color="AFAFAF"/>
            </w:tcBorders>
            <w:vMerge w:val="continue"/>
          </w:tcPr>
          <w:p>
            <w:pPr>
              <w:spacing w:after="0"/>
              <w:rPr>
                <w:sz w:val="7"/>
                <w:szCs w:val="7"/>
                <w:color w:val="auto"/>
              </w:rPr>
            </w:pPr>
          </w:p>
        </w:tc>
        <w:tc>
          <w:tcPr>
            <w:tcW w:w="1320" w:type="dxa"/>
            <w:vAlign w:val="bottom"/>
            <w:tcBorders>
              <w:right w:val="single" w:sz="8" w:color="AFAFAF"/>
            </w:tcBorders>
          </w:tcPr>
          <w:p>
            <w:pPr>
              <w:spacing w:after="0"/>
              <w:rPr>
                <w:sz w:val="7"/>
                <w:szCs w:val="7"/>
                <w:color w:val="auto"/>
              </w:rPr>
            </w:pPr>
          </w:p>
        </w:tc>
        <w:tc>
          <w:tcPr>
            <w:tcW w:w="142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“Book of business”</w:t>
            </w:r>
          </w:p>
        </w:tc>
        <w:tc>
          <w:tcPr>
            <w:tcW w:w="680" w:type="dxa"/>
            <w:vAlign w:val="bottom"/>
            <w:tcBorders>
              <w:right w:val="single" w:sz="8" w:color="AFAFAF"/>
            </w:tcBorders>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tcBorders>
              <w:right w:val="single" w:sz="8" w:color="AFAFAF"/>
            </w:tcBorders>
          </w:tcPr>
          <w:p>
            <w:pPr>
              <w:spacing w:after="0"/>
              <w:rPr>
                <w:sz w:val="11"/>
                <w:szCs w:val="11"/>
                <w:color w:val="auto"/>
              </w:rPr>
            </w:pPr>
          </w:p>
        </w:tc>
        <w:tc>
          <w:tcPr>
            <w:tcW w:w="2640" w:type="dxa"/>
            <w:vAlign w:val="bottom"/>
            <w:tcBorders>
              <w:right w:val="single" w:sz="8" w:color="AFAFAF"/>
            </w:tcBorders>
          </w:tcPr>
          <w:p>
            <w:pPr>
              <w:ind w:left="100"/>
              <w:spacing w:after="0" w:line="135" w:lineRule="exact"/>
              <w:rPr>
                <w:sz w:val="20"/>
                <w:szCs w:val="20"/>
                <w:color w:val="auto"/>
              </w:rPr>
            </w:pPr>
            <w:r>
              <w:rPr>
                <w:rFonts w:ascii="Arial" w:cs="Arial" w:eastAsia="Arial" w:hAnsi="Arial"/>
                <w:sz w:val="14"/>
                <w:szCs w:val="14"/>
                <w:color w:val="auto"/>
              </w:rPr>
              <w:t>the year and subject to adjustment</w:t>
            </w:r>
          </w:p>
        </w:tc>
        <w:tc>
          <w:tcPr>
            <w:tcW w:w="1320" w:type="dxa"/>
            <w:vAlign w:val="bottom"/>
            <w:tcBorders>
              <w:right w:val="single" w:sz="8" w:color="AFAFAF"/>
            </w:tcBorders>
          </w:tcPr>
          <w:p>
            <w:pPr>
              <w:spacing w:after="0"/>
              <w:rPr>
                <w:sz w:val="11"/>
                <w:szCs w:val="11"/>
                <w:color w:val="auto"/>
              </w:rPr>
            </w:pPr>
          </w:p>
        </w:tc>
        <w:tc>
          <w:tcPr>
            <w:tcW w:w="1420" w:type="dxa"/>
            <w:vAlign w:val="bottom"/>
            <w:tcBorders>
              <w:right w:val="single" w:sz="8" w:color="AFAFAF"/>
            </w:tcBorders>
            <w:vMerge w:val="continue"/>
          </w:tcPr>
          <w:p>
            <w:pPr>
              <w:spacing w:after="0"/>
              <w:rPr>
                <w:sz w:val="11"/>
                <w:szCs w:val="11"/>
                <w:color w:val="auto"/>
              </w:rPr>
            </w:pPr>
          </w:p>
        </w:tc>
        <w:tc>
          <w:tcPr>
            <w:tcW w:w="680" w:type="dxa"/>
            <w:vAlign w:val="bottom"/>
            <w:tcBorders>
              <w:right w:val="single" w:sz="8" w:color="AFAFAF"/>
            </w:tcBorders>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based on individual performance.</w:t>
            </w: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based or annualized</w:t>
            </w:r>
          </w:p>
        </w:tc>
        <w:tc>
          <w:tcPr>
            <w:tcW w:w="68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contract value</w:t>
            </w:r>
          </w:p>
        </w:tc>
        <w:tc>
          <w:tcPr>
            <w:tcW w:w="68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(ACV) (1/3).</w:t>
            </w:r>
          </w:p>
        </w:tc>
        <w:tc>
          <w:tcPr>
            <w:tcW w:w="68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640" w:type="dxa"/>
            <w:vAlign w:val="bottom"/>
            <w:tcBorders>
              <w:right w:val="single" w:sz="8" w:color="AFAFAF"/>
            </w:tcBorders>
          </w:tcPr>
          <w:p>
            <w:pPr>
              <w:spacing w:after="0"/>
              <w:rPr>
                <w:sz w:val="18"/>
                <w:szCs w:val="18"/>
                <w:color w:val="auto"/>
              </w:rPr>
            </w:pPr>
          </w:p>
        </w:tc>
        <w:tc>
          <w:tcPr>
            <w:tcW w:w="2640" w:type="dxa"/>
            <w:vAlign w:val="bottom"/>
            <w:tcBorders>
              <w:right w:val="single" w:sz="8" w:color="AFAFAF"/>
            </w:tcBorders>
          </w:tcPr>
          <w:p>
            <w:pPr>
              <w:spacing w:after="0"/>
              <w:rPr>
                <w:sz w:val="18"/>
                <w:szCs w:val="18"/>
                <w:color w:val="auto"/>
              </w:rPr>
            </w:pPr>
          </w:p>
        </w:tc>
        <w:tc>
          <w:tcPr>
            <w:tcW w:w="1320" w:type="dxa"/>
            <w:vAlign w:val="bottom"/>
            <w:tcBorders>
              <w:right w:val="single" w:sz="8" w:color="AFAFAF"/>
            </w:tcBorders>
          </w:tcPr>
          <w:p>
            <w:pPr>
              <w:spacing w:after="0"/>
              <w:rPr>
                <w:sz w:val="18"/>
                <w:szCs w:val="18"/>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Individual</w:t>
            </w:r>
          </w:p>
        </w:tc>
        <w:tc>
          <w:tcPr>
            <w:tcW w:w="680" w:type="dxa"/>
            <w:vAlign w:val="bottom"/>
            <w:tcBorders>
              <w:right w:val="single" w:sz="8" w:color="AFAFA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performance factor</w:t>
            </w:r>
          </w:p>
        </w:tc>
        <w:tc>
          <w:tcPr>
            <w:tcW w:w="68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(+/- 15%) based on</w:t>
            </w:r>
          </w:p>
        </w:tc>
        <w:tc>
          <w:tcPr>
            <w:tcW w:w="68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performance</w:t>
            </w:r>
          </w:p>
        </w:tc>
        <w:tc>
          <w:tcPr>
            <w:tcW w:w="68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against key</w:t>
            </w:r>
          </w:p>
        </w:tc>
        <w:tc>
          <w:tcPr>
            <w:tcW w:w="68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individual strategic</w:t>
            </w:r>
          </w:p>
        </w:tc>
        <w:tc>
          <w:tcPr>
            <w:tcW w:w="68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objectives</w:t>
            </w:r>
          </w:p>
        </w:tc>
        <w:tc>
          <w:tcPr>
            <w:tcW w:w="68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(applicable for</w:t>
            </w:r>
          </w:p>
        </w:tc>
        <w:tc>
          <w:tcPr>
            <w:tcW w:w="68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named executive</w:t>
            </w:r>
          </w:p>
        </w:tc>
        <w:tc>
          <w:tcPr>
            <w:tcW w:w="68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officers other than</w:t>
            </w:r>
          </w:p>
        </w:tc>
        <w:tc>
          <w:tcPr>
            <w:tcW w:w="68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40" w:type="dxa"/>
            <w:vAlign w:val="bottom"/>
            <w:tcBorders>
              <w:bottom w:val="single" w:sz="8" w:color="AFAFAF"/>
              <w:right w:val="single" w:sz="8" w:color="AFAFAF"/>
            </w:tcBorders>
          </w:tcPr>
          <w:p>
            <w:pPr>
              <w:spacing w:after="0"/>
              <w:rPr>
                <w:sz w:val="14"/>
                <w:szCs w:val="14"/>
                <w:color w:val="auto"/>
              </w:rPr>
            </w:pPr>
          </w:p>
        </w:tc>
        <w:tc>
          <w:tcPr>
            <w:tcW w:w="2640" w:type="dxa"/>
            <w:vAlign w:val="bottom"/>
            <w:tcBorders>
              <w:bottom w:val="single" w:sz="8" w:color="AFAFAF"/>
              <w:right w:val="single" w:sz="8" w:color="AFAFAF"/>
            </w:tcBorders>
          </w:tcPr>
          <w:p>
            <w:pPr>
              <w:spacing w:after="0"/>
              <w:rPr>
                <w:sz w:val="14"/>
                <w:szCs w:val="14"/>
                <w:color w:val="auto"/>
              </w:rPr>
            </w:pPr>
          </w:p>
        </w:tc>
        <w:tc>
          <w:tcPr>
            <w:tcW w:w="1320" w:type="dxa"/>
            <w:vAlign w:val="bottom"/>
            <w:tcBorders>
              <w:bottom w:val="single" w:sz="8" w:color="AFAFAF"/>
              <w:right w:val="single" w:sz="8" w:color="AFAFAF"/>
            </w:tcBorders>
          </w:tcPr>
          <w:p>
            <w:pPr>
              <w:spacing w:after="0"/>
              <w:rPr>
                <w:sz w:val="14"/>
                <w:szCs w:val="14"/>
                <w:color w:val="auto"/>
              </w:rPr>
            </w:pPr>
          </w:p>
        </w:tc>
        <w:tc>
          <w:tcPr>
            <w:tcW w:w="142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the CEO).</w:t>
            </w:r>
          </w:p>
        </w:tc>
        <w:tc>
          <w:tcPr>
            <w:tcW w:w="680" w:type="dxa"/>
            <w:vAlign w:val="bottom"/>
            <w:tcBorders>
              <w:bottom w:val="single" w:sz="8" w:color="AFAFAF"/>
              <w:right w:val="single" w:sz="8" w:color="AFAFAF"/>
            </w:tcBorders>
          </w:tcPr>
          <w:p>
            <w:pPr>
              <w:spacing w:after="0"/>
              <w:rPr>
                <w:sz w:val="14"/>
                <w:szCs w:val="14"/>
                <w:color w:val="auto"/>
              </w:rPr>
            </w:pPr>
          </w:p>
        </w:tc>
        <w:tc>
          <w:tcPr>
            <w:tcW w:w="2280" w:type="dxa"/>
            <w:vAlign w:val="bottom"/>
            <w:tcBorders>
              <w:bottom w:val="single" w:sz="8" w:color="AFAFA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40" w:type="dxa"/>
            <w:vAlign w:val="bottom"/>
            <w:tcBorders>
              <w:right w:val="single" w:sz="8" w:color="AFAFAF"/>
            </w:tcBorders>
          </w:tcPr>
          <w:p>
            <w:pPr>
              <w:ind w:left="140"/>
              <w:spacing w:after="0" w:line="160" w:lineRule="exact"/>
              <w:rPr>
                <w:sz w:val="20"/>
                <w:szCs w:val="20"/>
                <w:color w:val="auto"/>
              </w:rPr>
            </w:pPr>
            <w:r>
              <w:rPr>
                <w:rFonts w:ascii="Arial" w:cs="Arial" w:eastAsia="Arial" w:hAnsi="Arial"/>
                <w:sz w:val="14"/>
                <w:szCs w:val="14"/>
                <w:b w:val="1"/>
                <w:bCs w:val="1"/>
                <w:color w:val="auto"/>
              </w:rPr>
              <w:t>Long-term incentive award</w:t>
            </w:r>
          </w:p>
        </w:tc>
        <w:tc>
          <w:tcPr>
            <w:tcW w:w="2640" w:type="dxa"/>
            <w:vAlign w:val="bottom"/>
            <w:tcBorders>
              <w:right w:val="single" w:sz="8" w:color="AFAFAF"/>
            </w:tcBorders>
          </w:tcPr>
          <w:p>
            <w:pPr>
              <w:ind w:left="100"/>
              <w:spacing w:after="0" w:line="160" w:lineRule="exact"/>
              <w:rPr>
                <w:sz w:val="20"/>
                <w:szCs w:val="20"/>
                <w:color w:val="auto"/>
              </w:rPr>
            </w:pPr>
            <w:r>
              <w:rPr>
                <w:rFonts w:ascii="Arial" w:cs="Arial" w:eastAsia="Arial" w:hAnsi="Arial"/>
                <w:sz w:val="14"/>
                <w:szCs w:val="14"/>
                <w:color w:val="auto"/>
              </w:rPr>
              <w:t>Our long-term incentive awards have</w:t>
            </w:r>
          </w:p>
        </w:tc>
        <w:tc>
          <w:tcPr>
            <w:tcW w:w="1320" w:type="dxa"/>
            <w:vAlign w:val="bottom"/>
            <w:tcBorders>
              <w:right w:val="single" w:sz="8" w:color="AFAFAF"/>
            </w:tcBorders>
          </w:tcPr>
          <w:p>
            <w:pPr>
              <w:ind w:left="80"/>
              <w:spacing w:after="0" w:line="160" w:lineRule="exact"/>
              <w:rPr>
                <w:sz w:val="20"/>
                <w:szCs w:val="20"/>
                <w:color w:val="auto"/>
              </w:rPr>
            </w:pPr>
            <w:r>
              <w:rPr>
                <w:rFonts w:ascii="Arial" w:cs="Arial" w:eastAsia="Arial" w:hAnsi="Arial"/>
                <w:sz w:val="14"/>
                <w:szCs w:val="14"/>
                <w:color w:val="auto"/>
              </w:rPr>
              <w:t>Time-</w:t>
            </w:r>
          </w:p>
        </w:tc>
        <w:tc>
          <w:tcPr>
            <w:tcW w:w="1420" w:type="dxa"/>
            <w:vAlign w:val="bottom"/>
            <w:tcBorders>
              <w:right w:val="single" w:sz="8" w:color="AFAFAF"/>
            </w:tcBorders>
          </w:tcPr>
          <w:p>
            <w:pPr>
              <w:ind w:left="100"/>
              <w:spacing w:after="0" w:line="160" w:lineRule="exact"/>
              <w:rPr>
                <w:sz w:val="20"/>
                <w:szCs w:val="20"/>
                <w:color w:val="auto"/>
              </w:rPr>
            </w:pPr>
            <w:r>
              <w:rPr>
                <w:rFonts w:ascii="Arial" w:cs="Arial" w:eastAsia="Arial" w:hAnsi="Arial"/>
                <w:sz w:val="14"/>
                <w:szCs w:val="14"/>
                <w:color w:val="auto"/>
              </w:rPr>
              <w:t>Value tied to share</w:t>
            </w:r>
          </w:p>
        </w:tc>
        <w:tc>
          <w:tcPr>
            <w:tcW w:w="680" w:type="dxa"/>
            <w:vAlign w:val="bottom"/>
            <w:tcBorders>
              <w:right w:val="single" w:sz="8" w:color="AFAFAF"/>
            </w:tcBorders>
          </w:tcPr>
          <w:p>
            <w:pPr>
              <w:ind w:left="80"/>
              <w:spacing w:after="0" w:line="160" w:lineRule="exact"/>
              <w:rPr>
                <w:sz w:val="20"/>
                <w:szCs w:val="20"/>
                <w:color w:val="auto"/>
              </w:rPr>
            </w:pPr>
            <w:r>
              <w:rPr>
                <w:rFonts w:ascii="Arial" w:cs="Arial" w:eastAsia="Arial" w:hAnsi="Arial"/>
                <w:sz w:val="14"/>
                <w:szCs w:val="14"/>
                <w:color w:val="auto"/>
              </w:rPr>
              <w:t>Equity</w:t>
            </w:r>
          </w:p>
        </w:tc>
        <w:tc>
          <w:tcPr>
            <w:tcW w:w="2280" w:type="dxa"/>
            <w:vAlign w:val="bottom"/>
          </w:tcPr>
          <w:p>
            <w:pPr>
              <w:ind w:left="100"/>
              <w:spacing w:after="0" w:line="160" w:lineRule="exact"/>
              <w:rPr>
                <w:sz w:val="20"/>
                <w:szCs w:val="20"/>
                <w:color w:val="auto"/>
              </w:rPr>
            </w:pPr>
            <w:r>
              <w:rPr>
                <w:rFonts w:ascii="Arial" w:cs="Arial" w:eastAsia="Arial" w:hAnsi="Arial"/>
                <w:sz w:val="14"/>
                <w:szCs w:val="14"/>
                <w:color w:val="auto"/>
              </w:rPr>
              <w:t>Strongly links their pay to our</w:t>
            </w:r>
          </w:p>
        </w:tc>
        <w:tc>
          <w:tcPr>
            <w:tcW w:w="0" w:type="dxa"/>
            <w:vAlign w:val="bottom"/>
          </w:tcPr>
          <w:p>
            <w:pPr>
              <w:spacing w:after="0"/>
              <w:rPr>
                <w:sz w:val="1"/>
                <w:szCs w:val="1"/>
                <w:color w:val="auto"/>
              </w:rPr>
            </w:pPr>
          </w:p>
        </w:tc>
      </w:tr>
      <w:tr>
        <w:trPr>
          <w:trHeight w:val="161"/>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included PRSUs since 2006. However,</w:t>
            </w:r>
          </w:p>
        </w:tc>
        <w:tc>
          <w:tcPr>
            <w:tcW w:w="13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based</w:t>
            </w: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price performance.</w:t>
            </w:r>
          </w:p>
        </w:tc>
        <w:tc>
          <w:tcPr>
            <w:tcW w:w="680" w:type="dxa"/>
            <w:vAlign w:val="bottom"/>
            <w:tcBorders>
              <w:right w:val="single" w:sz="8" w:color="AFAFAF"/>
            </w:tcBorders>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share price, and supports</w:t>
            </w: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in light of the significant changes</w:t>
            </w: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2018 long-term</w:t>
            </w:r>
          </w:p>
        </w:tc>
        <w:tc>
          <w:tcPr>
            <w:tcW w:w="680" w:type="dxa"/>
            <w:vAlign w:val="bottom"/>
            <w:tcBorders>
              <w:right w:val="single" w:sz="8" w:color="AFAFAF"/>
            </w:tcBorders>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retention objectives.</w:t>
            </w:r>
          </w:p>
        </w:tc>
        <w:tc>
          <w:tcPr>
            <w:tcW w:w="0" w:type="dxa"/>
            <w:vAlign w:val="bottom"/>
          </w:tcPr>
          <w:p>
            <w:pPr>
              <w:spacing w:after="0"/>
              <w:rPr>
                <w:sz w:val="1"/>
                <w:szCs w:val="1"/>
                <w:color w:val="auto"/>
              </w:rPr>
            </w:pPr>
          </w:p>
        </w:tc>
      </w:tr>
      <w:tr>
        <w:trPr>
          <w:trHeight w:val="67"/>
        </w:trPr>
        <w:tc>
          <w:tcPr>
            <w:tcW w:w="2640" w:type="dxa"/>
            <w:vAlign w:val="bottom"/>
            <w:tcBorders>
              <w:right w:val="single" w:sz="8" w:color="AFAFAF"/>
            </w:tcBorders>
          </w:tcPr>
          <w:p>
            <w:pPr>
              <w:spacing w:after="0"/>
              <w:rPr>
                <w:sz w:val="5"/>
                <w:szCs w:val="5"/>
                <w:color w:val="auto"/>
              </w:rPr>
            </w:pPr>
          </w:p>
        </w:tc>
        <w:tc>
          <w:tcPr>
            <w:tcW w:w="264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related to the F&amp;R transaction and to</w:t>
            </w:r>
          </w:p>
        </w:tc>
        <w:tc>
          <w:tcPr>
            <w:tcW w:w="1320" w:type="dxa"/>
            <w:vAlign w:val="bottom"/>
            <w:tcBorders>
              <w:right w:val="single" w:sz="8" w:color="AFAFAF"/>
            </w:tcBorders>
          </w:tcPr>
          <w:p>
            <w:pPr>
              <w:spacing w:after="0"/>
              <w:rPr>
                <w:sz w:val="5"/>
                <w:szCs w:val="5"/>
                <w:color w:val="auto"/>
              </w:rPr>
            </w:pPr>
          </w:p>
        </w:tc>
        <w:tc>
          <w:tcPr>
            <w:tcW w:w="1420" w:type="dxa"/>
            <w:vAlign w:val="bottom"/>
            <w:tcBorders>
              <w:right w:val="single" w:sz="8" w:color="AFAFAF"/>
            </w:tcBorders>
            <w:vMerge w:val="continue"/>
          </w:tcPr>
          <w:p>
            <w:pPr>
              <w:spacing w:after="0"/>
              <w:rPr>
                <w:sz w:val="5"/>
                <w:szCs w:val="5"/>
                <w:color w:val="auto"/>
              </w:rPr>
            </w:pPr>
          </w:p>
        </w:tc>
        <w:tc>
          <w:tcPr>
            <w:tcW w:w="680" w:type="dxa"/>
            <w:vAlign w:val="bottom"/>
            <w:tcBorders>
              <w:right w:val="single" w:sz="8" w:color="AFAFAF"/>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right w:val="single" w:sz="8" w:color="AFAFAF"/>
            </w:tcBorders>
          </w:tcPr>
          <w:p>
            <w:pPr>
              <w:spacing w:after="0"/>
              <w:rPr>
                <w:sz w:val="8"/>
                <w:szCs w:val="8"/>
                <w:color w:val="auto"/>
              </w:rPr>
            </w:pPr>
          </w:p>
        </w:tc>
        <w:tc>
          <w:tcPr>
            <w:tcW w:w="2640" w:type="dxa"/>
            <w:vAlign w:val="bottom"/>
            <w:tcBorders>
              <w:right w:val="single" w:sz="8" w:color="AFAFAF"/>
            </w:tcBorders>
            <w:vMerge w:val="continue"/>
          </w:tcPr>
          <w:p>
            <w:pPr>
              <w:spacing w:after="0"/>
              <w:rPr>
                <w:sz w:val="8"/>
                <w:szCs w:val="8"/>
                <w:color w:val="auto"/>
              </w:rPr>
            </w:pPr>
          </w:p>
        </w:tc>
        <w:tc>
          <w:tcPr>
            <w:tcW w:w="1320" w:type="dxa"/>
            <w:vAlign w:val="bottom"/>
            <w:tcBorders>
              <w:right w:val="single" w:sz="8" w:color="AFAFAF"/>
            </w:tcBorders>
          </w:tcPr>
          <w:p>
            <w:pPr>
              <w:spacing w:after="0"/>
              <w:rPr>
                <w:sz w:val="8"/>
                <w:szCs w:val="8"/>
                <w:color w:val="auto"/>
              </w:rPr>
            </w:pPr>
          </w:p>
        </w:tc>
        <w:tc>
          <w:tcPr>
            <w:tcW w:w="142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incentive awards</w:t>
            </w:r>
          </w:p>
        </w:tc>
        <w:tc>
          <w:tcPr>
            <w:tcW w:w="680" w:type="dxa"/>
            <w:vAlign w:val="bottom"/>
            <w:tcBorders>
              <w:right w:val="single" w:sz="8" w:color="AFAFAF"/>
            </w:tcBorders>
          </w:tcPr>
          <w:p>
            <w:pPr>
              <w:spacing w:after="0"/>
              <w:rPr>
                <w:sz w:val="8"/>
                <w:szCs w:val="8"/>
                <w:color w:val="auto"/>
              </w:rPr>
            </w:pPr>
          </w:p>
        </w:tc>
        <w:tc>
          <w:tcPr>
            <w:tcW w:w="2280" w:type="dxa"/>
            <w:vAlign w:val="bottom"/>
            <w:vMerge w:val="restart"/>
          </w:tcPr>
          <w:p>
            <w:pPr>
              <w:ind w:left="100"/>
              <w:spacing w:after="0"/>
              <w:rPr>
                <w:sz w:val="20"/>
                <w:szCs w:val="20"/>
                <w:color w:val="auto"/>
              </w:rPr>
            </w:pPr>
            <w:r>
              <w:rPr>
                <w:rFonts w:ascii="Arial" w:cs="Arial" w:eastAsia="Arial" w:hAnsi="Arial"/>
                <w:sz w:val="14"/>
                <w:szCs w:val="14"/>
                <w:color w:val="auto"/>
              </w:rPr>
              <w:t>Helps retain critical talent and</w:t>
            </w:r>
          </w:p>
        </w:tc>
        <w:tc>
          <w:tcPr>
            <w:tcW w:w="0" w:type="dxa"/>
            <w:vAlign w:val="bottom"/>
          </w:tcPr>
          <w:p>
            <w:pPr>
              <w:spacing w:after="0"/>
              <w:rPr>
                <w:sz w:val="1"/>
                <w:szCs w:val="1"/>
                <w:color w:val="auto"/>
              </w:rPr>
            </w:pPr>
          </w:p>
        </w:tc>
      </w:tr>
      <w:tr>
        <w:trPr>
          <w:trHeight w:val="67"/>
        </w:trPr>
        <w:tc>
          <w:tcPr>
            <w:tcW w:w="2640" w:type="dxa"/>
            <w:vAlign w:val="bottom"/>
            <w:tcBorders>
              <w:right w:val="single" w:sz="8" w:color="AFAFAF"/>
            </w:tcBorders>
          </w:tcPr>
          <w:p>
            <w:pPr>
              <w:spacing w:after="0"/>
              <w:rPr>
                <w:sz w:val="5"/>
                <w:szCs w:val="5"/>
                <w:color w:val="auto"/>
              </w:rPr>
            </w:pPr>
          </w:p>
        </w:tc>
        <w:tc>
          <w:tcPr>
            <w:tcW w:w="264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increase retention, the HR Committee</w:t>
            </w:r>
          </w:p>
        </w:tc>
        <w:tc>
          <w:tcPr>
            <w:tcW w:w="1320" w:type="dxa"/>
            <w:vAlign w:val="bottom"/>
            <w:tcBorders>
              <w:right w:val="single" w:sz="8" w:color="AFAFAF"/>
            </w:tcBorders>
          </w:tcPr>
          <w:p>
            <w:pPr>
              <w:spacing w:after="0"/>
              <w:rPr>
                <w:sz w:val="5"/>
                <w:szCs w:val="5"/>
                <w:color w:val="auto"/>
              </w:rPr>
            </w:pPr>
          </w:p>
        </w:tc>
        <w:tc>
          <w:tcPr>
            <w:tcW w:w="1420" w:type="dxa"/>
            <w:vAlign w:val="bottom"/>
            <w:tcBorders>
              <w:right w:val="single" w:sz="8" w:color="AFAFAF"/>
            </w:tcBorders>
            <w:vMerge w:val="continue"/>
          </w:tcPr>
          <w:p>
            <w:pPr>
              <w:spacing w:after="0"/>
              <w:rPr>
                <w:sz w:val="5"/>
                <w:szCs w:val="5"/>
                <w:color w:val="auto"/>
              </w:rPr>
            </w:pPr>
          </w:p>
        </w:tc>
        <w:tc>
          <w:tcPr>
            <w:tcW w:w="680" w:type="dxa"/>
            <w:vAlign w:val="bottom"/>
            <w:tcBorders>
              <w:right w:val="single" w:sz="8" w:color="AFAFAF"/>
            </w:tcBorders>
          </w:tcPr>
          <w:p>
            <w:pPr>
              <w:spacing w:after="0"/>
              <w:rPr>
                <w:sz w:val="5"/>
                <w:szCs w:val="5"/>
                <w:color w:val="auto"/>
              </w:rPr>
            </w:pPr>
          </w:p>
        </w:tc>
        <w:tc>
          <w:tcPr>
            <w:tcW w:w="2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right w:val="single" w:sz="8" w:color="AFAFAF"/>
            </w:tcBorders>
          </w:tcPr>
          <w:p>
            <w:pPr>
              <w:spacing w:after="0"/>
              <w:rPr>
                <w:sz w:val="8"/>
                <w:szCs w:val="8"/>
                <w:color w:val="auto"/>
              </w:rPr>
            </w:pPr>
          </w:p>
        </w:tc>
        <w:tc>
          <w:tcPr>
            <w:tcW w:w="2640" w:type="dxa"/>
            <w:vAlign w:val="bottom"/>
            <w:tcBorders>
              <w:right w:val="single" w:sz="8" w:color="AFAFAF"/>
            </w:tcBorders>
            <w:vMerge w:val="continue"/>
          </w:tcPr>
          <w:p>
            <w:pPr>
              <w:spacing w:after="0"/>
              <w:rPr>
                <w:sz w:val="8"/>
                <w:szCs w:val="8"/>
                <w:color w:val="auto"/>
              </w:rPr>
            </w:pPr>
          </w:p>
        </w:tc>
        <w:tc>
          <w:tcPr>
            <w:tcW w:w="1320" w:type="dxa"/>
            <w:vAlign w:val="bottom"/>
            <w:tcBorders>
              <w:right w:val="single" w:sz="8" w:color="AFAFAF"/>
            </w:tcBorders>
          </w:tcPr>
          <w:p>
            <w:pPr>
              <w:spacing w:after="0"/>
              <w:rPr>
                <w:sz w:val="8"/>
                <w:szCs w:val="8"/>
                <w:color w:val="auto"/>
              </w:rPr>
            </w:pPr>
          </w:p>
        </w:tc>
        <w:tc>
          <w:tcPr>
            <w:tcW w:w="142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for Messrs. Smith,</w:t>
            </w:r>
          </w:p>
        </w:tc>
        <w:tc>
          <w:tcPr>
            <w:tcW w:w="680" w:type="dxa"/>
            <w:vAlign w:val="bottom"/>
            <w:tcBorders>
              <w:right w:val="single" w:sz="8" w:color="AFAFAF"/>
            </w:tcBorders>
          </w:tcPr>
          <w:p>
            <w:pPr>
              <w:spacing w:after="0"/>
              <w:rPr>
                <w:sz w:val="8"/>
                <w:szCs w:val="8"/>
                <w:color w:val="auto"/>
              </w:rPr>
            </w:pPr>
          </w:p>
        </w:tc>
        <w:tc>
          <w:tcPr>
            <w:tcW w:w="2280" w:type="dxa"/>
            <w:vAlign w:val="bottom"/>
            <w:vMerge w:val="restart"/>
          </w:tcPr>
          <w:p>
            <w:pPr>
              <w:ind w:left="100"/>
              <w:spacing w:after="0"/>
              <w:rPr>
                <w:sz w:val="20"/>
                <w:szCs w:val="20"/>
                <w:color w:val="auto"/>
              </w:rPr>
            </w:pPr>
            <w:r>
              <w:rPr>
                <w:rFonts w:ascii="Arial" w:cs="Arial" w:eastAsia="Arial" w:hAnsi="Arial"/>
                <w:sz w:val="14"/>
                <w:szCs w:val="14"/>
                <w:color w:val="auto"/>
              </w:rPr>
              <w:t>recognize superior performance.</w:t>
            </w:r>
          </w:p>
        </w:tc>
        <w:tc>
          <w:tcPr>
            <w:tcW w:w="0" w:type="dxa"/>
            <w:vAlign w:val="bottom"/>
          </w:tcPr>
          <w:p>
            <w:pPr>
              <w:spacing w:after="0"/>
              <w:rPr>
                <w:sz w:val="1"/>
                <w:szCs w:val="1"/>
                <w:color w:val="auto"/>
              </w:rPr>
            </w:pPr>
          </w:p>
        </w:tc>
      </w:tr>
      <w:tr>
        <w:trPr>
          <w:trHeight w:val="67"/>
        </w:trPr>
        <w:tc>
          <w:tcPr>
            <w:tcW w:w="2640" w:type="dxa"/>
            <w:vAlign w:val="bottom"/>
            <w:tcBorders>
              <w:right w:val="single" w:sz="8" w:color="AFAFAF"/>
            </w:tcBorders>
          </w:tcPr>
          <w:p>
            <w:pPr>
              <w:spacing w:after="0"/>
              <w:rPr>
                <w:sz w:val="5"/>
                <w:szCs w:val="5"/>
                <w:color w:val="auto"/>
              </w:rPr>
            </w:pPr>
          </w:p>
        </w:tc>
        <w:tc>
          <w:tcPr>
            <w:tcW w:w="264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decided not to include PRSUs in 2018-</w:t>
            </w:r>
          </w:p>
        </w:tc>
        <w:tc>
          <w:tcPr>
            <w:tcW w:w="1320" w:type="dxa"/>
            <w:vAlign w:val="bottom"/>
            <w:tcBorders>
              <w:right w:val="single" w:sz="8" w:color="AFAFAF"/>
            </w:tcBorders>
          </w:tcPr>
          <w:p>
            <w:pPr>
              <w:spacing w:after="0"/>
              <w:rPr>
                <w:sz w:val="5"/>
                <w:szCs w:val="5"/>
                <w:color w:val="auto"/>
              </w:rPr>
            </w:pPr>
          </w:p>
        </w:tc>
        <w:tc>
          <w:tcPr>
            <w:tcW w:w="1420" w:type="dxa"/>
            <w:vAlign w:val="bottom"/>
            <w:tcBorders>
              <w:right w:val="single" w:sz="8" w:color="AFAFAF"/>
            </w:tcBorders>
            <w:vMerge w:val="continue"/>
          </w:tcPr>
          <w:p>
            <w:pPr>
              <w:spacing w:after="0"/>
              <w:rPr>
                <w:sz w:val="5"/>
                <w:szCs w:val="5"/>
                <w:color w:val="auto"/>
              </w:rPr>
            </w:pPr>
          </w:p>
        </w:tc>
        <w:tc>
          <w:tcPr>
            <w:tcW w:w="680" w:type="dxa"/>
            <w:vAlign w:val="bottom"/>
            <w:tcBorders>
              <w:right w:val="single" w:sz="8" w:color="AFAFAF"/>
            </w:tcBorders>
          </w:tcPr>
          <w:p>
            <w:pPr>
              <w:spacing w:after="0"/>
              <w:rPr>
                <w:sz w:val="5"/>
                <w:szCs w:val="5"/>
                <w:color w:val="auto"/>
              </w:rPr>
            </w:pPr>
          </w:p>
        </w:tc>
        <w:tc>
          <w:tcPr>
            <w:tcW w:w="2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right w:val="single" w:sz="8" w:color="AFAFAF"/>
            </w:tcBorders>
          </w:tcPr>
          <w:p>
            <w:pPr>
              <w:spacing w:after="0"/>
              <w:rPr>
                <w:sz w:val="8"/>
                <w:szCs w:val="8"/>
                <w:color w:val="auto"/>
              </w:rPr>
            </w:pPr>
          </w:p>
        </w:tc>
        <w:tc>
          <w:tcPr>
            <w:tcW w:w="2640" w:type="dxa"/>
            <w:vAlign w:val="bottom"/>
            <w:tcBorders>
              <w:right w:val="single" w:sz="8" w:color="AFAFAF"/>
            </w:tcBorders>
            <w:vMerge w:val="continue"/>
          </w:tcPr>
          <w:p>
            <w:pPr>
              <w:spacing w:after="0"/>
              <w:rPr>
                <w:sz w:val="8"/>
                <w:szCs w:val="8"/>
                <w:color w:val="auto"/>
              </w:rPr>
            </w:pPr>
          </w:p>
        </w:tc>
        <w:tc>
          <w:tcPr>
            <w:tcW w:w="1320" w:type="dxa"/>
            <w:vAlign w:val="bottom"/>
            <w:tcBorders>
              <w:right w:val="single" w:sz="8" w:color="AFAFAF"/>
            </w:tcBorders>
          </w:tcPr>
          <w:p>
            <w:pPr>
              <w:spacing w:after="0"/>
              <w:rPr>
                <w:sz w:val="8"/>
                <w:szCs w:val="8"/>
                <w:color w:val="auto"/>
              </w:rPr>
            </w:pPr>
          </w:p>
        </w:tc>
        <w:tc>
          <w:tcPr>
            <w:tcW w:w="142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Bello, Peccarelli and</w:t>
            </w:r>
          </w:p>
        </w:tc>
        <w:tc>
          <w:tcPr>
            <w:tcW w:w="680" w:type="dxa"/>
            <w:vAlign w:val="bottom"/>
            <w:tcBorders>
              <w:right w:val="single" w:sz="8" w:color="AFAFAF"/>
            </w:tcBorders>
          </w:tcPr>
          <w:p>
            <w:pPr>
              <w:spacing w:after="0"/>
              <w:rPr>
                <w:sz w:val="8"/>
                <w:szCs w:val="8"/>
                <w:color w:val="auto"/>
              </w:rPr>
            </w:pPr>
          </w:p>
        </w:tc>
        <w:tc>
          <w:tcPr>
            <w:tcW w:w="2280" w:type="dxa"/>
            <w:vAlign w:val="bottom"/>
            <w:vMerge w:val="restart"/>
          </w:tcPr>
          <w:p>
            <w:pPr>
              <w:ind w:left="100"/>
              <w:spacing w:after="0"/>
              <w:rPr>
                <w:sz w:val="20"/>
                <w:szCs w:val="20"/>
                <w:color w:val="auto"/>
              </w:rPr>
            </w:pPr>
            <w:r>
              <w:rPr>
                <w:rFonts w:ascii="Arial" w:cs="Arial" w:eastAsia="Arial" w:hAnsi="Arial"/>
                <w:sz w:val="14"/>
                <w:szCs w:val="14"/>
                <w:color w:val="auto"/>
              </w:rPr>
              <w:t>Aligns their interests to</w:t>
            </w:r>
          </w:p>
        </w:tc>
        <w:tc>
          <w:tcPr>
            <w:tcW w:w="0" w:type="dxa"/>
            <w:vAlign w:val="bottom"/>
          </w:tcPr>
          <w:p>
            <w:pPr>
              <w:spacing w:after="0"/>
              <w:rPr>
                <w:sz w:val="1"/>
                <w:szCs w:val="1"/>
                <w:color w:val="auto"/>
              </w:rPr>
            </w:pPr>
          </w:p>
        </w:tc>
      </w:tr>
      <w:tr>
        <w:trPr>
          <w:trHeight w:val="67"/>
        </w:trPr>
        <w:tc>
          <w:tcPr>
            <w:tcW w:w="2640" w:type="dxa"/>
            <w:vAlign w:val="bottom"/>
            <w:tcBorders>
              <w:right w:val="single" w:sz="8" w:color="AFAFAF"/>
            </w:tcBorders>
          </w:tcPr>
          <w:p>
            <w:pPr>
              <w:spacing w:after="0"/>
              <w:rPr>
                <w:sz w:val="5"/>
                <w:szCs w:val="5"/>
                <w:color w:val="auto"/>
              </w:rPr>
            </w:pPr>
          </w:p>
        </w:tc>
        <w:tc>
          <w:tcPr>
            <w:tcW w:w="2640" w:type="dxa"/>
            <w:vAlign w:val="bottom"/>
            <w:tcBorders>
              <w:right w:val="single" w:sz="8" w:color="AFAFAF"/>
            </w:tcBorders>
            <w:vMerge w:val="restart"/>
          </w:tcPr>
          <w:p>
            <w:pPr>
              <w:ind w:left="100"/>
              <w:spacing w:after="0" w:line="135" w:lineRule="exact"/>
              <w:rPr>
                <w:sz w:val="20"/>
                <w:szCs w:val="20"/>
                <w:color w:val="auto"/>
              </w:rPr>
            </w:pPr>
            <w:r>
              <w:rPr>
                <w:rFonts w:ascii="Arial" w:cs="Arial" w:eastAsia="Arial" w:hAnsi="Arial"/>
                <w:sz w:val="14"/>
                <w:szCs w:val="14"/>
                <w:color w:val="auto"/>
              </w:rPr>
              <w:t>2020 long-term incentive awards, as</w:t>
            </w:r>
          </w:p>
        </w:tc>
        <w:tc>
          <w:tcPr>
            <w:tcW w:w="1320" w:type="dxa"/>
            <w:vAlign w:val="bottom"/>
            <w:tcBorders>
              <w:right w:val="single" w:sz="8" w:color="AFAFAF"/>
            </w:tcBorders>
          </w:tcPr>
          <w:p>
            <w:pPr>
              <w:spacing w:after="0"/>
              <w:rPr>
                <w:sz w:val="5"/>
                <w:szCs w:val="5"/>
                <w:color w:val="auto"/>
              </w:rPr>
            </w:pPr>
          </w:p>
        </w:tc>
        <w:tc>
          <w:tcPr>
            <w:tcW w:w="1420" w:type="dxa"/>
            <w:vAlign w:val="bottom"/>
            <w:tcBorders>
              <w:right w:val="single" w:sz="8" w:color="AFAFAF"/>
            </w:tcBorders>
            <w:vMerge w:val="continue"/>
          </w:tcPr>
          <w:p>
            <w:pPr>
              <w:spacing w:after="0"/>
              <w:rPr>
                <w:sz w:val="5"/>
                <w:szCs w:val="5"/>
                <w:color w:val="auto"/>
              </w:rPr>
            </w:pPr>
          </w:p>
        </w:tc>
        <w:tc>
          <w:tcPr>
            <w:tcW w:w="680" w:type="dxa"/>
            <w:vAlign w:val="bottom"/>
            <w:tcBorders>
              <w:right w:val="single" w:sz="8" w:color="AFAFAF"/>
            </w:tcBorders>
          </w:tcPr>
          <w:p>
            <w:pPr>
              <w:spacing w:after="0"/>
              <w:rPr>
                <w:sz w:val="5"/>
                <w:szCs w:val="5"/>
                <w:color w:val="auto"/>
              </w:rPr>
            </w:pPr>
          </w:p>
        </w:tc>
        <w:tc>
          <w:tcPr>
            <w:tcW w:w="2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640" w:type="dxa"/>
            <w:vAlign w:val="bottom"/>
            <w:tcBorders>
              <w:right w:val="single" w:sz="8" w:color="AFAFAF"/>
            </w:tcBorders>
          </w:tcPr>
          <w:p>
            <w:pPr>
              <w:spacing w:after="0"/>
              <w:rPr>
                <w:sz w:val="5"/>
                <w:szCs w:val="5"/>
                <w:color w:val="auto"/>
              </w:rPr>
            </w:pPr>
          </w:p>
        </w:tc>
        <w:tc>
          <w:tcPr>
            <w:tcW w:w="2640" w:type="dxa"/>
            <w:vAlign w:val="bottom"/>
            <w:tcBorders>
              <w:right w:val="single" w:sz="8" w:color="AFAFAF"/>
            </w:tcBorders>
            <w:vMerge w:val="continue"/>
          </w:tcPr>
          <w:p>
            <w:pPr>
              <w:spacing w:after="0"/>
              <w:rPr>
                <w:sz w:val="5"/>
                <w:szCs w:val="5"/>
                <w:color w:val="auto"/>
              </w:rPr>
            </w:pPr>
          </w:p>
        </w:tc>
        <w:tc>
          <w:tcPr>
            <w:tcW w:w="1320" w:type="dxa"/>
            <w:vAlign w:val="bottom"/>
            <w:tcBorders>
              <w:right w:val="single" w:sz="8" w:color="AFAFAF"/>
            </w:tcBorders>
          </w:tcPr>
          <w:p>
            <w:pPr>
              <w:spacing w:after="0"/>
              <w:rPr>
                <w:sz w:val="5"/>
                <w:szCs w:val="5"/>
                <w:color w:val="auto"/>
              </w:rPr>
            </w:pPr>
          </w:p>
        </w:tc>
        <w:tc>
          <w:tcPr>
            <w:tcW w:w="142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Masterson</w:t>
            </w:r>
          </w:p>
        </w:tc>
        <w:tc>
          <w:tcPr>
            <w:tcW w:w="680" w:type="dxa"/>
            <w:vAlign w:val="bottom"/>
            <w:tcBorders>
              <w:right w:val="single" w:sz="8" w:color="AFAFAF"/>
            </w:tcBorders>
          </w:tcPr>
          <w:p>
            <w:pPr>
              <w:spacing w:after="0"/>
              <w:rPr>
                <w:sz w:val="5"/>
                <w:szCs w:val="5"/>
                <w:color w:val="auto"/>
              </w:rPr>
            </w:pPr>
          </w:p>
        </w:tc>
        <w:tc>
          <w:tcPr>
            <w:tcW w:w="2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right w:val="single" w:sz="8" w:color="AFAFAF"/>
            </w:tcBorders>
          </w:tcPr>
          <w:p>
            <w:pPr>
              <w:spacing w:after="0"/>
              <w:rPr>
                <w:sz w:val="8"/>
                <w:szCs w:val="8"/>
                <w:color w:val="auto"/>
              </w:rPr>
            </w:pPr>
          </w:p>
        </w:tc>
        <w:tc>
          <w:tcPr>
            <w:tcW w:w="264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further discussed in this compensation</w:t>
            </w:r>
          </w:p>
        </w:tc>
        <w:tc>
          <w:tcPr>
            <w:tcW w:w="1320" w:type="dxa"/>
            <w:vAlign w:val="bottom"/>
            <w:tcBorders>
              <w:right w:val="single" w:sz="8" w:color="AFAFAF"/>
            </w:tcBorders>
          </w:tcPr>
          <w:p>
            <w:pPr>
              <w:spacing w:after="0"/>
              <w:rPr>
                <w:sz w:val="8"/>
                <w:szCs w:val="8"/>
                <w:color w:val="auto"/>
              </w:rPr>
            </w:pPr>
          </w:p>
        </w:tc>
        <w:tc>
          <w:tcPr>
            <w:tcW w:w="1420" w:type="dxa"/>
            <w:vAlign w:val="bottom"/>
            <w:tcBorders>
              <w:right w:val="single" w:sz="8" w:color="AFAFAF"/>
            </w:tcBorders>
            <w:vMerge w:val="continue"/>
          </w:tcPr>
          <w:p>
            <w:pPr>
              <w:spacing w:after="0"/>
              <w:rPr>
                <w:sz w:val="8"/>
                <w:szCs w:val="8"/>
                <w:color w:val="auto"/>
              </w:rPr>
            </w:pPr>
          </w:p>
        </w:tc>
        <w:tc>
          <w:tcPr>
            <w:tcW w:w="680" w:type="dxa"/>
            <w:vAlign w:val="bottom"/>
            <w:tcBorders>
              <w:right w:val="single" w:sz="8" w:color="AFAFAF"/>
            </w:tcBorders>
          </w:tcPr>
          <w:p>
            <w:pPr>
              <w:spacing w:after="0"/>
              <w:rPr>
                <w:sz w:val="8"/>
                <w:szCs w:val="8"/>
                <w:color w:val="auto"/>
              </w:rPr>
            </w:pPr>
          </w:p>
        </w:tc>
        <w:tc>
          <w:tcPr>
            <w:tcW w:w="2280" w:type="dxa"/>
            <w:vAlign w:val="bottom"/>
            <w:vMerge w:val="restart"/>
          </w:tcPr>
          <w:p>
            <w:pPr>
              <w:ind w:left="100"/>
              <w:spacing w:after="0"/>
              <w:rPr>
                <w:sz w:val="20"/>
                <w:szCs w:val="20"/>
                <w:color w:val="auto"/>
              </w:rPr>
            </w:pPr>
            <w:r>
              <w:rPr>
                <w:rFonts w:ascii="Arial" w:cs="Arial" w:eastAsia="Arial" w:hAnsi="Arial"/>
                <w:sz w:val="14"/>
                <w:szCs w:val="14"/>
                <w:color w:val="auto"/>
              </w:rPr>
              <w:t>shareholder interests.</w:t>
            </w:r>
          </w:p>
        </w:tc>
        <w:tc>
          <w:tcPr>
            <w:tcW w:w="0" w:type="dxa"/>
            <w:vAlign w:val="bottom"/>
          </w:tcPr>
          <w:p>
            <w:pPr>
              <w:spacing w:after="0"/>
              <w:rPr>
                <w:sz w:val="1"/>
                <w:szCs w:val="1"/>
                <w:color w:val="auto"/>
              </w:rPr>
            </w:pPr>
          </w:p>
        </w:tc>
      </w:tr>
      <w:tr>
        <w:trPr>
          <w:trHeight w:val="94"/>
        </w:trPr>
        <w:tc>
          <w:tcPr>
            <w:tcW w:w="2640" w:type="dxa"/>
            <w:vAlign w:val="bottom"/>
            <w:tcBorders>
              <w:right w:val="single" w:sz="8" w:color="AFAFAF"/>
            </w:tcBorders>
          </w:tcPr>
          <w:p>
            <w:pPr>
              <w:spacing w:after="0"/>
              <w:rPr>
                <w:sz w:val="8"/>
                <w:szCs w:val="8"/>
                <w:color w:val="auto"/>
              </w:rPr>
            </w:pPr>
          </w:p>
        </w:tc>
        <w:tc>
          <w:tcPr>
            <w:tcW w:w="2640" w:type="dxa"/>
            <w:vAlign w:val="bottom"/>
            <w:tcBorders>
              <w:right w:val="single" w:sz="8" w:color="AFAFAF"/>
            </w:tcBorders>
            <w:vMerge w:val="continue"/>
          </w:tcPr>
          <w:p>
            <w:pPr>
              <w:spacing w:after="0"/>
              <w:rPr>
                <w:sz w:val="8"/>
                <w:szCs w:val="8"/>
                <w:color w:val="auto"/>
              </w:rPr>
            </w:pPr>
          </w:p>
        </w:tc>
        <w:tc>
          <w:tcPr>
            <w:tcW w:w="1320" w:type="dxa"/>
            <w:vAlign w:val="bottom"/>
            <w:tcBorders>
              <w:right w:val="single" w:sz="8" w:color="AFAFAF"/>
            </w:tcBorders>
          </w:tcPr>
          <w:p>
            <w:pPr>
              <w:spacing w:after="0"/>
              <w:rPr>
                <w:sz w:val="8"/>
                <w:szCs w:val="8"/>
                <w:color w:val="auto"/>
              </w:rPr>
            </w:pPr>
          </w:p>
        </w:tc>
        <w:tc>
          <w:tcPr>
            <w:tcW w:w="142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consisted of grants</w:t>
            </w:r>
          </w:p>
        </w:tc>
        <w:tc>
          <w:tcPr>
            <w:tcW w:w="680" w:type="dxa"/>
            <w:vAlign w:val="bottom"/>
            <w:tcBorders>
              <w:right w:val="single" w:sz="8" w:color="AFAFAF"/>
            </w:tcBorders>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640" w:type="dxa"/>
            <w:vAlign w:val="bottom"/>
            <w:tcBorders>
              <w:right w:val="single" w:sz="8" w:color="AFAFAF"/>
            </w:tcBorders>
          </w:tcPr>
          <w:p>
            <w:pPr>
              <w:spacing w:after="0"/>
              <w:rPr>
                <w:sz w:val="5"/>
                <w:szCs w:val="5"/>
                <w:color w:val="auto"/>
              </w:rPr>
            </w:pPr>
          </w:p>
        </w:tc>
        <w:tc>
          <w:tcPr>
            <w:tcW w:w="264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discussion and analysis.</w:t>
            </w:r>
          </w:p>
        </w:tc>
        <w:tc>
          <w:tcPr>
            <w:tcW w:w="1320" w:type="dxa"/>
            <w:vAlign w:val="bottom"/>
            <w:tcBorders>
              <w:right w:val="single" w:sz="8" w:color="AFAFAF"/>
            </w:tcBorders>
          </w:tcPr>
          <w:p>
            <w:pPr>
              <w:spacing w:after="0"/>
              <w:rPr>
                <w:sz w:val="5"/>
                <w:szCs w:val="5"/>
                <w:color w:val="auto"/>
              </w:rPr>
            </w:pPr>
          </w:p>
        </w:tc>
        <w:tc>
          <w:tcPr>
            <w:tcW w:w="1420" w:type="dxa"/>
            <w:vAlign w:val="bottom"/>
            <w:tcBorders>
              <w:right w:val="single" w:sz="8" w:color="AFAFAF"/>
            </w:tcBorders>
            <w:vMerge w:val="continue"/>
          </w:tcPr>
          <w:p>
            <w:pPr>
              <w:spacing w:after="0"/>
              <w:rPr>
                <w:sz w:val="5"/>
                <w:szCs w:val="5"/>
                <w:color w:val="auto"/>
              </w:rPr>
            </w:pPr>
          </w:p>
        </w:tc>
        <w:tc>
          <w:tcPr>
            <w:tcW w:w="680" w:type="dxa"/>
            <w:vAlign w:val="bottom"/>
            <w:tcBorders>
              <w:right w:val="single" w:sz="8" w:color="AFAFAF"/>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640" w:type="dxa"/>
            <w:vAlign w:val="bottom"/>
            <w:tcBorders>
              <w:right w:val="single" w:sz="8" w:color="AFAFAF"/>
            </w:tcBorders>
          </w:tcPr>
          <w:p>
            <w:pPr>
              <w:spacing w:after="0"/>
              <w:rPr>
                <w:sz w:val="9"/>
                <w:szCs w:val="9"/>
                <w:color w:val="auto"/>
              </w:rPr>
            </w:pPr>
          </w:p>
        </w:tc>
        <w:tc>
          <w:tcPr>
            <w:tcW w:w="2640" w:type="dxa"/>
            <w:vAlign w:val="bottom"/>
            <w:tcBorders>
              <w:right w:val="single" w:sz="8" w:color="AFAFAF"/>
            </w:tcBorders>
            <w:vMerge w:val="continue"/>
          </w:tcPr>
          <w:p>
            <w:pPr>
              <w:spacing w:after="0"/>
              <w:rPr>
                <w:sz w:val="9"/>
                <w:szCs w:val="9"/>
                <w:color w:val="auto"/>
              </w:rPr>
            </w:pPr>
          </w:p>
        </w:tc>
        <w:tc>
          <w:tcPr>
            <w:tcW w:w="1320" w:type="dxa"/>
            <w:vAlign w:val="bottom"/>
            <w:tcBorders>
              <w:right w:val="single" w:sz="8" w:color="AFAFAF"/>
            </w:tcBorders>
          </w:tcPr>
          <w:p>
            <w:pPr>
              <w:spacing w:after="0"/>
              <w:rPr>
                <w:sz w:val="9"/>
                <w:szCs w:val="9"/>
                <w:color w:val="auto"/>
              </w:rPr>
            </w:pPr>
          </w:p>
        </w:tc>
        <w:tc>
          <w:tcPr>
            <w:tcW w:w="142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of TRSUs (50%)</w:t>
            </w:r>
          </w:p>
        </w:tc>
        <w:tc>
          <w:tcPr>
            <w:tcW w:w="680" w:type="dxa"/>
            <w:vAlign w:val="bottom"/>
            <w:tcBorders>
              <w:right w:val="single" w:sz="8" w:color="AFAFAF"/>
            </w:tcBorders>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640" w:type="dxa"/>
            <w:vAlign w:val="bottom"/>
            <w:tcBorders>
              <w:right w:val="single" w:sz="8" w:color="AFAFAF"/>
            </w:tcBorders>
          </w:tcPr>
          <w:p>
            <w:pPr>
              <w:spacing w:after="0"/>
              <w:rPr>
                <w:sz w:val="4"/>
                <w:szCs w:val="4"/>
                <w:color w:val="auto"/>
              </w:rPr>
            </w:pPr>
          </w:p>
        </w:tc>
        <w:tc>
          <w:tcPr>
            <w:tcW w:w="2640" w:type="dxa"/>
            <w:vAlign w:val="bottom"/>
            <w:tcBorders>
              <w:right w:val="single" w:sz="8" w:color="AFAFAF"/>
            </w:tcBorders>
          </w:tcPr>
          <w:p>
            <w:pPr>
              <w:spacing w:after="0"/>
              <w:rPr>
                <w:sz w:val="4"/>
                <w:szCs w:val="4"/>
                <w:color w:val="auto"/>
              </w:rPr>
            </w:pPr>
          </w:p>
        </w:tc>
        <w:tc>
          <w:tcPr>
            <w:tcW w:w="1320" w:type="dxa"/>
            <w:vAlign w:val="bottom"/>
            <w:tcBorders>
              <w:right w:val="single" w:sz="8" w:color="AFAFAF"/>
            </w:tcBorders>
          </w:tcPr>
          <w:p>
            <w:pPr>
              <w:spacing w:after="0"/>
              <w:rPr>
                <w:sz w:val="4"/>
                <w:szCs w:val="4"/>
                <w:color w:val="auto"/>
              </w:rPr>
            </w:pPr>
          </w:p>
        </w:tc>
        <w:tc>
          <w:tcPr>
            <w:tcW w:w="1420" w:type="dxa"/>
            <w:vAlign w:val="bottom"/>
            <w:tcBorders>
              <w:right w:val="single" w:sz="8" w:color="AFAFAF"/>
            </w:tcBorders>
            <w:vMerge w:val="continue"/>
          </w:tcPr>
          <w:p>
            <w:pPr>
              <w:spacing w:after="0"/>
              <w:rPr>
                <w:sz w:val="4"/>
                <w:szCs w:val="4"/>
                <w:color w:val="auto"/>
              </w:rPr>
            </w:pPr>
          </w:p>
        </w:tc>
        <w:tc>
          <w:tcPr>
            <w:tcW w:w="680" w:type="dxa"/>
            <w:vAlign w:val="bottom"/>
            <w:tcBorders>
              <w:right w:val="single" w:sz="8" w:color="AFAFAF"/>
            </w:tcBorders>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These awards also include stock</w:t>
            </w: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and stock options</w:t>
            </w:r>
          </w:p>
        </w:tc>
        <w:tc>
          <w:tcPr>
            <w:tcW w:w="68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options with an exercise price equal to</w:t>
            </w: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(50%).</w:t>
            </w:r>
          </w:p>
        </w:tc>
        <w:tc>
          <w:tcPr>
            <w:tcW w:w="68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64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the fair market value of our shares on</w:t>
            </w: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spacing w:after="0"/>
              <w:rPr>
                <w:sz w:val="14"/>
                <w:szCs w:val="14"/>
                <w:color w:val="auto"/>
              </w:rPr>
            </w:pPr>
          </w:p>
        </w:tc>
        <w:tc>
          <w:tcPr>
            <w:tcW w:w="68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40" w:type="dxa"/>
            <w:vAlign w:val="bottom"/>
            <w:tcBorders>
              <w:bottom w:val="single" w:sz="8" w:color="AFAFAF"/>
              <w:right w:val="single" w:sz="8" w:color="AFAFAF"/>
            </w:tcBorders>
          </w:tcPr>
          <w:p>
            <w:pPr>
              <w:spacing w:after="0"/>
              <w:rPr>
                <w:sz w:val="14"/>
                <w:szCs w:val="14"/>
                <w:color w:val="auto"/>
              </w:rPr>
            </w:pPr>
          </w:p>
        </w:tc>
        <w:tc>
          <w:tcPr>
            <w:tcW w:w="264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the grant date and TRSUs.</w:t>
            </w:r>
          </w:p>
        </w:tc>
        <w:tc>
          <w:tcPr>
            <w:tcW w:w="1320" w:type="dxa"/>
            <w:vAlign w:val="bottom"/>
            <w:tcBorders>
              <w:bottom w:val="single" w:sz="8" w:color="AFAFAF"/>
              <w:right w:val="single" w:sz="8" w:color="AFAFAF"/>
            </w:tcBorders>
          </w:tcPr>
          <w:p>
            <w:pPr>
              <w:spacing w:after="0"/>
              <w:rPr>
                <w:sz w:val="14"/>
                <w:szCs w:val="14"/>
                <w:color w:val="auto"/>
              </w:rPr>
            </w:pPr>
          </w:p>
        </w:tc>
        <w:tc>
          <w:tcPr>
            <w:tcW w:w="1420" w:type="dxa"/>
            <w:vAlign w:val="bottom"/>
            <w:tcBorders>
              <w:bottom w:val="single" w:sz="8" w:color="AFAFAF"/>
              <w:right w:val="single" w:sz="8" w:color="AFAFAF"/>
            </w:tcBorders>
          </w:tcPr>
          <w:p>
            <w:pPr>
              <w:spacing w:after="0"/>
              <w:rPr>
                <w:sz w:val="14"/>
                <w:szCs w:val="14"/>
                <w:color w:val="auto"/>
              </w:rPr>
            </w:pPr>
          </w:p>
        </w:tc>
        <w:tc>
          <w:tcPr>
            <w:tcW w:w="680" w:type="dxa"/>
            <w:vAlign w:val="bottom"/>
            <w:tcBorders>
              <w:bottom w:val="single" w:sz="8" w:color="AFAFAF"/>
              <w:right w:val="single" w:sz="8" w:color="AFAFAF"/>
            </w:tcBorders>
          </w:tcPr>
          <w:p>
            <w:pPr>
              <w:spacing w:after="0"/>
              <w:rPr>
                <w:sz w:val="14"/>
                <w:szCs w:val="14"/>
                <w:color w:val="auto"/>
              </w:rPr>
            </w:pPr>
          </w:p>
        </w:tc>
        <w:tc>
          <w:tcPr>
            <w:tcW w:w="2280" w:type="dxa"/>
            <w:vAlign w:val="bottom"/>
            <w:tcBorders>
              <w:bottom w:val="single" w:sz="8" w:color="AFAFAF"/>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D95A3B"/>
            </w:tcBorders>
            <w:gridSpan w:val="2"/>
          </w:tcPr>
          <w:p>
            <w:pPr>
              <w:spacing w:after="0"/>
              <w:rPr>
                <w:sz w:val="19"/>
                <w:szCs w:val="19"/>
                <w:color w:val="auto"/>
              </w:rPr>
            </w:pPr>
          </w:p>
        </w:tc>
        <w:tc>
          <w:tcPr>
            <w:tcW w:w="1320" w:type="dxa"/>
            <w:vAlign w:val="bottom"/>
            <w:tcBorders>
              <w:bottom w:val="single" w:sz="8" w:color="D95A3B"/>
            </w:tcBorders>
          </w:tcPr>
          <w:p>
            <w:pPr>
              <w:spacing w:after="0"/>
              <w:rPr>
                <w:sz w:val="19"/>
                <w:szCs w:val="19"/>
                <w:color w:val="auto"/>
              </w:rPr>
            </w:pPr>
          </w:p>
        </w:tc>
        <w:tc>
          <w:tcPr>
            <w:tcW w:w="1420" w:type="dxa"/>
            <w:vAlign w:val="bottom"/>
            <w:tcBorders>
              <w:bottom w:val="single" w:sz="8" w:color="D95A3B"/>
            </w:tcBorders>
          </w:tcPr>
          <w:p>
            <w:pPr>
              <w:spacing w:after="0"/>
              <w:rPr>
                <w:sz w:val="19"/>
                <w:szCs w:val="19"/>
                <w:color w:val="auto"/>
              </w:rPr>
            </w:pPr>
          </w:p>
        </w:tc>
        <w:tc>
          <w:tcPr>
            <w:tcW w:w="680" w:type="dxa"/>
            <w:vAlign w:val="bottom"/>
            <w:tcBorders>
              <w:bottom w:val="single" w:sz="8" w:color="D95A3B"/>
            </w:tcBorders>
          </w:tcPr>
          <w:p>
            <w:pPr>
              <w:spacing w:after="0"/>
              <w:rPr>
                <w:sz w:val="19"/>
                <w:szCs w:val="19"/>
                <w:color w:val="auto"/>
              </w:rPr>
            </w:pPr>
          </w:p>
        </w:tc>
        <w:tc>
          <w:tcPr>
            <w:tcW w:w="2280" w:type="dxa"/>
            <w:vAlign w:val="bottom"/>
            <w:tcBorders>
              <w:bottom w:val="single" w:sz="8" w:color="D95A3B"/>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280" w:type="dxa"/>
            <w:vAlign w:val="bottom"/>
            <w:gridSpan w:val="2"/>
          </w:tcPr>
          <w:p>
            <w:pPr>
              <w:spacing w:after="0"/>
              <w:rPr>
                <w:sz w:val="20"/>
                <w:szCs w:val="20"/>
                <w:color w:val="auto"/>
              </w:rPr>
            </w:pPr>
            <w:r>
              <w:rPr>
                <w:rFonts w:ascii="Arial" w:cs="Arial" w:eastAsia="Arial" w:hAnsi="Arial"/>
                <w:sz w:val="13"/>
                <w:szCs w:val="13"/>
                <w:color w:val="auto"/>
              </w:rPr>
              <w:t xml:space="preserve">Page 48  </w:t>
            </w:r>
            <w:r>
              <w:rPr>
                <w:rFonts w:ascii="Arial" w:cs="Arial" w:eastAsia="Arial" w:hAnsi="Arial"/>
                <w:sz w:val="13"/>
                <w:szCs w:val="13"/>
                <w:color w:val="D95A3B"/>
              </w:rPr>
              <w:t>Management Proxy Circular and Notice of Annual Meeting of Shareholders</w:t>
            </w:r>
          </w:p>
        </w:tc>
        <w:tc>
          <w:tcPr>
            <w:tcW w:w="1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8"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204470</wp:posOffset>
            </wp:positionV>
            <wp:extent cx="8255" cy="1282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204470</wp:posOffset>
            </wp:positionV>
            <wp:extent cx="8255" cy="1282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204470</wp:posOffset>
            </wp:positionV>
            <wp:extent cx="8255" cy="1282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204470</wp:posOffset>
            </wp:positionV>
            <wp:extent cx="8255" cy="1282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1807845</wp:posOffset>
            </wp:positionH>
            <wp:positionV relativeFrom="paragraph">
              <wp:posOffset>204470</wp:posOffset>
            </wp:positionV>
            <wp:extent cx="8255" cy="1282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128270"/>
                    </a:xfrm>
                    <a:prstGeom prst="rect">
                      <a:avLst/>
                    </a:prstGeom>
                    <a:noFill/>
                  </pic:spPr>
                </pic:pic>
              </a:graphicData>
            </a:graphic>
          </wp:anchor>
        </w:drawing>
      </w:r>
    </w:p>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264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Component</w:t>
            </w:r>
          </w:p>
        </w:tc>
        <w:tc>
          <w:tcPr>
            <w:tcW w:w="2520" w:type="dxa"/>
            <w:vAlign w:val="bottom"/>
            <w:tcBorders>
              <w:bottom w:val="single" w:sz="8" w:color="D95A3B"/>
              <w:right w:val="single" w:sz="8" w:color="CCCCCC"/>
            </w:tcBorders>
            <w:shd w:val="clear" w:color="auto" w:fill="CCCCCC"/>
          </w:tcPr>
          <w:p>
            <w:pPr>
              <w:ind w:left="100"/>
              <w:spacing w:after="0"/>
              <w:rPr>
                <w:sz w:val="20"/>
                <w:szCs w:val="20"/>
                <w:color w:val="auto"/>
              </w:rPr>
            </w:pPr>
            <w:r>
              <w:rPr>
                <w:rFonts w:ascii="Arial" w:cs="Arial" w:eastAsia="Arial" w:hAnsi="Arial"/>
                <w:sz w:val="15"/>
                <w:szCs w:val="15"/>
                <w:b w:val="1"/>
                <w:bCs w:val="1"/>
                <w:color w:val="auto"/>
              </w:rPr>
              <w:t>Description</w:t>
            </w:r>
          </w:p>
        </w:tc>
        <w:tc>
          <w:tcPr>
            <w:tcW w:w="1320" w:type="dxa"/>
            <w:vAlign w:val="bottom"/>
            <w:tcBorders>
              <w:bottom w:val="single" w:sz="8" w:color="D95A3B"/>
              <w:right w:val="single" w:sz="8" w:color="CCCCCC"/>
            </w:tcBorders>
            <w:shd w:val="clear" w:color="auto" w:fill="CCCCCC"/>
          </w:tcPr>
          <w:p>
            <w:pPr>
              <w:ind w:left="100"/>
              <w:spacing w:after="0"/>
              <w:rPr>
                <w:sz w:val="20"/>
                <w:szCs w:val="20"/>
                <w:color w:val="auto"/>
              </w:rPr>
            </w:pPr>
            <w:r>
              <w:rPr>
                <w:rFonts w:ascii="Arial" w:cs="Arial" w:eastAsia="Arial" w:hAnsi="Arial"/>
                <w:sz w:val="15"/>
                <w:szCs w:val="15"/>
                <w:b w:val="1"/>
                <w:bCs w:val="1"/>
                <w:color w:val="auto"/>
              </w:rPr>
              <w:t>Type</w:t>
            </w:r>
          </w:p>
        </w:tc>
        <w:tc>
          <w:tcPr>
            <w:tcW w:w="1420" w:type="dxa"/>
            <w:vAlign w:val="bottom"/>
            <w:tcBorders>
              <w:bottom w:val="single" w:sz="8" w:color="D95A3B"/>
              <w:right w:val="single" w:sz="8" w:color="CCCCCC"/>
            </w:tcBorders>
            <w:shd w:val="clear" w:color="auto" w:fill="CCCCCC"/>
          </w:tcPr>
          <w:p>
            <w:pPr>
              <w:ind w:left="100"/>
              <w:spacing w:after="0"/>
              <w:rPr>
                <w:sz w:val="20"/>
                <w:szCs w:val="20"/>
                <w:color w:val="auto"/>
              </w:rPr>
            </w:pPr>
            <w:r>
              <w:rPr>
                <w:rFonts w:ascii="Arial" w:cs="Arial" w:eastAsia="Arial" w:hAnsi="Arial"/>
                <w:sz w:val="15"/>
                <w:szCs w:val="15"/>
                <w:b w:val="1"/>
                <w:bCs w:val="1"/>
                <w:color w:val="auto"/>
              </w:rPr>
              <w:t>2018 Measures</w:t>
            </w:r>
          </w:p>
        </w:tc>
        <w:tc>
          <w:tcPr>
            <w:tcW w:w="800" w:type="dxa"/>
            <w:vAlign w:val="bottom"/>
            <w:tcBorders>
              <w:bottom w:val="single" w:sz="8" w:color="D95A3B"/>
              <w:right w:val="single" w:sz="8" w:color="CCCCCC"/>
            </w:tcBorders>
            <w:shd w:val="clear" w:color="auto" w:fill="CCCCCC"/>
          </w:tcPr>
          <w:p>
            <w:pPr>
              <w:ind w:left="80"/>
              <w:spacing w:after="0"/>
              <w:rPr>
                <w:sz w:val="20"/>
                <w:szCs w:val="20"/>
                <w:color w:val="auto"/>
              </w:rPr>
            </w:pPr>
            <w:r>
              <w:rPr>
                <w:rFonts w:ascii="Arial" w:cs="Arial" w:eastAsia="Arial" w:hAnsi="Arial"/>
                <w:sz w:val="15"/>
                <w:szCs w:val="15"/>
                <w:b w:val="1"/>
                <w:bCs w:val="1"/>
                <w:color w:val="auto"/>
              </w:rPr>
              <w:t>Form</w:t>
            </w:r>
          </w:p>
        </w:tc>
        <w:tc>
          <w:tcPr>
            <w:tcW w:w="2280" w:type="dxa"/>
            <w:vAlign w:val="bottom"/>
            <w:tcBorders>
              <w:bottom w:val="single" w:sz="8" w:color="D95A3B"/>
            </w:tcBorders>
            <w:shd w:val="clear" w:color="auto" w:fill="CCCCCC"/>
          </w:tcPr>
          <w:p>
            <w:pPr>
              <w:ind w:left="100"/>
              <w:spacing w:after="0"/>
              <w:rPr>
                <w:sz w:val="20"/>
                <w:szCs w:val="20"/>
                <w:color w:val="auto"/>
              </w:rPr>
            </w:pPr>
            <w:r>
              <w:rPr>
                <w:rFonts w:ascii="Arial" w:cs="Arial" w:eastAsia="Arial" w:hAnsi="Arial"/>
                <w:sz w:val="15"/>
                <w:szCs w:val="15"/>
                <w:b w:val="1"/>
                <w:bCs w:val="1"/>
                <w:color w:val="auto"/>
              </w:rPr>
              <w:t>Purpose</w:t>
            </w:r>
          </w:p>
        </w:tc>
        <w:tc>
          <w:tcPr>
            <w:tcW w:w="0" w:type="dxa"/>
            <w:vAlign w:val="bottom"/>
          </w:tcPr>
          <w:p>
            <w:pPr>
              <w:spacing w:after="0"/>
              <w:rPr>
                <w:sz w:val="1"/>
                <w:szCs w:val="1"/>
                <w:color w:val="auto"/>
              </w:rPr>
            </w:pPr>
          </w:p>
        </w:tc>
      </w:tr>
      <w:tr>
        <w:trPr>
          <w:trHeight w:val="142"/>
        </w:trPr>
        <w:tc>
          <w:tcPr>
            <w:tcW w:w="2640" w:type="dxa"/>
            <w:vAlign w:val="bottom"/>
            <w:tcBorders>
              <w:right w:val="single" w:sz="8" w:color="AFAFAF"/>
            </w:tcBorders>
          </w:tcPr>
          <w:p>
            <w:pPr>
              <w:ind w:left="140"/>
              <w:spacing w:after="0" w:line="142" w:lineRule="exact"/>
              <w:rPr>
                <w:sz w:val="20"/>
                <w:szCs w:val="20"/>
                <w:color w:val="auto"/>
              </w:rPr>
            </w:pPr>
            <w:r>
              <w:rPr>
                <w:rFonts w:ascii="Arial" w:cs="Arial" w:eastAsia="Arial" w:hAnsi="Arial"/>
                <w:sz w:val="14"/>
                <w:szCs w:val="14"/>
                <w:b w:val="1"/>
                <w:bCs w:val="1"/>
                <w:color w:val="auto"/>
              </w:rPr>
              <w:t>Retirement and health and</w:t>
            </w:r>
          </w:p>
        </w:tc>
        <w:tc>
          <w:tcPr>
            <w:tcW w:w="2520" w:type="dxa"/>
            <w:vAlign w:val="bottom"/>
            <w:tcBorders>
              <w:right w:val="single" w:sz="8" w:color="AFAFAF"/>
            </w:tcBorders>
          </w:tcPr>
          <w:p>
            <w:pPr>
              <w:ind w:left="100"/>
              <w:spacing w:after="0" w:line="142" w:lineRule="exact"/>
              <w:rPr>
                <w:sz w:val="20"/>
                <w:szCs w:val="20"/>
                <w:color w:val="auto"/>
              </w:rPr>
            </w:pPr>
            <w:r>
              <w:rPr>
                <w:rFonts w:ascii="Arial" w:cs="Arial" w:eastAsia="Arial" w:hAnsi="Arial"/>
                <w:sz w:val="14"/>
                <w:szCs w:val="14"/>
                <w:color w:val="auto"/>
              </w:rPr>
              <w:t>Savings and deferred compensation</w:t>
            </w:r>
          </w:p>
        </w:tc>
        <w:tc>
          <w:tcPr>
            <w:tcW w:w="1320" w:type="dxa"/>
            <w:vAlign w:val="bottom"/>
            <w:tcBorders>
              <w:right w:val="single" w:sz="8" w:color="AFAFAF"/>
            </w:tcBorders>
          </w:tcPr>
          <w:p>
            <w:pPr>
              <w:spacing w:after="0"/>
              <w:rPr>
                <w:sz w:val="12"/>
                <w:szCs w:val="12"/>
                <w:color w:val="auto"/>
              </w:rPr>
            </w:pPr>
          </w:p>
        </w:tc>
        <w:tc>
          <w:tcPr>
            <w:tcW w:w="1420" w:type="dxa"/>
            <w:vAlign w:val="bottom"/>
            <w:tcBorders>
              <w:right w:val="single" w:sz="8" w:color="AFAFAF"/>
            </w:tcBorders>
          </w:tcPr>
          <w:p>
            <w:pPr>
              <w:spacing w:after="0"/>
              <w:rPr>
                <w:sz w:val="12"/>
                <w:szCs w:val="12"/>
                <w:color w:val="auto"/>
              </w:rPr>
            </w:pPr>
          </w:p>
        </w:tc>
        <w:tc>
          <w:tcPr>
            <w:tcW w:w="800" w:type="dxa"/>
            <w:vAlign w:val="bottom"/>
            <w:tcBorders>
              <w:right w:val="single" w:sz="8" w:color="AFAFAF"/>
            </w:tcBorders>
          </w:tcPr>
          <w:p>
            <w:pPr>
              <w:ind w:left="80"/>
              <w:spacing w:after="0" w:line="142" w:lineRule="exact"/>
              <w:rPr>
                <w:sz w:val="20"/>
                <w:szCs w:val="20"/>
                <w:color w:val="auto"/>
              </w:rPr>
            </w:pPr>
            <w:r>
              <w:rPr>
                <w:rFonts w:ascii="Arial" w:cs="Arial" w:eastAsia="Arial" w:hAnsi="Arial"/>
                <w:sz w:val="14"/>
                <w:szCs w:val="14"/>
                <w:color w:val="auto"/>
              </w:rPr>
              <w:t>Various</w:t>
            </w:r>
          </w:p>
        </w:tc>
        <w:tc>
          <w:tcPr>
            <w:tcW w:w="2280" w:type="dxa"/>
            <w:vAlign w:val="bottom"/>
          </w:tcPr>
          <w:p>
            <w:pPr>
              <w:ind w:left="100"/>
              <w:spacing w:after="0" w:line="142" w:lineRule="exact"/>
              <w:rPr>
                <w:sz w:val="20"/>
                <w:szCs w:val="20"/>
                <w:color w:val="auto"/>
              </w:rPr>
            </w:pPr>
            <w:r>
              <w:rPr>
                <w:rFonts w:ascii="Arial" w:cs="Arial" w:eastAsia="Arial" w:hAnsi="Arial"/>
                <w:sz w:val="14"/>
                <w:szCs w:val="14"/>
                <w:color w:val="auto"/>
              </w:rPr>
              <w:t>Most of these programs are</w:t>
            </w:r>
          </w:p>
        </w:tc>
        <w:tc>
          <w:tcPr>
            <w:tcW w:w="0" w:type="dxa"/>
            <w:vAlign w:val="bottom"/>
          </w:tcPr>
          <w:p>
            <w:pPr>
              <w:spacing w:after="0"/>
              <w:rPr>
                <w:sz w:val="1"/>
                <w:szCs w:val="1"/>
                <w:color w:val="auto"/>
              </w:rPr>
            </w:pPr>
          </w:p>
        </w:tc>
      </w:tr>
      <w:tr>
        <w:trPr>
          <w:trHeight w:val="179"/>
        </w:trPr>
        <w:tc>
          <w:tcPr>
            <w:tcW w:w="2640" w:type="dxa"/>
            <w:vAlign w:val="bottom"/>
            <w:tcBorders>
              <w:right w:val="single" w:sz="8" w:color="AFAFAF"/>
            </w:tcBorders>
          </w:tcPr>
          <w:p>
            <w:pPr>
              <w:ind w:left="140"/>
              <w:spacing w:after="0"/>
              <w:rPr>
                <w:sz w:val="20"/>
                <w:szCs w:val="20"/>
                <w:color w:val="auto"/>
              </w:rPr>
            </w:pPr>
            <w:r>
              <w:rPr>
                <w:rFonts w:ascii="Arial" w:cs="Arial" w:eastAsia="Arial" w:hAnsi="Arial"/>
                <w:sz w:val="14"/>
                <w:szCs w:val="14"/>
                <w:b w:val="1"/>
                <w:bCs w:val="1"/>
                <w:color w:val="auto"/>
              </w:rPr>
              <w:t>welfare-related benefits</w:t>
            </w:r>
          </w:p>
        </w:tc>
        <w:tc>
          <w:tcPr>
            <w:tcW w:w="25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plans, life and disability insurance,</w:t>
            </w:r>
          </w:p>
        </w:tc>
        <w:tc>
          <w:tcPr>
            <w:tcW w:w="1320" w:type="dxa"/>
            <w:vAlign w:val="bottom"/>
            <w:tcBorders>
              <w:right w:val="single" w:sz="8" w:color="AFAFAF"/>
            </w:tcBorders>
          </w:tcPr>
          <w:p>
            <w:pPr>
              <w:spacing w:after="0"/>
              <w:rPr>
                <w:sz w:val="15"/>
                <w:szCs w:val="15"/>
                <w:color w:val="auto"/>
              </w:rPr>
            </w:pPr>
          </w:p>
        </w:tc>
        <w:tc>
          <w:tcPr>
            <w:tcW w:w="1420" w:type="dxa"/>
            <w:vAlign w:val="bottom"/>
            <w:tcBorders>
              <w:right w:val="single" w:sz="8" w:color="AFAFAF"/>
            </w:tcBorders>
          </w:tcPr>
          <w:p>
            <w:pPr>
              <w:spacing w:after="0"/>
              <w:rPr>
                <w:sz w:val="15"/>
                <w:szCs w:val="15"/>
                <w:color w:val="auto"/>
              </w:rPr>
            </w:pPr>
          </w:p>
        </w:tc>
        <w:tc>
          <w:tcPr>
            <w:tcW w:w="800" w:type="dxa"/>
            <w:vAlign w:val="bottom"/>
            <w:tcBorders>
              <w:right w:val="single" w:sz="8" w:color="AFAFAF"/>
            </w:tcBorders>
          </w:tcPr>
          <w:p>
            <w:pPr>
              <w:spacing w:after="0"/>
              <w:rPr>
                <w:sz w:val="15"/>
                <w:szCs w:val="15"/>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broad-based employee programs,</w:t>
            </w: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group medical and dental.</w:t>
            </w: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spacing w:after="0"/>
              <w:rPr>
                <w:sz w:val="14"/>
                <w:szCs w:val="14"/>
                <w:color w:val="auto"/>
              </w:rPr>
            </w:pPr>
          </w:p>
        </w:tc>
        <w:tc>
          <w:tcPr>
            <w:tcW w:w="800" w:type="dxa"/>
            <w:vAlign w:val="bottom"/>
            <w:tcBorders>
              <w:right w:val="single" w:sz="8" w:color="AFAFAF"/>
            </w:tcBorders>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consistent with customary market</w:t>
            </w: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spacing w:after="0"/>
              <w:rPr>
                <w:sz w:val="14"/>
                <w:szCs w:val="14"/>
                <w:color w:val="auto"/>
              </w:rPr>
            </w:pPr>
          </w:p>
        </w:tc>
        <w:tc>
          <w:tcPr>
            <w:tcW w:w="800" w:type="dxa"/>
            <w:vAlign w:val="bottom"/>
            <w:tcBorders>
              <w:right w:val="single" w:sz="8" w:color="AFAFAF"/>
            </w:tcBorders>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practice and competitive factors.</w:t>
            </w: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spacing w:after="0"/>
              <w:rPr>
                <w:sz w:val="14"/>
                <w:szCs w:val="14"/>
                <w:color w:val="auto"/>
              </w:rPr>
            </w:pPr>
          </w:p>
        </w:tc>
        <w:tc>
          <w:tcPr>
            <w:tcW w:w="800" w:type="dxa"/>
            <w:vAlign w:val="bottom"/>
            <w:tcBorders>
              <w:right w:val="single" w:sz="8" w:color="AFAFAF"/>
            </w:tcBorders>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Messrs. Smith and Bello also</w:t>
            </w: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spacing w:after="0"/>
              <w:rPr>
                <w:sz w:val="14"/>
                <w:szCs w:val="14"/>
                <w:color w:val="auto"/>
              </w:rPr>
            </w:pPr>
          </w:p>
        </w:tc>
        <w:tc>
          <w:tcPr>
            <w:tcW w:w="800" w:type="dxa"/>
            <w:vAlign w:val="bottom"/>
            <w:tcBorders>
              <w:right w:val="single" w:sz="8" w:color="AFAFAF"/>
            </w:tcBorders>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have individual supplemental</w:t>
            </w:r>
          </w:p>
        </w:tc>
        <w:tc>
          <w:tcPr>
            <w:tcW w:w="0" w:type="dxa"/>
            <w:vAlign w:val="bottom"/>
          </w:tcPr>
          <w:p>
            <w:pPr>
              <w:spacing w:after="0"/>
              <w:rPr>
                <w:sz w:val="1"/>
                <w:szCs w:val="1"/>
                <w:color w:val="auto"/>
              </w:rPr>
            </w:pPr>
          </w:p>
        </w:tc>
      </w:tr>
      <w:tr>
        <w:trPr>
          <w:trHeight w:val="161"/>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spacing w:after="0"/>
              <w:rPr>
                <w:sz w:val="14"/>
                <w:szCs w:val="14"/>
                <w:color w:val="auto"/>
              </w:rPr>
            </w:pPr>
          </w:p>
        </w:tc>
        <w:tc>
          <w:tcPr>
            <w:tcW w:w="800" w:type="dxa"/>
            <w:vAlign w:val="bottom"/>
            <w:tcBorders>
              <w:right w:val="single" w:sz="8" w:color="AFAFAF"/>
            </w:tcBorders>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executive retirement plans</w:t>
            </w:r>
          </w:p>
        </w:tc>
        <w:tc>
          <w:tcPr>
            <w:tcW w:w="0" w:type="dxa"/>
            <w:vAlign w:val="bottom"/>
          </w:tcPr>
          <w:p>
            <w:pPr>
              <w:spacing w:after="0"/>
              <w:rPr>
                <w:sz w:val="1"/>
                <w:szCs w:val="1"/>
                <w:color w:val="auto"/>
              </w:rPr>
            </w:pPr>
          </w:p>
        </w:tc>
      </w:tr>
      <w:tr>
        <w:trPr>
          <w:trHeight w:val="157"/>
        </w:trPr>
        <w:tc>
          <w:tcPr>
            <w:tcW w:w="2640" w:type="dxa"/>
            <w:vAlign w:val="bottom"/>
            <w:tcBorders>
              <w:bottom w:val="single" w:sz="8" w:color="AFAFAF"/>
              <w:right w:val="single" w:sz="8" w:color="AFAFAF"/>
            </w:tcBorders>
          </w:tcPr>
          <w:p>
            <w:pPr>
              <w:spacing w:after="0"/>
              <w:rPr>
                <w:sz w:val="13"/>
                <w:szCs w:val="13"/>
                <w:color w:val="auto"/>
              </w:rPr>
            </w:pPr>
          </w:p>
        </w:tc>
        <w:tc>
          <w:tcPr>
            <w:tcW w:w="2520" w:type="dxa"/>
            <w:vAlign w:val="bottom"/>
            <w:tcBorders>
              <w:bottom w:val="single" w:sz="8" w:color="AFAFAF"/>
              <w:right w:val="single" w:sz="8" w:color="AFAFAF"/>
            </w:tcBorders>
          </w:tcPr>
          <w:p>
            <w:pPr>
              <w:spacing w:after="0"/>
              <w:rPr>
                <w:sz w:val="13"/>
                <w:szCs w:val="13"/>
                <w:color w:val="auto"/>
              </w:rPr>
            </w:pPr>
          </w:p>
        </w:tc>
        <w:tc>
          <w:tcPr>
            <w:tcW w:w="1320" w:type="dxa"/>
            <w:vAlign w:val="bottom"/>
            <w:tcBorders>
              <w:bottom w:val="single" w:sz="8" w:color="AFAFAF"/>
              <w:right w:val="single" w:sz="8" w:color="AFAFAF"/>
            </w:tcBorders>
          </w:tcPr>
          <w:p>
            <w:pPr>
              <w:spacing w:after="0"/>
              <w:rPr>
                <w:sz w:val="13"/>
                <w:szCs w:val="13"/>
                <w:color w:val="auto"/>
              </w:rPr>
            </w:pPr>
          </w:p>
        </w:tc>
        <w:tc>
          <w:tcPr>
            <w:tcW w:w="1420" w:type="dxa"/>
            <w:vAlign w:val="bottom"/>
            <w:tcBorders>
              <w:bottom w:val="single" w:sz="8" w:color="AFAFAF"/>
              <w:right w:val="single" w:sz="8" w:color="AFAFAF"/>
            </w:tcBorders>
          </w:tcPr>
          <w:p>
            <w:pPr>
              <w:spacing w:after="0"/>
              <w:rPr>
                <w:sz w:val="13"/>
                <w:szCs w:val="13"/>
                <w:color w:val="auto"/>
              </w:rPr>
            </w:pPr>
          </w:p>
        </w:tc>
        <w:tc>
          <w:tcPr>
            <w:tcW w:w="800" w:type="dxa"/>
            <w:vAlign w:val="bottom"/>
            <w:tcBorders>
              <w:bottom w:val="single" w:sz="8" w:color="AFAFAF"/>
              <w:right w:val="single" w:sz="8" w:color="AFAFAF"/>
            </w:tcBorders>
          </w:tcPr>
          <w:p>
            <w:pPr>
              <w:spacing w:after="0"/>
              <w:rPr>
                <w:sz w:val="13"/>
                <w:szCs w:val="13"/>
                <w:color w:val="auto"/>
              </w:rPr>
            </w:pPr>
          </w:p>
        </w:tc>
        <w:tc>
          <w:tcPr>
            <w:tcW w:w="2280" w:type="dxa"/>
            <w:vAlign w:val="bottom"/>
            <w:tcBorders>
              <w:bottom w:val="single" w:sz="8" w:color="AFAFAF"/>
            </w:tcBorders>
          </w:tcPr>
          <w:p>
            <w:pPr>
              <w:ind w:left="100"/>
              <w:spacing w:after="0" w:line="157" w:lineRule="exact"/>
              <w:rPr>
                <w:sz w:val="20"/>
                <w:szCs w:val="20"/>
                <w:color w:val="auto"/>
              </w:rPr>
            </w:pPr>
            <w:r>
              <w:rPr>
                <w:rFonts w:ascii="Arial" w:cs="Arial" w:eastAsia="Arial" w:hAnsi="Arial"/>
                <w:sz w:val="14"/>
                <w:szCs w:val="14"/>
                <w:color w:val="auto"/>
              </w:rPr>
              <w:t>(SERPs).</w:t>
            </w:r>
          </w:p>
        </w:tc>
        <w:tc>
          <w:tcPr>
            <w:tcW w:w="0" w:type="dxa"/>
            <w:vAlign w:val="bottom"/>
          </w:tcPr>
          <w:p>
            <w:pPr>
              <w:spacing w:after="0"/>
              <w:rPr>
                <w:sz w:val="1"/>
                <w:szCs w:val="1"/>
                <w:color w:val="auto"/>
              </w:rPr>
            </w:pPr>
          </w:p>
        </w:tc>
      </w:tr>
      <w:tr>
        <w:trPr>
          <w:trHeight w:val="142"/>
        </w:trPr>
        <w:tc>
          <w:tcPr>
            <w:tcW w:w="2640" w:type="dxa"/>
            <w:vAlign w:val="bottom"/>
            <w:tcBorders>
              <w:right w:val="single" w:sz="8" w:color="AFAFAF"/>
            </w:tcBorders>
          </w:tcPr>
          <w:p>
            <w:pPr>
              <w:ind w:left="140"/>
              <w:spacing w:after="0" w:line="142" w:lineRule="exact"/>
              <w:rPr>
                <w:sz w:val="20"/>
                <w:szCs w:val="20"/>
                <w:color w:val="auto"/>
              </w:rPr>
            </w:pPr>
            <w:r>
              <w:rPr>
                <w:rFonts w:ascii="Arial" w:cs="Arial" w:eastAsia="Arial" w:hAnsi="Arial"/>
                <w:sz w:val="14"/>
                <w:szCs w:val="14"/>
                <w:b w:val="1"/>
                <w:bCs w:val="1"/>
                <w:color w:val="auto"/>
              </w:rPr>
              <w:t>Perquisites and other personal</w:t>
            </w:r>
          </w:p>
        </w:tc>
        <w:tc>
          <w:tcPr>
            <w:tcW w:w="2520" w:type="dxa"/>
            <w:vAlign w:val="bottom"/>
            <w:tcBorders>
              <w:right w:val="single" w:sz="8" w:color="AFAFAF"/>
            </w:tcBorders>
          </w:tcPr>
          <w:p>
            <w:pPr>
              <w:ind w:left="100"/>
              <w:spacing w:after="0" w:line="142" w:lineRule="exact"/>
              <w:rPr>
                <w:sz w:val="20"/>
                <w:szCs w:val="20"/>
                <w:color w:val="auto"/>
              </w:rPr>
            </w:pPr>
            <w:r>
              <w:rPr>
                <w:rFonts w:ascii="Arial" w:cs="Arial" w:eastAsia="Arial" w:hAnsi="Arial"/>
                <w:sz w:val="14"/>
                <w:szCs w:val="14"/>
                <w:color w:val="auto"/>
              </w:rPr>
              <w:t>Limited and includes</w:t>
            </w:r>
          </w:p>
        </w:tc>
        <w:tc>
          <w:tcPr>
            <w:tcW w:w="1320" w:type="dxa"/>
            <w:vAlign w:val="bottom"/>
            <w:tcBorders>
              <w:right w:val="single" w:sz="8" w:color="AFAFAF"/>
            </w:tcBorders>
          </w:tcPr>
          <w:p>
            <w:pPr>
              <w:spacing w:after="0"/>
              <w:rPr>
                <w:sz w:val="12"/>
                <w:szCs w:val="12"/>
                <w:color w:val="auto"/>
              </w:rPr>
            </w:pPr>
          </w:p>
        </w:tc>
        <w:tc>
          <w:tcPr>
            <w:tcW w:w="1420" w:type="dxa"/>
            <w:vAlign w:val="bottom"/>
            <w:tcBorders>
              <w:right w:val="single" w:sz="8" w:color="AFAFAF"/>
            </w:tcBorders>
          </w:tcPr>
          <w:p>
            <w:pPr>
              <w:spacing w:after="0"/>
              <w:rPr>
                <w:sz w:val="12"/>
                <w:szCs w:val="12"/>
                <w:color w:val="auto"/>
              </w:rPr>
            </w:pPr>
          </w:p>
        </w:tc>
        <w:tc>
          <w:tcPr>
            <w:tcW w:w="800" w:type="dxa"/>
            <w:vAlign w:val="bottom"/>
            <w:tcBorders>
              <w:right w:val="single" w:sz="8" w:color="AFAFAF"/>
            </w:tcBorders>
          </w:tcPr>
          <w:p>
            <w:pPr>
              <w:ind w:left="80"/>
              <w:spacing w:after="0" w:line="142" w:lineRule="exact"/>
              <w:rPr>
                <w:sz w:val="20"/>
                <w:szCs w:val="20"/>
                <w:color w:val="auto"/>
              </w:rPr>
            </w:pPr>
            <w:r>
              <w:rPr>
                <w:rFonts w:ascii="Arial" w:cs="Arial" w:eastAsia="Arial" w:hAnsi="Arial"/>
                <w:sz w:val="14"/>
                <w:szCs w:val="14"/>
                <w:color w:val="auto"/>
              </w:rPr>
              <w:t>Various</w:t>
            </w:r>
          </w:p>
        </w:tc>
        <w:tc>
          <w:tcPr>
            <w:tcW w:w="2280" w:type="dxa"/>
            <w:vAlign w:val="bottom"/>
          </w:tcPr>
          <w:p>
            <w:pPr>
              <w:ind w:left="100"/>
              <w:spacing w:after="0" w:line="142" w:lineRule="exact"/>
              <w:rPr>
                <w:sz w:val="20"/>
                <w:szCs w:val="20"/>
                <w:color w:val="auto"/>
              </w:rPr>
            </w:pPr>
            <w:r>
              <w:rPr>
                <w:rFonts w:ascii="Arial" w:cs="Arial" w:eastAsia="Arial" w:hAnsi="Arial"/>
                <w:sz w:val="14"/>
                <w:szCs w:val="14"/>
                <w:color w:val="auto"/>
              </w:rPr>
              <w:t>Encourages maintenance of</w:t>
            </w:r>
          </w:p>
        </w:tc>
        <w:tc>
          <w:tcPr>
            <w:tcW w:w="0" w:type="dxa"/>
            <w:vAlign w:val="bottom"/>
          </w:tcPr>
          <w:p>
            <w:pPr>
              <w:spacing w:after="0"/>
              <w:rPr>
                <w:sz w:val="1"/>
                <w:szCs w:val="1"/>
                <w:color w:val="auto"/>
              </w:rPr>
            </w:pPr>
          </w:p>
        </w:tc>
      </w:tr>
      <w:tr>
        <w:trPr>
          <w:trHeight w:val="180"/>
        </w:trPr>
        <w:tc>
          <w:tcPr>
            <w:tcW w:w="2640" w:type="dxa"/>
            <w:vAlign w:val="bottom"/>
            <w:tcBorders>
              <w:right w:val="single" w:sz="8" w:color="AFAFAF"/>
            </w:tcBorders>
          </w:tcPr>
          <w:p>
            <w:pPr>
              <w:ind w:left="140"/>
              <w:spacing w:after="0"/>
              <w:rPr>
                <w:sz w:val="20"/>
                <w:szCs w:val="20"/>
                <w:color w:val="auto"/>
              </w:rPr>
            </w:pPr>
            <w:r>
              <w:rPr>
                <w:rFonts w:ascii="Arial" w:cs="Arial" w:eastAsia="Arial" w:hAnsi="Arial"/>
                <w:sz w:val="14"/>
                <w:szCs w:val="14"/>
                <w:b w:val="1"/>
                <w:bCs w:val="1"/>
                <w:color w:val="auto"/>
              </w:rPr>
              <w:t>benefits</w:t>
            </w:r>
          </w:p>
        </w:tc>
        <w:tc>
          <w:tcPr>
            <w:tcW w:w="25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executive physicals and tax and</w:t>
            </w:r>
          </w:p>
        </w:tc>
        <w:tc>
          <w:tcPr>
            <w:tcW w:w="1320" w:type="dxa"/>
            <w:vAlign w:val="bottom"/>
            <w:tcBorders>
              <w:right w:val="single" w:sz="8" w:color="AFAFAF"/>
            </w:tcBorders>
          </w:tcPr>
          <w:p>
            <w:pPr>
              <w:spacing w:after="0"/>
              <w:rPr>
                <w:sz w:val="15"/>
                <w:szCs w:val="15"/>
                <w:color w:val="auto"/>
              </w:rPr>
            </w:pPr>
          </w:p>
        </w:tc>
        <w:tc>
          <w:tcPr>
            <w:tcW w:w="1420" w:type="dxa"/>
            <w:vAlign w:val="bottom"/>
            <w:tcBorders>
              <w:right w:val="single" w:sz="8" w:color="AFAFAF"/>
            </w:tcBorders>
          </w:tcPr>
          <w:p>
            <w:pPr>
              <w:spacing w:after="0"/>
              <w:rPr>
                <w:sz w:val="15"/>
                <w:szCs w:val="15"/>
                <w:color w:val="auto"/>
              </w:rPr>
            </w:pPr>
          </w:p>
        </w:tc>
        <w:tc>
          <w:tcPr>
            <w:tcW w:w="800" w:type="dxa"/>
            <w:vAlign w:val="bottom"/>
            <w:tcBorders>
              <w:right w:val="single" w:sz="8" w:color="AFAFAF"/>
            </w:tcBorders>
          </w:tcPr>
          <w:p>
            <w:pPr>
              <w:spacing w:after="0"/>
              <w:rPr>
                <w:sz w:val="15"/>
                <w:szCs w:val="15"/>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health and sound finances in a</w:t>
            </w: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financial planning assistance. Limited</w:t>
            </w: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spacing w:after="0"/>
              <w:rPr>
                <w:sz w:val="14"/>
                <w:szCs w:val="14"/>
                <w:color w:val="auto"/>
              </w:rPr>
            </w:pPr>
          </w:p>
        </w:tc>
        <w:tc>
          <w:tcPr>
            <w:tcW w:w="800" w:type="dxa"/>
            <w:vAlign w:val="bottom"/>
            <w:tcBorders>
              <w:right w:val="single" w:sz="8" w:color="AFAFAF"/>
            </w:tcBorders>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cost effective manner for our</w:t>
            </w:r>
          </w:p>
        </w:tc>
        <w:tc>
          <w:tcPr>
            <w:tcW w:w="0" w:type="dxa"/>
            <w:vAlign w:val="bottom"/>
          </w:tcPr>
          <w:p>
            <w:pPr>
              <w:spacing w:after="0"/>
              <w:rPr>
                <w:sz w:val="1"/>
                <w:szCs w:val="1"/>
                <w:color w:val="auto"/>
              </w:rPr>
            </w:pPr>
          </w:p>
        </w:tc>
      </w:tr>
      <w:tr>
        <w:trPr>
          <w:trHeight w:val="161"/>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personal use of corporate aircraft.</w:t>
            </w: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spacing w:after="0"/>
              <w:rPr>
                <w:sz w:val="14"/>
                <w:szCs w:val="14"/>
                <w:color w:val="auto"/>
              </w:rPr>
            </w:pPr>
          </w:p>
        </w:tc>
        <w:tc>
          <w:tcPr>
            <w:tcW w:w="800" w:type="dxa"/>
            <w:vAlign w:val="bottom"/>
            <w:tcBorders>
              <w:right w:val="single" w:sz="8" w:color="AFAFAF"/>
            </w:tcBorders>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company, and minimizes</w:t>
            </w:r>
          </w:p>
        </w:tc>
        <w:tc>
          <w:tcPr>
            <w:tcW w:w="0" w:type="dxa"/>
            <w:vAlign w:val="bottom"/>
          </w:tcPr>
          <w:p>
            <w:pPr>
              <w:spacing w:after="0"/>
              <w:rPr>
                <w:sz w:val="1"/>
                <w:szCs w:val="1"/>
                <w:color w:val="auto"/>
              </w:rPr>
            </w:pPr>
          </w:p>
        </w:tc>
      </w:tr>
      <w:tr>
        <w:trPr>
          <w:trHeight w:val="157"/>
        </w:trPr>
        <w:tc>
          <w:tcPr>
            <w:tcW w:w="2640" w:type="dxa"/>
            <w:vAlign w:val="bottom"/>
            <w:tcBorders>
              <w:bottom w:val="single" w:sz="8" w:color="AFAFAF"/>
              <w:right w:val="single" w:sz="8" w:color="AFAFAF"/>
            </w:tcBorders>
          </w:tcPr>
          <w:p>
            <w:pPr>
              <w:spacing w:after="0"/>
              <w:rPr>
                <w:sz w:val="13"/>
                <w:szCs w:val="13"/>
                <w:color w:val="auto"/>
              </w:rPr>
            </w:pPr>
          </w:p>
        </w:tc>
        <w:tc>
          <w:tcPr>
            <w:tcW w:w="2520" w:type="dxa"/>
            <w:vAlign w:val="bottom"/>
            <w:tcBorders>
              <w:bottom w:val="single" w:sz="8" w:color="AFAFAF"/>
              <w:right w:val="single" w:sz="8" w:color="AFAFAF"/>
            </w:tcBorders>
          </w:tcPr>
          <w:p>
            <w:pPr>
              <w:spacing w:after="0"/>
              <w:rPr>
                <w:sz w:val="13"/>
                <w:szCs w:val="13"/>
                <w:color w:val="auto"/>
              </w:rPr>
            </w:pPr>
          </w:p>
        </w:tc>
        <w:tc>
          <w:tcPr>
            <w:tcW w:w="1320" w:type="dxa"/>
            <w:vAlign w:val="bottom"/>
            <w:tcBorders>
              <w:bottom w:val="single" w:sz="8" w:color="AFAFAF"/>
              <w:right w:val="single" w:sz="8" w:color="AFAFAF"/>
            </w:tcBorders>
          </w:tcPr>
          <w:p>
            <w:pPr>
              <w:spacing w:after="0"/>
              <w:rPr>
                <w:sz w:val="13"/>
                <w:szCs w:val="13"/>
                <w:color w:val="auto"/>
              </w:rPr>
            </w:pPr>
          </w:p>
        </w:tc>
        <w:tc>
          <w:tcPr>
            <w:tcW w:w="1420" w:type="dxa"/>
            <w:vAlign w:val="bottom"/>
            <w:tcBorders>
              <w:bottom w:val="single" w:sz="8" w:color="AFAFAF"/>
              <w:right w:val="single" w:sz="8" w:color="AFAFAF"/>
            </w:tcBorders>
          </w:tcPr>
          <w:p>
            <w:pPr>
              <w:spacing w:after="0"/>
              <w:rPr>
                <w:sz w:val="13"/>
                <w:szCs w:val="13"/>
                <w:color w:val="auto"/>
              </w:rPr>
            </w:pPr>
          </w:p>
        </w:tc>
        <w:tc>
          <w:tcPr>
            <w:tcW w:w="800" w:type="dxa"/>
            <w:vAlign w:val="bottom"/>
            <w:tcBorders>
              <w:bottom w:val="single" w:sz="8" w:color="AFAFAF"/>
              <w:right w:val="single" w:sz="8" w:color="AFAFAF"/>
            </w:tcBorders>
          </w:tcPr>
          <w:p>
            <w:pPr>
              <w:spacing w:after="0"/>
              <w:rPr>
                <w:sz w:val="13"/>
                <w:szCs w:val="13"/>
                <w:color w:val="auto"/>
              </w:rPr>
            </w:pPr>
          </w:p>
        </w:tc>
        <w:tc>
          <w:tcPr>
            <w:tcW w:w="2280" w:type="dxa"/>
            <w:vAlign w:val="bottom"/>
            <w:tcBorders>
              <w:bottom w:val="single" w:sz="8" w:color="AFAFAF"/>
            </w:tcBorders>
          </w:tcPr>
          <w:p>
            <w:pPr>
              <w:ind w:left="100"/>
              <w:spacing w:after="0" w:line="157" w:lineRule="exact"/>
              <w:rPr>
                <w:sz w:val="20"/>
                <w:szCs w:val="20"/>
                <w:color w:val="auto"/>
              </w:rPr>
            </w:pPr>
            <w:r>
              <w:rPr>
                <w:rFonts w:ascii="Arial" w:cs="Arial" w:eastAsia="Arial" w:hAnsi="Arial"/>
                <w:sz w:val="14"/>
                <w:szCs w:val="14"/>
                <w:color w:val="auto"/>
              </w:rPr>
              <w:t>distractions for executives.</w:t>
            </w:r>
          </w:p>
        </w:tc>
        <w:tc>
          <w:tcPr>
            <w:tcW w:w="0" w:type="dxa"/>
            <w:vAlign w:val="bottom"/>
          </w:tcPr>
          <w:p>
            <w:pPr>
              <w:spacing w:after="0"/>
              <w:rPr>
                <w:sz w:val="1"/>
                <w:szCs w:val="1"/>
                <w:color w:val="auto"/>
              </w:rPr>
            </w:pPr>
          </w:p>
        </w:tc>
      </w:tr>
      <w:tr>
        <w:trPr>
          <w:trHeight w:val="142"/>
        </w:trPr>
        <w:tc>
          <w:tcPr>
            <w:tcW w:w="2640" w:type="dxa"/>
            <w:vAlign w:val="bottom"/>
            <w:tcBorders>
              <w:right w:val="single" w:sz="8" w:color="AFAFAF"/>
            </w:tcBorders>
          </w:tcPr>
          <w:p>
            <w:pPr>
              <w:ind w:left="140"/>
              <w:spacing w:after="0" w:line="142" w:lineRule="exact"/>
              <w:rPr>
                <w:sz w:val="20"/>
                <w:szCs w:val="20"/>
                <w:color w:val="auto"/>
              </w:rPr>
            </w:pPr>
            <w:r>
              <w:rPr>
                <w:rFonts w:ascii="Arial" w:cs="Arial" w:eastAsia="Arial" w:hAnsi="Arial"/>
                <w:sz w:val="14"/>
                <w:szCs w:val="14"/>
                <w:b w:val="1"/>
                <w:bCs w:val="1"/>
                <w:color w:val="auto"/>
              </w:rPr>
              <w:t>Periodic/special long-term</w:t>
            </w:r>
          </w:p>
        </w:tc>
        <w:tc>
          <w:tcPr>
            <w:tcW w:w="2520" w:type="dxa"/>
            <w:vAlign w:val="bottom"/>
            <w:tcBorders>
              <w:right w:val="single" w:sz="8" w:color="AFAFAF"/>
            </w:tcBorders>
          </w:tcPr>
          <w:p>
            <w:pPr>
              <w:ind w:left="100"/>
              <w:spacing w:after="0" w:line="142" w:lineRule="exact"/>
              <w:rPr>
                <w:sz w:val="20"/>
                <w:szCs w:val="20"/>
                <w:color w:val="auto"/>
              </w:rPr>
            </w:pPr>
            <w:r>
              <w:rPr>
                <w:rFonts w:ascii="Arial" w:cs="Arial" w:eastAsia="Arial" w:hAnsi="Arial"/>
                <w:sz w:val="14"/>
                <w:szCs w:val="14"/>
                <w:color w:val="auto"/>
              </w:rPr>
              <w:t>Grants of additional TRSUs or</w:t>
            </w:r>
          </w:p>
        </w:tc>
        <w:tc>
          <w:tcPr>
            <w:tcW w:w="1320" w:type="dxa"/>
            <w:vAlign w:val="bottom"/>
            <w:tcBorders>
              <w:right w:val="single" w:sz="8" w:color="AFAFAF"/>
            </w:tcBorders>
          </w:tcPr>
          <w:p>
            <w:pPr>
              <w:ind w:left="100"/>
              <w:spacing w:after="0" w:line="142" w:lineRule="exact"/>
              <w:rPr>
                <w:sz w:val="20"/>
                <w:szCs w:val="20"/>
                <w:color w:val="auto"/>
              </w:rPr>
            </w:pPr>
            <w:r>
              <w:rPr>
                <w:rFonts w:ascii="Arial" w:cs="Arial" w:eastAsia="Arial" w:hAnsi="Arial"/>
                <w:sz w:val="14"/>
                <w:szCs w:val="14"/>
                <w:color w:val="auto"/>
              </w:rPr>
              <w:t>Time-</w:t>
            </w:r>
          </w:p>
        </w:tc>
        <w:tc>
          <w:tcPr>
            <w:tcW w:w="1420" w:type="dxa"/>
            <w:vAlign w:val="bottom"/>
            <w:tcBorders>
              <w:right w:val="single" w:sz="8" w:color="AFAFAF"/>
            </w:tcBorders>
          </w:tcPr>
          <w:p>
            <w:pPr>
              <w:ind w:left="100"/>
              <w:spacing w:after="0" w:line="142" w:lineRule="exact"/>
              <w:rPr>
                <w:sz w:val="20"/>
                <w:szCs w:val="20"/>
                <w:color w:val="auto"/>
              </w:rPr>
            </w:pPr>
            <w:r>
              <w:rPr>
                <w:rFonts w:ascii="Arial" w:cs="Arial" w:eastAsia="Arial" w:hAnsi="Arial"/>
                <w:sz w:val="14"/>
                <w:szCs w:val="14"/>
                <w:color w:val="auto"/>
              </w:rPr>
              <w:t>Value tied to share</w:t>
            </w:r>
          </w:p>
        </w:tc>
        <w:tc>
          <w:tcPr>
            <w:tcW w:w="800" w:type="dxa"/>
            <w:vAlign w:val="bottom"/>
            <w:tcBorders>
              <w:right w:val="single" w:sz="8" w:color="AFAFAF"/>
            </w:tcBorders>
          </w:tcPr>
          <w:p>
            <w:pPr>
              <w:ind w:left="80"/>
              <w:spacing w:after="0" w:line="142" w:lineRule="exact"/>
              <w:rPr>
                <w:sz w:val="20"/>
                <w:szCs w:val="20"/>
                <w:color w:val="auto"/>
              </w:rPr>
            </w:pPr>
            <w:r>
              <w:rPr>
                <w:rFonts w:ascii="Arial" w:cs="Arial" w:eastAsia="Arial" w:hAnsi="Arial"/>
                <w:sz w:val="14"/>
                <w:szCs w:val="14"/>
                <w:color w:val="auto"/>
              </w:rPr>
              <w:t>Equity</w:t>
            </w:r>
          </w:p>
        </w:tc>
        <w:tc>
          <w:tcPr>
            <w:tcW w:w="2280" w:type="dxa"/>
            <w:vAlign w:val="bottom"/>
          </w:tcPr>
          <w:p>
            <w:pPr>
              <w:ind w:left="100"/>
              <w:spacing w:after="0" w:line="142" w:lineRule="exact"/>
              <w:rPr>
                <w:sz w:val="20"/>
                <w:szCs w:val="20"/>
                <w:color w:val="auto"/>
              </w:rPr>
            </w:pPr>
            <w:r>
              <w:rPr>
                <w:rFonts w:ascii="Arial" w:cs="Arial" w:eastAsia="Arial" w:hAnsi="Arial"/>
                <w:sz w:val="14"/>
                <w:szCs w:val="14"/>
                <w:color w:val="auto"/>
              </w:rPr>
              <w:t>Reward exceptional performance</w:t>
            </w:r>
          </w:p>
        </w:tc>
        <w:tc>
          <w:tcPr>
            <w:tcW w:w="0" w:type="dxa"/>
            <w:vAlign w:val="bottom"/>
          </w:tcPr>
          <w:p>
            <w:pPr>
              <w:spacing w:after="0"/>
              <w:rPr>
                <w:sz w:val="1"/>
                <w:szCs w:val="1"/>
                <w:color w:val="auto"/>
              </w:rPr>
            </w:pPr>
          </w:p>
        </w:tc>
      </w:tr>
      <w:tr>
        <w:trPr>
          <w:trHeight w:val="180"/>
        </w:trPr>
        <w:tc>
          <w:tcPr>
            <w:tcW w:w="2640" w:type="dxa"/>
            <w:vAlign w:val="bottom"/>
            <w:tcBorders>
              <w:right w:val="single" w:sz="8" w:color="AFAFAF"/>
            </w:tcBorders>
          </w:tcPr>
          <w:p>
            <w:pPr>
              <w:ind w:left="140"/>
              <w:spacing w:after="0"/>
              <w:rPr>
                <w:sz w:val="20"/>
                <w:szCs w:val="20"/>
                <w:color w:val="auto"/>
              </w:rPr>
            </w:pPr>
            <w:r>
              <w:rPr>
                <w:rFonts w:ascii="Arial" w:cs="Arial" w:eastAsia="Arial" w:hAnsi="Arial"/>
                <w:sz w:val="14"/>
                <w:szCs w:val="14"/>
                <w:b w:val="1"/>
                <w:bCs w:val="1"/>
                <w:color w:val="auto"/>
              </w:rPr>
              <w:t>equity awards</w:t>
            </w:r>
          </w:p>
        </w:tc>
        <w:tc>
          <w:tcPr>
            <w:tcW w:w="25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additional PRSUs with vesting over a</w:t>
            </w:r>
          </w:p>
        </w:tc>
        <w:tc>
          <w:tcPr>
            <w:tcW w:w="13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vested or</w:t>
            </w: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price performance</w:t>
            </w:r>
          </w:p>
        </w:tc>
        <w:tc>
          <w:tcPr>
            <w:tcW w:w="800" w:type="dxa"/>
            <w:vAlign w:val="bottom"/>
            <w:tcBorders>
              <w:right w:val="single" w:sz="8" w:color="AFAFAF"/>
            </w:tcBorders>
          </w:tcPr>
          <w:p>
            <w:pPr>
              <w:spacing w:after="0"/>
              <w:rPr>
                <w:sz w:val="15"/>
                <w:szCs w:val="15"/>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and for retention.</w:t>
            </w: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specified period of years.</w:t>
            </w:r>
          </w:p>
        </w:tc>
        <w:tc>
          <w:tcPr>
            <w:tcW w:w="13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performance-</w:t>
            </w: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for TRSU grants.</w:t>
            </w:r>
          </w:p>
        </w:tc>
        <w:tc>
          <w:tcPr>
            <w:tcW w:w="800" w:type="dxa"/>
            <w:vAlign w:val="bottom"/>
            <w:tcBorders>
              <w:right w:val="single" w:sz="8" w:color="AFAFAF"/>
            </w:tcBorders>
          </w:tcPr>
          <w:p>
            <w:pPr>
              <w:spacing w:after="0"/>
              <w:rPr>
                <w:sz w:val="14"/>
                <w:szCs w:val="14"/>
                <w:color w:val="auto"/>
              </w:rPr>
            </w:pPr>
          </w:p>
        </w:tc>
        <w:tc>
          <w:tcPr>
            <w:tcW w:w="2280" w:type="dxa"/>
            <w:vAlign w:val="bottom"/>
            <w:vMerge w:val="restart"/>
          </w:tcPr>
          <w:p>
            <w:pPr>
              <w:ind w:left="100"/>
              <w:spacing w:after="0"/>
              <w:rPr>
                <w:sz w:val="20"/>
                <w:szCs w:val="20"/>
                <w:color w:val="auto"/>
              </w:rPr>
            </w:pPr>
            <w:r>
              <w:rPr>
                <w:rFonts w:ascii="Arial" w:cs="Arial" w:eastAsia="Arial" w:hAnsi="Arial"/>
                <w:sz w:val="14"/>
                <w:szCs w:val="14"/>
                <w:color w:val="auto"/>
              </w:rPr>
              <w:t>Assist with attracting executive</w:t>
            </w:r>
          </w:p>
        </w:tc>
        <w:tc>
          <w:tcPr>
            <w:tcW w:w="0" w:type="dxa"/>
            <w:vAlign w:val="bottom"/>
          </w:tcPr>
          <w:p>
            <w:pPr>
              <w:spacing w:after="0"/>
              <w:rPr>
                <w:sz w:val="1"/>
                <w:szCs w:val="1"/>
                <w:color w:val="auto"/>
              </w:rPr>
            </w:pPr>
          </w:p>
        </w:tc>
      </w:tr>
      <w:tr>
        <w:trPr>
          <w:trHeight w:val="67"/>
        </w:trPr>
        <w:tc>
          <w:tcPr>
            <w:tcW w:w="2640" w:type="dxa"/>
            <w:vAlign w:val="bottom"/>
            <w:tcBorders>
              <w:right w:val="single" w:sz="8" w:color="AFAFAF"/>
            </w:tcBorders>
          </w:tcPr>
          <w:p>
            <w:pPr>
              <w:spacing w:after="0"/>
              <w:rPr>
                <w:sz w:val="5"/>
                <w:szCs w:val="5"/>
                <w:color w:val="auto"/>
              </w:rPr>
            </w:pPr>
          </w:p>
        </w:tc>
        <w:tc>
          <w:tcPr>
            <w:tcW w:w="2520" w:type="dxa"/>
            <w:vAlign w:val="bottom"/>
            <w:tcBorders>
              <w:right w:val="single" w:sz="8" w:color="AFAFAF"/>
            </w:tcBorders>
          </w:tcPr>
          <w:p>
            <w:pPr>
              <w:spacing w:after="0"/>
              <w:rPr>
                <w:sz w:val="5"/>
                <w:szCs w:val="5"/>
                <w:color w:val="auto"/>
              </w:rPr>
            </w:pPr>
          </w:p>
        </w:tc>
        <w:tc>
          <w:tcPr>
            <w:tcW w:w="132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based</w:t>
            </w:r>
          </w:p>
        </w:tc>
        <w:tc>
          <w:tcPr>
            <w:tcW w:w="1420" w:type="dxa"/>
            <w:vAlign w:val="bottom"/>
            <w:tcBorders>
              <w:right w:val="single" w:sz="8" w:color="AFAFAF"/>
            </w:tcBorders>
          </w:tcPr>
          <w:p>
            <w:pPr>
              <w:spacing w:after="0"/>
              <w:rPr>
                <w:sz w:val="5"/>
                <w:szCs w:val="5"/>
                <w:color w:val="auto"/>
              </w:rPr>
            </w:pPr>
          </w:p>
        </w:tc>
        <w:tc>
          <w:tcPr>
            <w:tcW w:w="800" w:type="dxa"/>
            <w:vAlign w:val="bottom"/>
            <w:tcBorders>
              <w:right w:val="single" w:sz="8" w:color="AFAFAF"/>
            </w:tcBorders>
          </w:tcPr>
          <w:p>
            <w:pPr>
              <w:spacing w:after="0"/>
              <w:rPr>
                <w:sz w:val="5"/>
                <w:szCs w:val="5"/>
                <w:color w:val="auto"/>
              </w:rPr>
            </w:pPr>
          </w:p>
        </w:tc>
        <w:tc>
          <w:tcPr>
            <w:tcW w:w="2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640" w:type="dxa"/>
            <w:vAlign w:val="bottom"/>
            <w:tcBorders>
              <w:right w:val="single" w:sz="8" w:color="AFAFAF"/>
            </w:tcBorders>
          </w:tcPr>
          <w:p>
            <w:pPr>
              <w:spacing w:after="0"/>
              <w:rPr>
                <w:sz w:val="9"/>
                <w:szCs w:val="9"/>
                <w:color w:val="auto"/>
              </w:rPr>
            </w:pPr>
          </w:p>
        </w:tc>
        <w:tc>
          <w:tcPr>
            <w:tcW w:w="2520" w:type="dxa"/>
            <w:vAlign w:val="bottom"/>
            <w:tcBorders>
              <w:right w:val="single" w:sz="8" w:color="AFAFAF"/>
            </w:tcBorders>
          </w:tcPr>
          <w:p>
            <w:pPr>
              <w:spacing w:after="0"/>
              <w:rPr>
                <w:sz w:val="9"/>
                <w:szCs w:val="9"/>
                <w:color w:val="auto"/>
              </w:rPr>
            </w:pPr>
          </w:p>
        </w:tc>
        <w:tc>
          <w:tcPr>
            <w:tcW w:w="1320" w:type="dxa"/>
            <w:vAlign w:val="bottom"/>
            <w:tcBorders>
              <w:right w:val="single" w:sz="8" w:color="AFAFAF"/>
            </w:tcBorders>
            <w:vMerge w:val="continue"/>
          </w:tcPr>
          <w:p>
            <w:pPr>
              <w:spacing w:after="0"/>
              <w:rPr>
                <w:sz w:val="9"/>
                <w:szCs w:val="9"/>
                <w:color w:val="auto"/>
              </w:rPr>
            </w:pPr>
          </w:p>
        </w:tc>
        <w:tc>
          <w:tcPr>
            <w:tcW w:w="142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Messrs. Peccarelli,</w:t>
            </w:r>
          </w:p>
        </w:tc>
        <w:tc>
          <w:tcPr>
            <w:tcW w:w="800" w:type="dxa"/>
            <w:vAlign w:val="bottom"/>
            <w:tcBorders>
              <w:right w:val="single" w:sz="8" w:color="AFAFAF"/>
            </w:tcBorders>
          </w:tcPr>
          <w:p>
            <w:pPr>
              <w:spacing w:after="0"/>
              <w:rPr>
                <w:sz w:val="9"/>
                <w:szCs w:val="9"/>
                <w:color w:val="auto"/>
              </w:rPr>
            </w:pPr>
          </w:p>
        </w:tc>
        <w:tc>
          <w:tcPr>
            <w:tcW w:w="2280" w:type="dxa"/>
            <w:vAlign w:val="bottom"/>
            <w:vMerge w:val="restart"/>
          </w:tcPr>
          <w:p>
            <w:pPr>
              <w:ind w:left="100"/>
              <w:spacing w:after="0"/>
              <w:rPr>
                <w:sz w:val="20"/>
                <w:szCs w:val="20"/>
                <w:color w:val="auto"/>
              </w:rPr>
            </w:pPr>
            <w:r>
              <w:rPr>
                <w:rFonts w:ascii="Arial" w:cs="Arial" w:eastAsia="Arial" w:hAnsi="Arial"/>
                <w:sz w:val="14"/>
                <w:szCs w:val="14"/>
                <w:color w:val="auto"/>
              </w:rPr>
              <w:t>talent.</w:t>
            </w:r>
          </w:p>
        </w:tc>
        <w:tc>
          <w:tcPr>
            <w:tcW w:w="0" w:type="dxa"/>
            <w:vAlign w:val="bottom"/>
          </w:tcPr>
          <w:p>
            <w:pPr>
              <w:spacing w:after="0"/>
              <w:rPr>
                <w:sz w:val="1"/>
                <w:szCs w:val="1"/>
                <w:color w:val="auto"/>
              </w:rPr>
            </w:pPr>
          </w:p>
        </w:tc>
      </w:tr>
      <w:tr>
        <w:trPr>
          <w:trHeight w:val="57"/>
        </w:trPr>
        <w:tc>
          <w:tcPr>
            <w:tcW w:w="2640" w:type="dxa"/>
            <w:vAlign w:val="bottom"/>
            <w:tcBorders>
              <w:right w:val="single" w:sz="8" w:color="AFAFAF"/>
            </w:tcBorders>
          </w:tcPr>
          <w:p>
            <w:pPr>
              <w:spacing w:after="0"/>
              <w:rPr>
                <w:sz w:val="4"/>
                <w:szCs w:val="4"/>
                <w:color w:val="auto"/>
              </w:rPr>
            </w:pPr>
          </w:p>
        </w:tc>
        <w:tc>
          <w:tcPr>
            <w:tcW w:w="2520" w:type="dxa"/>
            <w:vAlign w:val="bottom"/>
            <w:tcBorders>
              <w:right w:val="single" w:sz="8" w:color="AFAFAF"/>
            </w:tcBorders>
          </w:tcPr>
          <w:p>
            <w:pPr>
              <w:spacing w:after="0"/>
              <w:rPr>
                <w:sz w:val="4"/>
                <w:szCs w:val="4"/>
                <w:color w:val="auto"/>
              </w:rPr>
            </w:pPr>
          </w:p>
        </w:tc>
        <w:tc>
          <w:tcPr>
            <w:tcW w:w="1320" w:type="dxa"/>
            <w:vAlign w:val="bottom"/>
            <w:tcBorders>
              <w:right w:val="single" w:sz="8" w:color="AFAFAF"/>
            </w:tcBorders>
          </w:tcPr>
          <w:p>
            <w:pPr>
              <w:spacing w:after="0"/>
              <w:rPr>
                <w:sz w:val="4"/>
                <w:szCs w:val="4"/>
                <w:color w:val="auto"/>
              </w:rPr>
            </w:pPr>
          </w:p>
        </w:tc>
        <w:tc>
          <w:tcPr>
            <w:tcW w:w="1420" w:type="dxa"/>
            <w:vAlign w:val="bottom"/>
            <w:tcBorders>
              <w:right w:val="single" w:sz="8" w:color="AFAFAF"/>
            </w:tcBorders>
            <w:vMerge w:val="continue"/>
          </w:tcPr>
          <w:p>
            <w:pPr>
              <w:spacing w:after="0"/>
              <w:rPr>
                <w:sz w:val="4"/>
                <w:szCs w:val="4"/>
                <w:color w:val="auto"/>
              </w:rPr>
            </w:pPr>
          </w:p>
        </w:tc>
        <w:tc>
          <w:tcPr>
            <w:tcW w:w="800" w:type="dxa"/>
            <w:vAlign w:val="bottom"/>
            <w:tcBorders>
              <w:right w:val="single" w:sz="8" w:color="AFAFAF"/>
            </w:tcBorders>
          </w:tcPr>
          <w:p>
            <w:pPr>
              <w:spacing w:after="0"/>
              <w:rPr>
                <w:sz w:val="4"/>
                <w:szCs w:val="4"/>
                <w:color w:val="auto"/>
              </w:rPr>
            </w:pPr>
          </w:p>
        </w:tc>
        <w:tc>
          <w:tcPr>
            <w:tcW w:w="2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Masterson and</w:t>
            </w:r>
          </w:p>
        </w:tc>
        <w:tc>
          <w:tcPr>
            <w:tcW w:w="80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Friedenberg</w:t>
            </w:r>
          </w:p>
        </w:tc>
        <w:tc>
          <w:tcPr>
            <w:tcW w:w="80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received special</w:t>
            </w:r>
          </w:p>
        </w:tc>
        <w:tc>
          <w:tcPr>
            <w:tcW w:w="80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TRSU grants in</w:t>
            </w:r>
          </w:p>
        </w:tc>
        <w:tc>
          <w:tcPr>
            <w:tcW w:w="80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2018.</w:t>
            </w:r>
          </w:p>
        </w:tc>
        <w:tc>
          <w:tcPr>
            <w:tcW w:w="80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640" w:type="dxa"/>
            <w:vAlign w:val="bottom"/>
            <w:tcBorders>
              <w:right w:val="single" w:sz="8" w:color="AFAFAF"/>
            </w:tcBorders>
          </w:tcPr>
          <w:p>
            <w:pPr>
              <w:spacing w:after="0"/>
              <w:rPr>
                <w:sz w:val="18"/>
                <w:szCs w:val="18"/>
                <w:color w:val="auto"/>
              </w:rPr>
            </w:pPr>
          </w:p>
        </w:tc>
        <w:tc>
          <w:tcPr>
            <w:tcW w:w="2520" w:type="dxa"/>
            <w:vAlign w:val="bottom"/>
            <w:tcBorders>
              <w:right w:val="single" w:sz="8" w:color="AFAFAF"/>
            </w:tcBorders>
          </w:tcPr>
          <w:p>
            <w:pPr>
              <w:spacing w:after="0"/>
              <w:rPr>
                <w:sz w:val="18"/>
                <w:szCs w:val="18"/>
                <w:color w:val="auto"/>
              </w:rPr>
            </w:pPr>
          </w:p>
        </w:tc>
        <w:tc>
          <w:tcPr>
            <w:tcW w:w="1320" w:type="dxa"/>
            <w:vAlign w:val="bottom"/>
            <w:tcBorders>
              <w:right w:val="single" w:sz="8" w:color="AFAFAF"/>
            </w:tcBorders>
          </w:tcPr>
          <w:p>
            <w:pPr>
              <w:spacing w:after="0"/>
              <w:rPr>
                <w:sz w:val="18"/>
                <w:szCs w:val="18"/>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No additional PRSU</w:t>
            </w:r>
          </w:p>
        </w:tc>
        <w:tc>
          <w:tcPr>
            <w:tcW w:w="800" w:type="dxa"/>
            <w:vAlign w:val="bottom"/>
            <w:tcBorders>
              <w:right w:val="single" w:sz="8" w:color="AFAFA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grants were made</w:t>
            </w:r>
          </w:p>
        </w:tc>
        <w:tc>
          <w:tcPr>
            <w:tcW w:w="80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to our named</w:t>
            </w:r>
          </w:p>
        </w:tc>
        <w:tc>
          <w:tcPr>
            <w:tcW w:w="80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AFAFAF"/>
            </w:tcBorders>
          </w:tcPr>
          <w:p>
            <w:pPr>
              <w:spacing w:after="0"/>
              <w:rPr>
                <w:sz w:val="14"/>
                <w:szCs w:val="14"/>
                <w:color w:val="auto"/>
              </w:rPr>
            </w:pPr>
          </w:p>
        </w:tc>
        <w:tc>
          <w:tcPr>
            <w:tcW w:w="2520" w:type="dxa"/>
            <w:vAlign w:val="bottom"/>
            <w:tcBorders>
              <w:right w:val="single" w:sz="8" w:color="AFAFAF"/>
            </w:tcBorders>
          </w:tcPr>
          <w:p>
            <w:pPr>
              <w:spacing w:after="0"/>
              <w:rPr>
                <w:sz w:val="14"/>
                <w:szCs w:val="14"/>
                <w:color w:val="auto"/>
              </w:rPr>
            </w:pPr>
          </w:p>
        </w:tc>
        <w:tc>
          <w:tcPr>
            <w:tcW w:w="1320" w:type="dxa"/>
            <w:vAlign w:val="bottom"/>
            <w:tcBorders>
              <w:right w:val="single" w:sz="8" w:color="AFAFAF"/>
            </w:tcBorders>
          </w:tcPr>
          <w:p>
            <w:pPr>
              <w:spacing w:after="0"/>
              <w:rPr>
                <w:sz w:val="14"/>
                <w:szCs w:val="14"/>
                <w:color w:val="auto"/>
              </w:rPr>
            </w:pPr>
          </w:p>
        </w:tc>
        <w:tc>
          <w:tcPr>
            <w:tcW w:w="14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executive officers in</w:t>
            </w:r>
          </w:p>
        </w:tc>
        <w:tc>
          <w:tcPr>
            <w:tcW w:w="800" w:type="dxa"/>
            <w:vAlign w:val="bottom"/>
            <w:tcBorders>
              <w:right w:val="single" w:sz="8" w:color="AFAFAF"/>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40" w:type="dxa"/>
            <w:vAlign w:val="bottom"/>
            <w:tcBorders>
              <w:bottom w:val="single" w:sz="8" w:color="D95A3B"/>
              <w:right w:val="single" w:sz="8" w:color="AFAFAF"/>
            </w:tcBorders>
          </w:tcPr>
          <w:p>
            <w:pPr>
              <w:spacing w:after="0"/>
              <w:rPr>
                <w:sz w:val="14"/>
                <w:szCs w:val="14"/>
                <w:color w:val="auto"/>
              </w:rPr>
            </w:pPr>
          </w:p>
        </w:tc>
        <w:tc>
          <w:tcPr>
            <w:tcW w:w="2520" w:type="dxa"/>
            <w:vAlign w:val="bottom"/>
            <w:tcBorders>
              <w:bottom w:val="single" w:sz="8" w:color="D95A3B"/>
              <w:right w:val="single" w:sz="8" w:color="AFAFAF"/>
            </w:tcBorders>
          </w:tcPr>
          <w:p>
            <w:pPr>
              <w:spacing w:after="0"/>
              <w:rPr>
                <w:sz w:val="14"/>
                <w:szCs w:val="14"/>
                <w:color w:val="auto"/>
              </w:rPr>
            </w:pPr>
          </w:p>
        </w:tc>
        <w:tc>
          <w:tcPr>
            <w:tcW w:w="1320" w:type="dxa"/>
            <w:vAlign w:val="bottom"/>
            <w:tcBorders>
              <w:bottom w:val="single" w:sz="8" w:color="D95A3B"/>
              <w:right w:val="single" w:sz="8" w:color="AFAFAF"/>
            </w:tcBorders>
          </w:tcPr>
          <w:p>
            <w:pPr>
              <w:spacing w:after="0"/>
              <w:rPr>
                <w:sz w:val="14"/>
                <w:szCs w:val="14"/>
                <w:color w:val="auto"/>
              </w:rPr>
            </w:pPr>
          </w:p>
        </w:tc>
        <w:tc>
          <w:tcPr>
            <w:tcW w:w="1420" w:type="dxa"/>
            <w:vAlign w:val="bottom"/>
            <w:tcBorders>
              <w:bottom w:val="single" w:sz="8" w:color="D95A3B"/>
              <w:right w:val="single" w:sz="8" w:color="AFAFAF"/>
            </w:tcBorders>
          </w:tcPr>
          <w:p>
            <w:pPr>
              <w:ind w:left="100"/>
              <w:spacing w:after="0"/>
              <w:rPr>
                <w:sz w:val="20"/>
                <w:szCs w:val="20"/>
                <w:color w:val="auto"/>
              </w:rPr>
            </w:pPr>
            <w:r>
              <w:rPr>
                <w:rFonts w:ascii="Arial" w:cs="Arial" w:eastAsia="Arial" w:hAnsi="Arial"/>
                <w:sz w:val="14"/>
                <w:szCs w:val="14"/>
                <w:color w:val="auto"/>
              </w:rPr>
              <w:t>2018.</w:t>
            </w:r>
          </w:p>
        </w:tc>
        <w:tc>
          <w:tcPr>
            <w:tcW w:w="800" w:type="dxa"/>
            <w:vAlign w:val="bottom"/>
            <w:tcBorders>
              <w:bottom w:val="single" w:sz="8" w:color="D95A3B"/>
              <w:right w:val="single" w:sz="8" w:color="AFAFAF"/>
            </w:tcBorders>
          </w:tcPr>
          <w:p>
            <w:pPr>
              <w:spacing w:after="0"/>
              <w:rPr>
                <w:sz w:val="14"/>
                <w:szCs w:val="14"/>
                <w:color w:val="auto"/>
              </w:rPr>
            </w:pPr>
          </w:p>
        </w:tc>
        <w:tc>
          <w:tcPr>
            <w:tcW w:w="2280" w:type="dxa"/>
            <w:vAlign w:val="bottom"/>
            <w:tcBorders>
              <w:bottom w:val="single" w:sz="8" w:color="D95A3B"/>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20" w:right="100"/>
        <w:spacing w:after="0" w:line="244" w:lineRule="auto"/>
        <w:rPr>
          <w:sz w:val="20"/>
          <w:szCs w:val="20"/>
          <w:color w:val="auto"/>
        </w:rPr>
      </w:pPr>
      <w:r>
        <w:rPr>
          <w:rFonts w:ascii="Arial" w:cs="Arial" w:eastAsia="Arial" w:hAnsi="Arial"/>
          <w:sz w:val="18"/>
          <w:szCs w:val="18"/>
          <w:color w:val="auto"/>
        </w:rPr>
        <w:t>Our named executive officers are also subject to share ownership guidelines. Additional information is provided later in this compensation discussion and analysis.</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Our Process for Designing and Determining Executive Compensation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HR Committee</w:t>
      </w:r>
    </w:p>
    <w:p>
      <w:pPr>
        <w:spacing w:after="0" w:line="35" w:lineRule="exact"/>
        <w:rPr>
          <w:sz w:val="20"/>
          <w:szCs w:val="20"/>
          <w:color w:val="auto"/>
        </w:rPr>
      </w:pPr>
    </w:p>
    <w:p>
      <w:pPr>
        <w:ind w:left="220" w:right="120"/>
        <w:spacing w:after="0" w:line="236" w:lineRule="auto"/>
        <w:rPr>
          <w:sz w:val="20"/>
          <w:szCs w:val="20"/>
          <w:color w:val="auto"/>
        </w:rPr>
      </w:pPr>
      <w:r>
        <w:rPr>
          <w:rFonts w:ascii="Arial" w:cs="Arial" w:eastAsia="Arial" w:hAnsi="Arial"/>
          <w:sz w:val="18"/>
          <w:szCs w:val="18"/>
          <w:color w:val="auto"/>
        </w:rPr>
        <w:t>The HR Committee’s responsibilities include establishing, implementing and overseeing our compensation policies and programs, executive talent review and succession planning processes. One of the HR Committee’s key responsibilities is approving compensation arrangements for the CEO and other executive officers. The board recognizes the importance of appointing knowledgeable and experienced individuals to the HR Committee who have the necessary background in executive compensation to fulfill the HR Committee’s obligations to the board and our shareholders. Each member of the HR Committee has direct experience as a senior leader that is relevant to his or her responsibilities in executive compensation. Additional information about the HR Committee is included earlier in this circular in our discussion of the board and corporate governance.</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Management</w:t>
      </w:r>
    </w:p>
    <w:p>
      <w:pPr>
        <w:spacing w:after="0" w:line="22"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Our Chief People Officer and other members of the Human Resources department are responsible for overseeing the day-to-day design, implementation, administration and management of our various compensation and benefits policies and plans, including base salaries, annual and long-term incentives, retirement savings, health and welfare. The CEO, Chief People Officer and other senior executives in the Human Resources, Finance and Legal departments regularly attend HR Committee meetings. Throughout the year, management provides recommendations to the HR Committee on a wide range of compensation matters.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Our Principal Shareholder</w:t>
      </w:r>
    </w:p>
    <w:p>
      <w:pPr>
        <w:spacing w:after="0" w:line="35"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We recognize that executive compensation is a key area of interest for shareholders. Woodbridge, our principal shareholder, actively monitors this aspect of our governance given its importance to the achievement of our financial performance goals and long-term success. With its substantial equity investment in Thomson Reuters, Woodbridge considers that its interests as a shareholder are aligned with those of all other shareholders. A majority of the HR Committee’s members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0"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49</w:t>
      </w:r>
    </w:p>
    <w:p>
      <w:pPr>
        <w:sectPr>
          <w:pgSz w:w="11900" w:h="16838" w:orient="portrait"/>
          <w:cols w:equalWidth="0" w:num="1">
            <w:col w:w="11200"/>
          </w:cols>
          <w:pgMar w:left="240" w:top="458"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right="40"/>
        <w:spacing w:after="0" w:line="244" w:lineRule="auto"/>
        <w:rPr>
          <w:sz w:val="20"/>
          <w:szCs w:val="20"/>
          <w:color w:val="auto"/>
        </w:rPr>
      </w:pPr>
      <w:r>
        <w:rPr>
          <w:rFonts w:ascii="Arial" w:cs="Arial" w:eastAsia="Arial" w:hAnsi="Arial"/>
          <w:sz w:val="18"/>
          <w:szCs w:val="18"/>
          <w:color w:val="auto"/>
        </w:rPr>
        <w:t>directors and Messrs. Binet, Clark and P. Thomson serve as non-independent directors. David Thomson, Chairman of the Board, regularly attends meetings of the HR Committee as an observer.</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Independent Advisors</w:t>
      </w:r>
    </w:p>
    <w:p>
      <w:pPr>
        <w:spacing w:after="0" w:line="35" w:lineRule="exact"/>
        <w:rPr>
          <w:sz w:val="20"/>
          <w:szCs w:val="20"/>
          <w:color w:val="auto"/>
        </w:rPr>
      </w:pPr>
    </w:p>
    <w:p>
      <w:pPr>
        <w:ind w:left="220" w:right="20"/>
        <w:spacing w:after="0" w:line="238" w:lineRule="auto"/>
        <w:rPr>
          <w:sz w:val="20"/>
          <w:szCs w:val="20"/>
          <w:color w:val="auto"/>
        </w:rPr>
      </w:pPr>
      <w:r>
        <w:rPr>
          <w:rFonts w:ascii="Arial" w:cs="Arial" w:eastAsia="Arial" w:hAnsi="Arial"/>
          <w:sz w:val="18"/>
          <w:szCs w:val="18"/>
          <w:color w:val="auto"/>
        </w:rPr>
        <w:t>The HR Committee has retained an outside consulting firm, Frederic W. Cook &amp; Co., Inc. (FW Cook), to serve as an independent advisor on matters relating to executive compensation since 1998. Representatives of FW Cook generally attend HR Committee meetings, including meeting privately, or “in-camera”, with the committee (when no members of management are present) and have discussions with the Chair and other members of the HR Committee from time to time outside of regularly scheduled meetings.</w:t>
      </w:r>
    </w:p>
    <w:p>
      <w:pPr>
        <w:spacing w:after="0" w:line="94" w:lineRule="exact"/>
        <w:rPr>
          <w:sz w:val="20"/>
          <w:szCs w:val="20"/>
          <w:color w:val="auto"/>
        </w:rPr>
      </w:pPr>
    </w:p>
    <w:p>
      <w:pPr>
        <w:ind w:left="220" w:right="200"/>
        <w:spacing w:after="0" w:line="256" w:lineRule="auto"/>
        <w:rPr>
          <w:sz w:val="20"/>
          <w:szCs w:val="20"/>
          <w:color w:val="auto"/>
        </w:rPr>
      </w:pPr>
      <w:r>
        <w:rPr>
          <w:rFonts w:ascii="Arial" w:cs="Arial" w:eastAsia="Arial" w:hAnsi="Arial"/>
          <w:sz w:val="17"/>
          <w:szCs w:val="17"/>
          <w:color w:val="auto"/>
        </w:rPr>
        <w:t>As part of its ongoing services to the HR Committee, FW Cook assists in evaluating the competitive positioning of senior executive compensation levels and provides guidance and analysis on plan design and market trends and practices to ensure that our program provides executives with competitive compensation opportunities, links compensation to performance and shareholder value creation, is efficient from accounting, tax and cash flow perspectives, and is supportive of emerging best practice corporate governance principles.</w:t>
      </w:r>
    </w:p>
    <w:p>
      <w:pPr>
        <w:spacing w:after="0" w:line="81" w:lineRule="exact"/>
        <w:rPr>
          <w:sz w:val="20"/>
          <w:szCs w:val="20"/>
          <w:color w:val="auto"/>
        </w:rPr>
      </w:pPr>
    </w:p>
    <w:p>
      <w:pPr>
        <w:jc w:val="both"/>
        <w:ind w:left="220" w:right="420"/>
        <w:spacing w:after="0" w:line="239" w:lineRule="auto"/>
        <w:rPr>
          <w:sz w:val="20"/>
          <w:szCs w:val="20"/>
          <w:color w:val="auto"/>
        </w:rPr>
      </w:pPr>
      <w:r>
        <w:rPr>
          <w:rFonts w:ascii="Arial" w:cs="Arial" w:eastAsia="Arial" w:hAnsi="Arial"/>
          <w:sz w:val="18"/>
          <w:szCs w:val="18"/>
          <w:color w:val="auto"/>
        </w:rPr>
        <w:t>FW Cook does not provide any services to Thomson Reuters other than those provided directly to the HR Committee. Any use of FW Cook by Thomson Reuters management would require the HR Committee’s prior approval. In 2018 and 2017, we paid FW Cook the following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5713730</wp:posOffset>
            </wp:positionH>
            <wp:positionV relativeFrom="paragraph">
              <wp:posOffset>69215</wp:posOffset>
            </wp:positionV>
            <wp:extent cx="8255" cy="145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69215</wp:posOffset>
            </wp:positionV>
            <wp:extent cx="8255" cy="145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89"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6840" w:type="dxa"/>
            <w:vAlign w:val="bottom"/>
            <w:tcBorders>
              <w:bottom w:val="single" w:sz="8" w:color="D95A3B"/>
              <w:right w:val="single" w:sz="8" w:color="AFAFAF"/>
            </w:tcBorders>
          </w:tcPr>
          <w:p>
            <w:pPr>
              <w:spacing w:after="0"/>
              <w:rPr>
                <w:sz w:val="18"/>
                <w:szCs w:val="18"/>
                <w:color w:val="auto"/>
              </w:rPr>
            </w:pPr>
          </w:p>
        </w:tc>
        <w:tc>
          <w:tcPr>
            <w:tcW w:w="160" w:type="dxa"/>
            <w:vAlign w:val="bottom"/>
            <w:tcBorders>
              <w:bottom w:val="single" w:sz="8" w:color="D95A3B"/>
            </w:tcBorders>
            <w:shd w:val="clear" w:color="auto" w:fill="CCCCCC"/>
          </w:tcPr>
          <w:p>
            <w:pPr>
              <w:spacing w:after="0"/>
              <w:rPr>
                <w:sz w:val="18"/>
                <w:szCs w:val="18"/>
                <w:color w:val="auto"/>
              </w:rPr>
            </w:pPr>
          </w:p>
        </w:tc>
        <w:tc>
          <w:tcPr>
            <w:tcW w:w="760" w:type="dxa"/>
            <w:vAlign w:val="bottom"/>
            <w:tcBorders>
              <w:bottom w:val="single" w:sz="8" w:color="D95A3B"/>
              <w:right w:val="single" w:sz="8" w:color="CCCCCC"/>
            </w:tcBorders>
            <w:shd w:val="clear" w:color="auto" w:fill="CCCCCC"/>
          </w:tcPr>
          <w:p>
            <w:pPr>
              <w:jc w:val="right"/>
              <w:ind w:right="167"/>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D95A3B"/>
            </w:tcBorders>
            <w:shd w:val="clear" w:color="auto" w:fill="CCCCCC"/>
          </w:tcPr>
          <w:p>
            <w:pPr>
              <w:spacing w:after="0"/>
              <w:rPr>
                <w:sz w:val="18"/>
                <w:szCs w:val="18"/>
                <w:color w:val="auto"/>
              </w:rPr>
            </w:pPr>
          </w:p>
        </w:tc>
        <w:tc>
          <w:tcPr>
            <w:tcW w:w="760" w:type="dxa"/>
            <w:vAlign w:val="bottom"/>
            <w:tcBorders>
              <w:bottom w:val="single" w:sz="8" w:color="D95A3B"/>
              <w:right w:val="single" w:sz="8" w:color="CCCCCC"/>
            </w:tcBorders>
            <w:shd w:val="clear" w:color="auto" w:fill="CCCCCC"/>
          </w:tcPr>
          <w:p>
            <w:pPr>
              <w:jc w:val="right"/>
              <w:ind w:right="167"/>
              <w:spacing w:after="0"/>
              <w:rPr>
                <w:sz w:val="20"/>
                <w:szCs w:val="20"/>
                <w:color w:val="auto"/>
              </w:rPr>
            </w:pPr>
            <w:r>
              <w:rPr>
                <w:rFonts w:ascii="Arial" w:cs="Arial" w:eastAsia="Arial" w:hAnsi="Arial"/>
                <w:sz w:val="15"/>
                <w:szCs w:val="15"/>
                <w:b w:val="1"/>
                <w:bCs w:val="1"/>
                <w:color w:val="auto"/>
              </w:rPr>
              <w:t>2017</w:t>
            </w:r>
          </w:p>
        </w:tc>
        <w:tc>
          <w:tcPr>
            <w:tcW w:w="2180" w:type="dxa"/>
            <w:vAlign w:val="bottom"/>
            <w:tcBorders>
              <w:bottom w:val="single" w:sz="8" w:color="D95A3B"/>
            </w:tcBorders>
            <w:shd w:val="clear" w:color="auto" w:fill="CCCCCC"/>
          </w:tcPr>
          <w:p>
            <w:pPr>
              <w:ind w:left="260"/>
              <w:spacing w:after="0"/>
              <w:rPr>
                <w:sz w:val="20"/>
                <w:szCs w:val="20"/>
                <w:color w:val="auto"/>
              </w:rPr>
            </w:pPr>
            <w:r>
              <w:rPr>
                <w:rFonts w:ascii="Arial" w:cs="Arial" w:eastAsia="Arial" w:hAnsi="Arial"/>
                <w:sz w:val="15"/>
                <w:szCs w:val="15"/>
                <w:b w:val="1"/>
                <w:bCs w:val="1"/>
                <w:color w:val="auto"/>
              </w:rPr>
              <w:t>Percentage of total fees</w:t>
            </w:r>
          </w:p>
        </w:tc>
      </w:tr>
      <w:tr>
        <w:trPr>
          <w:trHeight w:val="155"/>
        </w:trPr>
        <w:tc>
          <w:tcPr>
            <w:tcW w:w="68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Executive compensation-related fees</w:t>
            </w:r>
          </w:p>
        </w:tc>
        <w:tc>
          <w:tcPr>
            <w:tcW w:w="160" w:type="dxa"/>
            <w:vAlign w:val="bottom"/>
            <w:tcBorders>
              <w:bottom w:val="single" w:sz="8" w:color="AFAFAF"/>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FAFAF"/>
              <w:right w:val="single" w:sz="8" w:color="AFAFAF"/>
            </w:tcBorders>
          </w:tcPr>
          <w:p>
            <w:pPr>
              <w:jc w:val="right"/>
              <w:ind w:right="167"/>
              <w:spacing w:after="0" w:line="155" w:lineRule="exact"/>
              <w:rPr>
                <w:sz w:val="20"/>
                <w:szCs w:val="20"/>
                <w:color w:val="auto"/>
              </w:rPr>
            </w:pPr>
            <w:r>
              <w:rPr>
                <w:rFonts w:ascii="Arial" w:cs="Arial" w:eastAsia="Arial" w:hAnsi="Arial"/>
                <w:sz w:val="14"/>
                <w:szCs w:val="14"/>
                <w:color w:val="auto"/>
                <w:w w:val="98"/>
              </w:rPr>
              <w:t>123,318</w:t>
            </w:r>
          </w:p>
        </w:tc>
        <w:tc>
          <w:tcPr>
            <w:tcW w:w="280" w:type="dxa"/>
            <w:vAlign w:val="bottom"/>
            <w:tcBorders>
              <w:bottom w:val="single" w:sz="8" w:color="AFAFAF"/>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FAFAF"/>
              <w:right w:val="single" w:sz="8" w:color="AFAFAF"/>
            </w:tcBorders>
          </w:tcPr>
          <w:p>
            <w:pPr>
              <w:jc w:val="right"/>
              <w:ind w:right="167"/>
              <w:spacing w:after="0" w:line="155" w:lineRule="exact"/>
              <w:rPr>
                <w:sz w:val="20"/>
                <w:szCs w:val="20"/>
                <w:color w:val="auto"/>
              </w:rPr>
            </w:pPr>
            <w:r>
              <w:rPr>
                <w:rFonts w:ascii="Arial" w:cs="Arial" w:eastAsia="Arial" w:hAnsi="Arial"/>
                <w:sz w:val="14"/>
                <w:szCs w:val="14"/>
                <w:color w:val="auto"/>
                <w:w w:val="98"/>
              </w:rPr>
              <w:t>144,968</w:t>
            </w:r>
          </w:p>
        </w:tc>
        <w:tc>
          <w:tcPr>
            <w:tcW w:w="218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r>
      <w:tr>
        <w:trPr>
          <w:trHeight w:val="155"/>
        </w:trPr>
        <w:tc>
          <w:tcPr>
            <w:tcW w:w="68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All other fees</w:t>
            </w:r>
          </w:p>
        </w:tc>
        <w:tc>
          <w:tcPr>
            <w:tcW w:w="160" w:type="dxa"/>
            <w:vAlign w:val="bottom"/>
            <w:tcBorders>
              <w:bottom w:val="single" w:sz="8" w:color="AFAFAF"/>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FAFAF"/>
              <w:right w:val="single" w:sz="8" w:color="AFAFAF"/>
            </w:tcBorders>
          </w:tcPr>
          <w:p>
            <w:pPr>
              <w:jc w:val="right"/>
              <w:ind w:right="407"/>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FAFAF"/>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FAFAF"/>
              <w:right w:val="single" w:sz="8" w:color="AFAFAF"/>
            </w:tcBorders>
          </w:tcPr>
          <w:p>
            <w:pPr>
              <w:jc w:val="right"/>
              <w:ind w:right="407"/>
              <w:spacing w:after="0" w:line="155" w:lineRule="exact"/>
              <w:rPr>
                <w:sz w:val="20"/>
                <w:szCs w:val="20"/>
                <w:color w:val="auto"/>
              </w:rPr>
            </w:pPr>
            <w:r>
              <w:rPr>
                <w:rFonts w:ascii="Arial" w:cs="Arial" w:eastAsia="Arial" w:hAnsi="Arial"/>
                <w:sz w:val="14"/>
                <w:szCs w:val="14"/>
                <w:color w:val="auto"/>
              </w:rPr>
              <w:t>–</w:t>
            </w:r>
          </w:p>
        </w:tc>
        <w:tc>
          <w:tcPr>
            <w:tcW w:w="218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r>
      <w:tr>
        <w:trPr>
          <w:trHeight w:val="155"/>
        </w:trPr>
        <w:tc>
          <w:tcPr>
            <w:tcW w:w="684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Total annual fees</w:t>
            </w:r>
          </w:p>
        </w:tc>
        <w:tc>
          <w:tcPr>
            <w:tcW w:w="160" w:type="dxa"/>
            <w:vAlign w:val="bottom"/>
            <w:tcBorders>
              <w:bottom w:val="single" w:sz="8" w:color="D95A3B"/>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D95A3B"/>
              <w:right w:val="single" w:sz="8" w:color="AFAFAF"/>
            </w:tcBorders>
          </w:tcPr>
          <w:p>
            <w:pPr>
              <w:jc w:val="right"/>
              <w:ind w:right="167"/>
              <w:spacing w:after="0" w:line="155" w:lineRule="exact"/>
              <w:rPr>
                <w:sz w:val="20"/>
                <w:szCs w:val="20"/>
                <w:color w:val="auto"/>
              </w:rPr>
            </w:pPr>
            <w:r>
              <w:rPr>
                <w:rFonts w:ascii="Arial" w:cs="Arial" w:eastAsia="Arial" w:hAnsi="Arial"/>
                <w:sz w:val="14"/>
                <w:szCs w:val="14"/>
                <w:color w:val="auto"/>
                <w:w w:val="98"/>
              </w:rPr>
              <w:t>123,318</w:t>
            </w:r>
          </w:p>
        </w:tc>
        <w:tc>
          <w:tcPr>
            <w:tcW w:w="280" w:type="dxa"/>
            <w:vAlign w:val="bottom"/>
            <w:tcBorders>
              <w:bottom w:val="single" w:sz="8" w:color="D95A3B"/>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D95A3B"/>
              <w:right w:val="single" w:sz="8" w:color="AFAFAF"/>
            </w:tcBorders>
          </w:tcPr>
          <w:p>
            <w:pPr>
              <w:jc w:val="right"/>
              <w:ind w:right="167"/>
              <w:spacing w:after="0" w:line="155" w:lineRule="exact"/>
              <w:rPr>
                <w:sz w:val="20"/>
                <w:szCs w:val="20"/>
                <w:color w:val="auto"/>
              </w:rPr>
            </w:pPr>
            <w:r>
              <w:rPr>
                <w:rFonts w:ascii="Arial" w:cs="Arial" w:eastAsia="Arial" w:hAnsi="Arial"/>
                <w:sz w:val="14"/>
                <w:szCs w:val="14"/>
                <w:color w:val="auto"/>
                <w:w w:val="98"/>
              </w:rPr>
              <w:t>144,968</w:t>
            </w:r>
          </w:p>
        </w:tc>
        <w:tc>
          <w:tcPr>
            <w:tcW w:w="2180" w:type="dxa"/>
            <w:vAlign w:val="bottom"/>
            <w:tcBorders>
              <w:bottom w:val="single" w:sz="8" w:color="D95A3B"/>
            </w:tcBorders>
          </w:tcPr>
          <w:p>
            <w:pPr>
              <w:jc w:val="center"/>
              <w:spacing w:after="0" w:line="155" w:lineRule="exact"/>
              <w:rPr>
                <w:sz w:val="20"/>
                <w:szCs w:val="20"/>
                <w:color w:val="auto"/>
              </w:rPr>
            </w:pPr>
            <w:r>
              <w:rPr>
                <w:rFonts w:ascii="Arial" w:cs="Arial" w:eastAsia="Arial" w:hAnsi="Arial"/>
                <w:sz w:val="14"/>
                <w:szCs w:val="14"/>
                <w:color w:val="auto"/>
              </w:rPr>
              <w:t>100%</w:t>
            </w:r>
          </w:p>
        </w:tc>
      </w:tr>
    </w:tbl>
    <w:p>
      <w:pPr>
        <w:spacing w:after="0" w:line="107" w:lineRule="exact"/>
        <w:rPr>
          <w:sz w:val="20"/>
          <w:szCs w:val="20"/>
          <w:color w:val="auto"/>
        </w:rPr>
      </w:pPr>
    </w:p>
    <w:p>
      <w:pPr>
        <w:ind w:left="220" w:right="140"/>
        <w:spacing w:after="0" w:line="237" w:lineRule="auto"/>
        <w:rPr>
          <w:sz w:val="20"/>
          <w:szCs w:val="20"/>
          <w:color w:val="auto"/>
        </w:rPr>
      </w:pPr>
      <w:r>
        <w:rPr>
          <w:rFonts w:ascii="Arial" w:cs="Arial" w:eastAsia="Arial" w:hAnsi="Arial"/>
          <w:sz w:val="18"/>
          <w:szCs w:val="18"/>
          <w:color w:val="auto"/>
        </w:rPr>
        <w:t>The HR Committee believes that it is important to receive objective recommendations and input from its outside compensation advisor. SEC and NYSE rules require the compensation committee of U.S. public companies to consider six independence-related factors when selecting their compensation advisor and determining whether certain conflicts of interest disclosures must be made. Although foreign private issuers such as Thomson Reuters are exempt from these rules, the HR Committee once again considered them in March 2019 in relation to FW Cook. The six factors considered by the HR Committee were:</w:t>
      </w:r>
    </w:p>
    <w:p>
      <w:pPr>
        <w:spacing w:after="0" w:line="109" w:lineRule="exact"/>
        <w:rPr>
          <w:sz w:val="20"/>
          <w:szCs w:val="20"/>
          <w:color w:val="auto"/>
        </w:rPr>
      </w:pPr>
    </w:p>
    <w:p>
      <w:pPr>
        <w:ind w:left="660" w:hanging="43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provision of other services to Thomson Reuters by the firm;</w:t>
      </w:r>
    </w:p>
    <w:p>
      <w:pPr>
        <w:spacing w:after="0" w:line="116" w:lineRule="exact"/>
        <w:rPr>
          <w:rFonts w:ascii="Arial" w:cs="Arial" w:eastAsia="Arial" w:hAnsi="Arial"/>
          <w:sz w:val="18"/>
          <w:szCs w:val="18"/>
          <w:color w:val="auto"/>
        </w:rPr>
      </w:pPr>
    </w:p>
    <w:p>
      <w:pPr>
        <w:ind w:left="660" w:hanging="43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of fees received from Thomson Reuters by the firm as a percentage of the total revenue of the firm;</w:t>
      </w:r>
    </w:p>
    <w:p>
      <w:pPr>
        <w:spacing w:after="0" w:line="116" w:lineRule="exact"/>
        <w:rPr>
          <w:rFonts w:ascii="Arial" w:cs="Arial" w:eastAsia="Arial" w:hAnsi="Arial"/>
          <w:sz w:val="18"/>
          <w:szCs w:val="18"/>
          <w:color w:val="auto"/>
        </w:rPr>
      </w:pPr>
    </w:p>
    <w:p>
      <w:pPr>
        <w:ind w:left="660" w:hanging="43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policies and procedures of the firm that are designed to prevent conflicts of interest;</w:t>
      </w:r>
    </w:p>
    <w:p>
      <w:pPr>
        <w:spacing w:after="0" w:line="116" w:lineRule="exact"/>
        <w:rPr>
          <w:rFonts w:ascii="Arial" w:cs="Arial" w:eastAsia="Arial" w:hAnsi="Arial"/>
          <w:sz w:val="18"/>
          <w:szCs w:val="18"/>
          <w:color w:val="auto"/>
        </w:rPr>
      </w:pPr>
    </w:p>
    <w:p>
      <w:pPr>
        <w:ind w:left="660" w:hanging="43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business or personal relationship of the advisor with a member of the HR Committee;</w:t>
      </w:r>
    </w:p>
    <w:p>
      <w:pPr>
        <w:spacing w:after="0" w:line="116" w:lineRule="exact"/>
        <w:rPr>
          <w:rFonts w:ascii="Arial" w:cs="Arial" w:eastAsia="Arial" w:hAnsi="Arial"/>
          <w:sz w:val="18"/>
          <w:szCs w:val="18"/>
          <w:color w:val="auto"/>
        </w:rPr>
      </w:pPr>
    </w:p>
    <w:p>
      <w:pPr>
        <w:ind w:left="660" w:hanging="43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stock of Thomson Reuters owned by the advisor; and</w:t>
      </w:r>
    </w:p>
    <w:p>
      <w:pPr>
        <w:spacing w:after="0" w:line="116" w:lineRule="exact"/>
        <w:rPr>
          <w:rFonts w:ascii="Arial" w:cs="Arial" w:eastAsia="Arial" w:hAnsi="Arial"/>
          <w:sz w:val="18"/>
          <w:szCs w:val="18"/>
          <w:color w:val="auto"/>
        </w:rPr>
      </w:pPr>
    </w:p>
    <w:p>
      <w:pPr>
        <w:ind w:left="660" w:hanging="43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business or personal relationship of the advisor or firm with an executive officer of Thomson Reuters.</w:t>
      </w:r>
    </w:p>
    <w:p>
      <w:pPr>
        <w:spacing w:after="0" w:line="103" w:lineRule="exact"/>
        <w:rPr>
          <w:sz w:val="20"/>
          <w:szCs w:val="20"/>
          <w:color w:val="auto"/>
        </w:rPr>
      </w:pPr>
    </w:p>
    <w:p>
      <w:pPr>
        <w:ind w:left="220" w:right="160"/>
        <w:spacing w:after="0" w:line="244" w:lineRule="auto"/>
        <w:rPr>
          <w:sz w:val="20"/>
          <w:szCs w:val="20"/>
          <w:color w:val="auto"/>
        </w:rPr>
      </w:pPr>
      <w:r>
        <w:rPr>
          <w:rFonts w:ascii="Arial" w:cs="Arial" w:eastAsia="Arial" w:hAnsi="Arial"/>
          <w:sz w:val="18"/>
          <w:szCs w:val="18"/>
          <w:color w:val="auto"/>
        </w:rPr>
        <w:t>Based on disclosures provided to the HR Committee by FW Cook and in questionnaires provided by our directors and executive officers, the HR Committee views FW Cook as independent.</w:t>
      </w:r>
    </w:p>
    <w:p>
      <w:pPr>
        <w:spacing w:after="0" w:line="91" w:lineRule="exact"/>
        <w:rPr>
          <w:sz w:val="20"/>
          <w:szCs w:val="20"/>
          <w:color w:val="auto"/>
        </w:rPr>
      </w:pPr>
    </w:p>
    <w:p>
      <w:pPr>
        <w:ind w:left="220"/>
        <w:spacing w:after="0" w:line="244" w:lineRule="auto"/>
        <w:rPr>
          <w:sz w:val="20"/>
          <w:szCs w:val="20"/>
          <w:color w:val="auto"/>
        </w:rPr>
      </w:pPr>
      <w:r>
        <w:rPr>
          <w:rFonts w:ascii="Arial" w:cs="Arial" w:eastAsia="Arial" w:hAnsi="Arial"/>
          <w:sz w:val="18"/>
          <w:szCs w:val="18"/>
          <w:color w:val="auto"/>
        </w:rPr>
        <w:t>In 2018, management also continued to engage its own consultant to provide it with executive compensation consulting services, including competitive compensation analyses and advice on various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118110</wp:posOffset>
            </wp:positionV>
            <wp:extent cx="697357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26"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50</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Our Key Compensation Principles</w:t>
      </w:r>
    </w:p>
    <w:p>
      <w:pPr>
        <w:sectPr>
          <w:pgSz w:w="11900" w:h="16838" w:orient="portrait"/>
          <w:cols w:equalWidth="0" w:num="1">
            <w:col w:w="11200"/>
          </w:cols>
          <w:pgMar w:left="240" w:top="458" w:right="459" w:bottom="1440" w:gutter="0" w:footer="0" w:header="0"/>
        </w:sectPr>
      </w:pPr>
    </w:p>
    <w:p>
      <w:pPr>
        <w:spacing w:after="0" w:line="71"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Pay for performance is the foundation of our executive compensation program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Incentive performance goals are linked to key measures of our company’s performance and strategy</w:t>
      </w:r>
    </w:p>
    <w:p>
      <w:pPr>
        <w:spacing w:after="0" w:line="89" w:lineRule="exact"/>
        <w:rPr>
          <w:sz w:val="20"/>
          <w:szCs w:val="20"/>
          <w:color w:val="auto"/>
        </w:rPr>
      </w:pPr>
    </w:p>
    <w:p>
      <w:pPr>
        <w:ind w:right="1840"/>
        <w:spacing w:after="0" w:line="343" w:lineRule="auto"/>
        <w:rPr>
          <w:sz w:val="20"/>
          <w:szCs w:val="20"/>
          <w:color w:val="auto"/>
        </w:rPr>
      </w:pPr>
      <w:r>
        <w:rPr>
          <w:rFonts w:ascii="Arial" w:cs="Arial" w:eastAsia="Arial" w:hAnsi="Arial"/>
          <w:sz w:val="18"/>
          <w:szCs w:val="18"/>
          <w:color w:val="auto"/>
        </w:rPr>
        <w:t>Our executives should accumulate and retain equity in our company to align their interests with our shareholders We provide competitive compensation opportunities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programs take risk into account and do not encourage unnecessary or excessive risk taking</w:t>
      </w:r>
    </w:p>
    <w:p>
      <w:pPr>
        <w:spacing w:after="0" w:line="89"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ind w:left="220" w:right="320"/>
        <w:spacing w:after="0" w:line="244" w:lineRule="auto"/>
        <w:rPr>
          <w:sz w:val="20"/>
          <w:szCs w:val="20"/>
          <w:color w:val="auto"/>
        </w:rPr>
      </w:pPr>
      <w:r>
        <w:rPr>
          <w:rFonts w:ascii="Arial" w:cs="Arial" w:eastAsia="Arial" w:hAnsi="Arial"/>
          <w:sz w:val="18"/>
          <w:szCs w:val="18"/>
          <w:color w:val="auto"/>
        </w:rPr>
        <w:t>Below, we describe how each of these key compensation principles drives our executive management team to achieve higher levels of results for the benefit of Thomson Reuters and our shareholders.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“PAY FOR PERFORMANCE” IS THE FOUNDATION OF OUR EXECUTIVE COMPENSATION</w:t>
      </w:r>
    </w:p>
    <w:p>
      <w:pPr>
        <w:spacing w:after="0" w:line="22" w:lineRule="exact"/>
        <w:rPr>
          <w:sz w:val="20"/>
          <w:szCs w:val="20"/>
          <w:color w:val="auto"/>
        </w:rPr>
      </w:pPr>
    </w:p>
    <w:p>
      <w:pPr>
        <w:ind w:left="220"/>
        <w:spacing w:after="0" w:line="239" w:lineRule="auto"/>
        <w:rPr>
          <w:sz w:val="20"/>
          <w:szCs w:val="20"/>
          <w:color w:val="auto"/>
        </w:rPr>
      </w:pPr>
      <w:r>
        <w:rPr>
          <w:rFonts w:ascii="Arial" w:cs="Arial" w:eastAsia="Arial" w:hAnsi="Arial"/>
          <w:sz w:val="18"/>
          <w:szCs w:val="18"/>
          <w:color w:val="auto"/>
        </w:rPr>
        <w:t>We believe that tying a significant component of pay to our company’s achievement of specific financial performance goals and changes in our share price motivates our executives to achieve exceptional performance and focus on the goals and objectives that are of the most value to Thomson Reuters.</w:t>
      </w:r>
    </w:p>
    <w:p>
      <w:pPr>
        <w:spacing w:after="0" w:line="95" w:lineRule="exact"/>
        <w:rPr>
          <w:sz w:val="20"/>
          <w:szCs w:val="20"/>
          <w:color w:val="auto"/>
        </w:rPr>
      </w:pPr>
    </w:p>
    <w:p>
      <w:pPr>
        <w:ind w:left="220" w:right="160"/>
        <w:spacing w:after="0" w:line="237" w:lineRule="auto"/>
        <w:rPr>
          <w:sz w:val="20"/>
          <w:szCs w:val="20"/>
          <w:color w:val="auto"/>
        </w:rPr>
      </w:pPr>
      <w:r>
        <w:rPr>
          <w:rFonts w:ascii="Arial" w:cs="Arial" w:eastAsia="Arial" w:hAnsi="Arial"/>
          <w:sz w:val="18"/>
          <w:szCs w:val="18"/>
          <w:color w:val="auto"/>
        </w:rPr>
        <w:t>As shown below, approximately 88% of Mr. Smith’s 2018 target compensation was variable, which included approximately 65% awarded as long-term incentive grants in the form of TRSUs and stock options. On average, approximately 74% of the other named executive officers’ 2018 target compensation was variable, which included approximately 42% awarded as long-term incentive grants in the form of TRSUs and stock options. Target annual compensation for our named executive officers excludes special TRSU awards granted to Messrs. Peccarelli, Masterson and Friedenberg.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1893570</wp:posOffset>
            </wp:positionH>
            <wp:positionV relativeFrom="paragraph">
              <wp:posOffset>146050</wp:posOffset>
            </wp:positionV>
            <wp:extent cx="3469640" cy="6496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69640" cy="64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As part of its review of executive compensation, the HR Committee reviews targeted values for each component of compensation for each named executive officer. In determining the mix and relative weighting of cash (base salary and annual incentive awards) versus equity-based incentives, the HR Committee considers the appropriate proportion of compensation that should be variable based on the executive’s ability to affect and influence our annual and long-term results and advance the interests of shareholders as well as the compensation mix for similar positions at comparable companies. In general, the proportion of total pay delivered through variable short-term and long-term performance-based compensation increases directly with an executive’s level of operational/financial responsibility. The HR Committee believes this mix and weighting aligns the interests of executives with those of shareholders, provides significant performance incentives and assists in keeping us competitive in the market for high-quality executives.</w:t>
      </w:r>
    </w:p>
    <w:p>
      <w:pPr>
        <w:spacing w:after="0" w:line="89" w:lineRule="exact"/>
        <w:rPr>
          <w:sz w:val="20"/>
          <w:szCs w:val="20"/>
          <w:color w:val="auto"/>
        </w:rPr>
      </w:pPr>
    </w:p>
    <w:p>
      <w:pPr>
        <w:ind w:left="220" w:right="1620"/>
        <w:spacing w:after="0" w:line="237" w:lineRule="auto"/>
        <w:rPr>
          <w:sz w:val="20"/>
          <w:szCs w:val="20"/>
          <w:color w:val="auto"/>
        </w:rPr>
      </w:pPr>
      <w:r>
        <w:rPr>
          <w:rFonts w:ascii="Arial" w:cs="Arial" w:eastAsia="Arial" w:hAnsi="Arial"/>
          <w:sz w:val="22"/>
          <w:szCs w:val="22"/>
          <w:color w:val="D95A3B"/>
        </w:rPr>
        <w:t>INCENTIVE PERFORMANCE GOALS ARE LINKED TO KEY MEASURES OF OUR COMPANY’S PERFORMANCE AND STRATEGY</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Annual incentive awards</w:t>
      </w:r>
    </w:p>
    <w:p>
      <w:pPr>
        <w:spacing w:after="0" w:line="35" w:lineRule="exact"/>
        <w:rPr>
          <w:sz w:val="20"/>
          <w:szCs w:val="20"/>
          <w:color w:val="auto"/>
        </w:rPr>
      </w:pPr>
    </w:p>
    <w:p>
      <w:pPr>
        <w:ind w:left="220" w:right="360"/>
        <w:spacing w:after="0" w:line="238" w:lineRule="auto"/>
        <w:rPr>
          <w:sz w:val="20"/>
          <w:szCs w:val="20"/>
          <w:color w:val="auto"/>
        </w:rPr>
      </w:pPr>
      <w:r>
        <w:rPr>
          <w:rFonts w:ascii="Arial" w:cs="Arial" w:eastAsia="Arial" w:hAnsi="Arial"/>
          <w:sz w:val="18"/>
          <w:szCs w:val="18"/>
          <w:color w:val="auto"/>
        </w:rPr>
        <w:t>The HR Committee sets performance goals for our annual incentive awards that focus on superior performance, taking into account current market conditions. The financial performance goals set by the HR Committee reflect our published business outlook, operating plan and long-term strategy. Annual incentive awards are designed to incentivize individual performance and drive accountability for results. An executive’s annual incentive award opportunity is expressed as a percentage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0"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51</w:t>
      </w:r>
    </w:p>
    <w:p>
      <w:pPr>
        <w:sectPr>
          <w:pgSz w:w="11900" w:h="16838" w:orient="portrait"/>
          <w:cols w:equalWidth="0" w:num="1">
            <w:col w:w="11200"/>
          </w:cols>
          <w:pgMar w:left="240" w:top="458" w:right="45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right="260"/>
        <w:spacing w:after="0" w:line="237" w:lineRule="auto"/>
        <w:rPr>
          <w:sz w:val="20"/>
          <w:szCs w:val="20"/>
          <w:color w:val="auto"/>
        </w:rPr>
      </w:pPr>
      <w:r>
        <w:rPr>
          <w:rFonts w:ascii="Arial" w:cs="Arial" w:eastAsia="Arial" w:hAnsi="Arial"/>
          <w:sz w:val="18"/>
          <w:szCs w:val="18"/>
          <w:color w:val="auto"/>
        </w:rPr>
        <w:t>The following table sets forth annual incentive award payouts to our CEO, CFO and various other Corporate-level executives as a percentage of target for the years indicated. Payouts to Mr. Bello and Mr. Masterson were increased based on 2018 individual performance against strategic objectives. Mr. Peccarelli’s annual incentive award had different performance metrics and his payout was also increased based on 2018 individual performance against strategic objectives. Additional information about 2018 annual incentive award targets and performance is provided later in this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69215</wp:posOffset>
            </wp:positionV>
            <wp:extent cx="8255" cy="1282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4713605</wp:posOffset>
            </wp:positionH>
            <wp:positionV relativeFrom="paragraph">
              <wp:posOffset>69215</wp:posOffset>
            </wp:positionV>
            <wp:extent cx="8255" cy="1282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128270"/>
                    </a:xfrm>
                    <a:prstGeom prst="rect">
                      <a:avLst/>
                    </a:prstGeom>
                    <a:noFill/>
                  </pic:spPr>
                </pic:pic>
              </a:graphicData>
            </a:graphic>
          </wp:anchor>
        </w:drawing>
      </w:r>
    </w:p>
    <w:p>
      <w:pPr>
        <w:spacing w:after="0" w:line="89"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722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Performance Year</w:t>
            </w:r>
          </w:p>
        </w:tc>
        <w:tc>
          <w:tcPr>
            <w:tcW w:w="1140" w:type="dxa"/>
            <w:vAlign w:val="bottom"/>
            <w:tcBorders>
              <w:bottom w:val="single" w:sz="8" w:color="D95A3B"/>
              <w:right w:val="single" w:sz="8" w:color="CCCCCC"/>
            </w:tcBorders>
            <w:shd w:val="clear" w:color="auto" w:fill="CCCCCC"/>
          </w:tcPr>
          <w:p>
            <w:pPr>
              <w:jc w:val="center"/>
              <w:spacing w:after="0"/>
              <w:rPr>
                <w:sz w:val="20"/>
                <w:szCs w:val="20"/>
                <w:color w:val="auto"/>
              </w:rPr>
            </w:pPr>
            <w:r>
              <w:rPr>
                <w:rFonts w:ascii="Arial" w:cs="Arial" w:eastAsia="Arial" w:hAnsi="Arial"/>
                <w:sz w:val="15"/>
                <w:szCs w:val="15"/>
                <w:b w:val="1"/>
                <w:bCs w:val="1"/>
                <w:color w:val="auto"/>
              </w:rPr>
              <w:t>Payout Year</w:t>
            </w:r>
          </w:p>
        </w:tc>
        <w:tc>
          <w:tcPr>
            <w:tcW w:w="2620" w:type="dxa"/>
            <w:vAlign w:val="bottom"/>
            <w:tcBorders>
              <w:bottom w:val="single" w:sz="8" w:color="D95A3B"/>
            </w:tcBorders>
            <w:shd w:val="clear" w:color="auto" w:fill="CCCCCC"/>
          </w:tcPr>
          <w:p>
            <w:pPr>
              <w:ind w:left="160"/>
              <w:spacing w:after="0"/>
              <w:rPr>
                <w:sz w:val="20"/>
                <w:szCs w:val="20"/>
                <w:color w:val="auto"/>
              </w:rPr>
            </w:pPr>
            <w:r>
              <w:rPr>
                <w:rFonts w:ascii="Arial" w:cs="Arial" w:eastAsia="Arial" w:hAnsi="Arial"/>
                <w:sz w:val="15"/>
                <w:szCs w:val="15"/>
                <w:b w:val="1"/>
                <w:bCs w:val="1"/>
                <w:color w:val="auto"/>
              </w:rPr>
              <w:t>Payout as a percentage of target</w:t>
            </w:r>
          </w:p>
        </w:tc>
      </w:tr>
      <w:tr>
        <w:trPr>
          <w:trHeight w:val="155"/>
        </w:trPr>
        <w:tc>
          <w:tcPr>
            <w:tcW w:w="722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2018</w:t>
            </w:r>
          </w:p>
        </w:tc>
        <w:tc>
          <w:tcPr>
            <w:tcW w:w="11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2019</w:t>
            </w:r>
          </w:p>
        </w:tc>
        <w:tc>
          <w:tcPr>
            <w:tcW w:w="262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129%</w:t>
            </w:r>
          </w:p>
        </w:tc>
      </w:tr>
      <w:tr>
        <w:trPr>
          <w:trHeight w:val="155"/>
        </w:trPr>
        <w:tc>
          <w:tcPr>
            <w:tcW w:w="722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2017</w:t>
            </w:r>
          </w:p>
        </w:tc>
        <w:tc>
          <w:tcPr>
            <w:tcW w:w="11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2018</w:t>
            </w:r>
          </w:p>
        </w:tc>
        <w:tc>
          <w:tcPr>
            <w:tcW w:w="262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94%</w:t>
            </w:r>
          </w:p>
        </w:tc>
      </w:tr>
      <w:tr>
        <w:trPr>
          <w:trHeight w:val="155"/>
        </w:trPr>
        <w:tc>
          <w:tcPr>
            <w:tcW w:w="722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2016</w:t>
            </w:r>
          </w:p>
        </w:tc>
        <w:tc>
          <w:tcPr>
            <w:tcW w:w="11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2017</w:t>
            </w:r>
          </w:p>
        </w:tc>
        <w:tc>
          <w:tcPr>
            <w:tcW w:w="262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83%</w:t>
            </w:r>
          </w:p>
        </w:tc>
      </w:tr>
      <w:tr>
        <w:trPr>
          <w:trHeight w:val="155"/>
        </w:trPr>
        <w:tc>
          <w:tcPr>
            <w:tcW w:w="722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2015</w:t>
            </w:r>
          </w:p>
        </w:tc>
        <w:tc>
          <w:tcPr>
            <w:tcW w:w="11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2016</w:t>
            </w:r>
          </w:p>
        </w:tc>
        <w:tc>
          <w:tcPr>
            <w:tcW w:w="262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105%</w:t>
            </w:r>
          </w:p>
        </w:tc>
      </w:tr>
      <w:tr>
        <w:trPr>
          <w:trHeight w:val="155"/>
        </w:trPr>
        <w:tc>
          <w:tcPr>
            <w:tcW w:w="722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2014</w:t>
            </w:r>
          </w:p>
        </w:tc>
        <w:tc>
          <w:tcPr>
            <w:tcW w:w="11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2015</w:t>
            </w:r>
          </w:p>
        </w:tc>
        <w:tc>
          <w:tcPr>
            <w:tcW w:w="262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92%</w:t>
            </w:r>
          </w:p>
        </w:tc>
      </w:tr>
      <w:tr>
        <w:trPr>
          <w:trHeight w:val="155"/>
        </w:trPr>
        <w:tc>
          <w:tcPr>
            <w:tcW w:w="722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color w:val="auto"/>
              </w:rPr>
              <w:t>5-year average</w:t>
            </w:r>
          </w:p>
        </w:tc>
        <w:tc>
          <w:tcPr>
            <w:tcW w:w="1140" w:type="dxa"/>
            <w:vAlign w:val="bottom"/>
            <w:tcBorders>
              <w:bottom w:val="single" w:sz="8" w:color="D95A3B"/>
              <w:right w:val="single" w:sz="8" w:color="AFAFAF"/>
            </w:tcBorders>
          </w:tcPr>
          <w:p>
            <w:pPr>
              <w:ind w:left="500"/>
              <w:spacing w:after="0" w:line="155" w:lineRule="exact"/>
              <w:rPr>
                <w:sz w:val="20"/>
                <w:szCs w:val="20"/>
                <w:color w:val="auto"/>
              </w:rPr>
            </w:pPr>
            <w:r>
              <w:rPr>
                <w:rFonts w:ascii="Arial" w:cs="Arial" w:eastAsia="Arial" w:hAnsi="Arial"/>
                <w:sz w:val="14"/>
                <w:szCs w:val="14"/>
                <w:color w:val="auto"/>
              </w:rPr>
              <w:t>–</w:t>
            </w:r>
          </w:p>
        </w:tc>
        <w:tc>
          <w:tcPr>
            <w:tcW w:w="2620" w:type="dxa"/>
            <w:vAlign w:val="bottom"/>
            <w:tcBorders>
              <w:bottom w:val="single" w:sz="8" w:color="D95A3B"/>
            </w:tcBorders>
          </w:tcPr>
          <w:p>
            <w:pPr>
              <w:jc w:val="center"/>
              <w:spacing w:after="0" w:line="155" w:lineRule="exact"/>
              <w:rPr>
                <w:sz w:val="20"/>
                <w:szCs w:val="20"/>
                <w:color w:val="auto"/>
              </w:rPr>
            </w:pPr>
            <w:r>
              <w:rPr>
                <w:rFonts w:ascii="Arial" w:cs="Arial" w:eastAsia="Arial" w:hAnsi="Arial"/>
                <w:sz w:val="14"/>
                <w:szCs w:val="14"/>
                <w:color w:val="auto"/>
              </w:rPr>
              <w:t>101%</w:t>
            </w:r>
          </w:p>
        </w:tc>
      </w:tr>
    </w:tbl>
    <w:p>
      <w:pPr>
        <w:spacing w:after="0" w:line="101"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Long-term incentive awards</w:t>
      </w:r>
    </w:p>
    <w:p>
      <w:pPr>
        <w:spacing w:after="0" w:line="35" w:lineRule="exact"/>
        <w:rPr>
          <w:sz w:val="20"/>
          <w:szCs w:val="20"/>
          <w:color w:val="auto"/>
        </w:rPr>
      </w:pPr>
    </w:p>
    <w:p>
      <w:pPr>
        <w:ind w:left="220" w:right="120"/>
        <w:spacing w:after="0" w:line="236" w:lineRule="auto"/>
        <w:rPr>
          <w:sz w:val="20"/>
          <w:szCs w:val="20"/>
          <w:color w:val="auto"/>
        </w:rPr>
      </w:pPr>
      <w:r>
        <w:rPr>
          <w:rFonts w:ascii="Arial" w:cs="Arial" w:eastAsia="Arial" w:hAnsi="Arial"/>
          <w:sz w:val="18"/>
          <w:szCs w:val="18"/>
          <w:color w:val="auto"/>
        </w:rPr>
        <w:t>An executive’s long-term incentive award opportunity is also expressed as a percentage of base salary, and an executive’s percentage may be modified up or down for a particular year based on future potential and past performance. In addition, our long-term incentive awards are designed to optimally balance alignment with key drivers of total shareholder return, accountability for longer-term results and overall executive retention. Financial performance measures reflected in PRSUs granted as long-term incentive awards complement measures in annual incentive awards. As discussed in this compensation discussion and analysis, 2018 long-term incentive awards did not include PRSUs due to the F&amp;R transaction, but PRSUs were reintroduced as a component of long-term incentive awards granted in 2019.</w:t>
      </w:r>
    </w:p>
    <w:p>
      <w:pPr>
        <w:spacing w:after="0" w:line="96" w:lineRule="exact"/>
        <w:rPr>
          <w:sz w:val="20"/>
          <w:szCs w:val="20"/>
          <w:color w:val="auto"/>
        </w:rPr>
      </w:pPr>
    </w:p>
    <w:p>
      <w:pPr>
        <w:ind w:left="220" w:right="80"/>
        <w:spacing w:after="0" w:line="244" w:lineRule="auto"/>
        <w:rPr>
          <w:sz w:val="20"/>
          <w:szCs w:val="20"/>
          <w:color w:val="auto"/>
        </w:rPr>
      </w:pPr>
      <w:r>
        <w:rPr>
          <w:rFonts w:ascii="Arial" w:cs="Arial" w:eastAsia="Arial" w:hAnsi="Arial"/>
          <w:sz w:val="18"/>
          <w:szCs w:val="18"/>
          <w:color w:val="auto"/>
        </w:rPr>
        <w:t>The following table sets forth payouts for our PRSU awards as a percentage of target for the years indicated. Additional information about PRSUs for the 2016-2018 performance period is provided later in this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66675</wp:posOffset>
            </wp:positionV>
            <wp:extent cx="8255" cy="1282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4508500</wp:posOffset>
            </wp:positionH>
            <wp:positionV relativeFrom="paragraph">
              <wp:posOffset>66675</wp:posOffset>
            </wp:positionV>
            <wp:extent cx="8255" cy="1282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128270"/>
                    </a:xfrm>
                    <a:prstGeom prst="rect">
                      <a:avLst/>
                    </a:prstGeom>
                    <a:noFill/>
                  </pic:spPr>
                </pic:pic>
              </a:graphicData>
            </a:graphic>
          </wp:anchor>
        </w:drawing>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690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Performance Period</w:t>
            </w:r>
          </w:p>
        </w:tc>
        <w:tc>
          <w:tcPr>
            <w:tcW w:w="1260" w:type="dxa"/>
            <w:vAlign w:val="bottom"/>
            <w:tcBorders>
              <w:bottom w:val="single" w:sz="8" w:color="D95A3B"/>
              <w:right w:val="single" w:sz="8" w:color="CCCCCC"/>
            </w:tcBorders>
            <w:shd w:val="clear" w:color="auto" w:fill="CCCCCC"/>
          </w:tcPr>
          <w:p>
            <w:pPr>
              <w:jc w:val="center"/>
              <w:ind w:right="28"/>
              <w:spacing w:after="0"/>
              <w:rPr>
                <w:sz w:val="20"/>
                <w:szCs w:val="20"/>
                <w:color w:val="auto"/>
              </w:rPr>
            </w:pPr>
            <w:r>
              <w:rPr>
                <w:rFonts w:ascii="Arial" w:cs="Arial" w:eastAsia="Arial" w:hAnsi="Arial"/>
                <w:sz w:val="15"/>
                <w:szCs w:val="15"/>
                <w:b w:val="1"/>
                <w:bCs w:val="1"/>
                <w:color w:val="auto"/>
              </w:rPr>
              <w:t>Payout Year</w:t>
            </w:r>
          </w:p>
        </w:tc>
        <w:tc>
          <w:tcPr>
            <w:tcW w:w="2820" w:type="dxa"/>
            <w:vAlign w:val="bottom"/>
            <w:tcBorders>
              <w:bottom w:val="single" w:sz="8" w:color="D95A3B"/>
            </w:tcBorders>
            <w:shd w:val="clear" w:color="auto" w:fill="CCCCCC"/>
          </w:tcPr>
          <w:p>
            <w:pPr>
              <w:ind w:left="260"/>
              <w:spacing w:after="0"/>
              <w:rPr>
                <w:sz w:val="20"/>
                <w:szCs w:val="20"/>
                <w:color w:val="auto"/>
              </w:rPr>
            </w:pPr>
            <w:r>
              <w:rPr>
                <w:rFonts w:ascii="Arial" w:cs="Arial" w:eastAsia="Arial" w:hAnsi="Arial"/>
                <w:sz w:val="15"/>
                <w:szCs w:val="15"/>
                <w:b w:val="1"/>
                <w:bCs w:val="1"/>
                <w:color w:val="auto"/>
              </w:rPr>
              <w:t>Payout as a percentage of target</w:t>
            </w:r>
          </w:p>
        </w:tc>
      </w:tr>
      <w:tr>
        <w:trPr>
          <w:trHeight w:val="155"/>
        </w:trPr>
        <w:tc>
          <w:tcPr>
            <w:tcW w:w="69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2016-2018</w:t>
            </w:r>
          </w:p>
        </w:tc>
        <w:tc>
          <w:tcPr>
            <w:tcW w:w="1260" w:type="dxa"/>
            <w:vAlign w:val="bottom"/>
            <w:tcBorders>
              <w:bottom w:val="single" w:sz="8" w:color="AFAFAF"/>
              <w:right w:val="single" w:sz="8" w:color="AFAFAF"/>
            </w:tcBorders>
          </w:tcPr>
          <w:p>
            <w:pPr>
              <w:jc w:val="center"/>
              <w:ind w:right="28"/>
              <w:spacing w:after="0" w:line="155" w:lineRule="exact"/>
              <w:rPr>
                <w:sz w:val="20"/>
                <w:szCs w:val="20"/>
                <w:color w:val="auto"/>
              </w:rPr>
            </w:pPr>
            <w:r>
              <w:rPr>
                <w:rFonts w:ascii="Arial" w:cs="Arial" w:eastAsia="Arial" w:hAnsi="Arial"/>
                <w:sz w:val="14"/>
                <w:szCs w:val="14"/>
                <w:color w:val="auto"/>
              </w:rPr>
              <w:t>2019</w:t>
            </w:r>
          </w:p>
        </w:tc>
        <w:tc>
          <w:tcPr>
            <w:tcW w:w="282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100%</w:t>
            </w:r>
          </w:p>
        </w:tc>
      </w:tr>
      <w:tr>
        <w:trPr>
          <w:trHeight w:val="155"/>
        </w:trPr>
        <w:tc>
          <w:tcPr>
            <w:tcW w:w="69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2015-2017</w:t>
            </w:r>
          </w:p>
        </w:tc>
        <w:tc>
          <w:tcPr>
            <w:tcW w:w="1260" w:type="dxa"/>
            <w:vAlign w:val="bottom"/>
            <w:tcBorders>
              <w:bottom w:val="single" w:sz="8" w:color="AFAFAF"/>
              <w:right w:val="single" w:sz="8" w:color="AFAFAF"/>
            </w:tcBorders>
          </w:tcPr>
          <w:p>
            <w:pPr>
              <w:jc w:val="center"/>
              <w:ind w:right="28"/>
              <w:spacing w:after="0" w:line="155" w:lineRule="exact"/>
              <w:rPr>
                <w:sz w:val="20"/>
                <w:szCs w:val="20"/>
                <w:color w:val="auto"/>
              </w:rPr>
            </w:pPr>
            <w:r>
              <w:rPr>
                <w:rFonts w:ascii="Arial" w:cs="Arial" w:eastAsia="Arial" w:hAnsi="Arial"/>
                <w:sz w:val="14"/>
                <w:szCs w:val="14"/>
                <w:color w:val="auto"/>
              </w:rPr>
              <w:t>2018</w:t>
            </w:r>
          </w:p>
        </w:tc>
        <w:tc>
          <w:tcPr>
            <w:tcW w:w="282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145%</w:t>
            </w:r>
          </w:p>
        </w:tc>
      </w:tr>
      <w:tr>
        <w:trPr>
          <w:trHeight w:val="155"/>
        </w:trPr>
        <w:tc>
          <w:tcPr>
            <w:tcW w:w="69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2014-2016</w:t>
            </w:r>
          </w:p>
        </w:tc>
        <w:tc>
          <w:tcPr>
            <w:tcW w:w="1260" w:type="dxa"/>
            <w:vAlign w:val="bottom"/>
            <w:tcBorders>
              <w:bottom w:val="single" w:sz="8" w:color="AFAFAF"/>
              <w:right w:val="single" w:sz="8" w:color="AFAFAF"/>
            </w:tcBorders>
          </w:tcPr>
          <w:p>
            <w:pPr>
              <w:jc w:val="center"/>
              <w:ind w:right="28"/>
              <w:spacing w:after="0" w:line="155" w:lineRule="exact"/>
              <w:rPr>
                <w:sz w:val="20"/>
                <w:szCs w:val="20"/>
                <w:color w:val="auto"/>
              </w:rPr>
            </w:pPr>
            <w:r>
              <w:rPr>
                <w:rFonts w:ascii="Arial" w:cs="Arial" w:eastAsia="Arial" w:hAnsi="Arial"/>
                <w:sz w:val="14"/>
                <w:szCs w:val="14"/>
                <w:color w:val="auto"/>
              </w:rPr>
              <w:t>2017</w:t>
            </w:r>
          </w:p>
        </w:tc>
        <w:tc>
          <w:tcPr>
            <w:tcW w:w="282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170%</w:t>
            </w:r>
          </w:p>
        </w:tc>
      </w:tr>
      <w:tr>
        <w:trPr>
          <w:trHeight w:val="155"/>
        </w:trPr>
        <w:tc>
          <w:tcPr>
            <w:tcW w:w="69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2013-2015</w:t>
            </w:r>
          </w:p>
        </w:tc>
        <w:tc>
          <w:tcPr>
            <w:tcW w:w="1260" w:type="dxa"/>
            <w:vAlign w:val="bottom"/>
            <w:tcBorders>
              <w:bottom w:val="single" w:sz="8" w:color="AFAFAF"/>
              <w:right w:val="single" w:sz="8" w:color="AFAFAF"/>
            </w:tcBorders>
          </w:tcPr>
          <w:p>
            <w:pPr>
              <w:jc w:val="center"/>
              <w:ind w:right="28"/>
              <w:spacing w:after="0" w:line="155" w:lineRule="exact"/>
              <w:rPr>
                <w:sz w:val="20"/>
                <w:szCs w:val="20"/>
                <w:color w:val="auto"/>
              </w:rPr>
            </w:pPr>
            <w:r>
              <w:rPr>
                <w:rFonts w:ascii="Arial" w:cs="Arial" w:eastAsia="Arial" w:hAnsi="Arial"/>
                <w:sz w:val="14"/>
                <w:szCs w:val="14"/>
                <w:color w:val="auto"/>
              </w:rPr>
              <w:t>2016</w:t>
            </w:r>
          </w:p>
        </w:tc>
        <w:tc>
          <w:tcPr>
            <w:tcW w:w="282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w w:val="99"/>
              </w:rPr>
              <w:t>57%</w:t>
            </w:r>
          </w:p>
        </w:tc>
      </w:tr>
      <w:tr>
        <w:trPr>
          <w:trHeight w:val="155"/>
        </w:trPr>
        <w:tc>
          <w:tcPr>
            <w:tcW w:w="69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2012-2014</w:t>
            </w:r>
          </w:p>
        </w:tc>
        <w:tc>
          <w:tcPr>
            <w:tcW w:w="1260" w:type="dxa"/>
            <w:vAlign w:val="bottom"/>
            <w:tcBorders>
              <w:bottom w:val="single" w:sz="8" w:color="AFAFAF"/>
              <w:right w:val="single" w:sz="8" w:color="AFAFAF"/>
            </w:tcBorders>
          </w:tcPr>
          <w:p>
            <w:pPr>
              <w:jc w:val="center"/>
              <w:ind w:right="28"/>
              <w:spacing w:after="0" w:line="155" w:lineRule="exact"/>
              <w:rPr>
                <w:sz w:val="20"/>
                <w:szCs w:val="20"/>
                <w:color w:val="auto"/>
              </w:rPr>
            </w:pPr>
            <w:r>
              <w:rPr>
                <w:rFonts w:ascii="Arial" w:cs="Arial" w:eastAsia="Arial" w:hAnsi="Arial"/>
                <w:sz w:val="14"/>
                <w:szCs w:val="14"/>
                <w:color w:val="auto"/>
              </w:rPr>
              <w:t>2015</w:t>
            </w:r>
          </w:p>
        </w:tc>
        <w:tc>
          <w:tcPr>
            <w:tcW w:w="282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w w:val="99"/>
              </w:rPr>
              <w:t>66%</w:t>
            </w:r>
          </w:p>
        </w:tc>
      </w:tr>
      <w:tr>
        <w:trPr>
          <w:trHeight w:val="155"/>
        </w:trPr>
        <w:tc>
          <w:tcPr>
            <w:tcW w:w="69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color w:val="auto"/>
              </w:rPr>
              <w:t>5-year average</w:t>
            </w:r>
          </w:p>
        </w:tc>
        <w:tc>
          <w:tcPr>
            <w:tcW w:w="1260" w:type="dxa"/>
            <w:vAlign w:val="bottom"/>
            <w:tcBorders>
              <w:bottom w:val="single" w:sz="8" w:color="D95A3B"/>
              <w:right w:val="single" w:sz="8" w:color="AFAFAF"/>
            </w:tcBorders>
          </w:tcPr>
          <w:p>
            <w:pPr>
              <w:ind w:left="500"/>
              <w:spacing w:after="0" w:line="155" w:lineRule="exact"/>
              <w:rPr>
                <w:sz w:val="20"/>
                <w:szCs w:val="20"/>
                <w:color w:val="auto"/>
              </w:rPr>
            </w:pPr>
            <w:r>
              <w:rPr>
                <w:rFonts w:ascii="Arial" w:cs="Arial" w:eastAsia="Arial" w:hAnsi="Arial"/>
                <w:sz w:val="14"/>
                <w:szCs w:val="14"/>
                <w:color w:val="auto"/>
              </w:rPr>
              <w:t>–</w:t>
            </w:r>
          </w:p>
        </w:tc>
        <w:tc>
          <w:tcPr>
            <w:tcW w:w="2820" w:type="dxa"/>
            <w:vAlign w:val="bottom"/>
            <w:tcBorders>
              <w:bottom w:val="single" w:sz="8" w:color="D95A3B"/>
            </w:tcBorders>
          </w:tcPr>
          <w:p>
            <w:pPr>
              <w:jc w:val="center"/>
              <w:spacing w:after="0" w:line="155" w:lineRule="exact"/>
              <w:rPr>
                <w:sz w:val="20"/>
                <w:szCs w:val="20"/>
                <w:color w:val="auto"/>
              </w:rPr>
            </w:pPr>
            <w:r>
              <w:rPr>
                <w:rFonts w:ascii="Arial" w:cs="Arial" w:eastAsia="Arial" w:hAnsi="Arial"/>
                <w:sz w:val="14"/>
                <w:szCs w:val="14"/>
                <w:color w:val="auto"/>
              </w:rPr>
              <w:t>108%</w:t>
            </w:r>
          </w:p>
        </w:tc>
      </w:tr>
    </w:tbl>
    <w:p>
      <w:pPr>
        <w:spacing w:after="0" w:line="101"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Discretionary adjustment authority</w:t>
      </w:r>
    </w:p>
    <w:p>
      <w:pPr>
        <w:spacing w:after="0" w:line="35" w:lineRule="exact"/>
        <w:rPr>
          <w:sz w:val="20"/>
          <w:szCs w:val="20"/>
          <w:color w:val="auto"/>
        </w:rPr>
      </w:pPr>
    </w:p>
    <w:p>
      <w:pPr>
        <w:ind w:left="220" w:right="60"/>
        <w:spacing w:after="0" w:line="235" w:lineRule="auto"/>
        <w:rPr>
          <w:sz w:val="20"/>
          <w:szCs w:val="20"/>
          <w:color w:val="auto"/>
        </w:rPr>
      </w:pPr>
      <w:r>
        <w:rPr>
          <w:rFonts w:ascii="Arial" w:cs="Arial" w:eastAsia="Arial" w:hAnsi="Arial"/>
          <w:sz w:val="18"/>
          <w:szCs w:val="18"/>
          <w:color w:val="auto"/>
        </w:rPr>
        <w:t>For both annual incentive awards and PRSUs granted as part of long-term incentive awards, the HR Committee is authorized to make discretionary adjustments (outside of the design principles discussed above, which operate mechanically without discretion) to deal with extraordinary, non-recurring or unanticipated business conditions that materially affected our results (positively and negatively), the fairness of the performance targets, or the impact of external changes which have unduly influenced our ability to meet the targets. Due to complexities associated with determining consolidated company performance for PRSUs granted for the 2016-2018 and 2017-2019 performance periods as a result of the F&amp;R transaction, the HR Committee decided to determine payouts for these awards based on performance as of December 31, 2017 and a deemed 100% performance for remaining periods (with payouts to occur as originally scheduled in 2019 and 2020, respectively). No discretionary adjustments of this type were made in determining payouts for 2018 annual incentive awards paid to our named executive officers.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Non-IFRS financial measures</w:t>
      </w:r>
    </w:p>
    <w:p>
      <w:pPr>
        <w:spacing w:after="0" w:line="22" w:lineRule="exact"/>
        <w:rPr>
          <w:sz w:val="20"/>
          <w:szCs w:val="20"/>
          <w:color w:val="auto"/>
        </w:rPr>
      </w:pPr>
    </w:p>
    <w:p>
      <w:pPr>
        <w:ind w:left="220" w:right="220"/>
        <w:spacing w:after="0" w:line="238" w:lineRule="auto"/>
        <w:rPr>
          <w:sz w:val="20"/>
          <w:szCs w:val="20"/>
          <w:color w:val="auto"/>
        </w:rPr>
      </w:pPr>
      <w:r>
        <w:rPr>
          <w:rFonts w:ascii="Arial" w:cs="Arial" w:eastAsia="Arial" w:hAnsi="Arial"/>
          <w:sz w:val="18"/>
          <w:szCs w:val="18"/>
          <w:color w:val="auto"/>
        </w:rPr>
        <w:t>Most of the financial metrics that we use in our annual and long-term incentive awards described in this circular are non-IFRS financial measures. Later in this section, we discuss our annual and long-term incentive awards in more detail, and we explain why we use these metrics as part of our performance goals. Please also see the “Additional Information – Non-IFRS Financial Measures” section of this circular for more information about our non-IFRS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3"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52</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right="660"/>
        <w:spacing w:after="0" w:line="237" w:lineRule="auto"/>
        <w:rPr>
          <w:sz w:val="20"/>
          <w:szCs w:val="20"/>
          <w:color w:val="auto"/>
        </w:rPr>
      </w:pPr>
      <w:r>
        <w:rPr>
          <w:rFonts w:ascii="Arial" w:cs="Arial" w:eastAsia="Arial" w:hAnsi="Arial"/>
          <w:sz w:val="22"/>
          <w:szCs w:val="22"/>
          <w:color w:val="D95A3B"/>
        </w:rPr>
        <w:t>OUR EXECUTIVES SHOULD ACCUMULATE AND RETAIN EQUITY IN OUR COMPANY TO ALIGN THEIR INTERESTS WITH OUR SHAREHOLDERS</w:t>
      </w:r>
    </w:p>
    <w:p>
      <w:pPr>
        <w:spacing w:after="0" w:line="31" w:lineRule="exact"/>
        <w:rPr>
          <w:sz w:val="20"/>
          <w:szCs w:val="20"/>
          <w:color w:val="auto"/>
        </w:rPr>
      </w:pPr>
    </w:p>
    <w:p>
      <w:pPr>
        <w:ind w:left="220" w:right="180"/>
        <w:spacing w:after="0" w:line="260" w:lineRule="auto"/>
        <w:rPr>
          <w:sz w:val="20"/>
          <w:szCs w:val="20"/>
          <w:color w:val="auto"/>
        </w:rPr>
      </w:pPr>
      <w:r>
        <w:rPr>
          <w:rFonts w:ascii="Arial" w:cs="Arial" w:eastAsia="Arial" w:hAnsi="Arial"/>
          <w:sz w:val="17"/>
          <w:szCs w:val="17"/>
          <w:color w:val="auto"/>
        </w:rPr>
        <w:t>Our long-term incentive awards are all equity-based and, together with our share ownership guidelines, align the interests of our executives with those of our shareholders and enable our executives to share in our long-term growth and success. Executives are aligned with shareholders because this part of their compensation is tied directly to the long-term performance of the price of our shares.</w:t>
      </w:r>
    </w:p>
    <w:p>
      <w:pPr>
        <w:spacing w:after="0" w:line="78" w:lineRule="exact"/>
        <w:rPr>
          <w:sz w:val="20"/>
          <w:szCs w:val="20"/>
          <w:color w:val="auto"/>
        </w:rPr>
      </w:pPr>
    </w:p>
    <w:p>
      <w:pPr>
        <w:ind w:left="220" w:right="140"/>
        <w:spacing w:after="0" w:line="237" w:lineRule="auto"/>
        <w:rPr>
          <w:sz w:val="20"/>
          <w:szCs w:val="20"/>
          <w:color w:val="auto"/>
        </w:rPr>
      </w:pPr>
      <w:r>
        <w:rPr>
          <w:rFonts w:ascii="Arial" w:cs="Arial" w:eastAsia="Arial" w:hAnsi="Arial"/>
          <w:sz w:val="18"/>
          <w:szCs w:val="18"/>
          <w:color w:val="auto"/>
        </w:rPr>
        <w:t>PRSUs, TRSUs and stock options are designed to reward executives for increases in shareholder value and thereby foster strong alignment between management and shareholders. They also support important management retention objectives as a result of the vesting requirements, which are over a period of years. From time to time, we also grant off-cycle TRSUs or PRSUs on a highly selective basis to high-performing executives in connection with promotions and for retention and recognition of high potential, superior performance and contributions to the company.</w:t>
      </w:r>
    </w:p>
    <w:p>
      <w:pPr>
        <w:spacing w:after="0" w:line="95" w:lineRule="exact"/>
        <w:rPr>
          <w:sz w:val="20"/>
          <w:szCs w:val="20"/>
          <w:color w:val="auto"/>
        </w:rPr>
      </w:pPr>
    </w:p>
    <w:p>
      <w:pPr>
        <w:ind w:left="220" w:right="40"/>
        <w:spacing w:after="0" w:line="235" w:lineRule="auto"/>
        <w:rPr>
          <w:sz w:val="20"/>
          <w:szCs w:val="20"/>
          <w:color w:val="auto"/>
        </w:rPr>
      </w:pPr>
      <w:r>
        <w:rPr>
          <w:rFonts w:ascii="Arial" w:cs="Arial" w:eastAsia="Arial" w:hAnsi="Arial"/>
          <w:sz w:val="18"/>
          <w:szCs w:val="18"/>
          <w:color w:val="auto"/>
        </w:rPr>
        <w:t>Through our share ownership guidelines, Mr. Smith and other executive officers are encouraged to acquire and maintain an equity interest in Thomson Reuters with a value equal to a multiple of their base salary. Until the guideline is met, executive officers must retain a specified percentage of the shares that they acquire (after applicable tax withholdings) through option exercises and the vesting of PRSUs and TRSUs. Unvested PRSUs and TRSUs and vested/unvested stock options do not count toward the guidelines. Share prices of all public companies are subject to market volatility. As a result, executive share ownership guidelines reflect a “once met, always met” standard. This means that if an executive has met his or her applicable ownership guideline multiple and a subsequent decline in the Thomson Reuters share price causes the value of his or her ownership to fall below the applicable threshold, the executive will be considered to be in compliance with the guidelines so long as he or she continues to hold the number of shares that were owned at the time when he or she achieved the guidelines.</w:t>
      </w:r>
    </w:p>
    <w:p>
      <w:pPr>
        <w:spacing w:after="0" w:line="100"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The following table shows the share ownership guidelines for our named executive officers as well as their actual share ownership, based on the closing price of our shares on the NYSE on April 11, 2019. All share values and the named executive officers’ ownership are as of April 11, 2019. Mr. Friedenberg became subject to share ownership guidelines in December 2018 when he joined our company as our new President of Reuters News.</w:t>
      </w:r>
    </w:p>
    <w:p>
      <w:pPr>
        <w:spacing w:after="0" w:line="108"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3720" w:type="dxa"/>
            <w:vAlign w:val="bottom"/>
            <w:tcBorders>
              <w:right w:val="single" w:sz="8" w:color="E5E5E5"/>
            </w:tcBorders>
          </w:tcPr>
          <w:p>
            <w:pPr>
              <w:spacing w:after="0"/>
              <w:rPr>
                <w:sz w:val="16"/>
                <w:szCs w:val="16"/>
                <w:color w:val="auto"/>
              </w:rPr>
            </w:pPr>
          </w:p>
        </w:tc>
        <w:tc>
          <w:tcPr>
            <w:tcW w:w="3360" w:type="dxa"/>
            <w:vAlign w:val="bottom"/>
            <w:tcBorders>
              <w:right w:val="single" w:sz="8" w:color="E5E5E5"/>
            </w:tcBorders>
            <w:gridSpan w:val="2"/>
            <w:shd w:val="clear" w:color="auto" w:fill="E5E5E5"/>
          </w:tcPr>
          <w:p>
            <w:pPr>
              <w:jc w:val="right"/>
              <w:ind w:right="668"/>
              <w:spacing w:after="0"/>
              <w:rPr>
                <w:sz w:val="20"/>
                <w:szCs w:val="20"/>
                <w:color w:val="auto"/>
              </w:rPr>
            </w:pPr>
            <w:r>
              <w:rPr>
                <w:rFonts w:ascii="Arial" w:cs="Arial" w:eastAsia="Arial" w:hAnsi="Arial"/>
                <w:sz w:val="15"/>
                <w:szCs w:val="15"/>
                <w:b w:val="1"/>
                <w:bCs w:val="1"/>
                <w:color w:val="auto"/>
              </w:rPr>
              <w:t>Minimum Share Ownership</w:t>
            </w:r>
          </w:p>
        </w:tc>
        <w:tc>
          <w:tcPr>
            <w:tcW w:w="3900" w:type="dxa"/>
            <w:vAlign w:val="bottom"/>
            <w:gridSpan w:val="2"/>
            <w:shd w:val="clear" w:color="auto" w:fill="E5E5E5"/>
          </w:tcPr>
          <w:p>
            <w:pPr>
              <w:jc w:val="right"/>
              <w:ind w:right="988"/>
              <w:spacing w:after="0"/>
              <w:rPr>
                <w:sz w:val="20"/>
                <w:szCs w:val="20"/>
                <w:color w:val="auto"/>
              </w:rPr>
            </w:pPr>
            <w:r>
              <w:rPr>
                <w:rFonts w:ascii="Arial" w:cs="Arial" w:eastAsia="Arial" w:hAnsi="Arial"/>
                <w:sz w:val="15"/>
                <w:szCs w:val="15"/>
                <w:b w:val="1"/>
                <w:bCs w:val="1"/>
                <w:color w:val="auto"/>
              </w:rPr>
              <w:t>Actual Share Ownership</w:t>
            </w:r>
          </w:p>
        </w:tc>
      </w:tr>
      <w:tr>
        <w:trPr>
          <w:trHeight w:val="188"/>
        </w:trPr>
        <w:tc>
          <w:tcPr>
            <w:tcW w:w="372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Name</w:t>
            </w:r>
          </w:p>
        </w:tc>
        <w:tc>
          <w:tcPr>
            <w:tcW w:w="1880" w:type="dxa"/>
            <w:vAlign w:val="bottom"/>
            <w:tcBorders>
              <w:bottom w:val="single" w:sz="8" w:color="D95A3B"/>
              <w:right w:val="single" w:sz="8" w:color="CCCCCC"/>
            </w:tcBorders>
            <w:shd w:val="clear" w:color="auto" w:fill="CCCCCC"/>
          </w:tcPr>
          <w:p>
            <w:pPr>
              <w:jc w:val="center"/>
              <w:ind w:left="207"/>
              <w:spacing w:after="0"/>
              <w:rPr>
                <w:sz w:val="20"/>
                <w:szCs w:val="20"/>
                <w:color w:val="auto"/>
              </w:rPr>
            </w:pPr>
            <w:r>
              <w:rPr>
                <w:rFonts w:ascii="Arial" w:cs="Arial" w:eastAsia="Arial" w:hAnsi="Arial"/>
                <w:sz w:val="15"/>
                <w:szCs w:val="15"/>
                <w:b w:val="1"/>
                <w:bCs w:val="1"/>
                <w:color w:val="auto"/>
              </w:rPr>
              <w:t>(base salary multiple)</w:t>
            </w:r>
          </w:p>
        </w:tc>
        <w:tc>
          <w:tcPr>
            <w:tcW w:w="1480" w:type="dxa"/>
            <w:vAlign w:val="bottom"/>
            <w:tcBorders>
              <w:bottom w:val="single" w:sz="8" w:color="D95A3B"/>
              <w:right w:val="single" w:sz="8" w:color="CCCCCC"/>
            </w:tcBorders>
            <w:shd w:val="clear" w:color="auto" w:fill="CCCCCC"/>
          </w:tcPr>
          <w:p>
            <w:pPr>
              <w:jc w:val="right"/>
              <w:ind w:right="328"/>
              <w:spacing w:after="0"/>
              <w:rPr>
                <w:sz w:val="20"/>
                <w:szCs w:val="20"/>
                <w:color w:val="auto"/>
              </w:rPr>
            </w:pPr>
            <w:r>
              <w:rPr>
                <w:rFonts w:ascii="Arial" w:cs="Arial" w:eastAsia="Arial" w:hAnsi="Arial"/>
                <w:sz w:val="15"/>
                <w:szCs w:val="15"/>
                <w:b w:val="1"/>
                <w:bCs w:val="1"/>
                <w:color w:val="auto"/>
              </w:rPr>
              <w:t>($)</w:t>
            </w:r>
          </w:p>
        </w:tc>
        <w:tc>
          <w:tcPr>
            <w:tcW w:w="2360" w:type="dxa"/>
            <w:vAlign w:val="bottom"/>
            <w:tcBorders>
              <w:bottom w:val="single" w:sz="8" w:color="D95A3B"/>
              <w:right w:val="single" w:sz="8" w:color="CCCCCC"/>
            </w:tcBorders>
            <w:shd w:val="clear" w:color="auto" w:fill="CCCCCC"/>
          </w:tcPr>
          <w:p>
            <w:pPr>
              <w:jc w:val="right"/>
              <w:ind w:right="327"/>
              <w:spacing w:after="0"/>
              <w:rPr>
                <w:sz w:val="20"/>
                <w:szCs w:val="20"/>
                <w:color w:val="auto"/>
              </w:rPr>
            </w:pPr>
            <w:r>
              <w:rPr>
                <w:rFonts w:ascii="Arial" w:cs="Arial" w:eastAsia="Arial" w:hAnsi="Arial"/>
                <w:sz w:val="15"/>
                <w:szCs w:val="15"/>
                <w:b w:val="1"/>
                <w:bCs w:val="1"/>
                <w:color w:val="auto"/>
              </w:rPr>
              <w:t>(base salary multiple)</w:t>
            </w:r>
          </w:p>
        </w:tc>
        <w:tc>
          <w:tcPr>
            <w:tcW w:w="1540" w:type="dxa"/>
            <w:vAlign w:val="bottom"/>
            <w:tcBorders>
              <w:bottom w:val="single" w:sz="8" w:color="D95A3B"/>
            </w:tcBorders>
            <w:shd w:val="clear" w:color="auto" w:fill="CCCCCC"/>
          </w:tcPr>
          <w:p>
            <w:pPr>
              <w:jc w:val="right"/>
              <w:ind w:right="308"/>
              <w:spacing w:after="0"/>
              <w:rPr>
                <w:sz w:val="20"/>
                <w:szCs w:val="20"/>
                <w:color w:val="auto"/>
              </w:rPr>
            </w:pPr>
            <w:r>
              <w:rPr>
                <w:rFonts w:ascii="Arial" w:cs="Arial" w:eastAsia="Arial" w:hAnsi="Arial"/>
                <w:sz w:val="15"/>
                <w:szCs w:val="15"/>
                <w:b w:val="1"/>
                <w:bCs w:val="1"/>
                <w:color w:val="auto"/>
              </w:rPr>
              <w:t>($)</w:t>
            </w:r>
          </w:p>
        </w:tc>
      </w:tr>
      <w:tr>
        <w:trPr>
          <w:trHeight w:val="155"/>
        </w:trPr>
        <w:tc>
          <w:tcPr>
            <w:tcW w:w="372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James C. Smith</w:t>
            </w:r>
          </w:p>
        </w:tc>
        <w:tc>
          <w:tcPr>
            <w:tcW w:w="1880" w:type="dxa"/>
            <w:vAlign w:val="bottom"/>
            <w:tcBorders>
              <w:bottom w:val="single" w:sz="8" w:color="AFAFAF"/>
              <w:right w:val="single" w:sz="8" w:color="AFAFAF"/>
            </w:tcBorders>
          </w:tcPr>
          <w:p>
            <w:pPr>
              <w:jc w:val="center"/>
              <w:ind w:left="227"/>
              <w:spacing w:after="0" w:line="155" w:lineRule="exact"/>
              <w:rPr>
                <w:sz w:val="20"/>
                <w:szCs w:val="20"/>
                <w:color w:val="auto"/>
              </w:rPr>
            </w:pPr>
            <w:r>
              <w:rPr>
                <w:rFonts w:ascii="Arial" w:cs="Arial" w:eastAsia="Arial" w:hAnsi="Arial"/>
                <w:sz w:val="14"/>
                <w:szCs w:val="14"/>
                <w:color w:val="auto"/>
                <w:w w:val="94"/>
              </w:rPr>
              <w:t>6x</w:t>
            </w:r>
          </w:p>
        </w:tc>
        <w:tc>
          <w:tcPr>
            <w:tcW w:w="1480" w:type="dxa"/>
            <w:vAlign w:val="bottom"/>
            <w:tcBorders>
              <w:bottom w:val="single" w:sz="8" w:color="AFAFAF"/>
              <w:right w:val="single" w:sz="8" w:color="AFAFAF"/>
            </w:tcBorders>
          </w:tcPr>
          <w:p>
            <w:pPr>
              <w:jc w:val="right"/>
              <w:ind w:right="328"/>
              <w:spacing w:after="0" w:line="155" w:lineRule="exact"/>
              <w:rPr>
                <w:sz w:val="20"/>
                <w:szCs w:val="20"/>
                <w:color w:val="auto"/>
              </w:rPr>
            </w:pPr>
            <w:r>
              <w:rPr>
                <w:rFonts w:ascii="Arial" w:cs="Arial" w:eastAsia="Arial" w:hAnsi="Arial"/>
                <w:sz w:val="14"/>
                <w:szCs w:val="14"/>
                <w:color w:val="auto"/>
              </w:rPr>
              <w:t>9,600,000</w:t>
            </w:r>
          </w:p>
        </w:tc>
        <w:tc>
          <w:tcPr>
            <w:tcW w:w="2360" w:type="dxa"/>
            <w:vAlign w:val="bottom"/>
            <w:tcBorders>
              <w:bottom w:val="single" w:sz="8" w:color="AFAFAF"/>
              <w:right w:val="single" w:sz="8" w:color="AFAFAF"/>
            </w:tcBorders>
          </w:tcPr>
          <w:p>
            <w:pPr>
              <w:jc w:val="right"/>
              <w:ind w:right="327"/>
              <w:spacing w:after="0" w:line="155" w:lineRule="exact"/>
              <w:rPr>
                <w:sz w:val="20"/>
                <w:szCs w:val="20"/>
                <w:color w:val="auto"/>
              </w:rPr>
            </w:pPr>
            <w:r>
              <w:rPr>
                <w:rFonts w:ascii="Arial" w:cs="Arial" w:eastAsia="Arial" w:hAnsi="Arial"/>
                <w:sz w:val="14"/>
                <w:szCs w:val="14"/>
                <w:color w:val="auto"/>
              </w:rPr>
              <w:t>25.5x</w:t>
            </w:r>
          </w:p>
        </w:tc>
        <w:tc>
          <w:tcPr>
            <w:tcW w:w="1540" w:type="dxa"/>
            <w:vAlign w:val="bottom"/>
            <w:tcBorders>
              <w:bottom w:val="single" w:sz="8" w:color="AFAFAF"/>
            </w:tcBorders>
          </w:tcPr>
          <w:p>
            <w:pPr>
              <w:jc w:val="right"/>
              <w:ind w:right="308"/>
              <w:spacing w:after="0" w:line="155" w:lineRule="exact"/>
              <w:rPr>
                <w:sz w:val="20"/>
                <w:szCs w:val="20"/>
                <w:color w:val="auto"/>
              </w:rPr>
            </w:pPr>
            <w:r>
              <w:rPr>
                <w:rFonts w:ascii="Arial" w:cs="Arial" w:eastAsia="Arial" w:hAnsi="Arial"/>
                <w:sz w:val="14"/>
                <w:szCs w:val="14"/>
                <w:color w:val="auto"/>
              </w:rPr>
              <w:t>40,843,152</w:t>
            </w:r>
          </w:p>
        </w:tc>
      </w:tr>
      <w:tr>
        <w:trPr>
          <w:trHeight w:val="155"/>
        </w:trPr>
        <w:tc>
          <w:tcPr>
            <w:tcW w:w="372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Stephane Bello</w:t>
            </w:r>
          </w:p>
        </w:tc>
        <w:tc>
          <w:tcPr>
            <w:tcW w:w="1880" w:type="dxa"/>
            <w:vAlign w:val="bottom"/>
            <w:tcBorders>
              <w:bottom w:val="single" w:sz="8" w:color="AFAFAF"/>
              <w:right w:val="single" w:sz="8" w:color="AFAFAF"/>
            </w:tcBorders>
          </w:tcPr>
          <w:p>
            <w:pPr>
              <w:jc w:val="center"/>
              <w:ind w:left="227"/>
              <w:spacing w:after="0" w:line="155" w:lineRule="exact"/>
              <w:rPr>
                <w:sz w:val="20"/>
                <w:szCs w:val="20"/>
                <w:color w:val="auto"/>
              </w:rPr>
            </w:pPr>
            <w:r>
              <w:rPr>
                <w:rFonts w:ascii="Arial" w:cs="Arial" w:eastAsia="Arial" w:hAnsi="Arial"/>
                <w:sz w:val="14"/>
                <w:szCs w:val="14"/>
                <w:color w:val="auto"/>
                <w:w w:val="94"/>
              </w:rPr>
              <w:t>4x</w:t>
            </w:r>
          </w:p>
        </w:tc>
        <w:tc>
          <w:tcPr>
            <w:tcW w:w="1480" w:type="dxa"/>
            <w:vAlign w:val="bottom"/>
            <w:tcBorders>
              <w:bottom w:val="single" w:sz="8" w:color="AFAFAF"/>
              <w:right w:val="single" w:sz="8" w:color="AFAFAF"/>
            </w:tcBorders>
          </w:tcPr>
          <w:p>
            <w:pPr>
              <w:jc w:val="right"/>
              <w:ind w:right="328"/>
              <w:spacing w:after="0" w:line="155" w:lineRule="exact"/>
              <w:rPr>
                <w:sz w:val="20"/>
                <w:szCs w:val="20"/>
                <w:color w:val="auto"/>
              </w:rPr>
            </w:pPr>
            <w:r>
              <w:rPr>
                <w:rFonts w:ascii="Arial" w:cs="Arial" w:eastAsia="Arial" w:hAnsi="Arial"/>
                <w:sz w:val="14"/>
                <w:szCs w:val="14"/>
                <w:color w:val="auto"/>
              </w:rPr>
              <w:t>4,000,000</w:t>
            </w:r>
          </w:p>
        </w:tc>
        <w:tc>
          <w:tcPr>
            <w:tcW w:w="2360" w:type="dxa"/>
            <w:vAlign w:val="bottom"/>
            <w:tcBorders>
              <w:bottom w:val="single" w:sz="8" w:color="AFAFAF"/>
              <w:right w:val="single" w:sz="8" w:color="AFAFAF"/>
            </w:tcBorders>
          </w:tcPr>
          <w:p>
            <w:pPr>
              <w:jc w:val="right"/>
              <w:ind w:right="327"/>
              <w:spacing w:after="0" w:line="155" w:lineRule="exact"/>
              <w:rPr>
                <w:sz w:val="20"/>
                <w:szCs w:val="20"/>
                <w:color w:val="auto"/>
              </w:rPr>
            </w:pPr>
            <w:r>
              <w:rPr>
                <w:rFonts w:ascii="Arial" w:cs="Arial" w:eastAsia="Arial" w:hAnsi="Arial"/>
                <w:sz w:val="14"/>
                <w:szCs w:val="14"/>
                <w:color w:val="auto"/>
              </w:rPr>
              <w:t>13.6x</w:t>
            </w:r>
          </w:p>
        </w:tc>
        <w:tc>
          <w:tcPr>
            <w:tcW w:w="1540" w:type="dxa"/>
            <w:vAlign w:val="bottom"/>
            <w:tcBorders>
              <w:bottom w:val="single" w:sz="8" w:color="AFAFAF"/>
            </w:tcBorders>
          </w:tcPr>
          <w:p>
            <w:pPr>
              <w:jc w:val="right"/>
              <w:ind w:right="308"/>
              <w:spacing w:after="0" w:line="155" w:lineRule="exact"/>
              <w:rPr>
                <w:sz w:val="20"/>
                <w:szCs w:val="20"/>
                <w:color w:val="auto"/>
              </w:rPr>
            </w:pPr>
            <w:r>
              <w:rPr>
                <w:rFonts w:ascii="Arial" w:cs="Arial" w:eastAsia="Arial" w:hAnsi="Arial"/>
                <w:sz w:val="14"/>
                <w:szCs w:val="14"/>
                <w:color w:val="auto"/>
              </w:rPr>
              <w:t>13,570,997</w:t>
            </w:r>
          </w:p>
        </w:tc>
      </w:tr>
      <w:tr>
        <w:trPr>
          <w:trHeight w:val="155"/>
        </w:trPr>
        <w:tc>
          <w:tcPr>
            <w:tcW w:w="372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Brian Peccarelli</w:t>
            </w:r>
          </w:p>
        </w:tc>
        <w:tc>
          <w:tcPr>
            <w:tcW w:w="1880" w:type="dxa"/>
            <w:vAlign w:val="bottom"/>
            <w:tcBorders>
              <w:bottom w:val="single" w:sz="8" w:color="AFAFAF"/>
              <w:right w:val="single" w:sz="8" w:color="AFAFAF"/>
            </w:tcBorders>
          </w:tcPr>
          <w:p>
            <w:pPr>
              <w:jc w:val="center"/>
              <w:ind w:left="227"/>
              <w:spacing w:after="0" w:line="155" w:lineRule="exact"/>
              <w:rPr>
                <w:sz w:val="20"/>
                <w:szCs w:val="20"/>
                <w:color w:val="auto"/>
              </w:rPr>
            </w:pPr>
            <w:r>
              <w:rPr>
                <w:rFonts w:ascii="Arial" w:cs="Arial" w:eastAsia="Arial" w:hAnsi="Arial"/>
                <w:sz w:val="14"/>
                <w:szCs w:val="14"/>
                <w:color w:val="auto"/>
                <w:w w:val="94"/>
              </w:rPr>
              <w:t>3x</w:t>
            </w:r>
          </w:p>
        </w:tc>
        <w:tc>
          <w:tcPr>
            <w:tcW w:w="1480" w:type="dxa"/>
            <w:vAlign w:val="bottom"/>
            <w:tcBorders>
              <w:bottom w:val="single" w:sz="8" w:color="AFAFAF"/>
              <w:right w:val="single" w:sz="8" w:color="AFAFAF"/>
            </w:tcBorders>
          </w:tcPr>
          <w:p>
            <w:pPr>
              <w:jc w:val="right"/>
              <w:ind w:right="328"/>
              <w:spacing w:after="0" w:line="155" w:lineRule="exact"/>
              <w:rPr>
                <w:sz w:val="20"/>
                <w:szCs w:val="20"/>
                <w:color w:val="auto"/>
              </w:rPr>
            </w:pPr>
            <w:r>
              <w:rPr>
                <w:rFonts w:ascii="Arial" w:cs="Arial" w:eastAsia="Arial" w:hAnsi="Arial"/>
                <w:sz w:val="14"/>
                <w:szCs w:val="14"/>
                <w:color w:val="auto"/>
              </w:rPr>
              <w:t>2,250,000</w:t>
            </w:r>
          </w:p>
        </w:tc>
        <w:tc>
          <w:tcPr>
            <w:tcW w:w="2360" w:type="dxa"/>
            <w:vAlign w:val="bottom"/>
            <w:tcBorders>
              <w:bottom w:val="single" w:sz="8" w:color="AFAFAF"/>
              <w:right w:val="single" w:sz="8" w:color="AFAFAF"/>
            </w:tcBorders>
          </w:tcPr>
          <w:p>
            <w:pPr>
              <w:jc w:val="right"/>
              <w:ind w:right="327"/>
              <w:spacing w:after="0" w:line="155" w:lineRule="exact"/>
              <w:rPr>
                <w:sz w:val="20"/>
                <w:szCs w:val="20"/>
                <w:color w:val="auto"/>
              </w:rPr>
            </w:pPr>
            <w:r>
              <w:rPr>
                <w:rFonts w:ascii="Arial" w:cs="Arial" w:eastAsia="Arial" w:hAnsi="Arial"/>
                <w:sz w:val="14"/>
                <w:szCs w:val="14"/>
                <w:color w:val="auto"/>
              </w:rPr>
              <w:t>6.0x</w:t>
            </w:r>
          </w:p>
        </w:tc>
        <w:tc>
          <w:tcPr>
            <w:tcW w:w="1540" w:type="dxa"/>
            <w:vAlign w:val="bottom"/>
            <w:tcBorders>
              <w:bottom w:val="single" w:sz="8" w:color="AFAFAF"/>
            </w:tcBorders>
          </w:tcPr>
          <w:p>
            <w:pPr>
              <w:jc w:val="right"/>
              <w:ind w:right="308"/>
              <w:spacing w:after="0" w:line="155" w:lineRule="exact"/>
              <w:rPr>
                <w:sz w:val="20"/>
                <w:szCs w:val="20"/>
                <w:color w:val="auto"/>
              </w:rPr>
            </w:pPr>
            <w:r>
              <w:rPr>
                <w:rFonts w:ascii="Arial" w:cs="Arial" w:eastAsia="Arial" w:hAnsi="Arial"/>
                <w:sz w:val="14"/>
                <w:szCs w:val="14"/>
                <w:color w:val="auto"/>
              </w:rPr>
              <w:t>4,489,704</w:t>
            </w:r>
          </w:p>
        </w:tc>
      </w:tr>
      <w:tr>
        <w:trPr>
          <w:trHeight w:val="155"/>
        </w:trPr>
        <w:tc>
          <w:tcPr>
            <w:tcW w:w="372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Neil Masterson</w:t>
            </w:r>
          </w:p>
        </w:tc>
        <w:tc>
          <w:tcPr>
            <w:tcW w:w="1880" w:type="dxa"/>
            <w:vAlign w:val="bottom"/>
            <w:tcBorders>
              <w:bottom w:val="single" w:sz="8" w:color="AFAFAF"/>
              <w:right w:val="single" w:sz="8" w:color="AFAFAF"/>
            </w:tcBorders>
          </w:tcPr>
          <w:p>
            <w:pPr>
              <w:jc w:val="center"/>
              <w:ind w:left="227"/>
              <w:spacing w:after="0" w:line="155" w:lineRule="exact"/>
              <w:rPr>
                <w:sz w:val="20"/>
                <w:szCs w:val="20"/>
                <w:color w:val="auto"/>
              </w:rPr>
            </w:pPr>
            <w:r>
              <w:rPr>
                <w:rFonts w:ascii="Arial" w:cs="Arial" w:eastAsia="Arial" w:hAnsi="Arial"/>
                <w:sz w:val="14"/>
                <w:szCs w:val="14"/>
                <w:color w:val="auto"/>
                <w:w w:val="94"/>
              </w:rPr>
              <w:t>3x</w:t>
            </w:r>
          </w:p>
        </w:tc>
        <w:tc>
          <w:tcPr>
            <w:tcW w:w="1480" w:type="dxa"/>
            <w:vAlign w:val="bottom"/>
            <w:tcBorders>
              <w:bottom w:val="single" w:sz="8" w:color="AFAFAF"/>
              <w:right w:val="single" w:sz="8" w:color="AFAFAF"/>
            </w:tcBorders>
          </w:tcPr>
          <w:p>
            <w:pPr>
              <w:jc w:val="right"/>
              <w:ind w:right="328"/>
              <w:spacing w:after="0" w:line="155" w:lineRule="exact"/>
              <w:rPr>
                <w:sz w:val="20"/>
                <w:szCs w:val="20"/>
                <w:color w:val="auto"/>
              </w:rPr>
            </w:pPr>
            <w:r>
              <w:rPr>
                <w:rFonts w:ascii="Arial" w:cs="Arial" w:eastAsia="Arial" w:hAnsi="Arial"/>
                <w:sz w:val="14"/>
                <w:szCs w:val="14"/>
                <w:color w:val="auto"/>
              </w:rPr>
              <w:t>2,250,000</w:t>
            </w:r>
          </w:p>
        </w:tc>
        <w:tc>
          <w:tcPr>
            <w:tcW w:w="2360" w:type="dxa"/>
            <w:vAlign w:val="bottom"/>
            <w:tcBorders>
              <w:bottom w:val="single" w:sz="8" w:color="AFAFAF"/>
              <w:right w:val="single" w:sz="8" w:color="AFAFAF"/>
            </w:tcBorders>
          </w:tcPr>
          <w:p>
            <w:pPr>
              <w:jc w:val="right"/>
              <w:ind w:right="327"/>
              <w:spacing w:after="0" w:line="155" w:lineRule="exact"/>
              <w:rPr>
                <w:sz w:val="20"/>
                <w:szCs w:val="20"/>
                <w:color w:val="auto"/>
              </w:rPr>
            </w:pPr>
            <w:r>
              <w:rPr>
                <w:rFonts w:ascii="Arial" w:cs="Arial" w:eastAsia="Arial" w:hAnsi="Arial"/>
                <w:sz w:val="14"/>
                <w:szCs w:val="14"/>
                <w:color w:val="auto"/>
              </w:rPr>
              <w:t>4.0x</w:t>
            </w:r>
          </w:p>
        </w:tc>
        <w:tc>
          <w:tcPr>
            <w:tcW w:w="1540" w:type="dxa"/>
            <w:vAlign w:val="bottom"/>
            <w:tcBorders>
              <w:bottom w:val="single" w:sz="8" w:color="AFAFAF"/>
            </w:tcBorders>
          </w:tcPr>
          <w:p>
            <w:pPr>
              <w:jc w:val="right"/>
              <w:ind w:right="308"/>
              <w:spacing w:after="0" w:line="155" w:lineRule="exact"/>
              <w:rPr>
                <w:sz w:val="20"/>
                <w:szCs w:val="20"/>
                <w:color w:val="auto"/>
              </w:rPr>
            </w:pPr>
            <w:r>
              <w:rPr>
                <w:rFonts w:ascii="Arial" w:cs="Arial" w:eastAsia="Arial" w:hAnsi="Arial"/>
                <w:sz w:val="14"/>
                <w:szCs w:val="14"/>
                <w:color w:val="auto"/>
              </w:rPr>
              <w:t>2,973,459</w:t>
            </w:r>
          </w:p>
        </w:tc>
      </w:tr>
      <w:tr>
        <w:trPr>
          <w:trHeight w:val="155"/>
        </w:trPr>
        <w:tc>
          <w:tcPr>
            <w:tcW w:w="372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Michael Friedenberg</w:t>
            </w:r>
          </w:p>
        </w:tc>
        <w:tc>
          <w:tcPr>
            <w:tcW w:w="1880" w:type="dxa"/>
            <w:vAlign w:val="bottom"/>
            <w:tcBorders>
              <w:bottom w:val="single" w:sz="8" w:color="D95A3B"/>
              <w:right w:val="single" w:sz="8" w:color="AFAFAF"/>
            </w:tcBorders>
          </w:tcPr>
          <w:p>
            <w:pPr>
              <w:jc w:val="center"/>
              <w:ind w:left="227"/>
              <w:spacing w:after="0" w:line="155" w:lineRule="exact"/>
              <w:rPr>
                <w:sz w:val="20"/>
                <w:szCs w:val="20"/>
                <w:color w:val="auto"/>
              </w:rPr>
            </w:pPr>
            <w:r>
              <w:rPr>
                <w:rFonts w:ascii="Arial" w:cs="Arial" w:eastAsia="Arial" w:hAnsi="Arial"/>
                <w:sz w:val="14"/>
                <w:szCs w:val="14"/>
                <w:color w:val="auto"/>
                <w:w w:val="94"/>
              </w:rPr>
              <w:t>3x</w:t>
            </w:r>
          </w:p>
        </w:tc>
        <w:tc>
          <w:tcPr>
            <w:tcW w:w="1480" w:type="dxa"/>
            <w:vAlign w:val="bottom"/>
            <w:tcBorders>
              <w:bottom w:val="single" w:sz="8" w:color="D95A3B"/>
              <w:right w:val="single" w:sz="8" w:color="AFAFAF"/>
            </w:tcBorders>
          </w:tcPr>
          <w:p>
            <w:pPr>
              <w:jc w:val="right"/>
              <w:ind w:right="328"/>
              <w:spacing w:after="0" w:line="155" w:lineRule="exact"/>
              <w:rPr>
                <w:sz w:val="20"/>
                <w:szCs w:val="20"/>
                <w:color w:val="auto"/>
              </w:rPr>
            </w:pPr>
            <w:r>
              <w:rPr>
                <w:rFonts w:ascii="Arial" w:cs="Arial" w:eastAsia="Arial" w:hAnsi="Arial"/>
                <w:sz w:val="14"/>
                <w:szCs w:val="14"/>
                <w:color w:val="auto"/>
              </w:rPr>
              <w:t>2,250,000</w:t>
            </w:r>
          </w:p>
        </w:tc>
        <w:tc>
          <w:tcPr>
            <w:tcW w:w="2360" w:type="dxa"/>
            <w:vAlign w:val="bottom"/>
            <w:tcBorders>
              <w:bottom w:val="single" w:sz="8" w:color="D95A3B"/>
              <w:right w:val="single" w:sz="8" w:color="AFAFAF"/>
            </w:tcBorders>
          </w:tcPr>
          <w:p>
            <w:pPr>
              <w:jc w:val="right"/>
              <w:ind w:right="327"/>
              <w:spacing w:after="0" w:line="155"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D95A3B"/>
            </w:tcBorders>
          </w:tcPr>
          <w:p>
            <w:pPr>
              <w:jc w:val="right"/>
              <w:ind w:right="308"/>
              <w:spacing w:after="0" w:line="155" w:lineRule="exact"/>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-683260</wp:posOffset>
            </wp:positionV>
            <wp:extent cx="8255" cy="1282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-683260</wp:posOffset>
            </wp:positionV>
            <wp:extent cx="8255" cy="1282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3688080</wp:posOffset>
            </wp:positionH>
            <wp:positionV relativeFrom="paragraph">
              <wp:posOffset>-683260</wp:posOffset>
            </wp:positionV>
            <wp:extent cx="8255" cy="1282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-683260</wp:posOffset>
            </wp:positionV>
            <wp:extent cx="8255" cy="1282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128270</wp:posOffset>
            </wp:positionV>
            <wp:extent cx="697357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3"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53</w:t>
      </w:r>
    </w:p>
    <w:p>
      <w:pPr>
        <w:sectPr>
          <w:pgSz w:w="11900" w:h="16838" w:orient="portrait"/>
          <w:cols w:equalWidth="0" w:num="1">
            <w:col w:w="11200"/>
          </w:cols>
          <w:pgMar w:left="240" w:top="458"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WE PAY COMPETITIVE COMPENSATION</w:t>
      </w:r>
    </w:p>
    <w:p>
      <w:pPr>
        <w:spacing w:after="0" w:line="35" w:lineRule="exact"/>
        <w:rPr>
          <w:sz w:val="20"/>
          <w:szCs w:val="20"/>
          <w:color w:val="auto"/>
        </w:rPr>
      </w:pPr>
    </w:p>
    <w:p>
      <w:pPr>
        <w:ind w:left="220" w:right="220"/>
        <w:spacing w:after="0" w:line="238" w:lineRule="auto"/>
        <w:rPr>
          <w:sz w:val="20"/>
          <w:szCs w:val="20"/>
          <w:color w:val="auto"/>
        </w:rPr>
      </w:pPr>
      <w:r>
        <w:rPr>
          <w:rFonts w:ascii="Arial" w:cs="Arial" w:eastAsia="Arial" w:hAnsi="Arial"/>
          <w:sz w:val="18"/>
          <w:szCs w:val="18"/>
          <w:color w:val="auto"/>
        </w:rPr>
        <w:t>The HR Committee utilizes independent market surveys and peer group data to evaluate the competitiveness of our compensation programs. The HR Committee refers to these benchmarks, either wholly or in part, when establishing individual components and overall compensation of our executives to assess the differences between our compensation program and those of the market and the peer group.</w:t>
      </w:r>
    </w:p>
    <w:p>
      <w:pPr>
        <w:spacing w:after="0" w:line="94"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On an annual basis, the HR Committee evaluates each named executive officer’s compensation and compares each element (e.g., base salary, annual incentive and long term incentive) and their total direct compensation (TDC), which consists of target base salary, target annual incentive award value, target long term incentive award value and the annualized value of any special grants that are outstanding. This TDC is compared for each named executive officer against compensation peer group data, as discussed below, to both understand the competitive level of an individual’s pay as well to make decisions on each person’s future competitive compensation position. While the HR Committee does not target a specific competitive level of pay, the HR Committee does consider the overall competitive market as well as the experience, skills, contribution, historical and expected performance of each executive in its decision making.</w:t>
      </w:r>
    </w:p>
    <w:p>
      <w:pPr>
        <w:spacing w:after="0" w:line="96"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Target compensation for our CEO and CFO had been established based on market data for companies of similar size and complexity prior to the closing of the F&amp;R transaction. In 2018, the HR Committee did not increase base salaries or the value of target annual and long-term incentive awards for Messrs. Smith and Bello. As part of restructuring Thomson Reuters into a new customer-focused organization, Messrs. Peccarelli and Masterson each received increases to their base salary and long-term incentive awards in connection with their promotions to co-Chief Operating Officers.</w:t>
      </w:r>
    </w:p>
    <w:p>
      <w:pPr>
        <w:spacing w:after="0" w:line="95" w:lineRule="exact"/>
        <w:rPr>
          <w:sz w:val="20"/>
          <w:szCs w:val="20"/>
          <w:color w:val="auto"/>
        </w:rPr>
      </w:pPr>
    </w:p>
    <w:p>
      <w:pPr>
        <w:ind w:left="220" w:right="320"/>
        <w:spacing w:after="0" w:line="238" w:lineRule="auto"/>
        <w:rPr>
          <w:sz w:val="20"/>
          <w:szCs w:val="20"/>
          <w:color w:val="auto"/>
        </w:rPr>
      </w:pPr>
      <w:r>
        <w:rPr>
          <w:rFonts w:ascii="Arial" w:cs="Arial" w:eastAsia="Arial" w:hAnsi="Arial"/>
          <w:sz w:val="18"/>
          <w:szCs w:val="18"/>
          <w:color w:val="auto"/>
        </w:rPr>
        <w:t>In June 2018, the HR Committee approved a new global peer group for executive compensation purposes to reflect our company’s smaller size once the F&amp;R transaction closed. Several companies in our previous peer group that operated in the financial services industry were also removed. The global peer group is a primary reference point as a result of the global nature of our business and the global market for executive talent.</w:t>
      </w:r>
    </w:p>
    <w:p>
      <w:pPr>
        <w:spacing w:after="0" w:line="94"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The companies in our current global peer group are publicly traded and have similar business models or strategies which are focused on information development and electronic delivery. Although we believe our company is somewhat unique in terms of its business operations serving the legal, tax, corporate and news industries, a number of these companies are considered by analysts and shareholders to be our closest public company comparables. Similar to Thomson Reuters, many of these other companies also have significant global operations. Our company’s revenues (excluding the F&amp;R business) were about the 25</w:t>
      </w:r>
      <w:r>
        <w:rPr>
          <w:rFonts w:ascii="Arial" w:cs="Arial" w:eastAsia="Arial" w:hAnsi="Arial"/>
          <w:sz w:val="15"/>
          <w:szCs w:val="15"/>
          <w:color w:val="auto"/>
        </w:rPr>
        <w:t>th</w:t>
      </w:r>
      <w:r>
        <w:rPr>
          <w:rFonts w:ascii="Arial" w:cs="Arial" w:eastAsia="Arial" w:hAnsi="Arial"/>
          <w:sz w:val="18"/>
          <w:szCs w:val="18"/>
          <w:color w:val="auto"/>
        </w:rPr>
        <w:t xml:space="preserve"> percentile of the companies in the new global peer group (based on information available at that time). The 17 companies in our current global peer group consist of:</w:t>
      </w:r>
    </w:p>
    <w:p>
      <w:pPr>
        <w:spacing w:after="0" w:line="9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420" w:type="dxa"/>
            <w:vAlign w:val="bottom"/>
            <w:tcBorders>
              <w:top w:val="single" w:sz="8" w:color="D95A3B"/>
            </w:tcBorders>
          </w:tcPr>
          <w:p>
            <w:pPr>
              <w:spacing w:after="0"/>
              <w:rPr>
                <w:sz w:val="20"/>
                <w:szCs w:val="20"/>
                <w:color w:val="auto"/>
              </w:rPr>
            </w:pPr>
            <w:r>
              <w:rPr>
                <w:rFonts w:ascii="Arial" w:cs="Arial" w:eastAsia="Arial" w:hAnsi="Arial"/>
                <w:sz w:val="16"/>
                <w:szCs w:val="16"/>
                <w:color w:val="auto"/>
              </w:rPr>
              <w:t>Automatic Data Processing Inc.</w:t>
            </w:r>
          </w:p>
        </w:tc>
        <w:tc>
          <w:tcPr>
            <w:tcW w:w="3980" w:type="dxa"/>
            <w:vAlign w:val="bottom"/>
            <w:tcBorders>
              <w:top w:val="single" w:sz="8" w:color="D95A3B"/>
            </w:tcBorders>
          </w:tcPr>
          <w:p>
            <w:pPr>
              <w:ind w:left="680"/>
              <w:spacing w:after="0"/>
              <w:rPr>
                <w:sz w:val="20"/>
                <w:szCs w:val="20"/>
                <w:color w:val="auto"/>
              </w:rPr>
            </w:pPr>
            <w:r>
              <w:rPr>
                <w:rFonts w:ascii="Arial" w:cs="Arial" w:eastAsia="Arial" w:hAnsi="Arial"/>
                <w:sz w:val="16"/>
                <w:szCs w:val="16"/>
                <w:color w:val="auto"/>
              </w:rPr>
              <w:t>The Interpublic Group of Companies, Inc.</w:t>
            </w:r>
          </w:p>
        </w:tc>
        <w:tc>
          <w:tcPr>
            <w:tcW w:w="3580" w:type="dxa"/>
            <w:vAlign w:val="bottom"/>
            <w:tcBorders>
              <w:top w:val="single" w:sz="8" w:color="D95A3B"/>
            </w:tcBorders>
          </w:tcPr>
          <w:p>
            <w:pPr>
              <w:ind w:left="360"/>
              <w:spacing w:after="0"/>
              <w:rPr>
                <w:sz w:val="20"/>
                <w:szCs w:val="20"/>
                <w:color w:val="auto"/>
              </w:rPr>
            </w:pPr>
            <w:r>
              <w:rPr>
                <w:rFonts w:ascii="Arial" w:cs="Arial" w:eastAsia="Arial" w:hAnsi="Arial"/>
                <w:sz w:val="16"/>
                <w:szCs w:val="16"/>
                <w:color w:val="auto"/>
              </w:rPr>
              <w:t>Pearson plc</w:t>
            </w:r>
          </w:p>
        </w:tc>
      </w:tr>
      <w:tr>
        <w:trPr>
          <w:trHeight w:val="188"/>
        </w:trPr>
        <w:tc>
          <w:tcPr>
            <w:tcW w:w="3420" w:type="dxa"/>
            <w:vAlign w:val="bottom"/>
          </w:tcPr>
          <w:p>
            <w:pPr>
              <w:spacing w:after="0"/>
              <w:rPr>
                <w:sz w:val="20"/>
                <w:szCs w:val="20"/>
                <w:color w:val="auto"/>
              </w:rPr>
            </w:pPr>
            <w:r>
              <w:rPr>
                <w:rFonts w:ascii="Arial" w:cs="Arial" w:eastAsia="Arial" w:hAnsi="Arial"/>
                <w:sz w:val="16"/>
                <w:szCs w:val="16"/>
                <w:color w:val="auto"/>
              </w:rPr>
              <w:t>CGI Group Inc.</w:t>
            </w:r>
          </w:p>
        </w:tc>
        <w:tc>
          <w:tcPr>
            <w:tcW w:w="3980" w:type="dxa"/>
            <w:vAlign w:val="bottom"/>
          </w:tcPr>
          <w:p>
            <w:pPr>
              <w:ind w:left="680"/>
              <w:spacing w:after="0"/>
              <w:rPr>
                <w:sz w:val="20"/>
                <w:szCs w:val="20"/>
                <w:color w:val="auto"/>
              </w:rPr>
            </w:pPr>
            <w:r>
              <w:rPr>
                <w:rFonts w:ascii="Arial" w:cs="Arial" w:eastAsia="Arial" w:hAnsi="Arial"/>
                <w:sz w:val="16"/>
                <w:szCs w:val="16"/>
                <w:color w:val="auto"/>
              </w:rPr>
              <w:t>Intuit Inc.</w:t>
            </w:r>
          </w:p>
        </w:tc>
        <w:tc>
          <w:tcPr>
            <w:tcW w:w="3580" w:type="dxa"/>
            <w:vAlign w:val="bottom"/>
          </w:tcPr>
          <w:p>
            <w:pPr>
              <w:ind w:left="360"/>
              <w:spacing w:after="0"/>
              <w:rPr>
                <w:sz w:val="20"/>
                <w:szCs w:val="20"/>
                <w:color w:val="auto"/>
              </w:rPr>
            </w:pPr>
            <w:r>
              <w:rPr>
                <w:rFonts w:ascii="Arial" w:cs="Arial" w:eastAsia="Arial" w:hAnsi="Arial"/>
                <w:sz w:val="16"/>
                <w:szCs w:val="16"/>
                <w:color w:val="auto"/>
              </w:rPr>
              <w:t>RELX PLC</w:t>
            </w:r>
          </w:p>
        </w:tc>
      </w:tr>
      <w:tr>
        <w:trPr>
          <w:trHeight w:val="188"/>
        </w:trPr>
        <w:tc>
          <w:tcPr>
            <w:tcW w:w="3420" w:type="dxa"/>
            <w:vAlign w:val="bottom"/>
          </w:tcPr>
          <w:p>
            <w:pPr>
              <w:spacing w:after="0"/>
              <w:rPr>
                <w:sz w:val="20"/>
                <w:szCs w:val="20"/>
                <w:color w:val="auto"/>
              </w:rPr>
            </w:pPr>
            <w:r>
              <w:rPr>
                <w:rFonts w:ascii="Arial" w:cs="Arial" w:eastAsia="Arial" w:hAnsi="Arial"/>
                <w:sz w:val="16"/>
                <w:szCs w:val="16"/>
                <w:color w:val="auto"/>
              </w:rPr>
              <w:t>Cognizant Technology Solutions Corp.</w:t>
            </w:r>
          </w:p>
        </w:tc>
        <w:tc>
          <w:tcPr>
            <w:tcW w:w="3980" w:type="dxa"/>
            <w:vAlign w:val="bottom"/>
          </w:tcPr>
          <w:p>
            <w:pPr>
              <w:ind w:left="680"/>
              <w:spacing w:after="0"/>
              <w:rPr>
                <w:sz w:val="20"/>
                <w:szCs w:val="20"/>
                <w:color w:val="auto"/>
              </w:rPr>
            </w:pPr>
            <w:r>
              <w:rPr>
                <w:rFonts w:ascii="Arial" w:cs="Arial" w:eastAsia="Arial" w:hAnsi="Arial"/>
                <w:sz w:val="16"/>
                <w:szCs w:val="16"/>
                <w:color w:val="auto"/>
              </w:rPr>
              <w:t>Moody’s Corp.</w:t>
            </w:r>
          </w:p>
        </w:tc>
        <w:tc>
          <w:tcPr>
            <w:tcW w:w="3580" w:type="dxa"/>
            <w:vAlign w:val="bottom"/>
          </w:tcPr>
          <w:p>
            <w:pPr>
              <w:ind w:left="360"/>
              <w:spacing w:after="0"/>
              <w:rPr>
                <w:sz w:val="20"/>
                <w:szCs w:val="20"/>
                <w:color w:val="auto"/>
              </w:rPr>
            </w:pPr>
            <w:r>
              <w:rPr>
                <w:rFonts w:ascii="Arial" w:cs="Arial" w:eastAsia="Arial" w:hAnsi="Arial"/>
                <w:sz w:val="16"/>
                <w:szCs w:val="16"/>
                <w:color w:val="auto"/>
              </w:rPr>
              <w:t>S&amp;P Global Inc.</w:t>
            </w:r>
          </w:p>
        </w:tc>
      </w:tr>
      <w:tr>
        <w:trPr>
          <w:trHeight w:val="188"/>
        </w:trPr>
        <w:tc>
          <w:tcPr>
            <w:tcW w:w="3420" w:type="dxa"/>
            <w:vAlign w:val="bottom"/>
          </w:tcPr>
          <w:p>
            <w:pPr>
              <w:spacing w:after="0"/>
              <w:rPr>
                <w:sz w:val="20"/>
                <w:szCs w:val="20"/>
                <w:color w:val="auto"/>
              </w:rPr>
            </w:pPr>
            <w:r>
              <w:rPr>
                <w:rFonts w:ascii="Arial" w:cs="Arial" w:eastAsia="Arial" w:hAnsi="Arial"/>
                <w:sz w:val="16"/>
                <w:szCs w:val="16"/>
                <w:color w:val="auto"/>
              </w:rPr>
              <w:t>eBay Inc.</w:t>
            </w:r>
          </w:p>
        </w:tc>
        <w:tc>
          <w:tcPr>
            <w:tcW w:w="3980" w:type="dxa"/>
            <w:vAlign w:val="bottom"/>
          </w:tcPr>
          <w:p>
            <w:pPr>
              <w:ind w:left="680"/>
              <w:spacing w:after="0"/>
              <w:rPr>
                <w:sz w:val="20"/>
                <w:szCs w:val="20"/>
                <w:color w:val="auto"/>
              </w:rPr>
            </w:pPr>
            <w:r>
              <w:rPr>
                <w:rFonts w:ascii="Arial" w:cs="Arial" w:eastAsia="Arial" w:hAnsi="Arial"/>
                <w:sz w:val="16"/>
                <w:szCs w:val="16"/>
                <w:color w:val="auto"/>
              </w:rPr>
              <w:t>News Corporation</w:t>
            </w:r>
          </w:p>
        </w:tc>
        <w:tc>
          <w:tcPr>
            <w:tcW w:w="3580" w:type="dxa"/>
            <w:vAlign w:val="bottom"/>
          </w:tcPr>
          <w:p>
            <w:pPr>
              <w:ind w:left="360"/>
              <w:spacing w:after="0"/>
              <w:rPr>
                <w:sz w:val="20"/>
                <w:szCs w:val="20"/>
                <w:color w:val="auto"/>
              </w:rPr>
            </w:pPr>
            <w:r>
              <w:rPr>
                <w:rFonts w:ascii="Arial" w:cs="Arial" w:eastAsia="Arial" w:hAnsi="Arial"/>
                <w:sz w:val="16"/>
                <w:szCs w:val="16"/>
                <w:color w:val="auto"/>
              </w:rPr>
              <w:t>Sage Group Inc.</w:t>
            </w:r>
          </w:p>
        </w:tc>
      </w:tr>
      <w:tr>
        <w:trPr>
          <w:trHeight w:val="188"/>
        </w:trPr>
        <w:tc>
          <w:tcPr>
            <w:tcW w:w="3420" w:type="dxa"/>
            <w:vAlign w:val="bottom"/>
          </w:tcPr>
          <w:p>
            <w:pPr>
              <w:spacing w:after="0"/>
              <w:rPr>
                <w:sz w:val="20"/>
                <w:szCs w:val="20"/>
                <w:color w:val="auto"/>
              </w:rPr>
            </w:pPr>
            <w:r>
              <w:rPr>
                <w:rFonts w:ascii="Arial" w:cs="Arial" w:eastAsia="Arial" w:hAnsi="Arial"/>
                <w:sz w:val="16"/>
                <w:szCs w:val="16"/>
                <w:color w:val="auto"/>
              </w:rPr>
              <w:t>Gartner Inc.</w:t>
            </w:r>
          </w:p>
        </w:tc>
        <w:tc>
          <w:tcPr>
            <w:tcW w:w="3980" w:type="dxa"/>
            <w:vAlign w:val="bottom"/>
          </w:tcPr>
          <w:p>
            <w:pPr>
              <w:ind w:left="680"/>
              <w:spacing w:after="0"/>
              <w:rPr>
                <w:sz w:val="20"/>
                <w:szCs w:val="20"/>
                <w:color w:val="auto"/>
              </w:rPr>
            </w:pPr>
            <w:r>
              <w:rPr>
                <w:rFonts w:ascii="Arial" w:cs="Arial" w:eastAsia="Arial" w:hAnsi="Arial"/>
                <w:sz w:val="16"/>
                <w:szCs w:val="16"/>
                <w:color w:val="auto"/>
              </w:rPr>
              <w:t>Nielsen Holdings plc</w:t>
            </w:r>
          </w:p>
        </w:tc>
        <w:tc>
          <w:tcPr>
            <w:tcW w:w="3580" w:type="dxa"/>
            <w:vAlign w:val="bottom"/>
          </w:tcPr>
          <w:p>
            <w:pPr>
              <w:ind w:left="360"/>
              <w:spacing w:after="0"/>
              <w:rPr>
                <w:sz w:val="20"/>
                <w:szCs w:val="20"/>
                <w:color w:val="auto"/>
              </w:rPr>
            </w:pPr>
            <w:r>
              <w:rPr>
                <w:rFonts w:ascii="Arial" w:cs="Arial" w:eastAsia="Arial" w:hAnsi="Arial"/>
                <w:sz w:val="16"/>
                <w:szCs w:val="16"/>
                <w:color w:val="auto"/>
              </w:rPr>
              <w:t>Wolters Kluwer NV</w:t>
            </w:r>
          </w:p>
        </w:tc>
      </w:tr>
      <w:tr>
        <w:trPr>
          <w:trHeight w:val="197"/>
        </w:trPr>
        <w:tc>
          <w:tcPr>
            <w:tcW w:w="3420" w:type="dxa"/>
            <w:vAlign w:val="bottom"/>
            <w:tcBorders>
              <w:bottom w:val="single" w:sz="8" w:color="D95A3B"/>
            </w:tcBorders>
          </w:tcPr>
          <w:p>
            <w:pPr>
              <w:spacing w:after="0"/>
              <w:rPr>
                <w:sz w:val="20"/>
                <w:szCs w:val="20"/>
                <w:color w:val="auto"/>
              </w:rPr>
            </w:pPr>
            <w:r>
              <w:rPr>
                <w:rFonts w:ascii="Arial" w:cs="Arial" w:eastAsia="Arial" w:hAnsi="Arial"/>
                <w:sz w:val="16"/>
                <w:szCs w:val="16"/>
                <w:color w:val="auto"/>
              </w:rPr>
              <w:t>IAC/InterActive Corp.</w:t>
            </w:r>
          </w:p>
        </w:tc>
        <w:tc>
          <w:tcPr>
            <w:tcW w:w="3980" w:type="dxa"/>
            <w:vAlign w:val="bottom"/>
            <w:tcBorders>
              <w:bottom w:val="single" w:sz="8" w:color="D95A3B"/>
            </w:tcBorders>
          </w:tcPr>
          <w:p>
            <w:pPr>
              <w:ind w:left="680"/>
              <w:spacing w:after="0"/>
              <w:rPr>
                <w:sz w:val="20"/>
                <w:szCs w:val="20"/>
                <w:color w:val="auto"/>
              </w:rPr>
            </w:pPr>
            <w:r>
              <w:rPr>
                <w:rFonts w:ascii="Arial" w:cs="Arial" w:eastAsia="Arial" w:hAnsi="Arial"/>
                <w:sz w:val="16"/>
                <w:szCs w:val="16"/>
                <w:color w:val="auto"/>
              </w:rPr>
              <w:t>Omnicom Group Inc.</w:t>
            </w:r>
          </w:p>
        </w:tc>
        <w:tc>
          <w:tcPr>
            <w:tcW w:w="3580" w:type="dxa"/>
            <w:vAlign w:val="bottom"/>
            <w:tcBorders>
              <w:bottom w:val="single" w:sz="8" w:color="D95A3B"/>
            </w:tcBorders>
          </w:tcPr>
          <w:p>
            <w:pPr>
              <w:spacing w:after="0"/>
              <w:rPr>
                <w:sz w:val="17"/>
                <w:szCs w:val="17"/>
                <w:color w:val="auto"/>
              </w:rPr>
            </w:pPr>
          </w:p>
        </w:tc>
      </w:tr>
    </w:tbl>
    <w:p>
      <w:pPr>
        <w:spacing w:after="0" w:line="107"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The HR Committee also approved a new Canadian peer group given our company’s increasing presence in Toronto. The Canadian peer group is viewed secondarily as a means to evaluate compensation compared to local practices and levels. Our company’s revenues approximated the peer group median of the 23 companies in the Canadian peer group (based on information available at the time). These companies include Bank of Montreal, The Bank of Nova Scotia, BCE Inc., Canadian Imperial Bank of Commence, CGI Group Inc., Cineplex Inc., Cogeco Communications Inc., Constellation Software Inc., Corus Entertainment Inc., Fairfax Financial Holdings Limited, Industrial Alliance Insurance and Financial Services Inc., Intact Financial Corporation, National Bank of Canada, Open Text Corporation, Quebecor Inc., Rogers Communications Inc., Shaw Communications Inc., SNC-Lavalin Group Inc., Stantec Inc., Sun Life Financial Inc., TELUS Communications Inc., Transcontinental Inc. and Waste Connections Inc.</w:t>
      </w:r>
    </w:p>
    <w:p>
      <w:pPr>
        <w:spacing w:after="0" w:line="94" w:lineRule="exact"/>
        <w:rPr>
          <w:sz w:val="20"/>
          <w:szCs w:val="20"/>
          <w:color w:val="auto"/>
        </w:rPr>
      </w:pPr>
    </w:p>
    <w:p>
      <w:pPr>
        <w:ind w:left="220" w:right="180"/>
        <w:spacing w:after="0" w:line="239" w:lineRule="auto"/>
        <w:rPr>
          <w:sz w:val="20"/>
          <w:szCs w:val="20"/>
          <w:color w:val="auto"/>
        </w:rPr>
      </w:pPr>
      <w:r>
        <w:rPr>
          <w:rFonts w:ascii="Arial" w:cs="Arial" w:eastAsia="Arial" w:hAnsi="Arial"/>
          <w:sz w:val="18"/>
          <w:szCs w:val="18"/>
          <w:color w:val="auto"/>
        </w:rPr>
        <w:t>FW Cook reviewed the proposed peer groups identified by management and its compensation consultant prior to presentation to the HR Committee. When the HR Committee met to discuss and approve the new peer groups, it received input from FW Cook and management’s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120650</wp:posOffset>
            </wp:positionV>
            <wp:extent cx="697357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1"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54</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right="1660"/>
        <w:spacing w:after="0" w:line="237" w:lineRule="auto"/>
        <w:rPr>
          <w:sz w:val="20"/>
          <w:szCs w:val="20"/>
          <w:color w:val="auto"/>
        </w:rPr>
      </w:pPr>
      <w:r>
        <w:rPr>
          <w:rFonts w:ascii="Arial" w:cs="Arial" w:eastAsia="Arial" w:hAnsi="Arial"/>
          <w:sz w:val="22"/>
          <w:szCs w:val="22"/>
          <w:color w:val="D95A3B"/>
        </w:rPr>
        <w:t>OUR COMPENSATION PROGRAMS TAKE RISK INTO ACCOUNT AND DO NOT ENCOURAGE UNNECESSARY OR EXCESSIVE RISK TAKING</w:t>
      </w:r>
    </w:p>
    <w:p>
      <w:pPr>
        <w:spacing w:after="0" w:line="31"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We have designed our compensation programs to provide an appropriate balance of risk and reward in relation to our company’s overall business strategy. In February 2019, FW Cook provided the HR Committee with a risk assessment of the Thomson Reuters compensation program for executive officers. As part of its assessment, FW Cook reviewed our compensation structure and key attributes of our compensation program for executive officers for the purpose of identifying potential sources of risk. Based on its review, FW Cook was of the view that our compensation program appears unlikely to create incentives for excessive risk taking and includes meaningful safeguards to mitigate compensation program risk.</w:t>
      </w:r>
    </w:p>
    <w:p>
      <w:pPr>
        <w:spacing w:after="0" w:line="98" w:lineRule="exact"/>
        <w:rPr>
          <w:sz w:val="20"/>
          <w:szCs w:val="20"/>
          <w:color w:val="auto"/>
        </w:rPr>
      </w:pPr>
    </w:p>
    <w:p>
      <w:pPr>
        <w:ind w:left="220" w:right="160"/>
        <w:spacing w:after="0" w:line="244" w:lineRule="auto"/>
        <w:rPr>
          <w:sz w:val="20"/>
          <w:szCs w:val="20"/>
          <w:color w:val="auto"/>
        </w:rPr>
      </w:pPr>
      <w:r>
        <w:rPr>
          <w:rFonts w:ascii="Arial" w:cs="Arial" w:eastAsia="Arial" w:hAnsi="Arial"/>
          <w:sz w:val="18"/>
          <w:szCs w:val="18"/>
          <w:color w:val="auto"/>
        </w:rPr>
        <w:t>The HR Committee and management believe that our senior executive compensation programs do not incentivize our executives to take unnecessary or excessive risks because:</w:t>
      </w:r>
    </w:p>
    <w:p>
      <w:pPr>
        <w:spacing w:after="0" w:line="82" w:lineRule="exact"/>
        <w:rPr>
          <w:sz w:val="20"/>
          <w:szCs w:val="20"/>
          <w:color w:val="auto"/>
        </w:rPr>
      </w:pPr>
    </w:p>
    <w:p>
      <w:pPr>
        <w:ind w:left="440" w:right="360" w:hanging="217"/>
        <w:spacing w:after="0" w:line="270" w:lineRule="auto"/>
        <w:tabs>
          <w:tab w:leader="none" w:pos="440" w:val="left"/>
        </w:tabs>
        <w:numPr>
          <w:ilvl w:val="0"/>
          <w:numId w:val="35"/>
        </w:numPr>
        <w:rPr>
          <w:rFonts w:ascii="Arial" w:cs="Arial" w:eastAsia="Arial" w:hAnsi="Arial"/>
          <w:sz w:val="18"/>
          <w:szCs w:val="18"/>
          <w:color w:val="D95A3B"/>
          <w:vertAlign w:val="superscript"/>
        </w:rPr>
      </w:pPr>
      <w:r>
        <w:rPr>
          <w:rFonts w:ascii="Arial" w:cs="Arial" w:eastAsia="Arial" w:hAnsi="Arial"/>
          <w:sz w:val="18"/>
          <w:szCs w:val="18"/>
          <w:color w:val="auto"/>
        </w:rPr>
        <w:t xml:space="preserve">Most of an executive’s compensation is comprised of </w:t>
      </w:r>
      <w:r>
        <w:rPr>
          <w:rFonts w:ascii="Arial" w:cs="Arial" w:eastAsia="Arial" w:hAnsi="Arial"/>
          <w:sz w:val="18"/>
          <w:szCs w:val="18"/>
          <w:b w:val="1"/>
          <w:bCs w:val="1"/>
          <w:color w:val="auto"/>
        </w:rPr>
        <w:t>longer-term performance opportunities</w:t>
      </w:r>
      <w:r>
        <w:rPr>
          <w:rFonts w:ascii="Arial" w:cs="Arial" w:eastAsia="Arial" w:hAnsi="Arial"/>
          <w:sz w:val="18"/>
          <w:szCs w:val="18"/>
          <w:color w:val="auto"/>
        </w:rPr>
        <w:t xml:space="preserve"> with less emphasis on shorter-term performance opportunities;</w:t>
      </w:r>
    </w:p>
    <w:p>
      <w:pPr>
        <w:sectPr>
          <w:pgSz w:w="11900" w:h="16838" w:orient="portrait"/>
          <w:cols w:equalWidth="0" w:num="1">
            <w:col w:w="11200"/>
          </w:cols>
          <w:pgMar w:left="240" w:top="458" w:right="459" w:bottom="1440" w:gutter="0" w:footer="0" w:header="0"/>
        </w:sectPr>
      </w:pPr>
    </w:p>
    <w:p>
      <w:pPr>
        <w:spacing w:after="0" w:line="73"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base salary</w:t>
      </w:r>
      <w:r>
        <w:rPr>
          <w:rFonts w:ascii="Arial" w:cs="Arial" w:eastAsia="Arial" w:hAnsi="Arial"/>
          <w:sz w:val="18"/>
          <w:szCs w:val="18"/>
          <w:color w:val="auto"/>
        </w:rPr>
        <w:t xml:space="preserve"> component of each executive’s compensation is </w:t>
      </w:r>
      <w:r>
        <w:rPr>
          <w:rFonts w:ascii="Arial" w:cs="Arial" w:eastAsia="Arial" w:hAnsi="Arial"/>
          <w:sz w:val="18"/>
          <w:szCs w:val="18"/>
          <w:b w:val="1"/>
          <w:bCs w:val="1"/>
          <w:color w:val="auto"/>
        </w:rPr>
        <w:t>fixed</w:t>
      </w:r>
      <w:r>
        <w:rPr>
          <w:rFonts w:ascii="Arial" w:cs="Arial" w:eastAsia="Arial" w:hAnsi="Arial"/>
          <w:sz w:val="18"/>
          <w:szCs w:val="18"/>
          <w:color w:val="auto"/>
        </w:rPr>
        <w:t xml:space="preserve"> and therefore does not encourage risk taking;</w:t>
      </w:r>
    </w:p>
    <w:p>
      <w:pPr>
        <w:spacing w:after="0" w:line="129"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HR Committee annually reviews and determines award design</w:t>
      </w:r>
      <w:r>
        <w:rPr>
          <w:rFonts w:ascii="Arial" w:cs="Arial" w:eastAsia="Arial" w:hAnsi="Arial"/>
          <w:sz w:val="18"/>
          <w:szCs w:val="18"/>
          <w:color w:val="auto"/>
        </w:rPr>
        <w:t xml:space="preserve"> and there are principles and </w:t>
      </w:r>
      <w:r>
        <w:rPr>
          <w:rFonts w:ascii="Arial" w:cs="Arial" w:eastAsia="Arial" w:hAnsi="Arial"/>
          <w:sz w:val="18"/>
          <w:szCs w:val="18"/>
          <w:b w:val="1"/>
          <w:bCs w:val="1"/>
          <w:color w:val="auto"/>
        </w:rPr>
        <w:t>processes with management</w:t>
      </w:r>
      <w:r>
        <w:rPr>
          <w:rFonts w:ascii="Arial" w:cs="Arial" w:eastAsia="Arial" w:hAnsi="Arial"/>
          <w:sz w:val="18"/>
          <w:szCs w:val="18"/>
          <w:color w:val="auto"/>
        </w:rPr>
        <w:t xml:space="preserve"> for approving design changes and performance goals;</w:t>
      </w:r>
    </w:p>
    <w:p>
      <w:pPr>
        <w:spacing w:after="0" w:line="59"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ind w:left="440" w:right="360" w:hanging="217"/>
        <w:spacing w:after="0" w:line="270" w:lineRule="auto"/>
        <w:tabs>
          <w:tab w:leader="none" w:pos="440" w:val="left"/>
        </w:tabs>
        <w:numPr>
          <w:ilvl w:val="0"/>
          <w:numId w:val="36"/>
        </w:numPr>
        <w:rPr>
          <w:rFonts w:ascii="Arial" w:cs="Arial" w:eastAsia="Arial" w:hAnsi="Arial"/>
          <w:sz w:val="18"/>
          <w:szCs w:val="18"/>
          <w:color w:val="D95A3B"/>
          <w:vertAlign w:val="superscript"/>
        </w:rPr>
      </w:pPr>
      <w:r>
        <w:rPr>
          <w:rFonts w:ascii="Arial" w:cs="Arial" w:eastAsia="Arial" w:hAnsi="Arial"/>
          <w:sz w:val="18"/>
          <w:szCs w:val="18"/>
          <w:color w:val="auto"/>
        </w:rPr>
        <w:t xml:space="preserve">The HR Committee reviews </w:t>
      </w:r>
      <w:r>
        <w:rPr>
          <w:rFonts w:ascii="Arial" w:cs="Arial" w:eastAsia="Arial" w:hAnsi="Arial"/>
          <w:sz w:val="18"/>
          <w:szCs w:val="18"/>
          <w:b w:val="1"/>
          <w:bCs w:val="1"/>
          <w:color w:val="auto"/>
        </w:rPr>
        <w:t>performance criteria</w:t>
      </w:r>
      <w:r>
        <w:rPr>
          <w:rFonts w:ascii="Arial" w:cs="Arial" w:eastAsia="Arial" w:hAnsi="Arial"/>
          <w:sz w:val="18"/>
          <w:szCs w:val="18"/>
          <w:color w:val="auto"/>
        </w:rPr>
        <w:t xml:space="preserve"> for financial metrics used in our incentive awards, including threshold, target and maximum amounts, to ensure that they are challenging, but achievable;</w:t>
      </w:r>
    </w:p>
    <w:p>
      <w:pPr>
        <w:spacing w:after="0" w:line="59" w:lineRule="exact"/>
        <w:rPr>
          <w:rFonts w:ascii="Arial" w:cs="Arial" w:eastAsia="Arial" w:hAnsi="Arial"/>
          <w:sz w:val="18"/>
          <w:szCs w:val="18"/>
          <w:color w:val="D95A3B"/>
          <w:vertAlign w:val="superscript"/>
        </w:rPr>
      </w:pPr>
    </w:p>
    <w:p>
      <w:pPr>
        <w:ind w:left="440" w:right="260" w:hanging="217"/>
        <w:spacing w:after="0" w:line="270" w:lineRule="auto"/>
        <w:tabs>
          <w:tab w:leader="none" w:pos="440" w:val="left"/>
        </w:tabs>
        <w:numPr>
          <w:ilvl w:val="0"/>
          <w:numId w:val="36"/>
        </w:numPr>
        <w:rPr>
          <w:rFonts w:ascii="Arial" w:cs="Arial" w:eastAsia="Arial" w:hAnsi="Arial"/>
          <w:sz w:val="18"/>
          <w:szCs w:val="18"/>
          <w:color w:val="D95A3B"/>
          <w:vertAlign w:val="superscript"/>
        </w:rPr>
      </w:pPr>
      <w:r>
        <w:rPr>
          <w:rFonts w:ascii="Arial" w:cs="Arial" w:eastAsia="Arial" w:hAnsi="Arial"/>
          <w:sz w:val="18"/>
          <w:szCs w:val="18"/>
          <w:color w:val="auto"/>
        </w:rPr>
        <w:t xml:space="preserve">Our incentive awards utilize a number of </w:t>
      </w:r>
      <w:r>
        <w:rPr>
          <w:rFonts w:ascii="Arial" w:cs="Arial" w:eastAsia="Arial" w:hAnsi="Arial"/>
          <w:sz w:val="18"/>
          <w:szCs w:val="18"/>
          <w:b w:val="1"/>
          <w:bCs w:val="1"/>
          <w:color w:val="auto"/>
        </w:rPr>
        <w:t>different financial performance measures</w:t>
      </w:r>
      <w:r>
        <w:rPr>
          <w:rFonts w:ascii="Arial" w:cs="Arial" w:eastAsia="Arial" w:hAnsi="Arial"/>
          <w:sz w:val="18"/>
          <w:szCs w:val="18"/>
          <w:color w:val="auto"/>
        </w:rPr>
        <w:t xml:space="preserve"> and do not rely on a single metric. Each metric has a threshold, target and maximum performance target with pre-defined payout amounts;</w:t>
      </w:r>
    </w:p>
    <w:p>
      <w:pPr>
        <w:spacing w:after="0" w:line="59" w:lineRule="exact"/>
        <w:rPr>
          <w:rFonts w:ascii="Arial" w:cs="Arial" w:eastAsia="Arial" w:hAnsi="Arial"/>
          <w:sz w:val="18"/>
          <w:szCs w:val="18"/>
          <w:color w:val="D95A3B"/>
          <w:vertAlign w:val="superscript"/>
        </w:rPr>
      </w:pPr>
    </w:p>
    <w:p>
      <w:pPr>
        <w:ind w:left="440" w:right="760" w:hanging="217"/>
        <w:spacing w:after="0" w:line="270" w:lineRule="auto"/>
        <w:tabs>
          <w:tab w:leader="none" w:pos="440" w:val="left"/>
        </w:tabs>
        <w:numPr>
          <w:ilvl w:val="0"/>
          <w:numId w:val="36"/>
        </w:numPr>
        <w:rPr>
          <w:rFonts w:ascii="Arial" w:cs="Arial" w:eastAsia="Arial" w:hAnsi="Arial"/>
          <w:sz w:val="18"/>
          <w:szCs w:val="18"/>
          <w:color w:val="D95A3B"/>
          <w:vertAlign w:val="superscript"/>
        </w:rPr>
      </w:pPr>
      <w:r>
        <w:rPr>
          <w:rFonts w:ascii="Arial" w:cs="Arial" w:eastAsia="Arial" w:hAnsi="Arial"/>
          <w:sz w:val="18"/>
          <w:szCs w:val="18"/>
          <w:color w:val="auto"/>
        </w:rPr>
        <w:t xml:space="preserve">Our annual incentive awards and PRSUs issued as part of long-term incentive awards have </w:t>
      </w:r>
      <w:r>
        <w:rPr>
          <w:rFonts w:ascii="Arial" w:cs="Arial" w:eastAsia="Arial" w:hAnsi="Arial"/>
          <w:sz w:val="18"/>
          <w:szCs w:val="18"/>
          <w:b w:val="1"/>
          <w:bCs w:val="1"/>
          <w:color w:val="auto"/>
        </w:rPr>
        <w:t>caps for the maximum potential</w:t>
      </w:r>
      <w:r>
        <w:rPr>
          <w:rFonts w:ascii="Arial" w:cs="Arial" w:eastAsia="Arial" w:hAnsi="Arial"/>
          <w:sz w:val="18"/>
          <w:szCs w:val="18"/>
          <w:color w:val="auto"/>
        </w:rPr>
        <w:t xml:space="preserve"> </w:t>
      </w:r>
      <w:r>
        <w:rPr>
          <w:rFonts w:ascii="Arial" w:cs="Arial" w:eastAsia="Arial" w:hAnsi="Arial"/>
          <w:sz w:val="18"/>
          <w:szCs w:val="18"/>
          <w:b w:val="1"/>
          <w:bCs w:val="1"/>
          <w:color w:val="auto"/>
        </w:rPr>
        <w:t>payouts</w:t>
      </w:r>
      <w:r>
        <w:rPr>
          <w:rFonts w:ascii="Arial" w:cs="Arial" w:eastAsia="Arial" w:hAnsi="Arial"/>
          <w:sz w:val="18"/>
          <w:szCs w:val="18"/>
          <w:color w:val="auto"/>
        </w:rPr>
        <w:t>;</w:t>
      </w:r>
    </w:p>
    <w:p>
      <w:pPr>
        <w:spacing w:after="0" w:line="59" w:lineRule="exact"/>
        <w:rPr>
          <w:rFonts w:ascii="Arial" w:cs="Arial" w:eastAsia="Arial" w:hAnsi="Arial"/>
          <w:sz w:val="18"/>
          <w:szCs w:val="18"/>
          <w:color w:val="D95A3B"/>
          <w:vertAlign w:val="superscript"/>
        </w:rPr>
      </w:pPr>
    </w:p>
    <w:p>
      <w:pPr>
        <w:ind w:left="440" w:right="160" w:hanging="217"/>
        <w:spacing w:after="0" w:line="270" w:lineRule="auto"/>
        <w:tabs>
          <w:tab w:leader="none" w:pos="440" w:val="left"/>
        </w:tabs>
        <w:numPr>
          <w:ilvl w:val="0"/>
          <w:numId w:val="36"/>
        </w:numPr>
        <w:rPr>
          <w:rFonts w:ascii="Arial" w:cs="Arial" w:eastAsia="Arial" w:hAnsi="Arial"/>
          <w:sz w:val="18"/>
          <w:szCs w:val="18"/>
          <w:color w:val="D95A3B"/>
          <w:vertAlign w:val="superscript"/>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HR Committee has discretionary authority</w:t>
      </w:r>
      <w:r>
        <w:rPr>
          <w:rFonts w:ascii="Arial" w:cs="Arial" w:eastAsia="Arial" w:hAnsi="Arial"/>
          <w:sz w:val="18"/>
          <w:szCs w:val="18"/>
          <w:color w:val="auto"/>
        </w:rPr>
        <w:t xml:space="preserve"> to make fairness-related and other adjustments to performance award opportunities that it may deem appropriate;</w:t>
      </w:r>
    </w:p>
    <w:p>
      <w:pPr>
        <w:spacing w:after="0" w:line="59" w:lineRule="exact"/>
        <w:rPr>
          <w:rFonts w:ascii="Arial" w:cs="Arial" w:eastAsia="Arial" w:hAnsi="Arial"/>
          <w:sz w:val="18"/>
          <w:szCs w:val="18"/>
          <w:color w:val="D95A3B"/>
          <w:vertAlign w:val="superscript"/>
        </w:rPr>
      </w:pPr>
    </w:p>
    <w:p>
      <w:pPr>
        <w:ind w:left="440" w:right="280" w:hanging="217"/>
        <w:spacing w:after="0" w:line="270" w:lineRule="auto"/>
        <w:tabs>
          <w:tab w:leader="none" w:pos="440" w:val="left"/>
        </w:tabs>
        <w:numPr>
          <w:ilvl w:val="0"/>
          <w:numId w:val="36"/>
        </w:numPr>
        <w:rPr>
          <w:rFonts w:ascii="Arial" w:cs="Arial" w:eastAsia="Arial" w:hAnsi="Arial"/>
          <w:sz w:val="18"/>
          <w:szCs w:val="18"/>
          <w:color w:val="D95A3B"/>
          <w:vertAlign w:val="superscript"/>
        </w:rPr>
      </w:pPr>
      <w:r>
        <w:rPr>
          <w:rFonts w:ascii="Arial" w:cs="Arial" w:eastAsia="Arial" w:hAnsi="Arial"/>
          <w:sz w:val="18"/>
          <w:szCs w:val="18"/>
          <w:color w:val="auto"/>
        </w:rPr>
        <w:t xml:space="preserve">We have robust </w:t>
      </w:r>
      <w:r>
        <w:rPr>
          <w:rFonts w:ascii="Arial" w:cs="Arial" w:eastAsia="Arial" w:hAnsi="Arial"/>
          <w:sz w:val="18"/>
          <w:szCs w:val="18"/>
          <w:b w:val="1"/>
          <w:bCs w:val="1"/>
          <w:color w:val="auto"/>
        </w:rPr>
        <w:t>share ownership guidelines</w:t>
      </w:r>
      <w:r>
        <w:rPr>
          <w:rFonts w:ascii="Arial" w:cs="Arial" w:eastAsia="Arial" w:hAnsi="Arial"/>
          <w:sz w:val="18"/>
          <w:szCs w:val="18"/>
          <w:color w:val="auto"/>
        </w:rPr>
        <w:t xml:space="preserve"> for our executive officers which further ties their interests to those of our shareholders over the long-term;</w:t>
      </w:r>
    </w:p>
    <w:p>
      <w:pPr>
        <w:spacing w:after="0" w:line="59" w:lineRule="exact"/>
        <w:rPr>
          <w:rFonts w:ascii="Arial" w:cs="Arial" w:eastAsia="Arial" w:hAnsi="Arial"/>
          <w:sz w:val="18"/>
          <w:szCs w:val="18"/>
          <w:color w:val="D95A3B"/>
          <w:vertAlign w:val="superscript"/>
        </w:rPr>
      </w:pPr>
    </w:p>
    <w:p>
      <w:pPr>
        <w:ind w:left="440" w:right="20" w:hanging="217"/>
        <w:spacing w:after="0" w:line="239" w:lineRule="auto"/>
        <w:tabs>
          <w:tab w:leader="none" w:pos="440" w:val="left"/>
        </w:tabs>
        <w:numPr>
          <w:ilvl w:val="0"/>
          <w:numId w:val="36"/>
        </w:numPr>
        <w:rPr>
          <w:rFonts w:ascii="Arial" w:cs="Arial" w:eastAsia="Arial" w:hAnsi="Arial"/>
          <w:sz w:val="18"/>
          <w:szCs w:val="18"/>
          <w:color w:val="D95A3B"/>
          <w:vertAlign w:val="superscript"/>
        </w:rPr>
      </w:pPr>
      <w:r>
        <w:rPr>
          <w:rFonts w:ascii="Arial" w:cs="Arial" w:eastAsia="Arial" w:hAnsi="Arial"/>
          <w:sz w:val="18"/>
          <w:szCs w:val="18"/>
          <w:color w:val="auto"/>
        </w:rPr>
        <w:t xml:space="preserve">We have a </w:t>
      </w:r>
      <w:r>
        <w:rPr>
          <w:rFonts w:ascii="Arial" w:cs="Arial" w:eastAsia="Arial" w:hAnsi="Arial"/>
          <w:sz w:val="18"/>
          <w:szCs w:val="18"/>
          <w:b w:val="1"/>
          <w:bCs w:val="1"/>
          <w:color w:val="auto"/>
        </w:rPr>
        <w:t>recoupment (or “clawback”) policy</w:t>
      </w:r>
      <w:r>
        <w:rPr>
          <w:rFonts w:ascii="Arial" w:cs="Arial" w:eastAsia="Arial" w:hAnsi="Arial"/>
          <w:sz w:val="18"/>
          <w:szCs w:val="18"/>
          <w:color w:val="auto"/>
        </w:rPr>
        <w:t xml:space="preserve"> that permits us to seek reimbursement from the CEO and all of the other executive officers in certain circumstances. Our clawback policy provides that the board, at the recommendation of the HR Committee, has the right to seek reimbursement of part of the annual or long-term incentive compensation awarded to an executive officer if in the board’s view, the amount of the compensation was calculated based on the achievement or performance of financial results that were subject to a material restatement (other than a restatement due to, or to comply with, changes in applicable accounting principles or related to an acquisition or disposition). Reimbursement could be sought for any excess amount of compensation that relates to such a material restatement that occurred within 24 months of payment of the compensation, and the executive officer from whom reimbursement is sought would need to have engaged in fraud that caused the material restatement; and</w:t>
      </w:r>
    </w:p>
    <w:p>
      <w:pPr>
        <w:spacing w:after="0" w:line="87" w:lineRule="exact"/>
        <w:rPr>
          <w:rFonts w:ascii="Arial" w:cs="Arial" w:eastAsia="Arial" w:hAnsi="Arial"/>
          <w:sz w:val="18"/>
          <w:szCs w:val="18"/>
          <w:color w:val="D95A3B"/>
          <w:vertAlign w:val="superscript"/>
        </w:rPr>
      </w:pPr>
    </w:p>
    <w:p>
      <w:pPr>
        <w:ind w:left="440" w:right="600" w:hanging="217"/>
        <w:spacing w:after="0" w:line="270" w:lineRule="auto"/>
        <w:tabs>
          <w:tab w:leader="none" w:pos="440" w:val="left"/>
        </w:tabs>
        <w:numPr>
          <w:ilvl w:val="0"/>
          <w:numId w:val="36"/>
        </w:numPr>
        <w:rPr>
          <w:rFonts w:ascii="Arial" w:cs="Arial" w:eastAsia="Arial" w:hAnsi="Arial"/>
          <w:sz w:val="18"/>
          <w:szCs w:val="18"/>
          <w:color w:val="D95A3B"/>
          <w:vertAlign w:val="superscript"/>
        </w:rPr>
      </w:pPr>
      <w:r>
        <w:rPr>
          <w:rFonts w:ascii="Arial" w:cs="Arial" w:eastAsia="Arial" w:hAnsi="Arial"/>
          <w:sz w:val="18"/>
          <w:szCs w:val="18"/>
          <w:b w:val="1"/>
          <w:bCs w:val="1"/>
          <w:color w:val="auto"/>
        </w:rPr>
        <w:t xml:space="preserve">Executive officers are prohibited from hedging or pledging </w:t>
      </w:r>
      <w:r>
        <w:rPr>
          <w:rFonts w:ascii="Arial" w:cs="Arial" w:eastAsia="Arial" w:hAnsi="Arial"/>
          <w:sz w:val="18"/>
          <w:szCs w:val="18"/>
          <w:color w:val="auto"/>
        </w:rPr>
        <w:t>company shares (as further discussed later in this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discussion and analysis section).</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HR Committee assesses compensation risk on an annual basis as part of its oversight of executive compensation.</w:t>
      </w:r>
    </w:p>
    <w:p>
      <w:pPr>
        <w:spacing w:after="0" w:line="103" w:lineRule="exact"/>
        <w:rPr>
          <w:sz w:val="20"/>
          <w:szCs w:val="20"/>
          <w:color w:val="auto"/>
        </w:rPr>
      </w:pPr>
    </w:p>
    <w:p>
      <w:pPr>
        <w:ind w:left="220" w:right="280"/>
        <w:spacing w:after="0" w:line="244" w:lineRule="auto"/>
        <w:rPr>
          <w:sz w:val="20"/>
          <w:szCs w:val="20"/>
          <w:color w:val="auto"/>
        </w:rPr>
      </w:pPr>
      <w:r>
        <w:rPr>
          <w:rFonts w:ascii="Arial" w:cs="Arial" w:eastAsia="Arial" w:hAnsi="Arial"/>
          <w:sz w:val="18"/>
          <w:szCs w:val="18"/>
          <w:color w:val="auto"/>
        </w:rPr>
        <w:t xml:space="preserve">For more information about risks that we believe are material to our company, please see the “Risk Factors” section of our 2018 annual report, which is available on our website at </w:t>
      </w:r>
      <w:r>
        <w:rPr>
          <w:rFonts w:ascii="Arial" w:cs="Arial" w:eastAsia="Arial" w:hAnsi="Arial"/>
          <w:sz w:val="18"/>
          <w:szCs w:val="18"/>
          <w:b w:val="1"/>
          <w:bCs w:val="1"/>
          <w:color w:val="D95A3B"/>
        </w:rPr>
        <w:t>www.thomsonreuters.com</w:t>
      </w:r>
      <w:r>
        <w:rPr>
          <w:rFonts w:ascii="Arial" w:cs="Arial" w:eastAsia="Arial" w:hAnsi="Arial"/>
          <w:sz w:val="18"/>
          <w:szCs w:val="18"/>
          <w:color w:val="auto"/>
        </w:rPr>
        <w:t xml:space="preserve">, as well as on </w:t>
      </w:r>
      <w:r>
        <w:rPr>
          <w:rFonts w:ascii="Arial" w:cs="Arial" w:eastAsia="Arial" w:hAnsi="Arial"/>
          <w:sz w:val="18"/>
          <w:szCs w:val="18"/>
          <w:b w:val="1"/>
          <w:bCs w:val="1"/>
          <w:color w:val="D95A3B"/>
        </w:rPr>
        <w:t>www.sedar.com</w:t>
      </w:r>
      <w:r>
        <w:rPr>
          <w:rFonts w:ascii="Arial" w:cs="Arial" w:eastAsia="Arial" w:hAnsi="Arial"/>
          <w:sz w:val="18"/>
          <w:szCs w:val="18"/>
          <w:color w:val="auto"/>
        </w:rPr>
        <w:t xml:space="preserve"> and </w:t>
      </w:r>
      <w:r>
        <w:rPr>
          <w:rFonts w:ascii="Arial" w:cs="Arial" w:eastAsia="Arial" w:hAnsi="Arial"/>
          <w:sz w:val="18"/>
          <w:szCs w:val="18"/>
          <w:b w:val="1"/>
          <w:bCs w:val="1"/>
          <w:color w:val="D95A3B"/>
        </w:rPr>
        <w:t>www.sec.gov</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118110</wp:posOffset>
            </wp:positionV>
            <wp:extent cx="697357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26"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55</w:t>
      </w:r>
    </w:p>
    <w:p>
      <w:pPr>
        <w:sectPr>
          <w:pgSz w:w="11900" w:h="16838" w:orient="portrait"/>
          <w:cols w:equalWidth="0" w:num="1">
            <w:col w:w="11200"/>
          </w:cols>
          <w:pgMar w:left="240" w:top="458" w:right="45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2018 Compensation</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2018, the HR Committee reviewed and approved compensation arrangements for our CEO and other named executive officers.</w:t>
      </w:r>
    </w:p>
    <w:p>
      <w:pPr>
        <w:spacing w:after="0" w:line="116" w:lineRule="exact"/>
        <w:rPr>
          <w:sz w:val="20"/>
          <w:szCs w:val="20"/>
          <w:color w:val="auto"/>
        </w:rPr>
      </w:pPr>
    </w:p>
    <w:p>
      <w:pPr>
        <w:ind w:left="440" w:right="80" w:hanging="217"/>
        <w:spacing w:after="0" w:line="236" w:lineRule="auto"/>
        <w:tabs>
          <w:tab w:leader="none" w:pos="440" w:val="left"/>
        </w:tabs>
        <w:numPr>
          <w:ilvl w:val="0"/>
          <w:numId w:val="37"/>
        </w:numPr>
        <w:rPr>
          <w:rFonts w:ascii="Arial" w:cs="Arial" w:eastAsia="Arial" w:hAnsi="Arial"/>
          <w:sz w:val="18"/>
          <w:szCs w:val="18"/>
          <w:color w:val="D95A3B"/>
          <w:vertAlign w:val="superscript"/>
        </w:rPr>
      </w:pPr>
      <w:r>
        <w:rPr>
          <w:rFonts w:ascii="Arial" w:cs="Arial" w:eastAsia="Arial" w:hAnsi="Arial"/>
          <w:sz w:val="18"/>
          <w:szCs w:val="18"/>
          <w:color w:val="auto"/>
        </w:rPr>
        <w:t>Our Chief People Officer initially made recommendations to the HR Committee regarding the proposed 2018 compensation arrangements for our executive officers (other than the CEO). The CEO’s input was reflected in these recommendations. The CEO and Chief People Officer considered each individual’s actual performance during the prior year, the competitiveness of each individual’s compensation, and external compensation trends and developments. Management also provided the HR Committee with its recommendations for structuring 2018 annual and long-term incentive awards. In making recommendations to the HR Committee, the CEO and Chief People Officer proposed a compensation program that supports our pay for performance philosophy without encouraging unnecessary or excessive risk taking by management.</w:t>
      </w:r>
    </w:p>
    <w:p>
      <w:pPr>
        <w:spacing w:after="0" w:line="109" w:lineRule="exact"/>
        <w:rPr>
          <w:rFonts w:ascii="Arial" w:cs="Arial" w:eastAsia="Arial" w:hAnsi="Arial"/>
          <w:sz w:val="18"/>
          <w:szCs w:val="18"/>
          <w:color w:val="D95A3B"/>
          <w:vertAlign w:val="superscript"/>
        </w:rPr>
      </w:pPr>
    </w:p>
    <w:p>
      <w:pPr>
        <w:jc w:val="both"/>
        <w:ind w:left="440" w:right="80" w:hanging="217"/>
        <w:spacing w:after="0" w:line="236" w:lineRule="auto"/>
        <w:tabs>
          <w:tab w:leader="none" w:pos="440" w:val="left"/>
        </w:tabs>
        <w:numPr>
          <w:ilvl w:val="0"/>
          <w:numId w:val="37"/>
        </w:numPr>
        <w:rPr>
          <w:rFonts w:ascii="Arial" w:cs="Arial" w:eastAsia="Arial" w:hAnsi="Arial"/>
          <w:sz w:val="18"/>
          <w:szCs w:val="18"/>
          <w:color w:val="D95A3B"/>
          <w:vertAlign w:val="superscript"/>
        </w:rPr>
      </w:pPr>
      <w:r>
        <w:rPr>
          <w:rFonts w:ascii="Arial" w:cs="Arial" w:eastAsia="Arial" w:hAnsi="Arial"/>
          <w:sz w:val="18"/>
          <w:szCs w:val="18"/>
          <w:color w:val="auto"/>
        </w:rPr>
        <w:t>As part of its analysis and decision-making process, the HR Committee received a summary of performance assessments for the CEO and other executive officers. The HR Committee also received executive pay comparisons to assess proposed arrangements between individual executives and against applicable market position. This information included base salary, annual incentive award (target as a percentage of salary), long-term incentive award (target as a percentage of salary), target total direct compensation for each individual, plus target total direct compensation that included the annualized value of any special equity awards outstanding, exclusive of new hire awards.</w:t>
      </w:r>
    </w:p>
    <w:p>
      <w:pPr>
        <w:spacing w:after="0" w:line="111" w:lineRule="exact"/>
        <w:rPr>
          <w:rFonts w:ascii="Arial" w:cs="Arial" w:eastAsia="Arial" w:hAnsi="Arial"/>
          <w:sz w:val="18"/>
          <w:szCs w:val="18"/>
          <w:color w:val="D95A3B"/>
          <w:vertAlign w:val="superscript"/>
        </w:rPr>
      </w:pPr>
    </w:p>
    <w:p>
      <w:pPr>
        <w:ind w:left="440" w:right="80" w:hanging="217"/>
        <w:spacing w:after="0" w:line="238" w:lineRule="auto"/>
        <w:tabs>
          <w:tab w:leader="none" w:pos="440" w:val="left"/>
        </w:tabs>
        <w:numPr>
          <w:ilvl w:val="0"/>
          <w:numId w:val="37"/>
        </w:numPr>
        <w:rPr>
          <w:rFonts w:ascii="Arial" w:cs="Arial" w:eastAsia="Arial" w:hAnsi="Arial"/>
          <w:sz w:val="18"/>
          <w:szCs w:val="18"/>
          <w:color w:val="D95A3B"/>
          <w:vertAlign w:val="superscript"/>
        </w:rPr>
      </w:pPr>
      <w:r>
        <w:rPr>
          <w:rFonts w:ascii="Arial" w:cs="Arial" w:eastAsia="Arial" w:hAnsi="Arial"/>
          <w:sz w:val="18"/>
          <w:szCs w:val="18"/>
          <w:color w:val="auto"/>
        </w:rPr>
        <w:t>Following its review of the information mentioned above and using its own judgment, the HR Committee approved 2018 compensation arrangements for each executive officer (other than the CEO) and provided a compensation recommendation for Mr. Smith to the board, which made the final decision for the CEO’s arrangement. The HR Committee also approved 2018 annual incentive awards and long-term incentive awards during the year.</w:t>
      </w:r>
    </w:p>
    <w:p>
      <w:pPr>
        <w:spacing w:after="0" w:line="94" w:lineRule="exact"/>
        <w:rPr>
          <w:sz w:val="20"/>
          <w:szCs w:val="20"/>
          <w:color w:val="auto"/>
        </w:rPr>
      </w:pPr>
    </w:p>
    <w:p>
      <w:pPr>
        <w:ind w:left="220"/>
        <w:spacing w:after="0" w:line="244" w:lineRule="auto"/>
        <w:rPr>
          <w:sz w:val="20"/>
          <w:szCs w:val="20"/>
          <w:color w:val="auto"/>
        </w:rPr>
      </w:pPr>
      <w:r>
        <w:rPr>
          <w:rFonts w:ascii="Arial" w:cs="Arial" w:eastAsia="Arial" w:hAnsi="Arial"/>
          <w:sz w:val="18"/>
          <w:szCs w:val="18"/>
          <w:color w:val="auto"/>
        </w:rPr>
        <w:t>Additional information about each named executive officer’s individual 2018 compensation arrangement and individual performance during the year is provided later in this section.</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Base Salary</w:t>
      </w:r>
    </w:p>
    <w:p>
      <w:pPr>
        <w:spacing w:after="0" w:line="35" w:lineRule="exact"/>
        <w:rPr>
          <w:sz w:val="20"/>
          <w:szCs w:val="20"/>
          <w:color w:val="auto"/>
        </w:rPr>
      </w:pPr>
    </w:p>
    <w:p>
      <w:pPr>
        <w:jc w:val="both"/>
        <w:ind w:left="220" w:right="360"/>
        <w:spacing w:after="0" w:line="239" w:lineRule="auto"/>
        <w:rPr>
          <w:sz w:val="20"/>
          <w:szCs w:val="20"/>
          <w:color w:val="auto"/>
        </w:rPr>
      </w:pPr>
      <w:r>
        <w:rPr>
          <w:rFonts w:ascii="Arial" w:cs="Arial" w:eastAsia="Arial" w:hAnsi="Arial"/>
          <w:sz w:val="18"/>
          <w:szCs w:val="18"/>
          <w:color w:val="auto"/>
        </w:rPr>
        <w:t>Base salary is typically determined annually by reference to an executive’s individual performance and experience and our company’s financial performance, as well as competitive considerations, such as salaries prevailing in the relevant market. Base salaries are also evaluated in connection with promotions and other changes in job responsibilities.</w:t>
      </w:r>
    </w:p>
    <w:p>
      <w:pPr>
        <w:spacing w:after="0" w:line="95" w:lineRule="exact"/>
        <w:rPr>
          <w:sz w:val="20"/>
          <w:szCs w:val="20"/>
          <w:color w:val="auto"/>
        </w:rPr>
      </w:pPr>
    </w:p>
    <w:p>
      <w:pPr>
        <w:ind w:left="220" w:right="240"/>
        <w:spacing w:after="0" w:line="239" w:lineRule="auto"/>
        <w:rPr>
          <w:sz w:val="20"/>
          <w:szCs w:val="20"/>
          <w:color w:val="auto"/>
        </w:rPr>
      </w:pPr>
      <w:r>
        <w:rPr>
          <w:rFonts w:ascii="Arial" w:cs="Arial" w:eastAsia="Arial" w:hAnsi="Arial"/>
          <w:sz w:val="18"/>
          <w:szCs w:val="18"/>
          <w:color w:val="auto"/>
        </w:rPr>
        <w:t>The HR Committee establishes Mr. Smith’s base salary and also considers any increases to the base salaries of our other named executive officers based on Mr. Smith’s recommendations for each individual. In addition to the considerations described above, the HR Committee also takes into account any applicable merit increase guidelines established for our employees.</w:t>
      </w:r>
    </w:p>
    <w:p>
      <w:pPr>
        <w:spacing w:after="0" w:line="95"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In 2018, our company’s standard merit increase in the United States for employee base salaries was 2.7% (effective on April 1 of the year). In light of various changes made to their compensation packages in previous years and an evaluation of current market positioning of their compensation, our CEO and CFO did not receive a base salary increase in 2018. As part of restructuring Thomson Reuters into a new customer-focused organization, Messrs. Peccarelli and Masterson each received increases to their base salary.</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Base salaries for each of our named executive officers are described later in this section of the circular.</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Annual Incentive Awards</w:t>
      </w:r>
    </w:p>
    <w:p>
      <w:pPr>
        <w:spacing w:after="0" w:line="22" w:lineRule="exact"/>
        <w:rPr>
          <w:sz w:val="20"/>
          <w:szCs w:val="20"/>
          <w:color w:val="auto"/>
        </w:rPr>
      </w:pPr>
    </w:p>
    <w:p>
      <w:pPr>
        <w:jc w:val="both"/>
        <w:ind w:left="220" w:right="100"/>
        <w:spacing w:after="0" w:line="239" w:lineRule="auto"/>
        <w:rPr>
          <w:sz w:val="20"/>
          <w:szCs w:val="20"/>
          <w:color w:val="auto"/>
        </w:rPr>
      </w:pPr>
      <w:r>
        <w:rPr>
          <w:rFonts w:ascii="Arial" w:cs="Arial" w:eastAsia="Arial" w:hAnsi="Arial"/>
          <w:sz w:val="18"/>
          <w:szCs w:val="18"/>
          <w:color w:val="auto"/>
        </w:rPr>
        <w:t>We provide an annual, cash-based incentive award opportunity to each of our named executive officers which is based on our company’s actual financial performance compared to our annual operating plan for the year and an assessment of performance against key strategic objectives.</w:t>
      </w:r>
    </w:p>
    <w:p>
      <w:pPr>
        <w:spacing w:after="0" w:line="95" w:lineRule="exact"/>
        <w:rPr>
          <w:sz w:val="20"/>
          <w:szCs w:val="20"/>
          <w:color w:val="auto"/>
        </w:rPr>
      </w:pPr>
    </w:p>
    <w:p>
      <w:pPr>
        <w:ind w:left="220" w:right="380"/>
        <w:spacing w:after="0" w:line="239" w:lineRule="auto"/>
        <w:rPr>
          <w:sz w:val="20"/>
          <w:szCs w:val="20"/>
          <w:color w:val="auto"/>
        </w:rPr>
      </w:pPr>
      <w:r>
        <w:rPr>
          <w:rFonts w:ascii="Arial" w:cs="Arial" w:eastAsia="Arial" w:hAnsi="Arial"/>
          <w:sz w:val="18"/>
          <w:szCs w:val="18"/>
          <w:color w:val="auto"/>
        </w:rPr>
        <w:t>Each named executive officer’s annual incentive award has a target that is expressed as a percentage of base salary. In setting target percentages, the HR Committee considers factors such as an executive’s position and responsibilities as well as competitive considerations identified through compensation benchmarking.</w:t>
      </w:r>
    </w:p>
    <w:p>
      <w:pPr>
        <w:spacing w:after="0" w:line="95" w:lineRule="exact"/>
        <w:rPr>
          <w:sz w:val="20"/>
          <w:szCs w:val="20"/>
          <w:color w:val="auto"/>
        </w:rPr>
      </w:pPr>
    </w:p>
    <w:p>
      <w:pPr>
        <w:ind w:left="220" w:right="160"/>
        <w:spacing w:after="0" w:line="237" w:lineRule="auto"/>
        <w:rPr>
          <w:sz w:val="20"/>
          <w:szCs w:val="20"/>
          <w:color w:val="auto"/>
        </w:rPr>
      </w:pPr>
      <w:r>
        <w:rPr>
          <w:rFonts w:ascii="Arial" w:cs="Arial" w:eastAsia="Arial" w:hAnsi="Arial"/>
          <w:sz w:val="18"/>
          <w:szCs w:val="18"/>
          <w:color w:val="auto"/>
        </w:rPr>
        <w:t>In the fourth quarter of 2017, senior executives from our businesses met with our CEO, CFO and other Corporate executives to discuss the 2018 operating plan, including specific objectives and targets for the plan. In developing our operating plan, management considered various factors related to our operations, products/services, competition, and economic and market conditions in the countries where we operate. Our board of directors then met with senior management in the first quarter of 2018 to review, discuss and approve the final version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120650</wp:posOffset>
            </wp:positionV>
            <wp:extent cx="697357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4"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56</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20" w:right="180"/>
        <w:spacing w:after="0" w:line="235" w:lineRule="auto"/>
        <w:rPr>
          <w:sz w:val="20"/>
          <w:szCs w:val="20"/>
          <w:color w:val="auto"/>
        </w:rPr>
      </w:pPr>
      <w:r>
        <w:rPr>
          <w:rFonts w:ascii="Arial" w:cs="Arial" w:eastAsia="Arial" w:hAnsi="Arial"/>
          <w:sz w:val="18"/>
          <w:szCs w:val="18"/>
          <w:color w:val="auto"/>
        </w:rPr>
        <w:t>After meeting with management in March 2018, the HR Committee decided that 2018 annual incentive awards for Mr. Smith and several other executive officers would be weighted 80% on Thomson Reuters’ consolidated results (excluding the results of our F&amp;R business) and 20% on F&amp;R’s results. The HR Committee felt that a plan for Mr. Smith and others that was based on the blended results would incentivize various members of the Thomson Reuters senior executive team to continue to support the F&amp;R business during the transaction process. Blended annual incentive awards were also granted to Messrs. Bello and Masterson. As Mr. Peccarelli’s responsibilities at the time were not expected to impact F&amp;R’s 2018 results, he received an annual incentive award based 100% on Thomson Reuters’ consolidated results (excluding F&amp;R). Mr. Friedenberg joined our company in December 2018 after the closing of the F&amp;R transaction and he received a similar award based 100% on Thomson Reuters results (excluding F&amp;R) that was pro rated for the numbers of days in the year that he worked at our company.</w:t>
      </w:r>
    </w:p>
    <w:p>
      <w:pPr>
        <w:spacing w:after="0" w:line="100" w:lineRule="exact"/>
        <w:rPr>
          <w:sz w:val="20"/>
          <w:szCs w:val="20"/>
          <w:color w:val="auto"/>
        </w:rPr>
      </w:pPr>
    </w:p>
    <w:p>
      <w:pPr>
        <w:ind w:left="220" w:right="540"/>
        <w:spacing w:after="0" w:line="239" w:lineRule="auto"/>
        <w:rPr>
          <w:sz w:val="20"/>
          <w:szCs w:val="20"/>
          <w:color w:val="auto"/>
        </w:rPr>
      </w:pPr>
      <w:r>
        <w:rPr>
          <w:rFonts w:ascii="Arial" w:cs="Arial" w:eastAsia="Arial" w:hAnsi="Arial"/>
          <w:sz w:val="18"/>
          <w:szCs w:val="18"/>
          <w:color w:val="auto"/>
        </w:rPr>
        <w:t>To place greater emphasis on 2018 and future year growth, the HR Committee also decided to change the weighting of the financial metrics used for 2018 annual incentive awards to enhance focus on growth as measured by book of business. The HR Committee decided that 2018 awards would be weighted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69215</wp:posOffset>
            </wp:positionV>
            <wp:extent cx="8255" cy="3416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34163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69215</wp:posOffset>
            </wp:positionV>
            <wp:extent cx="8255" cy="3416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341630"/>
                    </a:xfrm>
                    <a:prstGeom prst="rect">
                      <a:avLst/>
                    </a:prstGeom>
                    <a:noFill/>
                  </pic:spPr>
                </pic:pic>
              </a:graphicData>
            </a:graphic>
          </wp:anchor>
        </w:drawing>
      </w:r>
    </w:p>
    <w:p>
      <w:pPr>
        <w:spacing w:after="0" w:line="84"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3540" w:type="dxa"/>
            <w:vAlign w:val="bottom"/>
            <w:tcBorders>
              <w:right w:val="single" w:sz="8" w:color="CCCCCC"/>
            </w:tcBorders>
            <w:shd w:val="clear" w:color="auto" w:fill="CCCCCC"/>
          </w:tcPr>
          <w:p>
            <w:pPr>
              <w:spacing w:after="0"/>
              <w:rPr>
                <w:sz w:val="14"/>
                <w:szCs w:val="14"/>
                <w:color w:val="auto"/>
              </w:rPr>
            </w:pPr>
          </w:p>
        </w:tc>
        <w:tc>
          <w:tcPr>
            <w:tcW w:w="1760" w:type="dxa"/>
            <w:vAlign w:val="bottom"/>
            <w:tcBorders>
              <w:right w:val="single" w:sz="8" w:color="CCCCCC"/>
            </w:tcBorders>
            <w:shd w:val="clear" w:color="auto" w:fill="CCCCCC"/>
          </w:tcPr>
          <w:p>
            <w:pPr>
              <w:jc w:val="center"/>
              <w:spacing w:after="0"/>
              <w:rPr>
                <w:sz w:val="20"/>
                <w:szCs w:val="20"/>
                <w:color w:val="auto"/>
              </w:rPr>
            </w:pPr>
            <w:r>
              <w:rPr>
                <w:rFonts w:ascii="Arial" w:cs="Arial" w:eastAsia="Arial" w:hAnsi="Arial"/>
                <w:sz w:val="15"/>
                <w:szCs w:val="15"/>
                <w:b w:val="1"/>
                <w:bCs w:val="1"/>
                <w:color w:val="auto"/>
              </w:rPr>
              <w:t>Annual incentive</w:t>
            </w:r>
          </w:p>
        </w:tc>
        <w:tc>
          <w:tcPr>
            <w:tcW w:w="5680" w:type="dxa"/>
            <w:vAlign w:val="bottom"/>
            <w:shd w:val="clear" w:color="auto" w:fill="CCCCCC"/>
          </w:tcPr>
          <w:p>
            <w:pPr>
              <w:spacing w:after="0"/>
              <w:rPr>
                <w:sz w:val="14"/>
                <w:szCs w:val="14"/>
                <w:color w:val="auto"/>
              </w:rPr>
            </w:pPr>
          </w:p>
        </w:tc>
      </w:tr>
      <w:tr>
        <w:trPr>
          <w:trHeight w:val="162"/>
        </w:trPr>
        <w:tc>
          <w:tcPr>
            <w:tcW w:w="3540" w:type="dxa"/>
            <w:vAlign w:val="bottom"/>
            <w:tcBorders>
              <w:right w:val="single" w:sz="8" w:color="CCCCCC"/>
            </w:tcBorders>
            <w:shd w:val="clear" w:color="auto" w:fill="CCCCCC"/>
          </w:tcPr>
          <w:p>
            <w:pPr>
              <w:spacing w:after="0"/>
              <w:rPr>
                <w:sz w:val="14"/>
                <w:szCs w:val="14"/>
                <w:color w:val="auto"/>
              </w:rPr>
            </w:pPr>
          </w:p>
        </w:tc>
        <w:tc>
          <w:tcPr>
            <w:tcW w:w="1760" w:type="dxa"/>
            <w:vAlign w:val="bottom"/>
            <w:tcBorders>
              <w:right w:val="single" w:sz="8" w:color="CCCCCC"/>
            </w:tcBorders>
            <w:shd w:val="clear" w:color="auto" w:fill="CCCCCC"/>
          </w:tcPr>
          <w:p>
            <w:pPr>
              <w:jc w:val="center"/>
              <w:spacing w:after="0" w:line="161" w:lineRule="exact"/>
              <w:rPr>
                <w:sz w:val="20"/>
                <w:szCs w:val="20"/>
                <w:color w:val="auto"/>
              </w:rPr>
            </w:pPr>
            <w:r>
              <w:rPr>
                <w:rFonts w:ascii="Arial" w:cs="Arial" w:eastAsia="Arial" w:hAnsi="Arial"/>
                <w:sz w:val="15"/>
                <w:szCs w:val="15"/>
                <w:b w:val="1"/>
                <w:bCs w:val="1"/>
                <w:color w:val="auto"/>
              </w:rPr>
              <w:t>percentage</w:t>
            </w:r>
          </w:p>
        </w:tc>
        <w:tc>
          <w:tcPr>
            <w:tcW w:w="5680" w:type="dxa"/>
            <w:vAlign w:val="bottom"/>
            <w:shd w:val="clear" w:color="auto" w:fill="CCCCCC"/>
          </w:tcPr>
          <w:p>
            <w:pPr>
              <w:spacing w:after="0"/>
              <w:rPr>
                <w:sz w:val="14"/>
                <w:szCs w:val="14"/>
                <w:color w:val="auto"/>
              </w:rPr>
            </w:pPr>
          </w:p>
        </w:tc>
      </w:tr>
      <w:tr>
        <w:trPr>
          <w:trHeight w:val="196"/>
        </w:trPr>
        <w:tc>
          <w:tcPr>
            <w:tcW w:w="354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Financial metric</w:t>
            </w:r>
          </w:p>
        </w:tc>
        <w:tc>
          <w:tcPr>
            <w:tcW w:w="1760" w:type="dxa"/>
            <w:vAlign w:val="bottom"/>
            <w:tcBorders>
              <w:bottom w:val="single" w:sz="8" w:color="D95A3B"/>
              <w:right w:val="single" w:sz="8" w:color="CCCCCC"/>
            </w:tcBorders>
            <w:shd w:val="clear" w:color="auto" w:fill="CCCCCC"/>
          </w:tcPr>
          <w:p>
            <w:pPr>
              <w:jc w:val="center"/>
              <w:spacing w:after="0"/>
              <w:rPr>
                <w:sz w:val="20"/>
                <w:szCs w:val="20"/>
                <w:color w:val="auto"/>
              </w:rPr>
            </w:pPr>
            <w:r>
              <w:rPr>
                <w:rFonts w:ascii="Arial" w:cs="Arial" w:eastAsia="Arial" w:hAnsi="Arial"/>
                <w:sz w:val="15"/>
                <w:szCs w:val="15"/>
                <w:b w:val="1"/>
                <w:bCs w:val="1"/>
                <w:color w:val="auto"/>
              </w:rPr>
              <w:t>weighting (2018)</w:t>
            </w:r>
          </w:p>
        </w:tc>
        <w:tc>
          <w:tcPr>
            <w:tcW w:w="5680" w:type="dxa"/>
            <w:vAlign w:val="bottom"/>
            <w:tcBorders>
              <w:bottom w:val="single" w:sz="8" w:color="D95A3B"/>
            </w:tcBorders>
            <w:shd w:val="clear" w:color="auto" w:fill="CCCCCC"/>
          </w:tcPr>
          <w:p>
            <w:pPr>
              <w:ind w:left="1900"/>
              <w:spacing w:after="0"/>
              <w:rPr>
                <w:sz w:val="20"/>
                <w:szCs w:val="20"/>
                <w:color w:val="auto"/>
              </w:rPr>
            </w:pPr>
            <w:r>
              <w:rPr>
                <w:rFonts w:ascii="Arial" w:cs="Arial" w:eastAsia="Arial" w:hAnsi="Arial"/>
                <w:sz w:val="15"/>
                <w:szCs w:val="15"/>
                <w:b w:val="1"/>
                <w:bCs w:val="1"/>
                <w:color w:val="auto"/>
              </w:rPr>
              <w:t>Rationale for financial metric</w:t>
            </w:r>
          </w:p>
        </w:tc>
      </w:tr>
      <w:tr>
        <w:trPr>
          <w:trHeight w:val="160"/>
        </w:trPr>
        <w:tc>
          <w:tcPr>
            <w:tcW w:w="354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Revenues</w:t>
            </w:r>
          </w:p>
        </w:tc>
        <w:tc>
          <w:tcPr>
            <w:tcW w:w="1760" w:type="dxa"/>
            <w:vAlign w:val="bottom"/>
            <w:tcBorders>
              <w:right w:val="single" w:sz="8" w:color="AFAFAF"/>
            </w:tcBorders>
          </w:tcPr>
          <w:p>
            <w:pPr>
              <w:spacing w:after="0"/>
              <w:rPr>
                <w:sz w:val="13"/>
                <w:szCs w:val="13"/>
                <w:color w:val="auto"/>
              </w:rPr>
            </w:pPr>
          </w:p>
        </w:tc>
        <w:tc>
          <w:tcPr>
            <w:tcW w:w="5680" w:type="dxa"/>
            <w:vAlign w:val="bottom"/>
          </w:tcPr>
          <w:p>
            <w:pPr>
              <w:ind w:left="200"/>
              <w:spacing w:after="0" w:line="160" w:lineRule="exact"/>
              <w:rPr>
                <w:sz w:val="20"/>
                <w:szCs w:val="20"/>
                <w:color w:val="auto"/>
              </w:rPr>
            </w:pPr>
            <w:r>
              <w:rPr>
                <w:rFonts w:ascii="Arial" w:cs="Arial" w:eastAsia="Arial" w:hAnsi="Arial"/>
                <w:sz w:val="14"/>
                <w:szCs w:val="14"/>
                <w:color w:val="auto"/>
              </w:rPr>
              <w:t>We use revenues because they are commonly used to measure growth of our</w:t>
            </w:r>
          </w:p>
        </w:tc>
      </w:tr>
      <w:tr>
        <w:trPr>
          <w:trHeight w:val="157"/>
        </w:trPr>
        <w:tc>
          <w:tcPr>
            <w:tcW w:w="3540" w:type="dxa"/>
            <w:vAlign w:val="bottom"/>
            <w:tcBorders>
              <w:bottom w:val="single" w:sz="8" w:color="AFAFAF"/>
              <w:right w:val="single" w:sz="8" w:color="AFAFAF"/>
            </w:tcBorders>
          </w:tcPr>
          <w:p>
            <w:pPr>
              <w:spacing w:after="0"/>
              <w:rPr>
                <w:sz w:val="13"/>
                <w:szCs w:val="13"/>
                <w:color w:val="auto"/>
              </w:rPr>
            </w:pPr>
          </w:p>
        </w:tc>
        <w:tc>
          <w:tcPr>
            <w:tcW w:w="1760" w:type="dxa"/>
            <w:vAlign w:val="bottom"/>
            <w:tcBorders>
              <w:bottom w:val="single" w:sz="8" w:color="AFAFAF"/>
              <w:right w:val="single" w:sz="8" w:color="AFAFAF"/>
            </w:tcBorders>
          </w:tcPr>
          <w:p>
            <w:pPr>
              <w:jc w:val="center"/>
              <w:ind w:left="6"/>
              <w:spacing w:after="0" w:line="157" w:lineRule="exact"/>
              <w:rPr>
                <w:sz w:val="20"/>
                <w:szCs w:val="20"/>
                <w:color w:val="auto"/>
              </w:rPr>
            </w:pPr>
            <w:r>
              <w:rPr>
                <w:rFonts w:ascii="Arial" w:cs="Arial" w:eastAsia="Arial" w:hAnsi="Arial"/>
                <w:sz w:val="14"/>
                <w:szCs w:val="14"/>
                <w:color w:val="auto"/>
              </w:rPr>
              <w:t>1/3</w:t>
            </w:r>
          </w:p>
        </w:tc>
        <w:tc>
          <w:tcPr>
            <w:tcW w:w="5680" w:type="dxa"/>
            <w:vAlign w:val="bottom"/>
            <w:tcBorders>
              <w:bottom w:val="single" w:sz="8" w:color="AFAFAF"/>
            </w:tcBorders>
          </w:tcPr>
          <w:p>
            <w:pPr>
              <w:ind w:left="200"/>
              <w:spacing w:after="0" w:line="157" w:lineRule="exact"/>
              <w:rPr>
                <w:sz w:val="20"/>
                <w:szCs w:val="20"/>
                <w:color w:val="auto"/>
              </w:rPr>
            </w:pPr>
            <w:r>
              <w:rPr>
                <w:rFonts w:ascii="Arial" w:cs="Arial" w:eastAsia="Arial" w:hAnsi="Arial"/>
                <w:sz w:val="14"/>
                <w:szCs w:val="14"/>
                <w:color w:val="auto"/>
              </w:rPr>
              <w:t>business</w:t>
            </w:r>
          </w:p>
        </w:tc>
      </w:tr>
      <w:tr>
        <w:trPr>
          <w:trHeight w:val="142"/>
        </w:trPr>
        <w:tc>
          <w:tcPr>
            <w:tcW w:w="354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Adjusted EBITDA less capital expenditures</w:t>
            </w:r>
          </w:p>
        </w:tc>
        <w:tc>
          <w:tcPr>
            <w:tcW w:w="1760" w:type="dxa"/>
            <w:vAlign w:val="bottom"/>
            <w:tcBorders>
              <w:right w:val="single" w:sz="8" w:color="AFAFAF"/>
            </w:tcBorders>
          </w:tcPr>
          <w:p>
            <w:pPr>
              <w:spacing w:after="0"/>
              <w:rPr>
                <w:sz w:val="12"/>
                <w:szCs w:val="12"/>
                <w:color w:val="auto"/>
              </w:rPr>
            </w:pPr>
          </w:p>
        </w:tc>
        <w:tc>
          <w:tcPr>
            <w:tcW w:w="5680" w:type="dxa"/>
            <w:vAlign w:val="bottom"/>
          </w:tcPr>
          <w:p>
            <w:pPr>
              <w:ind w:left="200"/>
              <w:spacing w:after="0" w:line="142" w:lineRule="exact"/>
              <w:rPr>
                <w:sz w:val="20"/>
                <w:szCs w:val="20"/>
                <w:color w:val="auto"/>
              </w:rPr>
            </w:pPr>
            <w:r>
              <w:rPr>
                <w:rFonts w:ascii="Arial" w:cs="Arial" w:eastAsia="Arial" w:hAnsi="Arial"/>
                <w:sz w:val="14"/>
                <w:szCs w:val="14"/>
                <w:color w:val="auto"/>
              </w:rPr>
              <w:t>We use adjusted EBITDA less capital expenditures (referred to internally as “cash OI”)</w:t>
            </w:r>
          </w:p>
        </w:tc>
      </w:tr>
      <w:tr>
        <w:trPr>
          <w:trHeight w:val="180"/>
        </w:trPr>
        <w:tc>
          <w:tcPr>
            <w:tcW w:w="3540" w:type="dxa"/>
            <w:vAlign w:val="bottom"/>
            <w:tcBorders>
              <w:right w:val="single" w:sz="8" w:color="AFAFAF"/>
            </w:tcBorders>
          </w:tcPr>
          <w:p>
            <w:pPr>
              <w:ind w:left="140"/>
              <w:spacing w:after="0"/>
              <w:rPr>
                <w:sz w:val="20"/>
                <w:szCs w:val="20"/>
                <w:color w:val="auto"/>
              </w:rPr>
            </w:pPr>
            <w:r>
              <w:rPr>
                <w:rFonts w:ascii="Arial" w:cs="Arial" w:eastAsia="Arial" w:hAnsi="Arial"/>
                <w:sz w:val="14"/>
                <w:szCs w:val="14"/>
                <w:b w:val="1"/>
                <w:bCs w:val="1"/>
                <w:color w:val="auto"/>
              </w:rPr>
              <w:t>(cash OI)</w:t>
            </w:r>
          </w:p>
        </w:tc>
        <w:tc>
          <w:tcPr>
            <w:tcW w:w="1760" w:type="dxa"/>
            <w:vAlign w:val="bottom"/>
            <w:tcBorders>
              <w:right w:val="single" w:sz="8" w:color="AFAFAF"/>
            </w:tcBorders>
          </w:tcPr>
          <w:p>
            <w:pPr>
              <w:spacing w:after="0"/>
              <w:rPr>
                <w:sz w:val="15"/>
                <w:szCs w:val="15"/>
                <w:color w:val="auto"/>
              </w:rPr>
            </w:pPr>
          </w:p>
        </w:tc>
        <w:tc>
          <w:tcPr>
            <w:tcW w:w="5680" w:type="dxa"/>
            <w:vAlign w:val="bottom"/>
          </w:tcPr>
          <w:p>
            <w:pPr>
              <w:ind w:left="200"/>
              <w:spacing w:after="0"/>
              <w:rPr>
                <w:sz w:val="20"/>
                <w:szCs w:val="20"/>
                <w:color w:val="auto"/>
              </w:rPr>
            </w:pPr>
            <w:r>
              <w:rPr>
                <w:rFonts w:ascii="Arial" w:cs="Arial" w:eastAsia="Arial" w:hAnsi="Arial"/>
                <w:sz w:val="14"/>
                <w:szCs w:val="14"/>
                <w:color w:val="auto"/>
              </w:rPr>
              <w:t>because it provides a basis for evaluating the operating profitability and capital</w:t>
            </w:r>
          </w:p>
        </w:tc>
      </w:tr>
      <w:tr>
        <w:trPr>
          <w:trHeight w:val="162"/>
        </w:trPr>
        <w:tc>
          <w:tcPr>
            <w:tcW w:w="3540" w:type="dxa"/>
            <w:vAlign w:val="bottom"/>
            <w:tcBorders>
              <w:right w:val="single" w:sz="8" w:color="AFAFAF"/>
            </w:tcBorders>
          </w:tcPr>
          <w:p>
            <w:pPr>
              <w:spacing w:after="0"/>
              <w:rPr>
                <w:sz w:val="14"/>
                <w:szCs w:val="14"/>
                <w:color w:val="auto"/>
              </w:rPr>
            </w:pPr>
          </w:p>
        </w:tc>
        <w:tc>
          <w:tcPr>
            <w:tcW w:w="1760" w:type="dxa"/>
            <w:vAlign w:val="bottom"/>
            <w:tcBorders>
              <w:right w:val="single" w:sz="8" w:color="AFAFAF"/>
            </w:tcBorders>
          </w:tcPr>
          <w:p>
            <w:pPr>
              <w:spacing w:after="0"/>
              <w:rPr>
                <w:sz w:val="14"/>
                <w:szCs w:val="14"/>
                <w:color w:val="auto"/>
              </w:rPr>
            </w:pPr>
          </w:p>
        </w:tc>
        <w:tc>
          <w:tcPr>
            <w:tcW w:w="5680" w:type="dxa"/>
            <w:vAlign w:val="bottom"/>
          </w:tcPr>
          <w:p>
            <w:pPr>
              <w:ind w:left="200"/>
              <w:spacing w:after="0"/>
              <w:rPr>
                <w:sz w:val="20"/>
                <w:szCs w:val="20"/>
                <w:color w:val="auto"/>
              </w:rPr>
            </w:pPr>
            <w:r>
              <w:rPr>
                <w:rFonts w:ascii="Arial" w:cs="Arial" w:eastAsia="Arial" w:hAnsi="Arial"/>
                <w:sz w:val="14"/>
                <w:szCs w:val="14"/>
                <w:color w:val="auto"/>
              </w:rPr>
              <w:t>intensity of our business in a single measure. This measure captures investments</w:t>
            </w:r>
          </w:p>
        </w:tc>
      </w:tr>
      <w:tr>
        <w:trPr>
          <w:trHeight w:val="157"/>
        </w:trPr>
        <w:tc>
          <w:tcPr>
            <w:tcW w:w="3540" w:type="dxa"/>
            <w:vAlign w:val="bottom"/>
            <w:tcBorders>
              <w:bottom w:val="single" w:sz="8" w:color="AFAFAF"/>
              <w:right w:val="single" w:sz="8" w:color="AFAFAF"/>
            </w:tcBorders>
          </w:tcPr>
          <w:p>
            <w:pPr>
              <w:spacing w:after="0"/>
              <w:rPr>
                <w:sz w:val="13"/>
                <w:szCs w:val="13"/>
                <w:color w:val="auto"/>
              </w:rPr>
            </w:pPr>
          </w:p>
        </w:tc>
        <w:tc>
          <w:tcPr>
            <w:tcW w:w="1760" w:type="dxa"/>
            <w:vAlign w:val="bottom"/>
            <w:tcBorders>
              <w:bottom w:val="single" w:sz="8" w:color="AFAFAF"/>
              <w:right w:val="single" w:sz="8" w:color="AFAFAF"/>
            </w:tcBorders>
          </w:tcPr>
          <w:p>
            <w:pPr>
              <w:jc w:val="center"/>
              <w:ind w:left="6"/>
              <w:spacing w:after="0" w:line="157" w:lineRule="exact"/>
              <w:rPr>
                <w:sz w:val="20"/>
                <w:szCs w:val="20"/>
                <w:color w:val="auto"/>
              </w:rPr>
            </w:pPr>
            <w:r>
              <w:rPr>
                <w:rFonts w:ascii="Arial" w:cs="Arial" w:eastAsia="Arial" w:hAnsi="Arial"/>
                <w:sz w:val="14"/>
                <w:szCs w:val="14"/>
                <w:color w:val="auto"/>
              </w:rPr>
              <w:t>1/3</w:t>
            </w:r>
          </w:p>
        </w:tc>
        <w:tc>
          <w:tcPr>
            <w:tcW w:w="5680" w:type="dxa"/>
            <w:vAlign w:val="bottom"/>
            <w:tcBorders>
              <w:bottom w:val="single" w:sz="8" w:color="AFAFAF"/>
            </w:tcBorders>
          </w:tcPr>
          <w:p>
            <w:pPr>
              <w:ind w:left="200"/>
              <w:spacing w:after="0" w:line="157" w:lineRule="exact"/>
              <w:rPr>
                <w:sz w:val="20"/>
                <w:szCs w:val="20"/>
                <w:color w:val="auto"/>
              </w:rPr>
            </w:pPr>
            <w:r>
              <w:rPr>
                <w:rFonts w:ascii="Arial" w:cs="Arial" w:eastAsia="Arial" w:hAnsi="Arial"/>
                <w:sz w:val="14"/>
                <w:szCs w:val="14"/>
                <w:color w:val="auto"/>
              </w:rPr>
              <w:t>regardless of whether they are expensed or capitalized</w:t>
            </w:r>
          </w:p>
        </w:tc>
      </w:tr>
      <w:tr>
        <w:trPr>
          <w:trHeight w:val="160"/>
        </w:trPr>
        <w:tc>
          <w:tcPr>
            <w:tcW w:w="354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“Book of business” or ACV</w:t>
            </w:r>
          </w:p>
        </w:tc>
        <w:tc>
          <w:tcPr>
            <w:tcW w:w="1760" w:type="dxa"/>
            <w:vAlign w:val="bottom"/>
            <w:tcBorders>
              <w:right w:val="single" w:sz="8" w:color="AFAFAF"/>
            </w:tcBorders>
          </w:tcPr>
          <w:p>
            <w:pPr>
              <w:spacing w:after="0"/>
              <w:rPr>
                <w:sz w:val="13"/>
                <w:szCs w:val="13"/>
                <w:color w:val="auto"/>
              </w:rPr>
            </w:pPr>
          </w:p>
        </w:tc>
        <w:tc>
          <w:tcPr>
            <w:tcW w:w="5680" w:type="dxa"/>
            <w:vAlign w:val="bottom"/>
          </w:tcPr>
          <w:p>
            <w:pPr>
              <w:ind w:left="200"/>
              <w:spacing w:after="0" w:line="160" w:lineRule="exact"/>
              <w:rPr>
                <w:sz w:val="20"/>
                <w:szCs w:val="20"/>
                <w:color w:val="auto"/>
              </w:rPr>
            </w:pPr>
            <w:r>
              <w:rPr>
                <w:rFonts w:ascii="Arial" w:cs="Arial" w:eastAsia="Arial" w:hAnsi="Arial"/>
                <w:sz w:val="14"/>
                <w:szCs w:val="14"/>
                <w:color w:val="auto"/>
              </w:rPr>
              <w:t>We use book of business because it is focused on recurring or subscription-based</w:t>
            </w:r>
          </w:p>
        </w:tc>
      </w:tr>
      <w:tr>
        <w:trPr>
          <w:trHeight w:val="162"/>
        </w:trPr>
        <w:tc>
          <w:tcPr>
            <w:tcW w:w="3540" w:type="dxa"/>
            <w:vAlign w:val="bottom"/>
            <w:tcBorders>
              <w:right w:val="single" w:sz="8" w:color="AFAFAF"/>
            </w:tcBorders>
          </w:tcPr>
          <w:p>
            <w:pPr>
              <w:spacing w:after="0"/>
              <w:rPr>
                <w:sz w:val="14"/>
                <w:szCs w:val="14"/>
                <w:color w:val="auto"/>
              </w:rPr>
            </w:pPr>
          </w:p>
        </w:tc>
        <w:tc>
          <w:tcPr>
            <w:tcW w:w="1760" w:type="dxa"/>
            <w:vAlign w:val="bottom"/>
            <w:tcBorders>
              <w:right w:val="single" w:sz="8" w:color="AFAFAF"/>
            </w:tcBorders>
          </w:tcPr>
          <w:p>
            <w:pPr>
              <w:spacing w:after="0"/>
              <w:rPr>
                <w:sz w:val="14"/>
                <w:szCs w:val="14"/>
                <w:color w:val="auto"/>
              </w:rPr>
            </w:pPr>
          </w:p>
        </w:tc>
        <w:tc>
          <w:tcPr>
            <w:tcW w:w="5680" w:type="dxa"/>
            <w:vAlign w:val="bottom"/>
          </w:tcPr>
          <w:p>
            <w:pPr>
              <w:ind w:left="200"/>
              <w:spacing w:after="0"/>
              <w:rPr>
                <w:sz w:val="20"/>
                <w:szCs w:val="20"/>
                <w:color w:val="auto"/>
              </w:rPr>
            </w:pPr>
            <w:r>
              <w:rPr>
                <w:rFonts w:ascii="Arial" w:cs="Arial" w:eastAsia="Arial" w:hAnsi="Arial"/>
                <w:sz w:val="14"/>
                <w:szCs w:val="14"/>
                <w:color w:val="auto"/>
              </w:rPr>
              <w:t>revenue that customers have contractually agreed to for a period of time, generally 12</w:t>
            </w:r>
          </w:p>
        </w:tc>
      </w:tr>
      <w:tr>
        <w:trPr>
          <w:trHeight w:val="157"/>
        </w:trPr>
        <w:tc>
          <w:tcPr>
            <w:tcW w:w="3540" w:type="dxa"/>
            <w:vAlign w:val="bottom"/>
            <w:tcBorders>
              <w:bottom w:val="single" w:sz="8" w:color="D95A3B"/>
              <w:right w:val="single" w:sz="8" w:color="AFAFAF"/>
            </w:tcBorders>
          </w:tcPr>
          <w:p>
            <w:pPr>
              <w:spacing w:after="0"/>
              <w:rPr>
                <w:sz w:val="13"/>
                <w:szCs w:val="13"/>
                <w:color w:val="auto"/>
              </w:rPr>
            </w:pPr>
          </w:p>
        </w:tc>
        <w:tc>
          <w:tcPr>
            <w:tcW w:w="1760" w:type="dxa"/>
            <w:vAlign w:val="bottom"/>
            <w:tcBorders>
              <w:bottom w:val="single" w:sz="8" w:color="D95A3B"/>
              <w:right w:val="single" w:sz="8" w:color="AFAFAF"/>
            </w:tcBorders>
          </w:tcPr>
          <w:p>
            <w:pPr>
              <w:jc w:val="center"/>
              <w:ind w:left="6"/>
              <w:spacing w:after="0" w:line="157" w:lineRule="exact"/>
              <w:rPr>
                <w:sz w:val="20"/>
                <w:szCs w:val="20"/>
                <w:color w:val="auto"/>
              </w:rPr>
            </w:pPr>
            <w:r>
              <w:rPr>
                <w:rFonts w:ascii="Arial" w:cs="Arial" w:eastAsia="Arial" w:hAnsi="Arial"/>
                <w:sz w:val="14"/>
                <w:szCs w:val="14"/>
                <w:color w:val="auto"/>
              </w:rPr>
              <w:t>1/3</w:t>
            </w:r>
          </w:p>
        </w:tc>
        <w:tc>
          <w:tcPr>
            <w:tcW w:w="5680" w:type="dxa"/>
            <w:vAlign w:val="bottom"/>
            <w:tcBorders>
              <w:bottom w:val="single" w:sz="8" w:color="D95A3B"/>
            </w:tcBorders>
          </w:tcPr>
          <w:p>
            <w:pPr>
              <w:ind w:left="200"/>
              <w:spacing w:after="0" w:line="157" w:lineRule="exact"/>
              <w:rPr>
                <w:sz w:val="20"/>
                <w:szCs w:val="20"/>
                <w:color w:val="auto"/>
              </w:rPr>
            </w:pPr>
            <w:r>
              <w:rPr>
                <w:rFonts w:ascii="Arial" w:cs="Arial" w:eastAsia="Arial" w:hAnsi="Arial"/>
                <w:sz w:val="14"/>
                <w:szCs w:val="14"/>
                <w:color w:val="auto"/>
              </w:rPr>
              <w:t>consecutive months</w:t>
            </w:r>
          </w:p>
        </w:tc>
      </w:tr>
    </w:tbl>
    <w:p>
      <w:pPr>
        <w:spacing w:after="0" w:line="107" w:lineRule="exact"/>
        <w:rPr>
          <w:sz w:val="20"/>
          <w:szCs w:val="20"/>
          <w:color w:val="auto"/>
        </w:rPr>
      </w:pPr>
    </w:p>
    <w:p>
      <w:pPr>
        <w:jc w:val="both"/>
        <w:ind w:left="220"/>
        <w:spacing w:after="0" w:line="244" w:lineRule="auto"/>
        <w:rPr>
          <w:sz w:val="20"/>
          <w:szCs w:val="20"/>
          <w:color w:val="auto"/>
        </w:rPr>
      </w:pPr>
      <w:r>
        <w:rPr>
          <w:rFonts w:ascii="Arial" w:cs="Arial" w:eastAsia="Arial" w:hAnsi="Arial"/>
          <w:sz w:val="18"/>
          <w:szCs w:val="18"/>
          <w:color w:val="auto"/>
        </w:rPr>
        <w:t>2017 annual incentive awards had been weighted 40% on revenues, 40% on adjusted EBITDA less capital expenditures and 20% on book of business.</w:t>
      </w:r>
    </w:p>
    <w:p>
      <w:pPr>
        <w:spacing w:after="0" w:line="91" w:lineRule="exact"/>
        <w:rPr>
          <w:sz w:val="20"/>
          <w:szCs w:val="20"/>
          <w:color w:val="auto"/>
        </w:rPr>
      </w:pPr>
    </w:p>
    <w:p>
      <w:pPr>
        <w:ind w:left="220" w:right="80"/>
        <w:spacing w:after="0" w:line="239" w:lineRule="auto"/>
        <w:rPr>
          <w:sz w:val="20"/>
          <w:szCs w:val="20"/>
          <w:color w:val="auto"/>
        </w:rPr>
      </w:pPr>
      <w:r>
        <w:rPr>
          <w:rFonts w:ascii="Arial" w:cs="Arial" w:eastAsia="Arial" w:hAnsi="Arial"/>
          <w:sz w:val="18"/>
          <w:szCs w:val="18"/>
          <w:color w:val="auto"/>
        </w:rPr>
        <w:t>The HR Committee believes that these shorter term financial metrics complement metrics reflected in long-term incentive awards and that the addition of an individual performance adjustment tied to strategic objectives provides the appropriate balance between delivering financial results and focusing on key business and functional priorities that position the organization for long-term success.</w:t>
      </w:r>
    </w:p>
    <w:p>
      <w:pPr>
        <w:spacing w:after="0" w:line="95" w:lineRule="exact"/>
        <w:rPr>
          <w:sz w:val="20"/>
          <w:szCs w:val="20"/>
          <w:color w:val="auto"/>
        </w:rPr>
      </w:pPr>
    </w:p>
    <w:p>
      <w:pPr>
        <w:ind w:left="220" w:right="440"/>
        <w:spacing w:after="0" w:line="244" w:lineRule="auto"/>
        <w:rPr>
          <w:sz w:val="20"/>
          <w:szCs w:val="20"/>
          <w:color w:val="auto"/>
        </w:rPr>
      </w:pPr>
      <w:r>
        <w:rPr>
          <w:rFonts w:ascii="Arial" w:cs="Arial" w:eastAsia="Arial" w:hAnsi="Arial"/>
          <w:sz w:val="18"/>
          <w:szCs w:val="18"/>
          <w:color w:val="auto"/>
        </w:rPr>
        <w:t>Potential payouts for 2018 annual incentive awards ranged from 0% to 200% of the target award depending on financial performance against the goals set by the HR Committee at the beginning of the year.</w:t>
      </w:r>
    </w:p>
    <w:p>
      <w:pPr>
        <w:spacing w:after="0" w:line="91" w:lineRule="exact"/>
        <w:rPr>
          <w:sz w:val="20"/>
          <w:szCs w:val="20"/>
          <w:color w:val="auto"/>
        </w:rPr>
      </w:pPr>
    </w:p>
    <w:p>
      <w:pPr>
        <w:ind w:left="220" w:right="120"/>
        <w:spacing w:after="0" w:line="239" w:lineRule="auto"/>
        <w:rPr>
          <w:sz w:val="20"/>
          <w:szCs w:val="20"/>
          <w:color w:val="auto"/>
        </w:rPr>
      </w:pPr>
      <w:r>
        <w:rPr>
          <w:rFonts w:ascii="Arial" w:cs="Arial" w:eastAsia="Arial" w:hAnsi="Arial"/>
          <w:sz w:val="18"/>
          <w:szCs w:val="18"/>
          <w:color w:val="auto"/>
        </w:rPr>
        <w:t>As part of the HR Committee’s design principles for 2018 annual incentive awards, targets and actual results are evaluated on a constant currency basis. In addition, in determining performance, guiding principles approved by the HR Committee for annual incentive awards contemplate adjustments for:</w:t>
      </w:r>
    </w:p>
    <w:p>
      <w:pPr>
        <w:spacing w:after="0" w:line="108" w:lineRule="exact"/>
        <w:rPr>
          <w:sz w:val="20"/>
          <w:szCs w:val="20"/>
          <w:color w:val="auto"/>
        </w:rPr>
      </w:pPr>
    </w:p>
    <w:p>
      <w:pPr>
        <w:ind w:left="700" w:hanging="262"/>
        <w:spacing w:after="0"/>
        <w:tabs>
          <w:tab w:leader="none" w:pos="700" w:val="left"/>
        </w:tabs>
        <w:numPr>
          <w:ilvl w:val="0"/>
          <w:numId w:val="38"/>
        </w:numPr>
        <w:rPr>
          <w:rFonts w:ascii="Arial" w:cs="Arial" w:eastAsia="Arial" w:hAnsi="Arial"/>
          <w:sz w:val="15"/>
          <w:szCs w:val="15"/>
          <w:color w:val="auto"/>
        </w:rPr>
      </w:pPr>
      <w:r>
        <w:rPr>
          <w:rFonts w:ascii="Arial" w:cs="Arial" w:eastAsia="Arial" w:hAnsi="Arial"/>
          <w:sz w:val="18"/>
          <w:szCs w:val="18"/>
          <w:color w:val="auto"/>
        </w:rPr>
        <w:t>Acquisitions and disposals not in our company’s 2018 operating plan;</w:t>
      </w:r>
    </w:p>
    <w:p>
      <w:pPr>
        <w:spacing w:after="0" w:line="89" w:lineRule="exact"/>
        <w:rPr>
          <w:rFonts w:ascii="Arial" w:cs="Arial" w:eastAsia="Arial" w:hAnsi="Arial"/>
          <w:sz w:val="15"/>
          <w:szCs w:val="15"/>
          <w:color w:val="auto"/>
        </w:rPr>
      </w:pPr>
    </w:p>
    <w:p>
      <w:pPr>
        <w:ind w:left="700" w:right="280" w:hanging="262"/>
        <w:spacing w:after="0" w:line="244" w:lineRule="auto"/>
        <w:tabs>
          <w:tab w:leader="none" w:pos="700" w:val="left"/>
        </w:tabs>
        <w:numPr>
          <w:ilvl w:val="0"/>
          <w:numId w:val="38"/>
        </w:numPr>
        <w:rPr>
          <w:rFonts w:ascii="Arial" w:cs="Arial" w:eastAsia="Arial" w:hAnsi="Arial"/>
          <w:sz w:val="15"/>
          <w:szCs w:val="15"/>
          <w:color w:val="auto"/>
        </w:rPr>
      </w:pPr>
      <w:r>
        <w:rPr>
          <w:rFonts w:ascii="Arial" w:cs="Arial" w:eastAsia="Arial" w:hAnsi="Arial"/>
          <w:sz w:val="18"/>
          <w:szCs w:val="18"/>
          <w:color w:val="auto"/>
        </w:rPr>
        <w:t>One-time charges (above a specified financial threshold) that were not foreseen in the 2018 operating plan and where the related savings are outside of the plan period;</w:t>
      </w:r>
    </w:p>
    <w:p>
      <w:pPr>
        <w:spacing w:after="0" w:line="63" w:lineRule="exact"/>
        <w:rPr>
          <w:rFonts w:ascii="Arial" w:cs="Arial" w:eastAsia="Arial" w:hAnsi="Arial"/>
          <w:sz w:val="15"/>
          <w:szCs w:val="15"/>
          <w:color w:val="auto"/>
        </w:rPr>
      </w:pPr>
    </w:p>
    <w:p>
      <w:pPr>
        <w:ind w:left="700" w:right="660" w:hanging="262"/>
        <w:spacing w:after="0" w:line="244" w:lineRule="auto"/>
        <w:tabs>
          <w:tab w:leader="none" w:pos="700" w:val="left"/>
        </w:tabs>
        <w:numPr>
          <w:ilvl w:val="0"/>
          <w:numId w:val="38"/>
        </w:numPr>
        <w:rPr>
          <w:rFonts w:ascii="Arial" w:cs="Arial" w:eastAsia="Arial" w:hAnsi="Arial"/>
          <w:sz w:val="15"/>
          <w:szCs w:val="15"/>
          <w:color w:val="auto"/>
        </w:rPr>
      </w:pPr>
      <w:r>
        <w:rPr>
          <w:rFonts w:ascii="Arial" w:cs="Arial" w:eastAsia="Arial" w:hAnsi="Arial"/>
          <w:sz w:val="18"/>
          <w:szCs w:val="18"/>
          <w:color w:val="auto"/>
        </w:rPr>
        <w:t>Extraordinary events which are outside of management’s control to the extent that the actual impact differs from original plan assumptions (i.e., the regulatory/tax environment and significant one-time transactions); and</w:t>
      </w:r>
    </w:p>
    <w:p>
      <w:pPr>
        <w:spacing w:after="0" w:line="63" w:lineRule="exact"/>
        <w:rPr>
          <w:rFonts w:ascii="Arial" w:cs="Arial" w:eastAsia="Arial" w:hAnsi="Arial"/>
          <w:sz w:val="15"/>
          <w:szCs w:val="15"/>
          <w:color w:val="auto"/>
        </w:rPr>
      </w:pPr>
    </w:p>
    <w:p>
      <w:pPr>
        <w:ind w:left="700" w:hanging="262"/>
        <w:spacing w:after="0"/>
        <w:tabs>
          <w:tab w:leader="none" w:pos="700" w:val="left"/>
        </w:tabs>
        <w:numPr>
          <w:ilvl w:val="0"/>
          <w:numId w:val="38"/>
        </w:numPr>
        <w:rPr>
          <w:rFonts w:ascii="Arial" w:cs="Arial" w:eastAsia="Arial" w:hAnsi="Arial"/>
          <w:sz w:val="15"/>
          <w:szCs w:val="15"/>
          <w:color w:val="auto"/>
        </w:rPr>
      </w:pPr>
      <w:r>
        <w:rPr>
          <w:rFonts w:ascii="Arial" w:cs="Arial" w:eastAsia="Arial" w:hAnsi="Arial"/>
          <w:sz w:val="18"/>
          <w:szCs w:val="18"/>
          <w:color w:val="auto"/>
        </w:rPr>
        <w:t>Changes in accounting practices to make figures comparable to the original 2018 operating plan.</w:t>
      </w:r>
    </w:p>
    <w:p>
      <w:pPr>
        <w:spacing w:after="0" w:line="116"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The following table sets forth information regarding our 2018 minimum, target, maximum and actual performance for the three financial metrics reflected in annual incentive awards granted to Messrs. Smith, Bello and Masterson, which had a payout of approximately 129% of target. 2018 targets for revenues, adjusted EBITDA less capital expenditures and book of business were higher than full-year 2017 actual results, in support of our growth initiatives. The actual performance results indicated below are not directly comparable to similar financial measures that we disclose in our 2018 annual report because they are based on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120650</wp:posOffset>
            </wp:positionV>
            <wp:extent cx="697357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4"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57</w:t>
      </w:r>
    </w:p>
    <w:p>
      <w:pPr>
        <w:sectPr>
          <w:pgSz w:w="11900" w:h="16838" w:orient="portrait"/>
          <w:cols w:equalWidth="0" w:num="1">
            <w:col w:w="11200"/>
          </w:cols>
          <w:pgMar w:left="240" w:top="458"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line="244" w:lineRule="auto"/>
        <w:rPr>
          <w:sz w:val="20"/>
          <w:szCs w:val="20"/>
          <w:color w:val="auto"/>
        </w:rPr>
      </w:pPr>
      <w:r>
        <w:rPr>
          <w:rFonts w:ascii="Arial" w:cs="Arial" w:eastAsia="Arial" w:hAnsi="Arial"/>
          <w:sz w:val="18"/>
          <w:szCs w:val="18"/>
          <w:color w:val="auto"/>
        </w:rPr>
        <w:t>internal operating plan. As discussed later in this section, payouts to Mr. Bello and Mr. Masterson were increased based on 2018 individual performance against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6354445</wp:posOffset>
            </wp:positionH>
            <wp:positionV relativeFrom="paragraph">
              <wp:posOffset>66675</wp:posOffset>
            </wp:positionV>
            <wp:extent cx="8255" cy="2393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2393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66675</wp:posOffset>
            </wp:positionV>
            <wp:extent cx="8255" cy="2393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239395"/>
                    </a:xfrm>
                    <a:prstGeom prst="rect">
                      <a:avLst/>
                    </a:prstGeom>
                    <a:noFill/>
                  </pic:spPr>
                </pic:pic>
              </a:graphicData>
            </a:graphic>
          </wp:anchor>
        </w:drawing>
        <w:drawing>
          <wp:anchor simplePos="0" relativeHeight="251657728" behindDoc="1" locked="0" layoutInCell="0" allowOverlap="1">
            <wp:simplePos x="0" y="0"/>
            <wp:positionH relativeFrom="column">
              <wp:posOffset>4696460</wp:posOffset>
            </wp:positionH>
            <wp:positionV relativeFrom="paragraph">
              <wp:posOffset>66675</wp:posOffset>
            </wp:positionV>
            <wp:extent cx="8255" cy="2393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23939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66675</wp:posOffset>
            </wp:positionV>
            <wp:extent cx="8255" cy="2393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239395"/>
                    </a:xfrm>
                    <a:prstGeom prst="rect">
                      <a:avLst/>
                    </a:prstGeom>
                    <a:noFill/>
                  </pic:spPr>
                </pic:pic>
              </a:graphicData>
            </a:graphic>
          </wp:anchor>
        </w:drawing>
        <w:drawing>
          <wp:anchor simplePos="0" relativeHeight="251657728" behindDoc="1" locked="0" layoutInCell="0" allowOverlap="1">
            <wp:simplePos x="0" y="0"/>
            <wp:positionH relativeFrom="column">
              <wp:posOffset>3107055</wp:posOffset>
            </wp:positionH>
            <wp:positionV relativeFrom="paragraph">
              <wp:posOffset>66675</wp:posOffset>
            </wp:positionV>
            <wp:extent cx="8255" cy="2393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239395"/>
                    </a:xfrm>
                    <a:prstGeom prst="rect">
                      <a:avLst/>
                    </a:prstGeom>
                    <a:noFill/>
                  </pic:spPr>
                </pic:pic>
              </a:graphicData>
            </a:graphic>
          </wp:anchor>
        </w:drawing>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700" w:type="dxa"/>
            <w:vAlign w:val="bottom"/>
            <w:tcBorders>
              <w:right w:val="single" w:sz="8" w:color="CCCCCC"/>
            </w:tcBorders>
            <w:vMerge w:val="restart"/>
            <w:shd w:val="clear" w:color="auto" w:fill="CCCCCC"/>
          </w:tcPr>
          <w:p>
            <w:pPr>
              <w:spacing w:after="0"/>
              <w:rPr>
                <w:sz w:val="20"/>
                <w:szCs w:val="20"/>
                <w:color w:val="auto"/>
              </w:rPr>
            </w:pPr>
            <w:r>
              <w:rPr>
                <w:rFonts w:ascii="Arial" w:cs="Arial" w:eastAsia="Arial" w:hAnsi="Arial"/>
                <w:sz w:val="15"/>
                <w:szCs w:val="15"/>
                <w:b w:val="1"/>
                <w:bCs w:val="1"/>
                <w:color w:val="auto"/>
              </w:rPr>
              <w:t>Performance metric (in billions of dollars)</w:t>
            </w:r>
          </w:p>
        </w:tc>
        <w:tc>
          <w:tcPr>
            <w:tcW w:w="1200" w:type="dxa"/>
            <w:vAlign w:val="bottom"/>
            <w:tcBorders>
              <w:right w:val="single" w:sz="8" w:color="CCCCCC"/>
            </w:tcBorders>
            <w:shd w:val="clear" w:color="auto" w:fill="CCCCCC"/>
          </w:tcPr>
          <w:p>
            <w:pPr>
              <w:jc w:val="right"/>
              <w:ind w:right="67"/>
              <w:spacing w:after="0"/>
              <w:rPr>
                <w:sz w:val="20"/>
                <w:szCs w:val="20"/>
                <w:color w:val="auto"/>
              </w:rPr>
            </w:pPr>
            <w:r>
              <w:rPr>
                <w:rFonts w:ascii="Arial" w:cs="Arial" w:eastAsia="Arial" w:hAnsi="Arial"/>
                <w:sz w:val="15"/>
                <w:szCs w:val="15"/>
                <w:b w:val="1"/>
                <w:bCs w:val="1"/>
                <w:color w:val="auto"/>
              </w:rPr>
              <w:t>Minimum</w:t>
            </w:r>
          </w:p>
        </w:tc>
        <w:tc>
          <w:tcPr>
            <w:tcW w:w="1300" w:type="dxa"/>
            <w:vAlign w:val="bottom"/>
            <w:tcBorders>
              <w:right w:val="single" w:sz="8" w:color="CCCCCC"/>
            </w:tcBorders>
            <w:shd w:val="clear" w:color="auto" w:fill="CCCCCC"/>
          </w:tcPr>
          <w:p>
            <w:pPr>
              <w:jc w:val="right"/>
              <w:ind w:right="167"/>
              <w:spacing w:after="0"/>
              <w:rPr>
                <w:sz w:val="20"/>
                <w:szCs w:val="20"/>
                <w:color w:val="auto"/>
              </w:rPr>
            </w:pPr>
            <w:r>
              <w:rPr>
                <w:rFonts w:ascii="Arial" w:cs="Arial" w:eastAsia="Arial" w:hAnsi="Arial"/>
                <w:sz w:val="15"/>
                <w:szCs w:val="15"/>
                <w:b w:val="1"/>
                <w:bCs w:val="1"/>
                <w:color w:val="auto"/>
              </w:rPr>
              <w:t>Target</w:t>
            </w:r>
          </w:p>
        </w:tc>
        <w:tc>
          <w:tcPr>
            <w:tcW w:w="1300" w:type="dxa"/>
            <w:vAlign w:val="bottom"/>
            <w:tcBorders>
              <w:right w:val="single" w:sz="8" w:color="CCCCCC"/>
            </w:tcBorders>
            <w:shd w:val="clear" w:color="auto" w:fill="CCCCCC"/>
          </w:tcPr>
          <w:p>
            <w:pPr>
              <w:jc w:val="right"/>
              <w:ind w:right="167"/>
              <w:spacing w:after="0"/>
              <w:rPr>
                <w:sz w:val="20"/>
                <w:szCs w:val="20"/>
                <w:color w:val="auto"/>
              </w:rPr>
            </w:pPr>
            <w:r>
              <w:rPr>
                <w:rFonts w:ascii="Arial" w:cs="Arial" w:eastAsia="Arial" w:hAnsi="Arial"/>
                <w:sz w:val="15"/>
                <w:szCs w:val="15"/>
                <w:b w:val="1"/>
                <w:bCs w:val="1"/>
                <w:color w:val="auto"/>
              </w:rPr>
              <w:t>Maximum</w:t>
            </w:r>
          </w:p>
        </w:tc>
        <w:tc>
          <w:tcPr>
            <w:tcW w:w="1300" w:type="dxa"/>
            <w:vAlign w:val="bottom"/>
            <w:tcBorders>
              <w:right w:val="single" w:sz="8" w:color="CCCCCC"/>
            </w:tcBorders>
            <w:shd w:val="clear" w:color="auto" w:fill="CCCCCC"/>
          </w:tcPr>
          <w:p>
            <w:pPr>
              <w:jc w:val="right"/>
              <w:ind w:right="147"/>
              <w:spacing w:after="0"/>
              <w:rPr>
                <w:sz w:val="20"/>
                <w:szCs w:val="20"/>
                <w:color w:val="auto"/>
              </w:rPr>
            </w:pPr>
            <w:r>
              <w:rPr>
                <w:rFonts w:ascii="Arial" w:cs="Arial" w:eastAsia="Arial" w:hAnsi="Arial"/>
                <w:sz w:val="15"/>
                <w:szCs w:val="15"/>
                <w:b w:val="1"/>
                <w:bCs w:val="1"/>
                <w:color w:val="auto"/>
              </w:rPr>
              <w:t>Actual</w:t>
            </w:r>
          </w:p>
        </w:tc>
        <w:tc>
          <w:tcPr>
            <w:tcW w:w="1180" w:type="dxa"/>
            <w:vAlign w:val="bottom"/>
            <w:shd w:val="clear" w:color="auto" w:fill="CCCCCC"/>
          </w:tcPr>
          <w:p>
            <w:pPr>
              <w:jc w:val="right"/>
              <w:ind w:right="147"/>
              <w:spacing w:after="0"/>
              <w:rPr>
                <w:sz w:val="20"/>
                <w:szCs w:val="20"/>
                <w:color w:val="auto"/>
              </w:rPr>
            </w:pPr>
            <w:r>
              <w:rPr>
                <w:rFonts w:ascii="Arial" w:cs="Arial" w:eastAsia="Arial" w:hAnsi="Arial"/>
                <w:sz w:val="15"/>
                <w:szCs w:val="15"/>
                <w:b w:val="1"/>
                <w:bCs w:val="1"/>
                <w:color w:val="auto"/>
              </w:rPr>
              <w:t>Payout</w:t>
            </w:r>
          </w:p>
        </w:tc>
        <w:tc>
          <w:tcPr>
            <w:tcW w:w="0" w:type="dxa"/>
            <w:vAlign w:val="bottom"/>
          </w:tcPr>
          <w:p>
            <w:pPr>
              <w:spacing w:after="0"/>
              <w:rPr>
                <w:sz w:val="1"/>
                <w:szCs w:val="1"/>
                <w:color w:val="auto"/>
              </w:rPr>
            </w:pPr>
          </w:p>
        </w:tc>
      </w:tr>
      <w:tr>
        <w:trPr>
          <w:trHeight w:val="188"/>
        </w:trPr>
        <w:tc>
          <w:tcPr>
            <w:tcW w:w="4700" w:type="dxa"/>
            <w:vAlign w:val="bottom"/>
            <w:tcBorders>
              <w:bottom w:val="single" w:sz="8" w:color="D95A3B"/>
              <w:right w:val="single" w:sz="8" w:color="CCCCCC"/>
            </w:tcBorders>
            <w:vMerge w:val="continue"/>
            <w:shd w:val="clear" w:color="auto" w:fill="CCCCCC"/>
          </w:tcPr>
          <w:p>
            <w:pPr>
              <w:spacing w:after="0"/>
              <w:rPr>
                <w:sz w:val="16"/>
                <w:szCs w:val="16"/>
                <w:color w:val="auto"/>
              </w:rPr>
            </w:pPr>
          </w:p>
        </w:tc>
        <w:tc>
          <w:tcPr>
            <w:tcW w:w="1200" w:type="dxa"/>
            <w:vAlign w:val="bottom"/>
            <w:tcBorders>
              <w:bottom w:val="single" w:sz="8" w:color="D95A3B"/>
              <w:right w:val="single" w:sz="8" w:color="CCCCCC"/>
            </w:tcBorders>
            <w:shd w:val="clear" w:color="auto" w:fill="CCCCCC"/>
          </w:tcPr>
          <w:p>
            <w:pPr>
              <w:jc w:val="right"/>
              <w:ind w:right="67"/>
              <w:spacing w:after="0"/>
              <w:rPr>
                <w:sz w:val="20"/>
                <w:szCs w:val="20"/>
                <w:color w:val="auto"/>
              </w:rPr>
            </w:pPr>
            <w:r>
              <w:rPr>
                <w:rFonts w:ascii="Arial" w:cs="Arial" w:eastAsia="Arial" w:hAnsi="Arial"/>
                <w:sz w:val="15"/>
                <w:szCs w:val="15"/>
                <w:b w:val="1"/>
                <w:bCs w:val="1"/>
                <w:color w:val="auto"/>
              </w:rPr>
              <w:t>performance</w:t>
            </w:r>
          </w:p>
        </w:tc>
        <w:tc>
          <w:tcPr>
            <w:tcW w:w="1300" w:type="dxa"/>
            <w:vAlign w:val="bottom"/>
            <w:tcBorders>
              <w:bottom w:val="single" w:sz="8" w:color="D95A3B"/>
              <w:right w:val="single" w:sz="8" w:color="CCCCCC"/>
            </w:tcBorders>
            <w:shd w:val="clear" w:color="auto" w:fill="CCCCCC"/>
          </w:tcPr>
          <w:p>
            <w:pPr>
              <w:jc w:val="right"/>
              <w:ind w:right="167"/>
              <w:spacing w:after="0"/>
              <w:rPr>
                <w:sz w:val="20"/>
                <w:szCs w:val="20"/>
                <w:color w:val="auto"/>
              </w:rPr>
            </w:pPr>
            <w:r>
              <w:rPr>
                <w:rFonts w:ascii="Arial" w:cs="Arial" w:eastAsia="Arial" w:hAnsi="Arial"/>
                <w:sz w:val="15"/>
                <w:szCs w:val="15"/>
                <w:b w:val="1"/>
                <w:bCs w:val="1"/>
                <w:color w:val="auto"/>
              </w:rPr>
              <w:t>performance</w:t>
            </w:r>
          </w:p>
        </w:tc>
        <w:tc>
          <w:tcPr>
            <w:tcW w:w="1300" w:type="dxa"/>
            <w:vAlign w:val="bottom"/>
            <w:tcBorders>
              <w:bottom w:val="single" w:sz="8" w:color="D95A3B"/>
              <w:right w:val="single" w:sz="8" w:color="CCCCCC"/>
            </w:tcBorders>
            <w:shd w:val="clear" w:color="auto" w:fill="CCCCCC"/>
          </w:tcPr>
          <w:p>
            <w:pPr>
              <w:jc w:val="right"/>
              <w:ind w:right="167"/>
              <w:spacing w:after="0"/>
              <w:rPr>
                <w:sz w:val="20"/>
                <w:szCs w:val="20"/>
                <w:color w:val="auto"/>
              </w:rPr>
            </w:pPr>
            <w:r>
              <w:rPr>
                <w:rFonts w:ascii="Arial" w:cs="Arial" w:eastAsia="Arial" w:hAnsi="Arial"/>
                <w:sz w:val="15"/>
                <w:szCs w:val="15"/>
                <w:b w:val="1"/>
                <w:bCs w:val="1"/>
                <w:color w:val="auto"/>
              </w:rPr>
              <w:t>performance</w:t>
            </w:r>
          </w:p>
        </w:tc>
        <w:tc>
          <w:tcPr>
            <w:tcW w:w="1300" w:type="dxa"/>
            <w:vAlign w:val="bottom"/>
            <w:tcBorders>
              <w:bottom w:val="single" w:sz="8" w:color="D95A3B"/>
              <w:right w:val="single" w:sz="8" w:color="CCCCCC"/>
            </w:tcBorders>
            <w:shd w:val="clear" w:color="auto" w:fill="CCCCCC"/>
          </w:tcPr>
          <w:p>
            <w:pPr>
              <w:jc w:val="right"/>
              <w:ind w:right="147"/>
              <w:spacing w:after="0"/>
              <w:rPr>
                <w:sz w:val="20"/>
                <w:szCs w:val="20"/>
                <w:color w:val="auto"/>
              </w:rPr>
            </w:pPr>
            <w:r>
              <w:rPr>
                <w:rFonts w:ascii="Arial" w:cs="Arial" w:eastAsia="Arial" w:hAnsi="Arial"/>
                <w:sz w:val="15"/>
                <w:szCs w:val="15"/>
                <w:b w:val="1"/>
                <w:bCs w:val="1"/>
                <w:color w:val="auto"/>
              </w:rPr>
              <w:t>performance</w:t>
            </w:r>
          </w:p>
        </w:tc>
        <w:tc>
          <w:tcPr>
            <w:tcW w:w="1180" w:type="dxa"/>
            <w:vAlign w:val="bottom"/>
            <w:tcBorders>
              <w:bottom w:val="single" w:sz="8" w:color="D95A3B"/>
            </w:tcBorders>
            <w:shd w:val="clear" w:color="auto" w:fill="CCCCCC"/>
          </w:tcPr>
          <w:p>
            <w:pPr>
              <w:jc w:val="right"/>
              <w:ind w:right="147"/>
              <w:spacing w:after="0"/>
              <w:rPr>
                <w:sz w:val="20"/>
                <w:szCs w:val="20"/>
                <w:color w:val="auto"/>
              </w:rPr>
            </w:pPr>
            <w:r>
              <w:rPr>
                <w:rFonts w:ascii="Arial" w:cs="Arial" w:eastAsia="Arial" w:hAnsi="Arial"/>
                <w:sz w:val="15"/>
                <w:szCs w:val="15"/>
                <w:b w:val="1"/>
                <w:bCs w:val="1"/>
                <w:color w:val="auto"/>
              </w:rPr>
              <w:t>percentage</w:t>
            </w:r>
          </w:p>
        </w:tc>
        <w:tc>
          <w:tcPr>
            <w:tcW w:w="0" w:type="dxa"/>
            <w:vAlign w:val="bottom"/>
          </w:tcPr>
          <w:p>
            <w:pPr>
              <w:spacing w:after="0"/>
              <w:rPr>
                <w:sz w:val="1"/>
                <w:szCs w:val="1"/>
                <w:color w:val="auto"/>
              </w:rPr>
            </w:pPr>
          </w:p>
        </w:tc>
      </w:tr>
      <w:tr>
        <w:trPr>
          <w:trHeight w:val="155"/>
        </w:trPr>
        <w:tc>
          <w:tcPr>
            <w:tcW w:w="47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Thomson Reuters performance (excluding F&amp;R)</w:t>
            </w:r>
          </w:p>
        </w:tc>
        <w:tc>
          <w:tcPr>
            <w:tcW w:w="1200" w:type="dxa"/>
            <w:vAlign w:val="bottom"/>
            <w:tcBorders>
              <w:bottom w:val="single" w:sz="8" w:color="AFAFAF"/>
              <w:right w:val="single" w:sz="8" w:color="AFAFAF"/>
            </w:tcBorders>
          </w:tcPr>
          <w:p>
            <w:pPr>
              <w:spacing w:after="0"/>
              <w:rPr>
                <w:sz w:val="13"/>
                <w:szCs w:val="13"/>
                <w:color w:val="auto"/>
              </w:rPr>
            </w:pPr>
          </w:p>
        </w:tc>
        <w:tc>
          <w:tcPr>
            <w:tcW w:w="1300" w:type="dxa"/>
            <w:vAlign w:val="bottom"/>
            <w:tcBorders>
              <w:bottom w:val="single" w:sz="8" w:color="AFAFAF"/>
              <w:right w:val="single" w:sz="8" w:color="AFAFAF"/>
            </w:tcBorders>
          </w:tcPr>
          <w:p>
            <w:pPr>
              <w:spacing w:after="0"/>
              <w:rPr>
                <w:sz w:val="13"/>
                <w:szCs w:val="13"/>
                <w:color w:val="auto"/>
              </w:rPr>
            </w:pPr>
          </w:p>
        </w:tc>
        <w:tc>
          <w:tcPr>
            <w:tcW w:w="1300" w:type="dxa"/>
            <w:vAlign w:val="bottom"/>
            <w:tcBorders>
              <w:bottom w:val="single" w:sz="8" w:color="AFAFAF"/>
              <w:right w:val="single" w:sz="8" w:color="AFAFAF"/>
            </w:tcBorders>
          </w:tcPr>
          <w:p>
            <w:pPr>
              <w:spacing w:after="0"/>
              <w:rPr>
                <w:sz w:val="13"/>
                <w:szCs w:val="13"/>
                <w:color w:val="auto"/>
              </w:rPr>
            </w:pPr>
          </w:p>
        </w:tc>
        <w:tc>
          <w:tcPr>
            <w:tcW w:w="1300" w:type="dxa"/>
            <w:vAlign w:val="bottom"/>
            <w:tcBorders>
              <w:bottom w:val="single" w:sz="8" w:color="AFAFAF"/>
              <w:right w:val="single" w:sz="8" w:color="AFAFAF"/>
            </w:tcBorders>
          </w:tcPr>
          <w:p>
            <w:pPr>
              <w:spacing w:after="0"/>
              <w:rPr>
                <w:sz w:val="13"/>
                <w:szCs w:val="13"/>
                <w:color w:val="auto"/>
              </w:rPr>
            </w:pPr>
          </w:p>
        </w:tc>
        <w:tc>
          <w:tcPr>
            <w:tcW w:w="1180" w:type="dxa"/>
            <w:vAlign w:val="bottom"/>
            <w:tcBorders>
              <w:bottom w:val="single" w:sz="8" w:color="AFAFA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12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$5.22</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$5.41</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$5.52</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$5.45</w:t>
            </w:r>
          </w:p>
        </w:tc>
        <w:tc>
          <w:tcPr>
            <w:tcW w:w="118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55"/>
        </w:trPr>
        <w:tc>
          <w:tcPr>
            <w:tcW w:w="47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Adjusted EBITDA less capital expenditures</w:t>
            </w:r>
          </w:p>
        </w:tc>
        <w:tc>
          <w:tcPr>
            <w:tcW w:w="12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$0.99</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$1.12</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$1.21</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$1.16</w:t>
            </w:r>
          </w:p>
        </w:tc>
        <w:tc>
          <w:tcPr>
            <w:tcW w:w="118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55"/>
        </w:trPr>
        <w:tc>
          <w:tcPr>
            <w:tcW w:w="47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“Book of business” or ACV</w:t>
            </w:r>
          </w:p>
        </w:tc>
        <w:tc>
          <w:tcPr>
            <w:tcW w:w="12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$3.99</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$4.17</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$4.23</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$4.18</w:t>
            </w:r>
          </w:p>
        </w:tc>
        <w:tc>
          <w:tcPr>
            <w:tcW w:w="118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55"/>
        </w:trPr>
        <w:tc>
          <w:tcPr>
            <w:tcW w:w="4700" w:type="dxa"/>
            <w:vAlign w:val="bottom"/>
            <w:tcBorders>
              <w:bottom w:val="single" w:sz="8" w:color="D95A3B"/>
              <w:right w:val="single" w:sz="8" w:color="AFAFAF"/>
            </w:tcBorders>
          </w:tcPr>
          <w:p>
            <w:pPr>
              <w:ind w:left="140"/>
              <w:spacing w:after="0" w:line="155" w:lineRule="exact"/>
              <w:rPr>
                <w:sz w:val="20"/>
                <w:szCs w:val="20"/>
                <w:color w:val="auto"/>
              </w:rPr>
            </w:pPr>
            <w:r>
              <w:rPr>
                <w:rFonts w:ascii="Arial" w:cs="Arial" w:eastAsia="Arial" w:hAnsi="Arial"/>
                <w:sz w:val="14"/>
                <w:szCs w:val="14"/>
                <w:b w:val="1"/>
                <w:bCs w:val="1"/>
                <w:color w:val="auto"/>
              </w:rPr>
              <w:t>Total Thomson Reuters performance (80%)</w:t>
            </w:r>
          </w:p>
        </w:tc>
        <w:tc>
          <w:tcPr>
            <w:tcW w:w="120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D95A3B"/>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D95A3B"/>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D95A3B"/>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D95A3B"/>
            </w:tcBorders>
          </w:tcPr>
          <w:p>
            <w:pPr>
              <w:jc w:val="center"/>
              <w:spacing w:after="0" w:line="155"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55"/>
        </w:trPr>
        <w:tc>
          <w:tcPr>
            <w:tcW w:w="47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F&amp;R performance</w:t>
            </w:r>
          </w:p>
        </w:tc>
        <w:tc>
          <w:tcPr>
            <w:tcW w:w="1200" w:type="dxa"/>
            <w:vAlign w:val="bottom"/>
            <w:tcBorders>
              <w:bottom w:val="single" w:sz="8" w:color="AFAFAF"/>
              <w:right w:val="single" w:sz="8" w:color="AFAFAF"/>
            </w:tcBorders>
          </w:tcPr>
          <w:p>
            <w:pPr>
              <w:spacing w:after="0"/>
              <w:rPr>
                <w:sz w:val="13"/>
                <w:szCs w:val="13"/>
                <w:color w:val="auto"/>
              </w:rPr>
            </w:pPr>
          </w:p>
        </w:tc>
        <w:tc>
          <w:tcPr>
            <w:tcW w:w="1300" w:type="dxa"/>
            <w:vAlign w:val="bottom"/>
            <w:tcBorders>
              <w:bottom w:val="single" w:sz="8" w:color="AFAFAF"/>
              <w:right w:val="single" w:sz="8" w:color="AFAFAF"/>
            </w:tcBorders>
          </w:tcPr>
          <w:p>
            <w:pPr>
              <w:spacing w:after="0"/>
              <w:rPr>
                <w:sz w:val="13"/>
                <w:szCs w:val="13"/>
                <w:color w:val="auto"/>
              </w:rPr>
            </w:pPr>
          </w:p>
        </w:tc>
        <w:tc>
          <w:tcPr>
            <w:tcW w:w="1300" w:type="dxa"/>
            <w:vAlign w:val="bottom"/>
            <w:tcBorders>
              <w:bottom w:val="single" w:sz="8" w:color="AFAFAF"/>
              <w:right w:val="single" w:sz="8" w:color="AFAFAF"/>
            </w:tcBorders>
          </w:tcPr>
          <w:p>
            <w:pPr>
              <w:spacing w:after="0"/>
              <w:rPr>
                <w:sz w:val="13"/>
                <w:szCs w:val="13"/>
                <w:color w:val="auto"/>
              </w:rPr>
            </w:pPr>
          </w:p>
        </w:tc>
        <w:tc>
          <w:tcPr>
            <w:tcW w:w="1300" w:type="dxa"/>
            <w:vAlign w:val="bottom"/>
            <w:tcBorders>
              <w:bottom w:val="single" w:sz="8" w:color="AFAFAF"/>
              <w:right w:val="single" w:sz="8" w:color="AFAFAF"/>
            </w:tcBorders>
          </w:tcPr>
          <w:p>
            <w:pPr>
              <w:spacing w:after="0"/>
              <w:rPr>
                <w:sz w:val="13"/>
                <w:szCs w:val="13"/>
                <w:color w:val="auto"/>
              </w:rPr>
            </w:pPr>
          </w:p>
        </w:tc>
        <w:tc>
          <w:tcPr>
            <w:tcW w:w="1180" w:type="dxa"/>
            <w:vAlign w:val="bottom"/>
            <w:tcBorders>
              <w:bottom w:val="single" w:sz="8" w:color="AFAFA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12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$5.99</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$6.21</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$6.33</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$6.27</w:t>
            </w:r>
          </w:p>
        </w:tc>
        <w:tc>
          <w:tcPr>
            <w:tcW w:w="118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55"/>
        </w:trPr>
        <w:tc>
          <w:tcPr>
            <w:tcW w:w="47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Adjusted EBITDA less capital expenditures</w:t>
            </w:r>
          </w:p>
        </w:tc>
        <w:tc>
          <w:tcPr>
            <w:tcW w:w="12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$1.59</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$1.81</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$1.95</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$1.84</w:t>
            </w:r>
          </w:p>
        </w:tc>
        <w:tc>
          <w:tcPr>
            <w:tcW w:w="118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55"/>
        </w:trPr>
        <w:tc>
          <w:tcPr>
            <w:tcW w:w="47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“Book of business” or ACV</w:t>
            </w:r>
          </w:p>
        </w:tc>
        <w:tc>
          <w:tcPr>
            <w:tcW w:w="12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$4.33</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$4.48</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$4.54</w:t>
            </w:r>
          </w:p>
        </w:tc>
        <w:tc>
          <w:tcPr>
            <w:tcW w:w="1300" w:type="dxa"/>
            <w:vAlign w:val="bottom"/>
            <w:tcBorders>
              <w:bottom w:val="single" w:sz="8" w:color="AFAFAF"/>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$4.40</w:t>
            </w:r>
          </w:p>
        </w:tc>
        <w:tc>
          <w:tcPr>
            <w:tcW w:w="118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w w:val="99"/>
              </w:rPr>
              <w:t>49%</w:t>
            </w:r>
          </w:p>
        </w:tc>
        <w:tc>
          <w:tcPr>
            <w:tcW w:w="0" w:type="dxa"/>
            <w:vAlign w:val="bottom"/>
          </w:tcPr>
          <w:p>
            <w:pPr>
              <w:spacing w:after="0"/>
              <w:rPr>
                <w:sz w:val="1"/>
                <w:szCs w:val="1"/>
                <w:color w:val="auto"/>
              </w:rPr>
            </w:pPr>
          </w:p>
        </w:tc>
      </w:tr>
      <w:tr>
        <w:trPr>
          <w:trHeight w:val="155"/>
        </w:trPr>
        <w:tc>
          <w:tcPr>
            <w:tcW w:w="4700" w:type="dxa"/>
            <w:vAlign w:val="bottom"/>
            <w:tcBorders>
              <w:bottom w:val="single" w:sz="8" w:color="D95A3B"/>
              <w:right w:val="single" w:sz="8" w:color="AFAFAF"/>
            </w:tcBorders>
          </w:tcPr>
          <w:p>
            <w:pPr>
              <w:ind w:left="140"/>
              <w:spacing w:after="0" w:line="155" w:lineRule="exact"/>
              <w:rPr>
                <w:sz w:val="20"/>
                <w:szCs w:val="20"/>
                <w:color w:val="auto"/>
              </w:rPr>
            </w:pPr>
            <w:r>
              <w:rPr>
                <w:rFonts w:ascii="Arial" w:cs="Arial" w:eastAsia="Arial" w:hAnsi="Arial"/>
                <w:sz w:val="14"/>
                <w:szCs w:val="14"/>
                <w:b w:val="1"/>
                <w:bCs w:val="1"/>
                <w:color w:val="auto"/>
              </w:rPr>
              <w:t>Total F&amp;R performance (20%)</w:t>
            </w:r>
          </w:p>
        </w:tc>
        <w:tc>
          <w:tcPr>
            <w:tcW w:w="120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D95A3B"/>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D95A3B"/>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D95A3B"/>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D95A3B"/>
            </w:tcBorders>
          </w:tcPr>
          <w:p>
            <w:pPr>
              <w:jc w:val="center"/>
              <w:spacing w:after="0" w:line="155"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55"/>
        </w:trPr>
        <w:tc>
          <w:tcPr>
            <w:tcW w:w="4700" w:type="dxa"/>
            <w:vAlign w:val="bottom"/>
            <w:tcBorders>
              <w:bottom w:val="single" w:sz="8" w:color="D95A3B"/>
              <w:right w:val="single" w:sz="8" w:color="AFAFAF"/>
            </w:tcBorders>
          </w:tcPr>
          <w:p>
            <w:pPr>
              <w:ind w:left="140"/>
              <w:spacing w:after="0" w:line="155" w:lineRule="exact"/>
              <w:rPr>
                <w:sz w:val="20"/>
                <w:szCs w:val="20"/>
                <w:color w:val="auto"/>
              </w:rPr>
            </w:pPr>
            <w:r>
              <w:rPr>
                <w:rFonts w:ascii="Arial" w:cs="Arial" w:eastAsia="Arial" w:hAnsi="Arial"/>
                <w:sz w:val="14"/>
                <w:szCs w:val="14"/>
                <w:b w:val="1"/>
                <w:bCs w:val="1"/>
                <w:color w:val="auto"/>
              </w:rPr>
              <w:t>Combined performance (100%)</w:t>
            </w:r>
          </w:p>
        </w:tc>
        <w:tc>
          <w:tcPr>
            <w:tcW w:w="120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D95A3B"/>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D95A3B"/>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D95A3B"/>
              <w:right w:val="single" w:sz="8" w:color="AFAFAF"/>
            </w:tcBorders>
          </w:tcPr>
          <w:p>
            <w:pPr>
              <w:jc w:val="center"/>
              <w:ind w:right="27"/>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D95A3B"/>
            </w:tcBorders>
          </w:tcPr>
          <w:p>
            <w:pPr>
              <w:jc w:val="center"/>
              <w:spacing w:after="0" w:line="155"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20" w:right="60"/>
        <w:spacing w:after="0" w:line="239" w:lineRule="auto"/>
        <w:rPr>
          <w:sz w:val="20"/>
          <w:szCs w:val="20"/>
          <w:color w:val="auto"/>
        </w:rPr>
      </w:pPr>
      <w:r>
        <w:rPr>
          <w:rFonts w:ascii="Arial" w:cs="Arial" w:eastAsia="Arial" w:hAnsi="Arial"/>
          <w:sz w:val="18"/>
          <w:szCs w:val="18"/>
          <w:color w:val="auto"/>
        </w:rPr>
        <w:t>As noted above, annual incentive awards granted to Messrs. Peccarelli and Friedenberg were based 100% on Thomson Reuters results (excluding F&amp;R) and their awards had a payout of approximately 134% of target. As discussed later in this section, Mr. Peccarelli’s payout was increased based on 2018 individual performance against strategic objectives.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Strategic Objectives – Individual Performance Factor</w:t>
      </w:r>
    </w:p>
    <w:p>
      <w:pPr>
        <w:spacing w:after="0" w:line="35" w:lineRule="exact"/>
        <w:rPr>
          <w:sz w:val="20"/>
          <w:szCs w:val="20"/>
          <w:color w:val="auto"/>
        </w:rPr>
      </w:pPr>
    </w:p>
    <w:p>
      <w:pPr>
        <w:ind w:left="220" w:right="160"/>
        <w:spacing w:after="0" w:line="236" w:lineRule="auto"/>
        <w:rPr>
          <w:sz w:val="20"/>
          <w:szCs w:val="20"/>
          <w:color w:val="auto"/>
        </w:rPr>
      </w:pPr>
      <w:r>
        <w:rPr>
          <w:rFonts w:ascii="Arial" w:cs="Arial" w:eastAsia="Arial" w:hAnsi="Arial"/>
          <w:sz w:val="18"/>
          <w:szCs w:val="18"/>
          <w:color w:val="auto"/>
        </w:rPr>
        <w:t>The HR Committee also decided that 2018 annual incentive awards could be further adjusted up or down by 15% based on each executive’s performance against key individual strategic objectives (referred to as an individual performance factor, or IPF). Performance is assessed by the CEO who recommends an IPF to the HR Committee for approval. The IPF can modify the award up or down by 15% and no positive adjustment can be applied if revenue for the business segment or company, as appropriate, is not equal to prior-year results. The CEO’s annual incentive award is not subject to an IPF adjustment because the HR Committee believes that the CEO’s performance is best evaluated based on our company’s overall results.</w:t>
      </w:r>
    </w:p>
    <w:p>
      <w:pPr>
        <w:spacing w:after="0" w:line="98" w:lineRule="exact"/>
        <w:rPr>
          <w:sz w:val="20"/>
          <w:szCs w:val="20"/>
          <w:color w:val="auto"/>
        </w:rPr>
      </w:pPr>
    </w:p>
    <w:p>
      <w:pPr>
        <w:jc w:val="both"/>
        <w:ind w:left="220" w:right="220"/>
        <w:spacing w:after="0" w:line="238" w:lineRule="auto"/>
        <w:rPr>
          <w:sz w:val="20"/>
          <w:szCs w:val="20"/>
          <w:color w:val="auto"/>
        </w:rPr>
      </w:pPr>
      <w:r>
        <w:rPr>
          <w:rFonts w:ascii="Arial" w:cs="Arial" w:eastAsia="Arial" w:hAnsi="Arial"/>
          <w:sz w:val="18"/>
          <w:szCs w:val="18"/>
          <w:color w:val="auto"/>
        </w:rPr>
        <w:t>In February 2019, the HR Committee determined the extent to which our 2018 annual performance targets were met by comparing our financial results to our performance goals. 2018 actual results were evaluated using foreign currency exchange rates that were used to prepare our 2018 annual operating plan. This has been a long standing policy that has been consistently applied to our annual incentive awards.</w:t>
      </w:r>
    </w:p>
    <w:p>
      <w:pPr>
        <w:spacing w:after="0" w:line="108"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1120" w:type="dxa"/>
            <w:vAlign w:val="bottom"/>
            <w:vMerge w:val="restart"/>
            <w:shd w:val="clear" w:color="auto" w:fill="D95A3B"/>
          </w:tcPr>
          <w:p>
            <w:pPr>
              <w:jc w:val="center"/>
              <w:spacing w:after="0"/>
              <w:rPr>
                <w:sz w:val="20"/>
                <w:szCs w:val="20"/>
                <w:color w:val="auto"/>
              </w:rPr>
            </w:pPr>
            <w:r>
              <w:rPr>
                <w:rFonts w:ascii="Arial" w:cs="Arial" w:eastAsia="Arial" w:hAnsi="Arial"/>
                <w:sz w:val="16"/>
                <w:szCs w:val="16"/>
                <w:color w:val="FFFFFF"/>
              </w:rPr>
              <w:t>Annual Base</w:t>
            </w:r>
          </w:p>
        </w:tc>
        <w:tc>
          <w:tcPr>
            <w:tcW w:w="960" w:type="dxa"/>
            <w:vAlign w:val="bottom"/>
            <w:vMerge w:val="restart"/>
          </w:tcPr>
          <w:p>
            <w:pPr>
              <w:ind w:left="420"/>
              <w:spacing w:after="0" w:line="231" w:lineRule="exact"/>
              <w:rPr>
                <w:sz w:val="20"/>
                <w:szCs w:val="20"/>
                <w:color w:val="auto"/>
              </w:rPr>
            </w:pPr>
            <w:r>
              <w:rPr>
                <w:rFonts w:ascii="MS PGothic" w:cs="MS PGothic" w:eastAsia="MS PGothic" w:hAnsi="MS PGothic"/>
                <w:sz w:val="23"/>
                <w:szCs w:val="23"/>
                <w:color w:val="auto"/>
              </w:rPr>
              <w:t>☒</w:t>
            </w:r>
          </w:p>
        </w:tc>
        <w:tc>
          <w:tcPr>
            <w:tcW w:w="1200" w:type="dxa"/>
            <w:vAlign w:val="bottom"/>
            <w:vMerge w:val="restart"/>
            <w:shd w:val="clear" w:color="auto" w:fill="D95A3B"/>
          </w:tcPr>
          <w:p>
            <w:pPr>
              <w:jc w:val="center"/>
              <w:ind w:left="19"/>
              <w:spacing w:after="0"/>
              <w:rPr>
                <w:sz w:val="20"/>
                <w:szCs w:val="20"/>
                <w:color w:val="auto"/>
              </w:rPr>
            </w:pPr>
            <w:r>
              <w:rPr>
                <w:rFonts w:ascii="Arial" w:cs="Arial" w:eastAsia="Arial" w:hAnsi="Arial"/>
                <w:sz w:val="16"/>
                <w:szCs w:val="16"/>
                <w:color w:val="FFFFFF"/>
                <w:w w:val="99"/>
              </w:rPr>
              <w:t>Target % of</w:t>
            </w:r>
          </w:p>
        </w:tc>
        <w:tc>
          <w:tcPr>
            <w:tcW w:w="980" w:type="dxa"/>
            <w:vAlign w:val="bottom"/>
            <w:vMerge w:val="restart"/>
          </w:tcPr>
          <w:p>
            <w:pPr>
              <w:ind w:left="440"/>
              <w:spacing w:after="0" w:line="231" w:lineRule="exact"/>
              <w:rPr>
                <w:sz w:val="20"/>
                <w:szCs w:val="20"/>
                <w:color w:val="auto"/>
              </w:rPr>
            </w:pPr>
            <w:r>
              <w:rPr>
                <w:rFonts w:ascii="MS PGothic" w:cs="MS PGothic" w:eastAsia="MS PGothic" w:hAnsi="MS PGothic"/>
                <w:sz w:val="23"/>
                <w:szCs w:val="23"/>
                <w:color w:val="auto"/>
              </w:rPr>
              <w:t>☒</w:t>
            </w:r>
          </w:p>
        </w:tc>
        <w:tc>
          <w:tcPr>
            <w:tcW w:w="1200" w:type="dxa"/>
            <w:vAlign w:val="bottom"/>
            <w:shd w:val="clear" w:color="auto" w:fill="D95A3B"/>
          </w:tcPr>
          <w:p>
            <w:pPr>
              <w:jc w:val="center"/>
              <w:ind w:left="19"/>
              <w:spacing w:after="0"/>
              <w:rPr>
                <w:sz w:val="20"/>
                <w:szCs w:val="20"/>
                <w:color w:val="auto"/>
              </w:rPr>
            </w:pPr>
            <w:r>
              <w:rPr>
                <w:rFonts w:ascii="Arial" w:cs="Arial" w:eastAsia="Arial" w:hAnsi="Arial"/>
                <w:sz w:val="16"/>
                <w:szCs w:val="16"/>
                <w:color w:val="FFFFFF"/>
              </w:rPr>
              <w:t>Actual</w:t>
            </w:r>
          </w:p>
        </w:tc>
        <w:tc>
          <w:tcPr>
            <w:tcW w:w="980" w:type="dxa"/>
            <w:vAlign w:val="bottom"/>
            <w:vMerge w:val="restart"/>
          </w:tcPr>
          <w:p>
            <w:pPr>
              <w:ind w:left="440"/>
              <w:spacing w:after="0" w:line="231" w:lineRule="exact"/>
              <w:rPr>
                <w:sz w:val="20"/>
                <w:szCs w:val="20"/>
                <w:color w:val="auto"/>
              </w:rPr>
            </w:pPr>
            <w:r>
              <w:rPr>
                <w:rFonts w:ascii="MS PGothic" w:cs="MS PGothic" w:eastAsia="MS PGothic" w:hAnsi="MS PGothic"/>
                <w:sz w:val="23"/>
                <w:szCs w:val="23"/>
                <w:color w:val="auto"/>
              </w:rPr>
              <w:t>☒</w:t>
            </w:r>
          </w:p>
        </w:tc>
        <w:tc>
          <w:tcPr>
            <w:tcW w:w="1200" w:type="dxa"/>
            <w:vAlign w:val="bottom"/>
            <w:vMerge w:val="restart"/>
            <w:shd w:val="clear" w:color="auto" w:fill="D95A3B"/>
          </w:tcPr>
          <w:p>
            <w:pPr>
              <w:jc w:val="center"/>
              <w:ind w:left="39"/>
              <w:spacing w:after="0"/>
              <w:rPr>
                <w:sz w:val="20"/>
                <w:szCs w:val="20"/>
                <w:color w:val="auto"/>
              </w:rPr>
            </w:pPr>
            <w:r>
              <w:rPr>
                <w:rFonts w:ascii="Arial" w:cs="Arial" w:eastAsia="Arial" w:hAnsi="Arial"/>
                <w:sz w:val="16"/>
                <w:szCs w:val="16"/>
                <w:color w:val="FFFFFF"/>
              </w:rPr>
              <w:t>Individual</w:t>
            </w:r>
          </w:p>
        </w:tc>
        <w:tc>
          <w:tcPr>
            <w:tcW w:w="980" w:type="dxa"/>
            <w:vAlign w:val="bottom"/>
          </w:tcPr>
          <w:p>
            <w:pPr>
              <w:spacing w:after="0"/>
              <w:rPr>
                <w:sz w:val="20"/>
                <w:szCs w:val="20"/>
                <w:color w:val="auto"/>
              </w:rPr>
            </w:pPr>
          </w:p>
        </w:tc>
        <w:tc>
          <w:tcPr>
            <w:tcW w:w="1200" w:type="dxa"/>
            <w:vAlign w:val="bottom"/>
            <w:vMerge w:val="restart"/>
            <w:shd w:val="clear" w:color="auto" w:fill="D95A3B"/>
          </w:tcPr>
          <w:p>
            <w:pPr>
              <w:jc w:val="center"/>
              <w:ind w:left="19"/>
              <w:spacing w:after="0"/>
              <w:rPr>
                <w:sz w:val="20"/>
                <w:szCs w:val="20"/>
                <w:color w:val="auto"/>
              </w:rPr>
            </w:pPr>
            <w:r>
              <w:rPr>
                <w:rFonts w:ascii="Arial" w:cs="Arial" w:eastAsia="Arial" w:hAnsi="Arial"/>
                <w:sz w:val="16"/>
                <w:szCs w:val="16"/>
                <w:color w:val="FFFFFF"/>
              </w:rPr>
              <w:t>Payout</w:t>
            </w:r>
          </w:p>
        </w:tc>
        <w:tc>
          <w:tcPr>
            <w:tcW w:w="0" w:type="dxa"/>
            <w:vAlign w:val="bottom"/>
          </w:tcPr>
          <w:p>
            <w:pPr>
              <w:spacing w:after="0"/>
              <w:rPr>
                <w:sz w:val="1"/>
                <w:szCs w:val="1"/>
                <w:color w:val="auto"/>
              </w:rPr>
            </w:pPr>
          </w:p>
        </w:tc>
      </w:tr>
      <w:tr>
        <w:trPr>
          <w:trHeight w:val="81"/>
        </w:trPr>
        <w:tc>
          <w:tcPr>
            <w:tcW w:w="1120" w:type="dxa"/>
            <w:vAlign w:val="bottom"/>
            <w:vMerge w:val="continue"/>
            <w:shd w:val="clear" w:color="auto" w:fill="D95A3B"/>
          </w:tcPr>
          <w:p>
            <w:pPr>
              <w:spacing w:after="0"/>
              <w:rPr>
                <w:sz w:val="7"/>
                <w:szCs w:val="7"/>
                <w:color w:val="auto"/>
              </w:rPr>
            </w:pPr>
          </w:p>
        </w:tc>
        <w:tc>
          <w:tcPr>
            <w:tcW w:w="960" w:type="dxa"/>
            <w:vAlign w:val="bottom"/>
            <w:vMerge w:val="continue"/>
          </w:tcPr>
          <w:p>
            <w:pPr>
              <w:spacing w:after="0"/>
              <w:rPr>
                <w:sz w:val="7"/>
                <w:szCs w:val="7"/>
                <w:color w:val="auto"/>
              </w:rPr>
            </w:pPr>
          </w:p>
        </w:tc>
        <w:tc>
          <w:tcPr>
            <w:tcW w:w="1200" w:type="dxa"/>
            <w:vAlign w:val="bottom"/>
            <w:vMerge w:val="continue"/>
            <w:shd w:val="clear" w:color="auto" w:fill="D95A3B"/>
          </w:tcPr>
          <w:p>
            <w:pPr>
              <w:spacing w:after="0"/>
              <w:rPr>
                <w:sz w:val="7"/>
                <w:szCs w:val="7"/>
                <w:color w:val="auto"/>
              </w:rPr>
            </w:pPr>
          </w:p>
        </w:tc>
        <w:tc>
          <w:tcPr>
            <w:tcW w:w="980" w:type="dxa"/>
            <w:vAlign w:val="bottom"/>
            <w:vMerge w:val="continue"/>
          </w:tcPr>
          <w:p>
            <w:pPr>
              <w:spacing w:after="0"/>
              <w:rPr>
                <w:sz w:val="7"/>
                <w:szCs w:val="7"/>
                <w:color w:val="auto"/>
              </w:rPr>
            </w:pPr>
          </w:p>
        </w:tc>
        <w:tc>
          <w:tcPr>
            <w:tcW w:w="1200" w:type="dxa"/>
            <w:vAlign w:val="bottom"/>
            <w:vMerge w:val="restart"/>
            <w:shd w:val="clear" w:color="auto" w:fill="D95A3B"/>
          </w:tcPr>
          <w:p>
            <w:pPr>
              <w:jc w:val="center"/>
              <w:ind w:left="19"/>
              <w:spacing w:after="0" w:line="175" w:lineRule="exact"/>
              <w:rPr>
                <w:sz w:val="20"/>
                <w:szCs w:val="20"/>
                <w:color w:val="auto"/>
              </w:rPr>
            </w:pPr>
            <w:r>
              <w:rPr>
                <w:rFonts w:ascii="Arial" w:cs="Arial" w:eastAsia="Arial" w:hAnsi="Arial"/>
                <w:sz w:val="16"/>
                <w:szCs w:val="16"/>
                <w:color w:val="FFFFFF"/>
              </w:rPr>
              <w:t>Company</w:t>
            </w:r>
          </w:p>
        </w:tc>
        <w:tc>
          <w:tcPr>
            <w:tcW w:w="980" w:type="dxa"/>
            <w:vAlign w:val="bottom"/>
            <w:vMerge w:val="continue"/>
          </w:tcPr>
          <w:p>
            <w:pPr>
              <w:spacing w:after="0"/>
              <w:rPr>
                <w:sz w:val="7"/>
                <w:szCs w:val="7"/>
                <w:color w:val="auto"/>
              </w:rPr>
            </w:pPr>
          </w:p>
        </w:tc>
        <w:tc>
          <w:tcPr>
            <w:tcW w:w="1200" w:type="dxa"/>
            <w:vAlign w:val="bottom"/>
            <w:vMerge w:val="continue"/>
            <w:shd w:val="clear" w:color="auto" w:fill="D95A3B"/>
          </w:tcPr>
          <w:p>
            <w:pPr>
              <w:spacing w:after="0"/>
              <w:rPr>
                <w:sz w:val="7"/>
                <w:szCs w:val="7"/>
                <w:color w:val="auto"/>
              </w:rPr>
            </w:pPr>
          </w:p>
        </w:tc>
        <w:tc>
          <w:tcPr>
            <w:tcW w:w="98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vMerge w:val="continue"/>
            <w:shd w:val="clear" w:color="auto" w:fill="D95A3B"/>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shd w:val="clear" w:color="auto" w:fill="D95A3B"/>
          </w:tcPr>
          <w:p>
            <w:pPr>
              <w:spacing w:after="0"/>
              <w:rPr>
                <w:sz w:val="8"/>
                <w:szCs w:val="8"/>
                <w:color w:val="auto"/>
              </w:rPr>
            </w:pPr>
          </w:p>
        </w:tc>
        <w:tc>
          <w:tcPr>
            <w:tcW w:w="960" w:type="dxa"/>
            <w:vAlign w:val="bottom"/>
            <w:vMerge w:val="continue"/>
          </w:tcPr>
          <w:p>
            <w:pPr>
              <w:spacing w:after="0"/>
              <w:rPr>
                <w:sz w:val="8"/>
                <w:szCs w:val="8"/>
                <w:color w:val="auto"/>
              </w:rPr>
            </w:pPr>
          </w:p>
        </w:tc>
        <w:tc>
          <w:tcPr>
            <w:tcW w:w="1200" w:type="dxa"/>
            <w:vAlign w:val="bottom"/>
            <w:vMerge w:val="restart"/>
            <w:shd w:val="clear" w:color="auto" w:fill="D95A3B"/>
          </w:tcPr>
          <w:p>
            <w:pPr>
              <w:jc w:val="center"/>
              <w:ind w:left="39"/>
              <w:spacing w:after="0"/>
              <w:rPr>
                <w:sz w:val="20"/>
                <w:szCs w:val="20"/>
                <w:color w:val="auto"/>
              </w:rPr>
            </w:pPr>
            <w:r>
              <w:rPr>
                <w:rFonts w:ascii="Arial" w:cs="Arial" w:eastAsia="Arial" w:hAnsi="Arial"/>
                <w:sz w:val="16"/>
                <w:szCs w:val="16"/>
                <w:color w:val="FFFFFF"/>
              </w:rPr>
              <w:t>Annual Base</w:t>
            </w:r>
          </w:p>
        </w:tc>
        <w:tc>
          <w:tcPr>
            <w:tcW w:w="980" w:type="dxa"/>
            <w:vAlign w:val="bottom"/>
            <w:vMerge w:val="continue"/>
          </w:tcPr>
          <w:p>
            <w:pPr>
              <w:spacing w:after="0"/>
              <w:rPr>
                <w:sz w:val="8"/>
                <w:szCs w:val="8"/>
                <w:color w:val="auto"/>
              </w:rPr>
            </w:pPr>
          </w:p>
        </w:tc>
        <w:tc>
          <w:tcPr>
            <w:tcW w:w="1200" w:type="dxa"/>
            <w:vAlign w:val="bottom"/>
            <w:vMerge w:val="continue"/>
            <w:shd w:val="clear" w:color="auto" w:fill="D95A3B"/>
          </w:tcPr>
          <w:p>
            <w:pPr>
              <w:spacing w:after="0"/>
              <w:rPr>
                <w:sz w:val="8"/>
                <w:szCs w:val="8"/>
                <w:color w:val="auto"/>
              </w:rPr>
            </w:pPr>
          </w:p>
        </w:tc>
        <w:tc>
          <w:tcPr>
            <w:tcW w:w="980" w:type="dxa"/>
            <w:vAlign w:val="bottom"/>
            <w:vMerge w:val="continue"/>
          </w:tcPr>
          <w:p>
            <w:pPr>
              <w:spacing w:after="0"/>
              <w:rPr>
                <w:sz w:val="8"/>
                <w:szCs w:val="8"/>
                <w:color w:val="auto"/>
              </w:rPr>
            </w:pPr>
          </w:p>
        </w:tc>
        <w:tc>
          <w:tcPr>
            <w:tcW w:w="1200" w:type="dxa"/>
            <w:vAlign w:val="bottom"/>
            <w:vMerge w:val="restart"/>
            <w:shd w:val="clear" w:color="auto" w:fill="D95A3B"/>
          </w:tcPr>
          <w:p>
            <w:pPr>
              <w:jc w:val="center"/>
              <w:ind w:left="39"/>
              <w:spacing w:after="0"/>
              <w:rPr>
                <w:sz w:val="20"/>
                <w:szCs w:val="20"/>
                <w:color w:val="auto"/>
              </w:rPr>
            </w:pPr>
            <w:r>
              <w:rPr>
                <w:rFonts w:ascii="Arial" w:cs="Arial" w:eastAsia="Arial" w:hAnsi="Arial"/>
                <w:sz w:val="16"/>
                <w:szCs w:val="16"/>
                <w:color w:val="FFFFFF"/>
              </w:rPr>
              <w:t>Performance</w:t>
            </w:r>
          </w:p>
        </w:tc>
        <w:tc>
          <w:tcPr>
            <w:tcW w:w="980" w:type="dxa"/>
            <w:vAlign w:val="bottom"/>
            <w:vMerge w:val="continue"/>
          </w:tcPr>
          <w:p>
            <w:pPr>
              <w:spacing w:after="0"/>
              <w:rPr>
                <w:sz w:val="8"/>
                <w:szCs w:val="8"/>
                <w:color w:val="auto"/>
              </w:rPr>
            </w:pPr>
          </w:p>
        </w:tc>
        <w:tc>
          <w:tcPr>
            <w:tcW w:w="1200" w:type="dxa"/>
            <w:vAlign w:val="bottom"/>
            <w:vMerge w:val="continue"/>
            <w:shd w:val="clear" w:color="auto" w:fill="D95A3B"/>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120" w:type="dxa"/>
            <w:vAlign w:val="bottom"/>
            <w:shd w:val="clear" w:color="auto" w:fill="D95A3B"/>
          </w:tcPr>
          <w:p>
            <w:pPr>
              <w:jc w:val="center"/>
              <w:spacing w:after="0" w:line="160" w:lineRule="exact"/>
              <w:rPr>
                <w:sz w:val="20"/>
                <w:szCs w:val="20"/>
                <w:color w:val="auto"/>
              </w:rPr>
            </w:pPr>
            <w:r>
              <w:rPr>
                <w:rFonts w:ascii="Arial" w:cs="Arial" w:eastAsia="Arial" w:hAnsi="Arial"/>
                <w:sz w:val="16"/>
                <w:szCs w:val="16"/>
                <w:color w:val="FFFFFF"/>
              </w:rPr>
              <w:t>Salary</w:t>
            </w:r>
          </w:p>
        </w:tc>
        <w:tc>
          <w:tcPr>
            <w:tcW w:w="960" w:type="dxa"/>
            <w:vAlign w:val="bottom"/>
            <w:vMerge w:val="continue"/>
          </w:tcPr>
          <w:p>
            <w:pPr>
              <w:spacing w:after="0"/>
              <w:rPr>
                <w:sz w:val="13"/>
                <w:szCs w:val="13"/>
                <w:color w:val="auto"/>
              </w:rPr>
            </w:pPr>
          </w:p>
        </w:tc>
        <w:tc>
          <w:tcPr>
            <w:tcW w:w="1200" w:type="dxa"/>
            <w:vAlign w:val="bottom"/>
            <w:vMerge w:val="continue"/>
            <w:shd w:val="clear" w:color="auto" w:fill="D95A3B"/>
          </w:tcPr>
          <w:p>
            <w:pPr>
              <w:spacing w:after="0"/>
              <w:rPr>
                <w:sz w:val="13"/>
                <w:szCs w:val="13"/>
                <w:color w:val="auto"/>
              </w:rPr>
            </w:pPr>
          </w:p>
        </w:tc>
        <w:tc>
          <w:tcPr>
            <w:tcW w:w="980" w:type="dxa"/>
            <w:vAlign w:val="bottom"/>
            <w:vMerge w:val="continue"/>
          </w:tcPr>
          <w:p>
            <w:pPr>
              <w:spacing w:after="0"/>
              <w:rPr>
                <w:sz w:val="13"/>
                <w:szCs w:val="13"/>
                <w:color w:val="auto"/>
              </w:rPr>
            </w:pPr>
          </w:p>
        </w:tc>
        <w:tc>
          <w:tcPr>
            <w:tcW w:w="1200" w:type="dxa"/>
            <w:vAlign w:val="bottom"/>
            <w:shd w:val="clear" w:color="auto" w:fill="D95A3B"/>
          </w:tcPr>
          <w:p>
            <w:pPr>
              <w:jc w:val="center"/>
              <w:ind w:left="39"/>
              <w:spacing w:after="0" w:line="160" w:lineRule="exact"/>
              <w:rPr>
                <w:sz w:val="20"/>
                <w:szCs w:val="20"/>
                <w:color w:val="auto"/>
              </w:rPr>
            </w:pPr>
            <w:r>
              <w:rPr>
                <w:rFonts w:ascii="Arial" w:cs="Arial" w:eastAsia="Arial" w:hAnsi="Arial"/>
                <w:sz w:val="16"/>
                <w:szCs w:val="16"/>
                <w:color w:val="FFFFFF"/>
              </w:rPr>
              <w:t>Performance</w:t>
            </w:r>
          </w:p>
        </w:tc>
        <w:tc>
          <w:tcPr>
            <w:tcW w:w="980" w:type="dxa"/>
            <w:vAlign w:val="bottom"/>
            <w:vMerge w:val="continue"/>
          </w:tcPr>
          <w:p>
            <w:pPr>
              <w:spacing w:after="0"/>
              <w:rPr>
                <w:sz w:val="13"/>
                <w:szCs w:val="13"/>
                <w:color w:val="auto"/>
              </w:rPr>
            </w:pPr>
          </w:p>
        </w:tc>
        <w:tc>
          <w:tcPr>
            <w:tcW w:w="1200" w:type="dxa"/>
            <w:vAlign w:val="bottom"/>
            <w:vMerge w:val="continue"/>
            <w:shd w:val="clear" w:color="auto" w:fill="D95A3B"/>
          </w:tcPr>
          <w:p>
            <w:pPr>
              <w:spacing w:after="0"/>
              <w:rPr>
                <w:sz w:val="13"/>
                <w:szCs w:val="13"/>
                <w:color w:val="auto"/>
              </w:rPr>
            </w:pPr>
          </w:p>
        </w:tc>
        <w:tc>
          <w:tcPr>
            <w:tcW w:w="980" w:type="dxa"/>
            <w:vAlign w:val="bottom"/>
            <w:vMerge w:val="continue"/>
          </w:tcPr>
          <w:p>
            <w:pPr>
              <w:spacing w:after="0"/>
              <w:rPr>
                <w:sz w:val="13"/>
                <w:szCs w:val="13"/>
                <w:color w:val="auto"/>
              </w:rPr>
            </w:pPr>
          </w:p>
        </w:tc>
        <w:tc>
          <w:tcPr>
            <w:tcW w:w="1200" w:type="dxa"/>
            <w:vAlign w:val="bottom"/>
            <w:shd w:val="clear" w:color="auto" w:fill="D95A3B"/>
          </w:tcPr>
          <w:p>
            <w:pPr>
              <w:jc w:val="center"/>
              <w:ind w:left="39"/>
              <w:spacing w:after="0" w:line="160" w:lineRule="exact"/>
              <w:rPr>
                <w:sz w:val="20"/>
                <w:szCs w:val="20"/>
                <w:color w:val="auto"/>
              </w:rPr>
            </w:pPr>
            <w:r>
              <w:rPr>
                <w:rFonts w:ascii="Arial" w:cs="Arial" w:eastAsia="Arial" w:hAnsi="Arial"/>
                <w:sz w:val="16"/>
                <w:szCs w:val="16"/>
                <w:color w:val="FFFFFF"/>
              </w:rPr>
              <w:t>Amount</w:t>
            </w:r>
          </w:p>
        </w:tc>
        <w:tc>
          <w:tcPr>
            <w:tcW w:w="0" w:type="dxa"/>
            <w:vAlign w:val="bottom"/>
          </w:tcPr>
          <w:p>
            <w:pPr>
              <w:spacing w:after="0"/>
              <w:rPr>
                <w:sz w:val="1"/>
                <w:szCs w:val="1"/>
                <w:color w:val="auto"/>
              </w:rPr>
            </w:pPr>
          </w:p>
        </w:tc>
      </w:tr>
      <w:tr>
        <w:trPr>
          <w:trHeight w:val="188"/>
        </w:trPr>
        <w:tc>
          <w:tcPr>
            <w:tcW w:w="1120" w:type="dxa"/>
            <w:vAlign w:val="bottom"/>
            <w:shd w:val="clear" w:color="auto" w:fill="D95A3B"/>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shd w:val="clear" w:color="auto" w:fill="D95A3B"/>
          </w:tcPr>
          <w:p>
            <w:pPr>
              <w:jc w:val="center"/>
              <w:ind w:left="19"/>
              <w:spacing w:after="0"/>
              <w:rPr>
                <w:sz w:val="20"/>
                <w:szCs w:val="20"/>
                <w:color w:val="auto"/>
              </w:rPr>
            </w:pPr>
            <w:r>
              <w:rPr>
                <w:rFonts w:ascii="Arial" w:cs="Arial" w:eastAsia="Arial" w:hAnsi="Arial"/>
                <w:sz w:val="16"/>
                <w:szCs w:val="16"/>
                <w:color w:val="FFFFFF"/>
              </w:rPr>
              <w:t>Salary</w:t>
            </w:r>
          </w:p>
        </w:tc>
        <w:tc>
          <w:tcPr>
            <w:tcW w:w="980" w:type="dxa"/>
            <w:vAlign w:val="bottom"/>
          </w:tcPr>
          <w:p>
            <w:pPr>
              <w:spacing w:after="0"/>
              <w:rPr>
                <w:sz w:val="16"/>
                <w:szCs w:val="16"/>
                <w:color w:val="auto"/>
              </w:rPr>
            </w:pPr>
          </w:p>
        </w:tc>
        <w:tc>
          <w:tcPr>
            <w:tcW w:w="1200" w:type="dxa"/>
            <w:vAlign w:val="bottom"/>
            <w:vMerge w:val="restart"/>
            <w:shd w:val="clear" w:color="auto" w:fill="D95A3B"/>
          </w:tcPr>
          <w:p>
            <w:pPr>
              <w:jc w:val="center"/>
              <w:ind w:left="19"/>
              <w:spacing w:after="0"/>
              <w:rPr>
                <w:sz w:val="20"/>
                <w:szCs w:val="20"/>
                <w:color w:val="auto"/>
              </w:rPr>
            </w:pPr>
            <w:r>
              <w:rPr>
                <w:rFonts w:ascii="Arial" w:cs="Arial" w:eastAsia="Arial" w:hAnsi="Arial"/>
                <w:sz w:val="16"/>
                <w:szCs w:val="16"/>
                <w:color w:val="FFFFFF"/>
                <w:w w:val="98"/>
              </w:rPr>
              <w:t>%</w:t>
            </w:r>
          </w:p>
        </w:tc>
        <w:tc>
          <w:tcPr>
            <w:tcW w:w="980" w:type="dxa"/>
            <w:vAlign w:val="bottom"/>
          </w:tcPr>
          <w:p>
            <w:pPr>
              <w:spacing w:after="0"/>
              <w:rPr>
                <w:sz w:val="16"/>
                <w:szCs w:val="16"/>
                <w:color w:val="auto"/>
              </w:rPr>
            </w:pPr>
          </w:p>
        </w:tc>
        <w:tc>
          <w:tcPr>
            <w:tcW w:w="1200" w:type="dxa"/>
            <w:vAlign w:val="bottom"/>
            <w:shd w:val="clear" w:color="auto" w:fill="D95A3B"/>
          </w:tcPr>
          <w:p>
            <w:pPr>
              <w:jc w:val="center"/>
              <w:ind w:left="39"/>
              <w:spacing w:after="0"/>
              <w:rPr>
                <w:sz w:val="20"/>
                <w:szCs w:val="20"/>
                <w:color w:val="auto"/>
              </w:rPr>
            </w:pPr>
            <w:r>
              <w:rPr>
                <w:rFonts w:ascii="Arial" w:cs="Arial" w:eastAsia="Arial" w:hAnsi="Arial"/>
                <w:sz w:val="16"/>
                <w:szCs w:val="16"/>
                <w:color w:val="FFFFFF"/>
                <w:w w:val="99"/>
              </w:rPr>
              <w:t>Factor %</w:t>
            </w:r>
          </w:p>
        </w:tc>
        <w:tc>
          <w:tcPr>
            <w:tcW w:w="980" w:type="dxa"/>
            <w:vAlign w:val="bottom"/>
          </w:tcPr>
          <w:p>
            <w:pPr>
              <w:spacing w:after="0"/>
              <w:rPr>
                <w:sz w:val="16"/>
                <w:szCs w:val="16"/>
                <w:color w:val="auto"/>
              </w:rPr>
            </w:pPr>
          </w:p>
        </w:tc>
        <w:tc>
          <w:tcPr>
            <w:tcW w:w="1200" w:type="dxa"/>
            <w:vAlign w:val="bottom"/>
            <w:shd w:val="clear" w:color="auto" w:fill="D95A3B"/>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120" w:type="dxa"/>
            <w:vAlign w:val="bottom"/>
            <w:shd w:val="clear" w:color="auto" w:fill="D95A3B"/>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shd w:val="clear" w:color="auto" w:fill="D95A3B"/>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vMerge w:val="continue"/>
            <w:shd w:val="clear" w:color="auto" w:fill="D95A3B"/>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shd w:val="clear" w:color="auto" w:fill="D95A3B"/>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shd w:val="clear" w:color="auto" w:fill="D95A3B"/>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20" w:right="540"/>
        <w:spacing w:after="0" w:line="244" w:lineRule="auto"/>
        <w:rPr>
          <w:sz w:val="20"/>
          <w:szCs w:val="20"/>
          <w:color w:val="auto"/>
        </w:rPr>
      </w:pPr>
      <w:r>
        <w:rPr>
          <w:rFonts w:ascii="Arial" w:cs="Arial" w:eastAsia="Arial" w:hAnsi="Arial"/>
          <w:sz w:val="18"/>
          <w:szCs w:val="18"/>
          <w:color w:val="auto"/>
        </w:rPr>
        <w:t>Additional information about each named executive officer’s IPF and the related modifications to each of their 2018 annual incentive awards is provided later in this compensation discussion and analysis.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Long-term Incentive Awards</w:t>
      </w:r>
    </w:p>
    <w:p>
      <w:pPr>
        <w:spacing w:after="0" w:line="35" w:lineRule="exact"/>
        <w:rPr>
          <w:sz w:val="20"/>
          <w:szCs w:val="20"/>
          <w:color w:val="auto"/>
        </w:rPr>
      </w:pPr>
    </w:p>
    <w:p>
      <w:pPr>
        <w:ind w:left="220" w:right="160"/>
        <w:spacing w:after="0" w:line="238" w:lineRule="auto"/>
        <w:rPr>
          <w:sz w:val="20"/>
          <w:szCs w:val="20"/>
          <w:color w:val="auto"/>
        </w:rPr>
      </w:pPr>
      <w:r>
        <w:rPr>
          <w:rFonts w:ascii="Arial" w:cs="Arial" w:eastAsia="Arial" w:hAnsi="Arial"/>
          <w:sz w:val="18"/>
          <w:szCs w:val="18"/>
          <w:color w:val="auto"/>
        </w:rPr>
        <w:t>Each named executive officer’s long-term incentive award has a target that is expressed as a percentage of base salary. In setting target percentages, the HR Committee considers factors such as an executive’s position and responsibilities as well as competitive considerations. The HR Committee may decide to increase or decrease an executive officer’s target from year to year based on an assessment of the executive’s prior-year performance and expected contribution to future financial and strategic results.</w:t>
      </w:r>
    </w:p>
    <w:p>
      <w:pPr>
        <w:spacing w:after="0" w:line="94" w:lineRule="exact"/>
        <w:rPr>
          <w:sz w:val="20"/>
          <w:szCs w:val="20"/>
          <w:color w:val="auto"/>
        </w:rPr>
      </w:pPr>
    </w:p>
    <w:p>
      <w:pPr>
        <w:ind w:left="220" w:right="120"/>
        <w:spacing w:after="0" w:line="234" w:lineRule="auto"/>
        <w:rPr>
          <w:sz w:val="20"/>
          <w:szCs w:val="20"/>
          <w:color w:val="auto"/>
        </w:rPr>
      </w:pPr>
      <w:r>
        <w:rPr>
          <w:rFonts w:ascii="Arial" w:cs="Arial" w:eastAsia="Arial" w:hAnsi="Arial"/>
          <w:sz w:val="18"/>
          <w:szCs w:val="18"/>
          <w:color w:val="auto"/>
        </w:rPr>
        <w:t>Our long-term incentive awards have included PRSUs since 2006. In 2018, due to significant changes related to the F&amp;R transaction and to increase retention, we divided long-term incentive award values for Mr. Smith and our other named executive officers (other than</w:t>
      </w:r>
    </w:p>
    <w:p>
      <w:pPr>
        <w:ind w:left="220" w:right="220"/>
        <w:spacing w:after="0" w:line="260" w:lineRule="auto"/>
        <w:rPr>
          <w:sz w:val="20"/>
          <w:szCs w:val="20"/>
          <w:color w:val="auto"/>
        </w:rPr>
      </w:pPr>
      <w:r>
        <w:rPr>
          <w:rFonts w:ascii="Arial" w:cs="Arial" w:eastAsia="Arial" w:hAnsi="Arial"/>
          <w:sz w:val="17"/>
          <w:szCs w:val="17"/>
          <w:color w:val="auto"/>
        </w:rPr>
        <w:t>Mr. Friedenberg) between 50% TRSUs and 50% stock options. This blend was intended to create balance in our long-term incentive awards by ensuring that the program is aligned to shareholder interests, financially efficient and strongly drives executive outcomes with the company’s strategic and business objectives. The value of TRSUs and stock options is dependent on our company’s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109855</wp:posOffset>
            </wp:positionV>
            <wp:extent cx="697357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14"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58</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In determining the size of TRSU and stock option grants, the HR Committee initially established a total target compensation award opportunity for each named executive officer, along with the percentage of this amount to be reflected through long-term incentive awards. The HR Committee then determined the number of TRSUs and stock options to be granted to each named executive officer. In determining long-term incentive grants, the HR Committee generally takes into account the amount of previous allocations. However, the HR Committee does not increase or decrease the size of an executive’s new award based on payouts of previous awards because we believe long-term incentive awards are intended to be an incentive for future performance.</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Stock options</w:t>
      </w:r>
    </w:p>
    <w:p>
      <w:pPr>
        <w:spacing w:after="0" w:line="35"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All options granted in 2018 vest 25% per year over four years. The exercise prices for options granted were based on the fair market value of our common shares on the NYSE on the grant date. Fair market value is considered to be the closing price of the common shares on the day before the grant. The expiration date for options granted in 2018 is 10 years from the grant date. Options expire at the later of the expiration date or, if that date occurs during a blackout period or other period during which an insider is prohibited from trading in our securities by our insider trading policy, 10 business days after the period ends, subject to certain exceptions. Other than their alignment to our company’s share price, options do not contain additional performance goals.</w:t>
      </w:r>
    </w:p>
    <w:p>
      <w:pPr>
        <w:spacing w:after="0" w:line="98" w:lineRule="exact"/>
        <w:rPr>
          <w:sz w:val="20"/>
          <w:szCs w:val="20"/>
          <w:color w:val="auto"/>
        </w:rPr>
      </w:pPr>
    </w:p>
    <w:p>
      <w:pPr>
        <w:ind w:left="220" w:right="160"/>
        <w:spacing w:after="0" w:line="237" w:lineRule="auto"/>
        <w:rPr>
          <w:sz w:val="20"/>
          <w:szCs w:val="20"/>
          <w:color w:val="auto"/>
        </w:rPr>
      </w:pPr>
      <w:r>
        <w:rPr>
          <w:rFonts w:ascii="Arial" w:cs="Arial" w:eastAsia="Arial" w:hAnsi="Arial"/>
          <w:sz w:val="18"/>
          <w:szCs w:val="18"/>
          <w:color w:val="auto"/>
        </w:rPr>
        <w:t>In determining the number of stock options to be granted to each named executive officer, the HR Committee initially determines a target economic value for the total award. For options granted in 2018, the HR Committee calculated the grant date fair values using common share prices and a Black-Scholes valuation (as described in more detail in the Summary Compensation Table contained in this circular). The HR Committee uses a Black-Scholes value in order to maintain year-to-year consistency in determining the number of stock options to be granted.</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TRSUs</w:t>
      </w:r>
    </w:p>
    <w:p>
      <w:pPr>
        <w:spacing w:after="0" w:line="35" w:lineRule="exact"/>
        <w:rPr>
          <w:sz w:val="20"/>
          <w:szCs w:val="20"/>
          <w:color w:val="auto"/>
        </w:rPr>
      </w:pPr>
    </w:p>
    <w:p>
      <w:pPr>
        <w:jc w:val="both"/>
        <w:ind w:left="220" w:right="40"/>
        <w:spacing w:after="0" w:line="237" w:lineRule="auto"/>
        <w:rPr>
          <w:sz w:val="20"/>
          <w:szCs w:val="20"/>
          <w:color w:val="auto"/>
        </w:rPr>
      </w:pPr>
      <w:r>
        <w:rPr>
          <w:rFonts w:ascii="Arial" w:cs="Arial" w:eastAsia="Arial" w:hAnsi="Arial"/>
          <w:sz w:val="18"/>
          <w:szCs w:val="18"/>
          <w:color w:val="auto"/>
        </w:rPr>
        <w:t>As mentioned above, 2018 long-term incentive awards included a component of TRSUs due to the significant changes related to the F&amp;R transaction and to increase retention. These TRSUs are scheduled to vest in 2021, subject to award terms and conditions. While TRSUs are not subject to performance conditions, we believe they are effective attraction and retention tools as their value is often seen as more tangible by recipients and they require longer-time service to be earned. The value of TRSUs is directly aligned with our share price and is consistent with our philosophy of paying competitive compensation.</w:t>
      </w:r>
    </w:p>
    <w:p>
      <w:pPr>
        <w:spacing w:after="0" w:line="95" w:lineRule="exact"/>
        <w:rPr>
          <w:sz w:val="20"/>
          <w:szCs w:val="20"/>
          <w:color w:val="auto"/>
        </w:rPr>
      </w:pPr>
    </w:p>
    <w:p>
      <w:pPr>
        <w:ind w:left="220" w:right="100"/>
        <w:spacing w:after="0" w:line="236" w:lineRule="auto"/>
        <w:rPr>
          <w:sz w:val="20"/>
          <w:szCs w:val="20"/>
          <w:color w:val="auto"/>
        </w:rPr>
      </w:pPr>
      <w:r>
        <w:rPr>
          <w:rFonts w:ascii="Arial" w:cs="Arial" w:eastAsia="Arial" w:hAnsi="Arial"/>
          <w:sz w:val="18"/>
          <w:szCs w:val="18"/>
          <w:color w:val="auto"/>
        </w:rPr>
        <w:t>TRSUs historically have not been part of our company’s ongoing compensation program for named executive officers, and have been used selectively by the HR Committee for promotions and to recognize and retain executives who are viewed as critical to the future success of the company. TRSUs granted as special awards usually vest in full over a three or five-year period and thereby provide both a long-term performance and retention focus. In 2018, as part of restructuring Thomson Reuters into a new customer-focused organization, we granted a special award of TRSUs to Messrs. Peccarelli and Masterson in connection with their promotions to co-Chief Operating Officers and to increase retention. Mr. Friedenberg was also received a special sign-on TRSU grant in connection with joining our company.</w:t>
      </w:r>
    </w:p>
    <w:p>
      <w:pPr>
        <w:spacing w:after="0" w:line="96" w:lineRule="exact"/>
        <w:rPr>
          <w:sz w:val="20"/>
          <w:szCs w:val="20"/>
          <w:color w:val="auto"/>
        </w:rPr>
      </w:pPr>
    </w:p>
    <w:p>
      <w:pPr>
        <w:ind w:left="220" w:right="160"/>
        <w:spacing w:after="0" w:line="244" w:lineRule="auto"/>
        <w:rPr>
          <w:sz w:val="20"/>
          <w:szCs w:val="20"/>
          <w:color w:val="auto"/>
        </w:rPr>
      </w:pPr>
      <w:r>
        <w:rPr>
          <w:rFonts w:ascii="Arial" w:cs="Arial" w:eastAsia="Arial" w:hAnsi="Arial"/>
          <w:sz w:val="18"/>
          <w:szCs w:val="18"/>
          <w:color w:val="auto"/>
        </w:rPr>
        <w:t>Some of our special/retention awards have historically been provided in the form of additional PRSUs. During 2018, we did not grant any additional PRSUs.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PRSUs</w:t>
      </w:r>
    </w:p>
    <w:p>
      <w:pPr>
        <w:spacing w:after="0" w:line="22"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Our PRSUs reinforce our pay for performance philosophy and align with the interests of our shareholders. Because the payout for PRSUs is tied to operational results over a long-term period, these awards create a strong “line of sight” between controllable performance and realizable compensation, reinforce the importance of achieving specific multi-year financial results and mitigate the impact of stock price volatility on the retention power of the overall program. Costs associated with PRSUs are variable and are incurred only to the extent that the underlying performance goals are achieved. PRSUs thereby ensure a financially efficient outcome to our company by tying expense recognition to the achievement of specific financial goals.</w:t>
      </w:r>
    </w:p>
    <w:p>
      <w:pPr>
        <w:spacing w:after="0" w:line="98" w:lineRule="exact"/>
        <w:rPr>
          <w:sz w:val="20"/>
          <w:szCs w:val="20"/>
          <w:color w:val="auto"/>
        </w:rPr>
      </w:pPr>
    </w:p>
    <w:p>
      <w:pPr>
        <w:ind w:left="220" w:right="20"/>
        <w:spacing w:after="0" w:line="238" w:lineRule="auto"/>
        <w:rPr>
          <w:sz w:val="20"/>
          <w:szCs w:val="20"/>
          <w:color w:val="auto"/>
        </w:rPr>
      </w:pPr>
      <w:r>
        <w:rPr>
          <w:rFonts w:ascii="Arial" w:cs="Arial" w:eastAsia="Arial" w:hAnsi="Arial"/>
          <w:sz w:val="18"/>
          <w:szCs w:val="18"/>
          <w:color w:val="auto"/>
        </w:rPr>
        <w:t>When long-term incentive awards include PRSUs, the HR Committee sets targets that align with realistic expected growth rates over the three-year performance period in our operating plan. Similar to annual incentive awards, in general, the HR Committee sets targets so that the relative difficulty of achieving them is consistent from year to year. The HR Committee also reviews past performance against similar targets to assess the effectiveness of targets. Target levels are intended to be challenging, yet realistic and achievable.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3"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59</w:t>
      </w:r>
    </w:p>
    <w:p>
      <w:pPr>
        <w:sectPr>
          <w:pgSz w:w="11900" w:h="16838" w:orient="portrait"/>
          <w:cols w:equalWidth="0" w:num="1">
            <w:col w:w="11200"/>
          </w:cols>
          <w:pgMar w:left="240" w:top="458"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right="580"/>
        <w:spacing w:after="0" w:line="244" w:lineRule="auto"/>
        <w:rPr>
          <w:sz w:val="20"/>
          <w:szCs w:val="20"/>
          <w:color w:val="auto"/>
        </w:rPr>
      </w:pPr>
      <w:r>
        <w:rPr>
          <w:rFonts w:ascii="Arial" w:cs="Arial" w:eastAsia="Arial" w:hAnsi="Arial"/>
          <w:sz w:val="18"/>
          <w:szCs w:val="18"/>
          <w:color w:val="auto"/>
        </w:rPr>
        <w:t>The two financial metrics used for PRSU awards granted in 2016 to our named executive officers for the performance period ended December 31, 2018 were adjusted EPS and free cash flow per share.</w:t>
      </w:r>
    </w:p>
    <w:p>
      <w:pPr>
        <w:spacing w:after="0" w:line="82" w:lineRule="exact"/>
        <w:rPr>
          <w:sz w:val="20"/>
          <w:szCs w:val="20"/>
          <w:color w:val="auto"/>
        </w:rPr>
      </w:pPr>
    </w:p>
    <w:p>
      <w:pPr>
        <w:ind w:left="440" w:right="20" w:hanging="217"/>
        <w:spacing w:after="0" w:line="241" w:lineRule="auto"/>
        <w:tabs>
          <w:tab w:leader="none" w:pos="440" w:val="left"/>
        </w:tabs>
        <w:numPr>
          <w:ilvl w:val="0"/>
          <w:numId w:val="39"/>
        </w:numPr>
        <w:rPr>
          <w:rFonts w:ascii="Arial" w:cs="Arial" w:eastAsia="Arial" w:hAnsi="Arial"/>
          <w:sz w:val="18"/>
          <w:szCs w:val="18"/>
          <w:color w:val="D95A3B"/>
          <w:vertAlign w:val="superscript"/>
        </w:rPr>
      </w:pPr>
      <w:r>
        <w:rPr>
          <w:rFonts w:ascii="Arial" w:cs="Arial" w:eastAsia="Arial" w:hAnsi="Arial"/>
          <w:sz w:val="18"/>
          <w:szCs w:val="18"/>
          <w:b w:val="1"/>
          <w:bCs w:val="1"/>
          <w:color w:val="auto"/>
        </w:rPr>
        <w:t xml:space="preserve">Adjusted EPS </w:t>
      </w:r>
      <w:r>
        <w:rPr>
          <w:rFonts w:ascii="Arial" w:cs="Arial" w:eastAsia="Arial" w:hAnsi="Arial"/>
          <w:sz w:val="18"/>
          <w:szCs w:val="18"/>
          <w:color w:val="auto"/>
        </w:rPr>
        <w:t>– Adjusted EPS is a primary driver of our long-term financial performance by measuring growth in profitability on a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basis. It is also a measure commonly used by shareholders to measure our success. Adjusted EPS reflects earnings attributable to common shareholders on a per share basis excluding the post-tax impacts of fair value adjustments, amortization of other identifiable intangible assets, other operating gains and losses, certain impairment charges, other net finance costs or income, our share of post-tax earnings or losses in equity method investments, discontinued operations and other items affecting comparability. We also deduct dividends declared on preference shares.</w:t>
      </w:r>
    </w:p>
    <w:p>
      <w:pPr>
        <w:spacing w:after="0" w:line="85" w:lineRule="exact"/>
        <w:rPr>
          <w:rFonts w:ascii="Arial" w:cs="Arial" w:eastAsia="Arial" w:hAnsi="Arial"/>
          <w:sz w:val="18"/>
          <w:szCs w:val="18"/>
          <w:color w:val="D95A3B"/>
          <w:vertAlign w:val="superscript"/>
        </w:rPr>
      </w:pPr>
    </w:p>
    <w:p>
      <w:pPr>
        <w:ind w:left="440" w:right="100" w:hanging="217"/>
        <w:spacing w:after="0" w:line="265" w:lineRule="auto"/>
        <w:tabs>
          <w:tab w:leader="none" w:pos="440" w:val="left"/>
        </w:tabs>
        <w:numPr>
          <w:ilvl w:val="0"/>
          <w:numId w:val="39"/>
        </w:numPr>
        <w:rPr>
          <w:rFonts w:ascii="Arial" w:cs="Arial" w:eastAsia="Arial" w:hAnsi="Arial"/>
          <w:sz w:val="17"/>
          <w:szCs w:val="17"/>
          <w:color w:val="D95A3B"/>
          <w:vertAlign w:val="superscript"/>
        </w:rPr>
      </w:pPr>
      <w:r>
        <w:rPr>
          <w:rFonts w:ascii="Arial" w:cs="Arial" w:eastAsia="Arial" w:hAnsi="Arial"/>
          <w:sz w:val="17"/>
          <w:szCs w:val="17"/>
          <w:b w:val="1"/>
          <w:bCs w:val="1"/>
          <w:color w:val="auto"/>
        </w:rPr>
        <w:t xml:space="preserve">Free cash flow per share </w:t>
      </w:r>
      <w:r>
        <w:rPr>
          <w:rFonts w:ascii="Arial" w:cs="Arial" w:eastAsia="Arial" w:hAnsi="Arial"/>
          <w:sz w:val="17"/>
          <w:szCs w:val="17"/>
          <w:color w:val="auto"/>
        </w:rPr>
        <w:t>– Free cash flow per share is a measure of our operating performance because it represents cash available</w:t>
      </w:r>
      <w:r>
        <w:rPr>
          <w:rFonts w:ascii="Arial" w:cs="Arial" w:eastAsia="Arial" w:hAnsi="Arial"/>
          <w:sz w:val="17"/>
          <w:szCs w:val="17"/>
          <w:b w:val="1"/>
          <w:bCs w:val="1"/>
          <w:color w:val="auto"/>
        </w:rPr>
        <w:t xml:space="preserve"> </w:t>
      </w:r>
      <w:r>
        <w:rPr>
          <w:rFonts w:ascii="Arial" w:cs="Arial" w:eastAsia="Arial" w:hAnsi="Arial"/>
          <w:sz w:val="17"/>
          <w:szCs w:val="17"/>
          <w:color w:val="auto"/>
        </w:rPr>
        <w:t>to repay debt, pay common share dividends and fund share repurchases and new acquisitions. We define free cash flow as net cash provided by operating activities, proceeds from disposals of property and equipment and other investing activities, less capital expenditures, dividends paid on our preference shares and dividends paid to non-controlling interests from discontinued operations.</w:t>
      </w:r>
    </w:p>
    <w:p>
      <w:pPr>
        <w:spacing w:after="0" w:line="74" w:lineRule="exact"/>
        <w:rPr>
          <w:sz w:val="20"/>
          <w:szCs w:val="20"/>
          <w:color w:val="auto"/>
        </w:rPr>
      </w:pPr>
    </w:p>
    <w:p>
      <w:pPr>
        <w:ind w:left="220" w:right="580"/>
        <w:spacing w:after="0" w:line="244" w:lineRule="auto"/>
        <w:rPr>
          <w:sz w:val="20"/>
          <w:szCs w:val="20"/>
          <w:color w:val="auto"/>
        </w:rPr>
      </w:pPr>
      <w:r>
        <w:rPr>
          <w:rFonts w:ascii="Arial" w:cs="Arial" w:eastAsia="Arial" w:hAnsi="Arial"/>
          <w:sz w:val="18"/>
          <w:szCs w:val="18"/>
          <w:color w:val="auto"/>
        </w:rPr>
        <w:t>Both measures are calculated using diluted weighted average shares and exclude the impact of share buybacks not included in the operating plan.</w:t>
      </w:r>
    </w:p>
    <w:p>
      <w:pPr>
        <w:spacing w:after="0" w:line="91" w:lineRule="exact"/>
        <w:rPr>
          <w:sz w:val="20"/>
          <w:szCs w:val="20"/>
          <w:color w:val="auto"/>
        </w:rPr>
      </w:pPr>
    </w:p>
    <w:p>
      <w:pPr>
        <w:ind w:left="220" w:right="380"/>
        <w:spacing w:after="0" w:line="244" w:lineRule="auto"/>
        <w:rPr>
          <w:sz w:val="20"/>
          <w:szCs w:val="20"/>
          <w:color w:val="auto"/>
        </w:rPr>
      </w:pPr>
      <w:r>
        <w:rPr>
          <w:rFonts w:ascii="Arial" w:cs="Arial" w:eastAsia="Arial" w:hAnsi="Arial"/>
          <w:sz w:val="18"/>
          <w:szCs w:val="18"/>
          <w:color w:val="auto"/>
        </w:rPr>
        <w:t>The financial performance goals for PRSUs granted in 2016 were weighted 50% each as they were equally important to our long-term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66675</wp:posOffset>
            </wp:positionV>
            <wp:extent cx="8255" cy="1282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128270"/>
                    </a:xfrm>
                    <a:prstGeom prst="rect">
                      <a:avLst/>
                    </a:prstGeom>
                    <a:noFill/>
                  </pic:spPr>
                </pic:pic>
              </a:graphicData>
            </a:graphic>
          </wp:anchor>
        </w:drawing>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836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Financial metric</w:t>
            </w:r>
          </w:p>
        </w:tc>
        <w:tc>
          <w:tcPr>
            <w:tcW w:w="2620" w:type="dxa"/>
            <w:vAlign w:val="bottom"/>
            <w:tcBorders>
              <w:bottom w:val="single" w:sz="8" w:color="D95A3B"/>
            </w:tcBorders>
            <w:shd w:val="clear" w:color="auto" w:fill="CCCCCC"/>
          </w:tcPr>
          <w:p>
            <w:pPr>
              <w:jc w:val="center"/>
              <w:spacing w:after="0"/>
              <w:rPr>
                <w:sz w:val="20"/>
                <w:szCs w:val="20"/>
                <w:color w:val="auto"/>
              </w:rPr>
            </w:pPr>
            <w:r>
              <w:rPr>
                <w:rFonts w:ascii="Arial" w:cs="Arial" w:eastAsia="Arial" w:hAnsi="Arial"/>
                <w:sz w:val="15"/>
                <w:szCs w:val="15"/>
                <w:b w:val="1"/>
                <w:bCs w:val="1"/>
                <w:color w:val="auto"/>
              </w:rPr>
              <w:t>PRSU percentage weighting</w:t>
            </w:r>
          </w:p>
        </w:tc>
      </w:tr>
      <w:tr>
        <w:trPr>
          <w:trHeight w:val="155"/>
        </w:trPr>
        <w:tc>
          <w:tcPr>
            <w:tcW w:w="83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Adjusted EPS performance</w:t>
            </w:r>
          </w:p>
        </w:tc>
        <w:tc>
          <w:tcPr>
            <w:tcW w:w="2620" w:type="dxa"/>
            <w:vAlign w:val="bottom"/>
            <w:tcBorders>
              <w:bottom w:val="single" w:sz="8" w:color="AFAFAF"/>
            </w:tcBorders>
          </w:tcPr>
          <w:p>
            <w:pPr>
              <w:jc w:val="center"/>
              <w:spacing w:after="0" w:line="155" w:lineRule="exact"/>
              <w:rPr>
                <w:sz w:val="20"/>
                <w:szCs w:val="20"/>
                <w:color w:val="auto"/>
              </w:rPr>
            </w:pPr>
            <w:r>
              <w:rPr>
                <w:rFonts w:ascii="Arial" w:cs="Arial" w:eastAsia="Arial" w:hAnsi="Arial"/>
                <w:sz w:val="14"/>
                <w:szCs w:val="14"/>
                <w:color w:val="auto"/>
                <w:w w:val="99"/>
              </w:rPr>
              <w:t>50%</w:t>
            </w:r>
          </w:p>
        </w:tc>
      </w:tr>
      <w:tr>
        <w:trPr>
          <w:trHeight w:val="155"/>
        </w:trPr>
        <w:tc>
          <w:tcPr>
            <w:tcW w:w="836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Free cash flow per share performance</w:t>
            </w:r>
          </w:p>
        </w:tc>
        <w:tc>
          <w:tcPr>
            <w:tcW w:w="2620" w:type="dxa"/>
            <w:vAlign w:val="bottom"/>
            <w:tcBorders>
              <w:bottom w:val="single" w:sz="8" w:color="D95A3B"/>
            </w:tcBorders>
          </w:tcPr>
          <w:p>
            <w:pPr>
              <w:jc w:val="center"/>
              <w:spacing w:after="0" w:line="155" w:lineRule="exact"/>
              <w:rPr>
                <w:sz w:val="20"/>
                <w:szCs w:val="20"/>
                <w:color w:val="auto"/>
              </w:rPr>
            </w:pPr>
            <w:r>
              <w:rPr>
                <w:rFonts w:ascii="Arial" w:cs="Arial" w:eastAsia="Arial" w:hAnsi="Arial"/>
                <w:sz w:val="14"/>
                <w:szCs w:val="14"/>
                <w:color w:val="auto"/>
                <w:w w:val="99"/>
              </w:rPr>
              <w:t>50%</w:t>
            </w:r>
          </w:p>
        </w:tc>
      </w:tr>
    </w:tbl>
    <w:p>
      <w:pPr>
        <w:spacing w:after="0" w:line="107" w:lineRule="exact"/>
        <w:rPr>
          <w:sz w:val="20"/>
          <w:szCs w:val="20"/>
          <w:color w:val="auto"/>
        </w:rPr>
      </w:pPr>
    </w:p>
    <w:p>
      <w:pPr>
        <w:ind w:left="220" w:right="460"/>
        <w:spacing w:after="0" w:line="239" w:lineRule="auto"/>
        <w:rPr>
          <w:sz w:val="20"/>
          <w:szCs w:val="20"/>
          <w:color w:val="auto"/>
        </w:rPr>
      </w:pPr>
      <w:r>
        <w:rPr>
          <w:rFonts w:ascii="Arial" w:cs="Arial" w:eastAsia="Arial" w:hAnsi="Arial"/>
          <w:sz w:val="18"/>
          <w:szCs w:val="18"/>
          <w:color w:val="auto"/>
        </w:rPr>
        <w:t>The number of PRSUs granted to each executive was based on our closing share price on the NYSE on the business day before the grant. PRSUs had a vesting range of 0% to 200% after the end of the performance period, depending on the achievement of the performance goals.</w:t>
      </w:r>
    </w:p>
    <w:p>
      <w:pPr>
        <w:spacing w:after="0" w:line="95" w:lineRule="exact"/>
        <w:rPr>
          <w:sz w:val="20"/>
          <w:szCs w:val="20"/>
          <w:color w:val="auto"/>
        </w:rPr>
      </w:pPr>
    </w:p>
    <w:p>
      <w:pPr>
        <w:ind w:left="220" w:right="620"/>
        <w:spacing w:after="0" w:line="273" w:lineRule="auto"/>
        <w:rPr>
          <w:sz w:val="20"/>
          <w:szCs w:val="20"/>
          <w:color w:val="auto"/>
        </w:rPr>
      </w:pPr>
      <w:r>
        <w:rPr>
          <w:rFonts w:ascii="Arial" w:cs="Arial" w:eastAsia="Arial" w:hAnsi="Arial"/>
          <w:sz w:val="17"/>
          <w:szCs w:val="17"/>
          <w:color w:val="auto"/>
        </w:rPr>
        <w:t>PRSUs also accumulate additional units based on notional equivalents of dividends paid on our common shares. The accumulated dividends are subject to the same performance adjustment as the underlying award when the underlying shares are distributed.</w:t>
      </w:r>
    </w:p>
    <w:p>
      <w:pPr>
        <w:spacing w:after="0" w:line="67" w:lineRule="exact"/>
        <w:rPr>
          <w:sz w:val="20"/>
          <w:szCs w:val="20"/>
          <w:color w:val="auto"/>
        </w:rPr>
      </w:pPr>
    </w:p>
    <w:p>
      <w:pPr>
        <w:ind w:left="220" w:right="220"/>
        <w:spacing w:after="0" w:line="244" w:lineRule="auto"/>
        <w:rPr>
          <w:sz w:val="20"/>
          <w:szCs w:val="20"/>
          <w:color w:val="auto"/>
        </w:rPr>
      </w:pPr>
      <w:r>
        <w:rPr>
          <w:rFonts w:ascii="Arial" w:cs="Arial" w:eastAsia="Arial" w:hAnsi="Arial"/>
          <w:sz w:val="18"/>
          <w:szCs w:val="18"/>
          <w:color w:val="auto"/>
        </w:rPr>
        <w:t>2016-2018 targets for adjusted EPS and free cash flow per share were based on three year averages for each metric and contemplated increases each year for both metrics during the performance period.</w:t>
      </w:r>
    </w:p>
    <w:p>
      <w:pPr>
        <w:spacing w:after="0" w:line="91" w:lineRule="exact"/>
        <w:rPr>
          <w:sz w:val="20"/>
          <w:szCs w:val="20"/>
          <w:color w:val="auto"/>
        </w:rPr>
      </w:pPr>
    </w:p>
    <w:p>
      <w:pPr>
        <w:ind w:left="220" w:right="140"/>
        <w:spacing w:after="0" w:line="234" w:lineRule="auto"/>
        <w:rPr>
          <w:sz w:val="20"/>
          <w:szCs w:val="20"/>
          <w:color w:val="auto"/>
        </w:rPr>
      </w:pPr>
      <w:r>
        <w:rPr>
          <w:rFonts w:ascii="Arial" w:cs="Arial" w:eastAsia="Arial" w:hAnsi="Arial"/>
          <w:sz w:val="18"/>
          <w:szCs w:val="18"/>
          <w:color w:val="auto"/>
        </w:rPr>
        <w:t>PRSUs granted for the 2016-2018 period were earned at 100% of target, reflecting actual performance for 2016 and 2017 (the first two years of the cycle) and a deemed 100% performance for 2018 (the last year of the cycle) due to complexities associated with measuring 2018 performance in light of the F&amp;R transaction, which closed during 2018. The impact of effectively splitting our company in half during 2018 made the initial performance goals set in 2016 no longer measurable on a comparable basis.</w:t>
      </w:r>
    </w:p>
    <w:p>
      <w:pPr>
        <w:ind w:left="220"/>
        <w:spacing w:after="0" w:line="234" w:lineRule="auto"/>
        <w:rPr>
          <w:sz w:val="20"/>
          <w:szCs w:val="20"/>
          <w:color w:val="auto"/>
        </w:rPr>
      </w:pPr>
      <w:r>
        <w:rPr>
          <w:rFonts w:ascii="Arial" w:cs="Arial" w:eastAsia="Arial" w:hAnsi="Arial"/>
          <w:sz w:val="18"/>
          <w:szCs w:val="18"/>
          <w:color w:val="auto"/>
        </w:rPr>
        <w:t>As part of the HR Committee’s design principles for PRSU awards, targets and actual results are evaluated on a constant currency basis.</w:t>
      </w:r>
    </w:p>
    <w:p>
      <w:pPr>
        <w:ind w:left="220"/>
        <w:spacing w:after="0"/>
        <w:rPr>
          <w:sz w:val="20"/>
          <w:szCs w:val="20"/>
          <w:color w:val="auto"/>
        </w:rPr>
      </w:pPr>
      <w:r>
        <w:rPr>
          <w:rFonts w:ascii="Arial" w:cs="Arial" w:eastAsia="Arial" w:hAnsi="Arial"/>
          <w:sz w:val="18"/>
          <w:szCs w:val="18"/>
          <w:color w:val="auto"/>
        </w:rPr>
        <w:t>In addition, in determining performance, guiding principles for long-term incentive awards contemplate adjustments for:</w:t>
      </w:r>
    </w:p>
    <w:p>
      <w:pPr>
        <w:spacing w:after="0" w:line="116" w:lineRule="exact"/>
        <w:rPr>
          <w:sz w:val="20"/>
          <w:szCs w:val="20"/>
          <w:color w:val="auto"/>
        </w:rPr>
      </w:pPr>
    </w:p>
    <w:p>
      <w:pPr>
        <w:ind w:left="700" w:hanging="262"/>
        <w:spacing w:after="0"/>
        <w:tabs>
          <w:tab w:leader="none" w:pos="700" w:val="left"/>
        </w:tabs>
        <w:numPr>
          <w:ilvl w:val="0"/>
          <w:numId w:val="40"/>
        </w:numPr>
        <w:rPr>
          <w:rFonts w:ascii="Arial" w:cs="Arial" w:eastAsia="Arial" w:hAnsi="Arial"/>
          <w:sz w:val="15"/>
          <w:szCs w:val="15"/>
          <w:color w:val="auto"/>
        </w:rPr>
      </w:pPr>
      <w:r>
        <w:rPr>
          <w:rFonts w:ascii="Arial" w:cs="Arial" w:eastAsia="Arial" w:hAnsi="Arial"/>
          <w:sz w:val="18"/>
          <w:szCs w:val="18"/>
          <w:color w:val="auto"/>
        </w:rPr>
        <w:t>Acquisitions and disposals not in our company’s operating plan and resulting in adjustments greater than a specified amount;</w:t>
      </w:r>
    </w:p>
    <w:p>
      <w:pPr>
        <w:spacing w:after="0" w:line="89" w:lineRule="exact"/>
        <w:rPr>
          <w:rFonts w:ascii="Arial" w:cs="Arial" w:eastAsia="Arial" w:hAnsi="Arial"/>
          <w:sz w:val="15"/>
          <w:szCs w:val="15"/>
          <w:color w:val="auto"/>
        </w:rPr>
      </w:pPr>
    </w:p>
    <w:p>
      <w:pPr>
        <w:ind w:left="700" w:hanging="262"/>
        <w:spacing w:after="0"/>
        <w:tabs>
          <w:tab w:leader="none" w:pos="700" w:val="left"/>
        </w:tabs>
        <w:numPr>
          <w:ilvl w:val="0"/>
          <w:numId w:val="40"/>
        </w:numPr>
        <w:rPr>
          <w:rFonts w:ascii="Arial" w:cs="Arial" w:eastAsia="Arial" w:hAnsi="Arial"/>
          <w:sz w:val="15"/>
          <w:szCs w:val="15"/>
          <w:color w:val="auto"/>
        </w:rPr>
      </w:pPr>
      <w:r>
        <w:rPr>
          <w:rFonts w:ascii="Arial" w:cs="Arial" w:eastAsia="Arial" w:hAnsi="Arial"/>
          <w:sz w:val="18"/>
          <w:szCs w:val="18"/>
          <w:color w:val="auto"/>
        </w:rPr>
        <w:t>One-time charges that were not foreseen in the operating plan and where the related savings are outside of the plan period;</w:t>
      </w:r>
    </w:p>
    <w:p>
      <w:pPr>
        <w:spacing w:after="0" w:line="89" w:lineRule="exact"/>
        <w:rPr>
          <w:rFonts w:ascii="Arial" w:cs="Arial" w:eastAsia="Arial" w:hAnsi="Arial"/>
          <w:sz w:val="15"/>
          <w:szCs w:val="15"/>
          <w:color w:val="auto"/>
        </w:rPr>
      </w:pPr>
    </w:p>
    <w:p>
      <w:pPr>
        <w:ind w:left="700" w:hanging="262"/>
        <w:spacing w:after="0"/>
        <w:tabs>
          <w:tab w:leader="none" w:pos="700" w:val="left"/>
        </w:tabs>
        <w:numPr>
          <w:ilvl w:val="0"/>
          <w:numId w:val="40"/>
        </w:numPr>
        <w:rPr>
          <w:rFonts w:ascii="Arial" w:cs="Arial" w:eastAsia="Arial" w:hAnsi="Arial"/>
          <w:sz w:val="15"/>
          <w:szCs w:val="15"/>
          <w:color w:val="auto"/>
        </w:rPr>
      </w:pPr>
      <w:r>
        <w:rPr>
          <w:rFonts w:ascii="Arial" w:cs="Arial" w:eastAsia="Arial" w:hAnsi="Arial"/>
          <w:sz w:val="18"/>
          <w:szCs w:val="18"/>
          <w:color w:val="auto"/>
        </w:rPr>
        <w:t>The impact of any share repurchases that are in excess of buyback amounts reflected in the original operating plan;</w:t>
      </w:r>
    </w:p>
    <w:p>
      <w:pPr>
        <w:spacing w:after="0" w:line="89" w:lineRule="exact"/>
        <w:rPr>
          <w:rFonts w:ascii="Arial" w:cs="Arial" w:eastAsia="Arial" w:hAnsi="Arial"/>
          <w:sz w:val="15"/>
          <w:szCs w:val="15"/>
          <w:color w:val="auto"/>
        </w:rPr>
      </w:pPr>
    </w:p>
    <w:p>
      <w:pPr>
        <w:ind w:left="700" w:right="660" w:hanging="262"/>
        <w:spacing w:after="0" w:line="244" w:lineRule="auto"/>
        <w:tabs>
          <w:tab w:leader="none" w:pos="700" w:val="left"/>
        </w:tabs>
        <w:numPr>
          <w:ilvl w:val="0"/>
          <w:numId w:val="40"/>
        </w:numPr>
        <w:rPr>
          <w:rFonts w:ascii="Arial" w:cs="Arial" w:eastAsia="Arial" w:hAnsi="Arial"/>
          <w:sz w:val="15"/>
          <w:szCs w:val="15"/>
          <w:color w:val="auto"/>
        </w:rPr>
      </w:pPr>
      <w:r>
        <w:rPr>
          <w:rFonts w:ascii="Arial" w:cs="Arial" w:eastAsia="Arial" w:hAnsi="Arial"/>
          <w:sz w:val="18"/>
          <w:szCs w:val="18"/>
          <w:color w:val="auto"/>
        </w:rPr>
        <w:t>Extraordinary events which are outside of management’s control to the extent that the actual impact differs from original plan assumptions (i.e., the regulatory/tax environment and significant one-time transactions);</w:t>
      </w:r>
    </w:p>
    <w:p>
      <w:pPr>
        <w:spacing w:after="0" w:line="63" w:lineRule="exact"/>
        <w:rPr>
          <w:rFonts w:ascii="Arial" w:cs="Arial" w:eastAsia="Arial" w:hAnsi="Arial"/>
          <w:sz w:val="15"/>
          <w:szCs w:val="15"/>
          <w:color w:val="auto"/>
        </w:rPr>
      </w:pPr>
    </w:p>
    <w:p>
      <w:pPr>
        <w:ind w:left="700" w:hanging="262"/>
        <w:spacing w:after="0"/>
        <w:tabs>
          <w:tab w:leader="none" w:pos="700" w:val="left"/>
        </w:tabs>
        <w:numPr>
          <w:ilvl w:val="0"/>
          <w:numId w:val="40"/>
        </w:numPr>
        <w:rPr>
          <w:rFonts w:ascii="Arial" w:cs="Arial" w:eastAsia="Arial" w:hAnsi="Arial"/>
          <w:sz w:val="15"/>
          <w:szCs w:val="15"/>
          <w:color w:val="auto"/>
        </w:rPr>
      </w:pPr>
      <w:r>
        <w:rPr>
          <w:rFonts w:ascii="Arial" w:cs="Arial" w:eastAsia="Arial" w:hAnsi="Arial"/>
          <w:sz w:val="18"/>
          <w:szCs w:val="18"/>
          <w:color w:val="auto"/>
        </w:rPr>
        <w:t>Changes in accounting practices to make figures comparable to the original operating plan; and</w:t>
      </w:r>
    </w:p>
    <w:p>
      <w:pPr>
        <w:spacing w:after="0" w:line="89" w:lineRule="exact"/>
        <w:rPr>
          <w:rFonts w:ascii="Arial" w:cs="Arial" w:eastAsia="Arial" w:hAnsi="Arial"/>
          <w:sz w:val="15"/>
          <w:szCs w:val="15"/>
          <w:color w:val="auto"/>
        </w:rPr>
      </w:pPr>
    </w:p>
    <w:p>
      <w:pPr>
        <w:ind w:left="700" w:hanging="262"/>
        <w:spacing w:after="0"/>
        <w:tabs>
          <w:tab w:leader="none" w:pos="700" w:val="left"/>
        </w:tabs>
        <w:numPr>
          <w:ilvl w:val="0"/>
          <w:numId w:val="40"/>
        </w:numPr>
        <w:rPr>
          <w:rFonts w:ascii="Arial" w:cs="Arial" w:eastAsia="Arial" w:hAnsi="Arial"/>
          <w:sz w:val="15"/>
          <w:szCs w:val="15"/>
          <w:color w:val="auto"/>
        </w:rPr>
      </w:pPr>
      <w:r>
        <w:rPr>
          <w:rFonts w:ascii="Arial" w:cs="Arial" w:eastAsia="Arial" w:hAnsi="Arial"/>
          <w:sz w:val="18"/>
          <w:szCs w:val="18"/>
          <w:color w:val="auto"/>
        </w:rPr>
        <w:t>Tax expense on adjusted earnings and cash tax differences in excess of 5% of targets (positive or negative).</w:t>
      </w:r>
    </w:p>
    <w:p>
      <w:pPr>
        <w:spacing w:after="0" w:line="116" w:lineRule="exact"/>
        <w:rPr>
          <w:sz w:val="20"/>
          <w:szCs w:val="20"/>
          <w:color w:val="auto"/>
        </w:rPr>
      </w:pPr>
    </w:p>
    <w:p>
      <w:pPr>
        <w:ind w:left="220" w:right="180"/>
        <w:spacing w:after="0" w:line="244" w:lineRule="auto"/>
        <w:rPr>
          <w:sz w:val="20"/>
          <w:szCs w:val="20"/>
          <w:color w:val="auto"/>
        </w:rPr>
      </w:pPr>
      <w:r>
        <w:rPr>
          <w:rFonts w:ascii="Arial" w:cs="Arial" w:eastAsia="Arial" w:hAnsi="Arial"/>
          <w:sz w:val="18"/>
          <w:szCs w:val="18"/>
          <w:color w:val="auto"/>
        </w:rPr>
        <w:t>In addition, as PRSU terms do not expressly account for abnormally high currency volatility, the HR Committee uses a constant currency methodology for all PRSU grants. Using this methodology, performance is measured at actual foreign currency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118110</wp:posOffset>
            </wp:positionV>
            <wp:extent cx="697357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0"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60</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20" w:right="20"/>
        <w:spacing w:after="0" w:line="273" w:lineRule="auto"/>
        <w:rPr>
          <w:sz w:val="20"/>
          <w:szCs w:val="20"/>
          <w:color w:val="auto"/>
        </w:rPr>
      </w:pPr>
      <w:r>
        <w:rPr>
          <w:rFonts w:ascii="Arial" w:cs="Arial" w:eastAsia="Arial" w:hAnsi="Arial"/>
          <w:sz w:val="17"/>
          <w:szCs w:val="17"/>
          <w:color w:val="auto"/>
        </w:rPr>
        <w:t>within a specified performance range to hold management accountable for managing volatility. Constant currency rates are utilized outside of this range when high volatility is outside of management control. We believe this methodology best drives management performance.</w:t>
      </w:r>
    </w:p>
    <w:p>
      <w:pPr>
        <w:spacing w:after="0" w:line="67" w:lineRule="exact"/>
        <w:rPr>
          <w:sz w:val="20"/>
          <w:szCs w:val="20"/>
          <w:color w:val="auto"/>
        </w:rPr>
      </w:pPr>
    </w:p>
    <w:p>
      <w:pPr>
        <w:ind w:left="220" w:right="220"/>
        <w:spacing w:after="0" w:line="239" w:lineRule="auto"/>
        <w:rPr>
          <w:sz w:val="20"/>
          <w:szCs w:val="20"/>
          <w:color w:val="auto"/>
        </w:rPr>
      </w:pPr>
      <w:r>
        <w:rPr>
          <w:rFonts w:ascii="Arial" w:cs="Arial" w:eastAsia="Arial" w:hAnsi="Arial"/>
          <w:sz w:val="18"/>
          <w:szCs w:val="18"/>
          <w:color w:val="auto"/>
        </w:rPr>
        <w:t>As a result of the significant changes related to the F&amp;R transaction and to increase retention, PRSUs were not included in long-term incentive awards granted in 2018. As discussed in this compensation discussion and analysis, PRSUs (weighed 50%) were added back as a performance component of long-term incentive awards granted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120650</wp:posOffset>
            </wp:positionV>
            <wp:extent cx="697357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4"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61</w:t>
      </w:r>
    </w:p>
    <w:p>
      <w:pPr>
        <w:sectPr>
          <w:pgSz w:w="11900" w:h="16838" w:orient="portrait"/>
          <w:cols w:equalWidth="0" w:num="1">
            <w:col w:w="11200"/>
          </w:cols>
          <w:pgMar w:left="240" w:top="458"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2018 Named Executive Officer Compensation and Key Accomplishments</w:t>
      </w:r>
    </w:p>
    <w:p>
      <w:pPr>
        <w:spacing w:after="0" w:line="79" w:lineRule="exact"/>
        <w:rPr>
          <w:sz w:val="20"/>
          <w:szCs w:val="20"/>
          <w:color w:val="auto"/>
        </w:rPr>
      </w:pPr>
    </w:p>
    <w:p>
      <w:pPr>
        <w:ind w:left="220" w:right="280"/>
        <w:spacing w:after="0" w:line="239" w:lineRule="auto"/>
        <w:rPr>
          <w:sz w:val="20"/>
          <w:szCs w:val="20"/>
          <w:color w:val="auto"/>
        </w:rPr>
      </w:pPr>
      <w:r>
        <w:rPr>
          <w:rFonts w:ascii="Arial" w:cs="Arial" w:eastAsia="Arial" w:hAnsi="Arial"/>
          <w:sz w:val="18"/>
          <w:szCs w:val="18"/>
          <w:color w:val="auto"/>
        </w:rPr>
        <w:t>The following section provides information about each individual named executive officer’s 2018 performance and compensation. The tables in this section help show how we pay for performance. In the tables below, long-term incentive award performance is reflected at target since these awards will vest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78105</wp:posOffset>
            </wp:positionV>
            <wp:extent cx="69735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45"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D95A3B"/>
        </w:rPr>
        <w:t>James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-139065</wp:posOffset>
            </wp:positionV>
            <wp:extent cx="1358900" cy="13589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58900" cy="1358900"/>
                    </a:xfrm>
                    <a:prstGeom prst="rect">
                      <a:avLst/>
                    </a:prstGeom>
                    <a:noFill/>
                  </pic:spPr>
                </pic:pic>
              </a:graphicData>
            </a:graphic>
          </wp:anchor>
        </w:drawing>
      </w:r>
    </w:p>
    <w:p>
      <w:pPr>
        <w:ind w:left="2760"/>
        <w:spacing w:after="0"/>
        <w:rPr>
          <w:sz w:val="20"/>
          <w:szCs w:val="20"/>
          <w:color w:val="auto"/>
        </w:rPr>
      </w:pPr>
      <w:r>
        <w:rPr>
          <w:rFonts w:ascii="Arial" w:cs="Arial" w:eastAsia="Arial" w:hAnsi="Arial"/>
          <w:sz w:val="22"/>
          <w:szCs w:val="22"/>
          <w:color w:val="D95A3B"/>
        </w:rPr>
        <w:t>President and Chief Executive Officer</w:t>
      </w:r>
    </w:p>
    <w:p>
      <w:pPr>
        <w:spacing w:after="0" w:line="116" w:lineRule="exact"/>
        <w:rPr>
          <w:sz w:val="20"/>
          <w:szCs w:val="20"/>
          <w:color w:val="auto"/>
        </w:rPr>
      </w:pPr>
    </w:p>
    <w:p>
      <w:pPr>
        <w:ind w:left="2760" w:right="60"/>
        <w:spacing w:after="0" w:line="235" w:lineRule="auto"/>
        <w:rPr>
          <w:sz w:val="20"/>
          <w:szCs w:val="20"/>
          <w:color w:val="auto"/>
        </w:rPr>
      </w:pPr>
      <w:r>
        <w:rPr>
          <w:rFonts w:ascii="Arial" w:cs="Arial" w:eastAsia="Arial" w:hAnsi="Arial"/>
          <w:sz w:val="18"/>
          <w:szCs w:val="18"/>
          <w:color w:val="auto"/>
        </w:rPr>
        <w:t>Jim Smith has been President &amp; Chief Executive Officer since January 2012. Mr. Smith was Chief Operating Officer of Thomson Reuters from September 2011 to December 2011 and Chief Executive Officer of Thomson Reuters Professional division from April 2008 to September 2011. Prior to the acquisition of Reuters Group PLC (Reuters) by The Thomson Corporation (Thomson) in April 2008, he served as Chief Operating Officer of Thomson and as President and Chief Executive Officer of Thomson Learning’s Academic and Reference Group. Mr. Smith joined the Thomson Newspaper Group in 1987. He held several staff and operating positions, culminating in his role as head of operations for Thomson Newspapers in the U.S. With the sale of the Thomson Newspaper Group in 2000, he joined Thomson in 2001 as Executive Vice President. He began his career as a journalist and held several editorial and general management positions prior to joining Thomson.</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2018 performance</w:t>
      </w:r>
    </w:p>
    <w:p>
      <w:pPr>
        <w:spacing w:after="0" w:line="22" w:lineRule="exact"/>
        <w:rPr>
          <w:sz w:val="20"/>
          <w:szCs w:val="20"/>
          <w:color w:val="auto"/>
        </w:rPr>
      </w:pPr>
    </w:p>
    <w:p>
      <w:pPr>
        <w:ind w:left="220" w:right="180"/>
        <w:spacing w:after="0" w:line="244" w:lineRule="auto"/>
        <w:rPr>
          <w:sz w:val="20"/>
          <w:szCs w:val="20"/>
          <w:color w:val="auto"/>
        </w:rPr>
      </w:pPr>
      <w:r>
        <w:rPr>
          <w:rFonts w:ascii="Arial" w:cs="Arial" w:eastAsia="Arial" w:hAnsi="Arial"/>
          <w:sz w:val="18"/>
          <w:szCs w:val="18"/>
          <w:color w:val="auto"/>
        </w:rPr>
        <w:t>2018 was an immensely challenging and invigorating year for Thomson Reuters under Mr. Smith’s leadership. Mr. Smith was on medical leave for part of the year and returned to the office after making a full recovery.</w:t>
      </w:r>
    </w:p>
    <w:p>
      <w:pPr>
        <w:spacing w:after="0" w:line="91" w:lineRule="exact"/>
        <w:rPr>
          <w:sz w:val="20"/>
          <w:szCs w:val="20"/>
          <w:color w:val="auto"/>
        </w:rPr>
      </w:pPr>
    </w:p>
    <w:p>
      <w:pPr>
        <w:jc w:val="both"/>
        <w:ind w:left="220" w:right="80"/>
        <w:spacing w:after="0" w:line="239" w:lineRule="auto"/>
        <w:rPr>
          <w:sz w:val="20"/>
          <w:szCs w:val="20"/>
          <w:color w:val="auto"/>
        </w:rPr>
      </w:pPr>
      <w:r>
        <w:rPr>
          <w:rFonts w:ascii="Arial" w:cs="Arial" w:eastAsia="Arial" w:hAnsi="Arial"/>
          <w:sz w:val="18"/>
          <w:szCs w:val="18"/>
          <w:color w:val="auto"/>
        </w:rPr>
        <w:t>In 2018, Thomson Reuters successfully closed the F&amp;R transaction and launched the new Refinitiv partnership smoothly. We built a new customer-centric model and started to execute on a new growth strategy which reframes our opportunity around evolving customer needs and their growing shift from content to software.</w:t>
      </w:r>
    </w:p>
    <w:p>
      <w:pPr>
        <w:spacing w:after="0" w:line="95" w:lineRule="exact"/>
        <w:rPr>
          <w:sz w:val="20"/>
          <w:szCs w:val="20"/>
          <w:color w:val="auto"/>
        </w:rPr>
      </w:pPr>
    </w:p>
    <w:p>
      <w:pPr>
        <w:ind w:left="220" w:right="200"/>
        <w:spacing w:after="0" w:line="238" w:lineRule="auto"/>
        <w:rPr>
          <w:sz w:val="20"/>
          <w:szCs w:val="20"/>
          <w:color w:val="auto"/>
        </w:rPr>
      </w:pPr>
      <w:r>
        <w:rPr>
          <w:rFonts w:ascii="Arial" w:cs="Arial" w:eastAsia="Arial" w:hAnsi="Arial"/>
          <w:sz w:val="18"/>
          <w:szCs w:val="18"/>
          <w:color w:val="auto"/>
        </w:rPr>
        <w:t>Under Mr. Smith’s leadership, we met the financial guidance that we provided to shareholders and other stakeholders, achieving approximately 3% organic revenue growth – our company’s best growth since 2008. Our Legal Professionals, Corporates and Tax Professionals segments, which collectively represented 80% of total 2018 revenues, grew 4% organically for the full year. Reuters News also grew its full-year revenues driven by its new commercial relationship with Refinitiv.</w:t>
      </w:r>
    </w:p>
    <w:p>
      <w:pPr>
        <w:spacing w:after="0" w:line="94" w:lineRule="exact"/>
        <w:rPr>
          <w:sz w:val="20"/>
          <w:szCs w:val="20"/>
          <w:color w:val="auto"/>
        </w:rPr>
      </w:pPr>
    </w:p>
    <w:p>
      <w:pPr>
        <w:ind w:left="220" w:right="120"/>
        <w:spacing w:after="0" w:line="244" w:lineRule="auto"/>
        <w:rPr>
          <w:sz w:val="20"/>
          <w:szCs w:val="20"/>
          <w:color w:val="auto"/>
        </w:rPr>
      </w:pPr>
      <w:r>
        <w:rPr>
          <w:rFonts w:ascii="Arial" w:cs="Arial" w:eastAsia="Arial" w:hAnsi="Arial"/>
          <w:sz w:val="18"/>
          <w:szCs w:val="18"/>
          <w:color w:val="auto"/>
        </w:rPr>
        <w:t>Near the end of the year, Mr. Smith and his executive leadership team successfully relaunched the new Thomson Reuters at our Investor Day in Toronto.</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a solid close to an eventful year, Thomson Reuters entered 2019 well positioned to build on its 2018 performance.</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2018 compensation</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1600" w:type="dxa"/>
            <w:vAlign w:val="bottom"/>
          </w:tcPr>
          <w:p>
            <w:pPr>
              <w:spacing w:after="0"/>
              <w:rPr>
                <w:sz w:val="16"/>
                <w:szCs w:val="16"/>
                <w:color w:val="auto"/>
              </w:rPr>
            </w:pPr>
          </w:p>
        </w:tc>
        <w:tc>
          <w:tcPr>
            <w:tcW w:w="3640" w:type="dxa"/>
            <w:vAlign w:val="bottom"/>
            <w:tcBorders>
              <w:top w:val="single" w:sz="8" w:color="D95A3B"/>
              <w:bottom w:val="single" w:sz="8" w:color="D95A3B"/>
              <w:right w:val="single" w:sz="8" w:color="AFAFAF"/>
            </w:tcBorders>
            <w:gridSpan w:val="2"/>
          </w:tcPr>
          <w:p>
            <w:pPr>
              <w:jc w:val="right"/>
              <w:ind w:right="388"/>
              <w:spacing w:after="0"/>
              <w:rPr>
                <w:sz w:val="20"/>
                <w:szCs w:val="20"/>
                <w:color w:val="auto"/>
              </w:rPr>
            </w:pPr>
            <w:r>
              <w:rPr>
                <w:rFonts w:ascii="Arial" w:cs="Arial" w:eastAsia="Arial" w:hAnsi="Arial"/>
                <w:sz w:val="15"/>
                <w:szCs w:val="15"/>
                <w:b w:val="1"/>
                <w:bCs w:val="1"/>
                <w:color w:val="auto"/>
              </w:rPr>
              <w:t>Target Total Direct Compensation (2017)</w:t>
            </w:r>
          </w:p>
        </w:tc>
        <w:tc>
          <w:tcPr>
            <w:tcW w:w="3760" w:type="dxa"/>
            <w:vAlign w:val="bottom"/>
            <w:tcBorders>
              <w:top w:val="single" w:sz="8" w:color="D95A3B"/>
              <w:bottom w:val="single" w:sz="8" w:color="D95A3B"/>
              <w:right w:val="single" w:sz="8" w:color="AFAFAF"/>
            </w:tcBorders>
            <w:gridSpan w:val="2"/>
            <w:shd w:val="clear" w:color="auto" w:fill="E5E5E5"/>
          </w:tcPr>
          <w:p>
            <w:pPr>
              <w:jc w:val="right"/>
              <w:ind w:right="428"/>
              <w:spacing w:after="0"/>
              <w:rPr>
                <w:sz w:val="20"/>
                <w:szCs w:val="20"/>
                <w:color w:val="auto"/>
              </w:rPr>
            </w:pPr>
            <w:r>
              <w:rPr>
                <w:rFonts w:ascii="Arial" w:cs="Arial" w:eastAsia="Arial" w:hAnsi="Arial"/>
                <w:sz w:val="15"/>
                <w:szCs w:val="15"/>
                <w:b w:val="1"/>
                <w:bCs w:val="1"/>
                <w:color w:val="auto"/>
              </w:rPr>
              <w:t>Target Total Direct Compensation (2018)</w:t>
            </w:r>
          </w:p>
        </w:tc>
        <w:tc>
          <w:tcPr>
            <w:tcW w:w="920" w:type="dxa"/>
            <w:vAlign w:val="bottom"/>
            <w:tcBorders>
              <w:top w:val="single" w:sz="8" w:color="D95A3B"/>
              <w:bottom w:val="single" w:sz="8" w:color="D95A3B"/>
              <w:right w:val="single" w:sz="8" w:color="AFAFAF"/>
            </w:tcBorders>
            <w:shd w:val="clear" w:color="auto" w:fill="E5E5E5"/>
          </w:tcPr>
          <w:p>
            <w:pPr>
              <w:jc w:val="right"/>
              <w:ind w:right="227"/>
              <w:spacing w:after="0"/>
              <w:rPr>
                <w:sz w:val="20"/>
                <w:szCs w:val="20"/>
                <w:color w:val="auto"/>
              </w:rPr>
            </w:pPr>
            <w:r>
              <w:rPr>
                <w:rFonts w:ascii="Arial" w:cs="Arial" w:eastAsia="Arial" w:hAnsi="Arial"/>
                <w:sz w:val="15"/>
                <w:szCs w:val="15"/>
                <w:b w:val="1"/>
                <w:bCs w:val="1"/>
                <w:color w:val="auto"/>
              </w:rPr>
              <w:t>Fixed</w:t>
            </w:r>
          </w:p>
        </w:tc>
        <w:tc>
          <w:tcPr>
            <w:tcW w:w="1060" w:type="dxa"/>
            <w:vAlign w:val="bottom"/>
            <w:tcBorders>
              <w:top w:val="single" w:sz="8" w:color="D95A3B"/>
              <w:bottom w:val="single" w:sz="8" w:color="D95A3B"/>
            </w:tcBorders>
            <w:shd w:val="clear" w:color="auto" w:fill="E5E5E5"/>
          </w:tcPr>
          <w:p>
            <w:pPr>
              <w:jc w:val="right"/>
              <w:ind w:right="207"/>
              <w:spacing w:after="0"/>
              <w:rPr>
                <w:sz w:val="20"/>
                <w:szCs w:val="20"/>
                <w:color w:val="auto"/>
              </w:rPr>
            </w:pPr>
            <w:r>
              <w:rPr>
                <w:rFonts w:ascii="Arial" w:cs="Arial" w:eastAsia="Arial" w:hAnsi="Arial"/>
                <w:sz w:val="15"/>
                <w:szCs w:val="15"/>
                <w:b w:val="1"/>
                <w:bCs w:val="1"/>
                <w:color w:val="auto"/>
              </w:rPr>
              <w:t>Variable</w:t>
            </w:r>
          </w:p>
        </w:tc>
      </w:tr>
      <w:tr>
        <w:trPr>
          <w:trHeight w:val="155"/>
        </w:trPr>
        <w:tc>
          <w:tcPr>
            <w:tcW w:w="1600" w:type="dxa"/>
            <w:vAlign w:val="bottom"/>
            <w:tcBorders>
              <w:bottom w:val="single" w:sz="8" w:color="D95A3B"/>
            </w:tcBorders>
          </w:tcPr>
          <w:p>
            <w:pPr>
              <w:spacing w:after="0"/>
              <w:rPr>
                <w:sz w:val="13"/>
                <w:szCs w:val="13"/>
                <w:color w:val="auto"/>
              </w:rPr>
            </w:pPr>
          </w:p>
        </w:tc>
        <w:tc>
          <w:tcPr>
            <w:tcW w:w="1580" w:type="dxa"/>
            <w:vAlign w:val="bottom"/>
            <w:tcBorders>
              <w:bottom w:val="single" w:sz="8" w:color="D95A3B"/>
              <w:right w:val="single" w:sz="8" w:color="AFAFAF"/>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w:t>
            </w:r>
          </w:p>
        </w:tc>
        <w:tc>
          <w:tcPr>
            <w:tcW w:w="2060" w:type="dxa"/>
            <w:vAlign w:val="bottom"/>
            <w:tcBorders>
              <w:bottom w:val="single" w:sz="8" w:color="D95A3B"/>
              <w:right w:val="single" w:sz="8" w:color="AFAFAF"/>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 of base salary</w:t>
            </w:r>
          </w:p>
        </w:tc>
        <w:tc>
          <w:tcPr>
            <w:tcW w:w="1680" w:type="dxa"/>
            <w:vAlign w:val="bottom"/>
            <w:tcBorders>
              <w:bottom w:val="single" w:sz="8" w:color="D95A3B"/>
              <w:right w:val="single" w:sz="8" w:color="AFAFAF"/>
            </w:tcBorders>
            <w:shd w:val="clear" w:color="auto" w:fill="E5E5E5"/>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2080" w:type="dxa"/>
            <w:vAlign w:val="bottom"/>
            <w:tcBorders>
              <w:bottom w:val="single" w:sz="8" w:color="D95A3B"/>
              <w:right w:val="single" w:sz="8" w:color="AFAFAF"/>
            </w:tcBorders>
            <w:shd w:val="clear" w:color="auto" w:fill="E5E5E5"/>
          </w:tcPr>
          <w:p>
            <w:pPr>
              <w:jc w:val="right"/>
              <w:ind w:right="348"/>
              <w:spacing w:after="0" w:line="155" w:lineRule="exact"/>
              <w:rPr>
                <w:sz w:val="20"/>
                <w:szCs w:val="20"/>
                <w:color w:val="auto"/>
              </w:rPr>
            </w:pPr>
            <w:r>
              <w:rPr>
                <w:rFonts w:ascii="Arial" w:cs="Arial" w:eastAsia="Arial" w:hAnsi="Arial"/>
                <w:sz w:val="14"/>
                <w:szCs w:val="14"/>
                <w:b w:val="1"/>
                <w:bCs w:val="1"/>
                <w:color w:val="auto"/>
              </w:rPr>
              <w:t>% of base salary</w:t>
            </w:r>
          </w:p>
        </w:tc>
        <w:tc>
          <w:tcPr>
            <w:tcW w:w="920" w:type="dxa"/>
            <w:vAlign w:val="bottom"/>
            <w:tcBorders>
              <w:bottom w:val="single" w:sz="8" w:color="D95A3B"/>
              <w:right w:val="single" w:sz="8" w:color="AFAFAF"/>
            </w:tcBorders>
            <w:shd w:val="clear" w:color="auto" w:fill="E5E5E5"/>
          </w:tcPr>
          <w:p>
            <w:pPr>
              <w:spacing w:after="0"/>
              <w:rPr>
                <w:sz w:val="13"/>
                <w:szCs w:val="13"/>
                <w:color w:val="auto"/>
              </w:rPr>
            </w:pPr>
          </w:p>
        </w:tc>
        <w:tc>
          <w:tcPr>
            <w:tcW w:w="1060" w:type="dxa"/>
            <w:vAlign w:val="bottom"/>
            <w:tcBorders>
              <w:bottom w:val="single" w:sz="8" w:color="D95A3B"/>
            </w:tcBorders>
            <w:shd w:val="clear" w:color="auto" w:fill="E5E5E5"/>
          </w:tcPr>
          <w:p>
            <w:pPr>
              <w:spacing w:after="0"/>
              <w:rPr>
                <w:sz w:val="13"/>
                <w:szCs w:val="13"/>
                <w:color w:val="auto"/>
              </w:rPr>
            </w:pPr>
          </w:p>
        </w:tc>
      </w:tr>
      <w:tr>
        <w:trPr>
          <w:trHeight w:val="155"/>
        </w:trPr>
        <w:tc>
          <w:tcPr>
            <w:tcW w:w="16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Base salary</w:t>
            </w:r>
          </w:p>
        </w:tc>
        <w:tc>
          <w:tcPr>
            <w:tcW w:w="1580" w:type="dxa"/>
            <w:vAlign w:val="bottom"/>
            <w:tcBorders>
              <w:bottom w:val="single" w:sz="8" w:color="AFAFAF"/>
              <w:right w:val="single" w:sz="8" w:color="AFAFAF"/>
            </w:tcBorders>
          </w:tcPr>
          <w:p>
            <w:pPr>
              <w:jc w:val="right"/>
              <w:ind w:right="108"/>
              <w:spacing w:after="0" w:line="155" w:lineRule="exact"/>
              <w:rPr>
                <w:sz w:val="20"/>
                <w:szCs w:val="20"/>
                <w:color w:val="auto"/>
              </w:rPr>
            </w:pPr>
            <w:r>
              <w:rPr>
                <w:rFonts w:ascii="Arial" w:cs="Arial" w:eastAsia="Arial" w:hAnsi="Arial"/>
                <w:sz w:val="14"/>
                <w:szCs w:val="14"/>
                <w:color w:val="auto"/>
              </w:rPr>
              <w:t>$1,600,000</w:t>
            </w:r>
          </w:p>
        </w:tc>
        <w:tc>
          <w:tcPr>
            <w:tcW w:w="2060" w:type="dxa"/>
            <w:vAlign w:val="bottom"/>
            <w:tcBorders>
              <w:bottom w:val="single" w:sz="8" w:color="AFAFAF"/>
              <w:right w:val="single" w:sz="8" w:color="AFAFAF"/>
            </w:tcBorders>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FAFAF"/>
              <w:right w:val="single" w:sz="8" w:color="AFAFAF"/>
            </w:tcBorders>
            <w:shd w:val="clear" w:color="auto" w:fill="E5E5E5"/>
          </w:tcPr>
          <w:p>
            <w:pPr>
              <w:jc w:val="right"/>
              <w:ind w:right="148"/>
              <w:spacing w:after="0" w:line="155" w:lineRule="exact"/>
              <w:rPr>
                <w:sz w:val="20"/>
                <w:szCs w:val="20"/>
                <w:color w:val="auto"/>
              </w:rPr>
            </w:pPr>
            <w:r>
              <w:rPr>
                <w:rFonts w:ascii="Arial" w:cs="Arial" w:eastAsia="Arial" w:hAnsi="Arial"/>
                <w:sz w:val="14"/>
                <w:szCs w:val="14"/>
                <w:color w:val="auto"/>
              </w:rPr>
              <w:t>$1,600,000</w:t>
            </w:r>
          </w:p>
        </w:tc>
        <w:tc>
          <w:tcPr>
            <w:tcW w:w="2080" w:type="dxa"/>
            <w:vAlign w:val="bottom"/>
            <w:tcBorders>
              <w:bottom w:val="single" w:sz="8" w:color="AFAFAF"/>
              <w:right w:val="single" w:sz="8" w:color="AFAFAF"/>
            </w:tcBorders>
            <w:shd w:val="clear" w:color="auto" w:fill="E5E5E5"/>
          </w:tcPr>
          <w:p>
            <w:pPr>
              <w:jc w:val="right"/>
              <w:ind w:right="34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FAFAF"/>
              <w:right w:val="single" w:sz="8" w:color="AFAFAF"/>
            </w:tcBorders>
            <w:shd w:val="clear" w:color="auto" w:fill="E5E5E5"/>
          </w:tcPr>
          <w:p>
            <w:pPr>
              <w:jc w:val="right"/>
              <w:ind w:right="87"/>
              <w:spacing w:after="0" w:line="155" w:lineRule="exact"/>
              <w:rPr>
                <w:sz w:val="20"/>
                <w:szCs w:val="20"/>
                <w:color w:val="auto"/>
              </w:rPr>
            </w:pPr>
            <w:r>
              <w:rPr>
                <w:rFonts w:ascii="Arial" w:cs="Arial" w:eastAsia="Arial" w:hAnsi="Arial"/>
                <w:sz w:val="14"/>
                <w:szCs w:val="14"/>
                <w:color w:val="auto"/>
              </w:rPr>
              <w:t>12%</w:t>
            </w:r>
          </w:p>
        </w:tc>
        <w:tc>
          <w:tcPr>
            <w:tcW w:w="1060" w:type="dxa"/>
            <w:vAlign w:val="bottom"/>
            <w:tcBorders>
              <w:bottom w:val="single" w:sz="8" w:color="AFAFAF"/>
            </w:tcBorders>
            <w:shd w:val="clear" w:color="auto" w:fill="E5E5E5"/>
          </w:tcPr>
          <w:p>
            <w:pPr>
              <w:jc w:val="right"/>
              <w:ind w:right="207"/>
              <w:spacing w:after="0" w:line="155" w:lineRule="exact"/>
              <w:rPr>
                <w:sz w:val="20"/>
                <w:szCs w:val="20"/>
                <w:color w:val="auto"/>
              </w:rPr>
            </w:pPr>
            <w:r>
              <w:rPr>
                <w:rFonts w:ascii="Arial" w:cs="Arial" w:eastAsia="Arial" w:hAnsi="Arial"/>
                <w:sz w:val="14"/>
                <w:szCs w:val="14"/>
                <w:color w:val="auto"/>
              </w:rPr>
              <w:t>–</w:t>
            </w:r>
          </w:p>
        </w:tc>
      </w:tr>
      <w:tr>
        <w:trPr>
          <w:trHeight w:val="142"/>
        </w:trPr>
        <w:tc>
          <w:tcPr>
            <w:tcW w:w="160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Annual incentive</w:t>
            </w:r>
          </w:p>
        </w:tc>
        <w:tc>
          <w:tcPr>
            <w:tcW w:w="1580" w:type="dxa"/>
            <w:vAlign w:val="bottom"/>
            <w:tcBorders>
              <w:right w:val="single" w:sz="8" w:color="AFAFAF"/>
            </w:tcBorders>
          </w:tcPr>
          <w:p>
            <w:pPr>
              <w:spacing w:after="0"/>
              <w:rPr>
                <w:sz w:val="12"/>
                <w:szCs w:val="12"/>
                <w:color w:val="auto"/>
              </w:rPr>
            </w:pPr>
          </w:p>
        </w:tc>
        <w:tc>
          <w:tcPr>
            <w:tcW w:w="2060" w:type="dxa"/>
            <w:vAlign w:val="bottom"/>
            <w:tcBorders>
              <w:right w:val="single" w:sz="8" w:color="AFAFAF"/>
            </w:tcBorders>
          </w:tcPr>
          <w:p>
            <w:pPr>
              <w:spacing w:after="0"/>
              <w:rPr>
                <w:sz w:val="12"/>
                <w:szCs w:val="12"/>
                <w:color w:val="auto"/>
              </w:rPr>
            </w:pPr>
          </w:p>
        </w:tc>
        <w:tc>
          <w:tcPr>
            <w:tcW w:w="1680" w:type="dxa"/>
            <w:vAlign w:val="bottom"/>
            <w:tcBorders>
              <w:right w:val="single" w:sz="8" w:color="AFAFAF"/>
            </w:tcBorders>
            <w:shd w:val="clear" w:color="auto" w:fill="E5E5E5"/>
          </w:tcPr>
          <w:p>
            <w:pPr>
              <w:spacing w:after="0"/>
              <w:rPr>
                <w:sz w:val="12"/>
                <w:szCs w:val="12"/>
                <w:color w:val="auto"/>
              </w:rPr>
            </w:pPr>
          </w:p>
        </w:tc>
        <w:tc>
          <w:tcPr>
            <w:tcW w:w="2080" w:type="dxa"/>
            <w:vAlign w:val="bottom"/>
            <w:tcBorders>
              <w:right w:val="single" w:sz="8" w:color="AFAFAF"/>
            </w:tcBorders>
            <w:shd w:val="clear" w:color="auto" w:fill="E5E5E5"/>
          </w:tcPr>
          <w:p>
            <w:pPr>
              <w:spacing w:after="0"/>
              <w:rPr>
                <w:sz w:val="12"/>
                <w:szCs w:val="12"/>
                <w:color w:val="auto"/>
              </w:rPr>
            </w:pPr>
          </w:p>
        </w:tc>
        <w:tc>
          <w:tcPr>
            <w:tcW w:w="920" w:type="dxa"/>
            <w:vAlign w:val="bottom"/>
            <w:tcBorders>
              <w:right w:val="single" w:sz="8" w:color="AFAFAF"/>
            </w:tcBorders>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r>
      <w:tr>
        <w:trPr>
          <w:trHeight w:val="175"/>
        </w:trPr>
        <w:tc>
          <w:tcPr>
            <w:tcW w:w="1600" w:type="dxa"/>
            <w:vAlign w:val="bottom"/>
            <w:tcBorders>
              <w:bottom w:val="single" w:sz="8" w:color="AFAFAF"/>
              <w:right w:val="single" w:sz="8" w:color="AFAFAF"/>
            </w:tcBorders>
          </w:tcPr>
          <w:p>
            <w:pPr>
              <w:ind w:left="140"/>
              <w:spacing w:after="0"/>
              <w:rPr>
                <w:sz w:val="20"/>
                <w:szCs w:val="20"/>
                <w:color w:val="auto"/>
              </w:rPr>
            </w:pPr>
            <w:r>
              <w:rPr>
                <w:rFonts w:ascii="Arial" w:cs="Arial" w:eastAsia="Arial" w:hAnsi="Arial"/>
                <w:sz w:val="14"/>
                <w:szCs w:val="14"/>
                <w:b w:val="1"/>
                <w:bCs w:val="1"/>
                <w:color w:val="auto"/>
              </w:rPr>
              <w:t>award</w:t>
            </w:r>
          </w:p>
        </w:tc>
        <w:tc>
          <w:tcPr>
            <w:tcW w:w="1580" w:type="dxa"/>
            <w:vAlign w:val="bottom"/>
            <w:tcBorders>
              <w:bottom w:val="single" w:sz="8" w:color="AFAFAF"/>
              <w:right w:val="single" w:sz="8" w:color="AFAFAF"/>
            </w:tcBorders>
          </w:tcPr>
          <w:p>
            <w:pPr>
              <w:jc w:val="right"/>
              <w:ind w:right="108"/>
              <w:spacing w:after="0"/>
              <w:rPr>
                <w:sz w:val="20"/>
                <w:szCs w:val="20"/>
                <w:color w:val="auto"/>
              </w:rPr>
            </w:pPr>
            <w:r>
              <w:rPr>
                <w:rFonts w:ascii="Arial" w:cs="Arial" w:eastAsia="Arial" w:hAnsi="Arial"/>
                <w:sz w:val="14"/>
                <w:szCs w:val="14"/>
                <w:color w:val="auto"/>
              </w:rPr>
              <w:t>$3,200,000</w:t>
            </w:r>
          </w:p>
        </w:tc>
        <w:tc>
          <w:tcPr>
            <w:tcW w:w="2060" w:type="dxa"/>
            <w:vAlign w:val="bottom"/>
            <w:tcBorders>
              <w:bottom w:val="single" w:sz="8" w:color="AFAFAF"/>
              <w:right w:val="single" w:sz="8" w:color="AFAFAF"/>
            </w:tcBorders>
          </w:tcPr>
          <w:p>
            <w:pPr>
              <w:jc w:val="right"/>
              <w:ind w:right="188"/>
              <w:spacing w:after="0"/>
              <w:rPr>
                <w:sz w:val="20"/>
                <w:szCs w:val="20"/>
                <w:color w:val="auto"/>
              </w:rPr>
            </w:pPr>
            <w:r>
              <w:rPr>
                <w:rFonts w:ascii="Arial" w:cs="Arial" w:eastAsia="Arial" w:hAnsi="Arial"/>
                <w:sz w:val="14"/>
                <w:szCs w:val="14"/>
                <w:color w:val="auto"/>
              </w:rPr>
              <w:t>200%</w:t>
            </w:r>
          </w:p>
        </w:tc>
        <w:tc>
          <w:tcPr>
            <w:tcW w:w="1680" w:type="dxa"/>
            <w:vAlign w:val="bottom"/>
            <w:tcBorders>
              <w:bottom w:val="single" w:sz="8" w:color="AFAFAF"/>
              <w:right w:val="single" w:sz="8" w:color="AFAFAF"/>
            </w:tcBorders>
            <w:shd w:val="clear" w:color="auto" w:fill="E5E5E5"/>
          </w:tcPr>
          <w:p>
            <w:pPr>
              <w:jc w:val="right"/>
              <w:ind w:right="148"/>
              <w:spacing w:after="0"/>
              <w:rPr>
                <w:sz w:val="20"/>
                <w:szCs w:val="20"/>
                <w:color w:val="auto"/>
              </w:rPr>
            </w:pPr>
            <w:r>
              <w:rPr>
                <w:rFonts w:ascii="Arial" w:cs="Arial" w:eastAsia="Arial" w:hAnsi="Arial"/>
                <w:sz w:val="14"/>
                <w:szCs w:val="14"/>
                <w:color w:val="auto"/>
              </w:rPr>
              <w:t>$3,200,000</w:t>
            </w:r>
          </w:p>
        </w:tc>
        <w:tc>
          <w:tcPr>
            <w:tcW w:w="2080" w:type="dxa"/>
            <w:vAlign w:val="bottom"/>
            <w:tcBorders>
              <w:bottom w:val="single" w:sz="8" w:color="AFAFAF"/>
              <w:right w:val="single" w:sz="8" w:color="AFAFAF"/>
            </w:tcBorders>
            <w:shd w:val="clear" w:color="auto" w:fill="E5E5E5"/>
          </w:tcPr>
          <w:p>
            <w:pPr>
              <w:jc w:val="right"/>
              <w:ind w:right="228"/>
              <w:spacing w:after="0"/>
              <w:rPr>
                <w:sz w:val="20"/>
                <w:szCs w:val="20"/>
                <w:color w:val="auto"/>
              </w:rPr>
            </w:pPr>
            <w:r>
              <w:rPr>
                <w:rFonts w:ascii="Arial" w:cs="Arial" w:eastAsia="Arial" w:hAnsi="Arial"/>
                <w:sz w:val="14"/>
                <w:szCs w:val="14"/>
                <w:color w:val="auto"/>
              </w:rPr>
              <w:t>200%</w:t>
            </w:r>
          </w:p>
        </w:tc>
        <w:tc>
          <w:tcPr>
            <w:tcW w:w="920" w:type="dxa"/>
            <w:vAlign w:val="bottom"/>
            <w:tcBorders>
              <w:bottom w:val="single" w:sz="8" w:color="AFAFAF"/>
              <w:right w:val="single" w:sz="8" w:color="AFAFAF"/>
            </w:tcBorders>
            <w:shd w:val="clear" w:color="auto" w:fill="E5E5E5"/>
          </w:tcPr>
          <w:p>
            <w:pPr>
              <w:jc w:val="right"/>
              <w:ind w:right="227"/>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FAFAF"/>
            </w:tcBorders>
            <w:shd w:val="clear" w:color="auto" w:fill="E5E5E5"/>
          </w:tcPr>
          <w:p>
            <w:pPr>
              <w:jc w:val="right"/>
              <w:ind w:right="67"/>
              <w:spacing w:after="0"/>
              <w:rPr>
                <w:sz w:val="20"/>
                <w:szCs w:val="20"/>
                <w:color w:val="auto"/>
              </w:rPr>
            </w:pPr>
            <w:r>
              <w:rPr>
                <w:rFonts w:ascii="Arial" w:cs="Arial" w:eastAsia="Arial" w:hAnsi="Arial"/>
                <w:sz w:val="14"/>
                <w:szCs w:val="14"/>
                <w:color w:val="auto"/>
              </w:rPr>
              <w:t>23%</w:t>
            </w:r>
          </w:p>
        </w:tc>
      </w:tr>
      <w:tr>
        <w:trPr>
          <w:trHeight w:val="142"/>
        </w:trPr>
        <w:tc>
          <w:tcPr>
            <w:tcW w:w="160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Long-term incentive</w:t>
            </w:r>
          </w:p>
        </w:tc>
        <w:tc>
          <w:tcPr>
            <w:tcW w:w="1580" w:type="dxa"/>
            <w:vAlign w:val="bottom"/>
            <w:tcBorders>
              <w:right w:val="single" w:sz="8" w:color="AFAFAF"/>
            </w:tcBorders>
          </w:tcPr>
          <w:p>
            <w:pPr>
              <w:spacing w:after="0"/>
              <w:rPr>
                <w:sz w:val="12"/>
                <w:szCs w:val="12"/>
                <w:color w:val="auto"/>
              </w:rPr>
            </w:pPr>
          </w:p>
        </w:tc>
        <w:tc>
          <w:tcPr>
            <w:tcW w:w="2060" w:type="dxa"/>
            <w:vAlign w:val="bottom"/>
            <w:tcBorders>
              <w:right w:val="single" w:sz="8" w:color="AFAFAF"/>
            </w:tcBorders>
          </w:tcPr>
          <w:p>
            <w:pPr>
              <w:spacing w:after="0"/>
              <w:rPr>
                <w:sz w:val="12"/>
                <w:szCs w:val="12"/>
                <w:color w:val="auto"/>
              </w:rPr>
            </w:pPr>
          </w:p>
        </w:tc>
        <w:tc>
          <w:tcPr>
            <w:tcW w:w="1680" w:type="dxa"/>
            <w:vAlign w:val="bottom"/>
            <w:tcBorders>
              <w:right w:val="single" w:sz="8" w:color="AFAFAF"/>
            </w:tcBorders>
            <w:shd w:val="clear" w:color="auto" w:fill="E5E5E5"/>
          </w:tcPr>
          <w:p>
            <w:pPr>
              <w:spacing w:after="0"/>
              <w:rPr>
                <w:sz w:val="12"/>
                <w:szCs w:val="12"/>
                <w:color w:val="auto"/>
              </w:rPr>
            </w:pPr>
          </w:p>
        </w:tc>
        <w:tc>
          <w:tcPr>
            <w:tcW w:w="2080" w:type="dxa"/>
            <w:vAlign w:val="bottom"/>
            <w:tcBorders>
              <w:right w:val="single" w:sz="8" w:color="AFAFAF"/>
            </w:tcBorders>
            <w:shd w:val="clear" w:color="auto" w:fill="E5E5E5"/>
          </w:tcPr>
          <w:p>
            <w:pPr>
              <w:spacing w:after="0"/>
              <w:rPr>
                <w:sz w:val="12"/>
                <w:szCs w:val="12"/>
                <w:color w:val="auto"/>
              </w:rPr>
            </w:pPr>
          </w:p>
        </w:tc>
        <w:tc>
          <w:tcPr>
            <w:tcW w:w="920" w:type="dxa"/>
            <w:vAlign w:val="bottom"/>
            <w:tcBorders>
              <w:right w:val="single" w:sz="8" w:color="AFAFAF"/>
            </w:tcBorders>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r>
      <w:tr>
        <w:trPr>
          <w:trHeight w:val="175"/>
        </w:trPr>
        <w:tc>
          <w:tcPr>
            <w:tcW w:w="1600" w:type="dxa"/>
            <w:vAlign w:val="bottom"/>
            <w:tcBorders>
              <w:bottom w:val="single" w:sz="8" w:color="D95A3B"/>
              <w:right w:val="single" w:sz="8" w:color="AFAFAF"/>
            </w:tcBorders>
          </w:tcPr>
          <w:p>
            <w:pPr>
              <w:ind w:left="140"/>
              <w:spacing w:after="0"/>
              <w:rPr>
                <w:sz w:val="20"/>
                <w:szCs w:val="20"/>
                <w:color w:val="auto"/>
              </w:rPr>
            </w:pPr>
            <w:r>
              <w:rPr>
                <w:rFonts w:ascii="Arial" w:cs="Arial" w:eastAsia="Arial" w:hAnsi="Arial"/>
                <w:sz w:val="14"/>
                <w:szCs w:val="14"/>
                <w:b w:val="1"/>
                <w:bCs w:val="1"/>
                <w:color w:val="auto"/>
              </w:rPr>
              <w:t>awards</w:t>
            </w:r>
          </w:p>
        </w:tc>
        <w:tc>
          <w:tcPr>
            <w:tcW w:w="1580" w:type="dxa"/>
            <w:vAlign w:val="bottom"/>
            <w:tcBorders>
              <w:bottom w:val="single" w:sz="8" w:color="D95A3B"/>
              <w:right w:val="single" w:sz="8" w:color="AFAFAF"/>
            </w:tcBorders>
          </w:tcPr>
          <w:p>
            <w:pPr>
              <w:jc w:val="right"/>
              <w:ind w:right="108"/>
              <w:spacing w:after="0"/>
              <w:rPr>
                <w:sz w:val="20"/>
                <w:szCs w:val="20"/>
                <w:color w:val="auto"/>
              </w:rPr>
            </w:pPr>
            <w:r>
              <w:rPr>
                <w:rFonts w:ascii="Arial" w:cs="Arial" w:eastAsia="Arial" w:hAnsi="Arial"/>
                <w:sz w:val="14"/>
                <w:szCs w:val="14"/>
                <w:color w:val="auto"/>
              </w:rPr>
              <w:t>$8,800,000</w:t>
            </w:r>
          </w:p>
        </w:tc>
        <w:tc>
          <w:tcPr>
            <w:tcW w:w="2060" w:type="dxa"/>
            <w:vAlign w:val="bottom"/>
            <w:tcBorders>
              <w:bottom w:val="single" w:sz="8" w:color="D95A3B"/>
              <w:right w:val="single" w:sz="8" w:color="AFAFAF"/>
            </w:tcBorders>
          </w:tcPr>
          <w:p>
            <w:pPr>
              <w:jc w:val="right"/>
              <w:ind w:right="188"/>
              <w:spacing w:after="0"/>
              <w:rPr>
                <w:sz w:val="20"/>
                <w:szCs w:val="20"/>
                <w:color w:val="auto"/>
              </w:rPr>
            </w:pPr>
            <w:r>
              <w:rPr>
                <w:rFonts w:ascii="Arial" w:cs="Arial" w:eastAsia="Arial" w:hAnsi="Arial"/>
                <w:sz w:val="14"/>
                <w:szCs w:val="14"/>
                <w:color w:val="auto"/>
              </w:rPr>
              <w:t>550%</w:t>
            </w:r>
          </w:p>
        </w:tc>
        <w:tc>
          <w:tcPr>
            <w:tcW w:w="1680" w:type="dxa"/>
            <w:vAlign w:val="bottom"/>
            <w:tcBorders>
              <w:bottom w:val="single" w:sz="8" w:color="D95A3B"/>
              <w:right w:val="single" w:sz="8" w:color="AFAFAF"/>
            </w:tcBorders>
            <w:shd w:val="clear" w:color="auto" w:fill="E5E5E5"/>
          </w:tcPr>
          <w:p>
            <w:pPr>
              <w:jc w:val="right"/>
              <w:ind w:right="148"/>
              <w:spacing w:after="0"/>
              <w:rPr>
                <w:sz w:val="20"/>
                <w:szCs w:val="20"/>
                <w:color w:val="auto"/>
              </w:rPr>
            </w:pPr>
            <w:r>
              <w:rPr>
                <w:rFonts w:ascii="Arial" w:cs="Arial" w:eastAsia="Arial" w:hAnsi="Arial"/>
                <w:sz w:val="14"/>
                <w:szCs w:val="14"/>
                <w:color w:val="auto"/>
              </w:rPr>
              <w:t>$8,800,000</w:t>
            </w:r>
          </w:p>
        </w:tc>
        <w:tc>
          <w:tcPr>
            <w:tcW w:w="2080" w:type="dxa"/>
            <w:vAlign w:val="bottom"/>
            <w:tcBorders>
              <w:bottom w:val="single" w:sz="8" w:color="D95A3B"/>
              <w:right w:val="single" w:sz="8" w:color="AFAFAF"/>
            </w:tcBorders>
            <w:shd w:val="clear" w:color="auto" w:fill="E5E5E5"/>
          </w:tcPr>
          <w:p>
            <w:pPr>
              <w:jc w:val="right"/>
              <w:ind w:right="228"/>
              <w:spacing w:after="0"/>
              <w:rPr>
                <w:sz w:val="20"/>
                <w:szCs w:val="20"/>
                <w:color w:val="auto"/>
              </w:rPr>
            </w:pPr>
            <w:r>
              <w:rPr>
                <w:rFonts w:ascii="Arial" w:cs="Arial" w:eastAsia="Arial" w:hAnsi="Arial"/>
                <w:sz w:val="14"/>
                <w:szCs w:val="14"/>
                <w:color w:val="auto"/>
              </w:rPr>
              <w:t>550%</w:t>
            </w:r>
          </w:p>
        </w:tc>
        <w:tc>
          <w:tcPr>
            <w:tcW w:w="920" w:type="dxa"/>
            <w:vAlign w:val="bottom"/>
            <w:tcBorders>
              <w:bottom w:val="single" w:sz="8" w:color="D95A3B"/>
              <w:right w:val="single" w:sz="8" w:color="AFAFAF"/>
            </w:tcBorders>
            <w:shd w:val="clear" w:color="auto" w:fill="E5E5E5"/>
          </w:tcPr>
          <w:p>
            <w:pPr>
              <w:jc w:val="right"/>
              <w:ind w:right="227"/>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95A3B"/>
            </w:tcBorders>
            <w:shd w:val="clear" w:color="auto" w:fill="E5E5E5"/>
          </w:tcPr>
          <w:p>
            <w:pPr>
              <w:jc w:val="right"/>
              <w:ind w:right="67"/>
              <w:spacing w:after="0"/>
              <w:rPr>
                <w:sz w:val="20"/>
                <w:szCs w:val="20"/>
                <w:color w:val="auto"/>
              </w:rPr>
            </w:pPr>
            <w:r>
              <w:rPr>
                <w:rFonts w:ascii="Arial" w:cs="Arial" w:eastAsia="Arial" w:hAnsi="Arial"/>
                <w:sz w:val="14"/>
                <w:szCs w:val="14"/>
                <w:color w:val="auto"/>
              </w:rPr>
              <w:t>65%</w:t>
            </w:r>
          </w:p>
        </w:tc>
      </w:tr>
      <w:tr>
        <w:trPr>
          <w:trHeight w:val="155"/>
        </w:trPr>
        <w:tc>
          <w:tcPr>
            <w:tcW w:w="16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1580" w:type="dxa"/>
            <w:vAlign w:val="bottom"/>
            <w:tcBorders>
              <w:bottom w:val="single" w:sz="8" w:color="D95A3B"/>
              <w:right w:val="single" w:sz="8" w:color="AFAFAF"/>
            </w:tcBorders>
          </w:tcPr>
          <w:p>
            <w:pPr>
              <w:jc w:val="right"/>
              <w:ind w:right="108"/>
              <w:spacing w:after="0" w:line="155" w:lineRule="exact"/>
              <w:rPr>
                <w:sz w:val="20"/>
                <w:szCs w:val="20"/>
                <w:color w:val="auto"/>
              </w:rPr>
            </w:pPr>
            <w:r>
              <w:rPr>
                <w:rFonts w:ascii="Arial" w:cs="Arial" w:eastAsia="Arial" w:hAnsi="Arial"/>
                <w:sz w:val="14"/>
                <w:szCs w:val="14"/>
                <w:color w:val="auto"/>
              </w:rPr>
              <w:t>$13,600,000</w:t>
            </w:r>
          </w:p>
        </w:tc>
        <w:tc>
          <w:tcPr>
            <w:tcW w:w="2060" w:type="dxa"/>
            <w:vAlign w:val="bottom"/>
            <w:tcBorders>
              <w:bottom w:val="single" w:sz="8" w:color="D95A3B"/>
              <w:right w:val="single" w:sz="8" w:color="AFAFAF"/>
            </w:tcBorders>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D95A3B"/>
              <w:right w:val="single" w:sz="8" w:color="AFAFAF"/>
            </w:tcBorders>
            <w:shd w:val="clear" w:color="auto" w:fill="E5E5E5"/>
          </w:tcPr>
          <w:p>
            <w:pPr>
              <w:jc w:val="right"/>
              <w:ind w:right="148"/>
              <w:spacing w:after="0" w:line="155" w:lineRule="exact"/>
              <w:rPr>
                <w:sz w:val="20"/>
                <w:szCs w:val="20"/>
                <w:color w:val="auto"/>
              </w:rPr>
            </w:pPr>
            <w:r>
              <w:rPr>
                <w:rFonts w:ascii="Arial" w:cs="Arial" w:eastAsia="Arial" w:hAnsi="Arial"/>
                <w:sz w:val="14"/>
                <w:szCs w:val="14"/>
                <w:color w:val="auto"/>
              </w:rPr>
              <w:t>$13,600,000</w:t>
            </w:r>
          </w:p>
        </w:tc>
        <w:tc>
          <w:tcPr>
            <w:tcW w:w="2080" w:type="dxa"/>
            <w:vAlign w:val="bottom"/>
            <w:tcBorders>
              <w:bottom w:val="single" w:sz="8" w:color="D95A3B"/>
              <w:right w:val="single" w:sz="8" w:color="AFAFAF"/>
            </w:tcBorders>
            <w:shd w:val="clear" w:color="auto" w:fill="E5E5E5"/>
          </w:tcPr>
          <w:p>
            <w:pPr>
              <w:jc w:val="right"/>
              <w:ind w:right="34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D95A3B"/>
              <w:right w:val="single" w:sz="8" w:color="AFAFAF"/>
            </w:tcBorders>
            <w:shd w:val="clear" w:color="auto" w:fill="E5E5E5"/>
          </w:tcPr>
          <w:p>
            <w:pPr>
              <w:jc w:val="right"/>
              <w:ind w:right="87"/>
              <w:spacing w:after="0" w:line="155" w:lineRule="exact"/>
              <w:rPr>
                <w:sz w:val="20"/>
                <w:szCs w:val="20"/>
                <w:color w:val="auto"/>
              </w:rPr>
            </w:pPr>
            <w:r>
              <w:rPr>
                <w:rFonts w:ascii="Arial" w:cs="Arial" w:eastAsia="Arial" w:hAnsi="Arial"/>
                <w:sz w:val="14"/>
                <w:szCs w:val="14"/>
                <w:color w:val="auto"/>
              </w:rPr>
              <w:t>12%</w:t>
            </w:r>
          </w:p>
        </w:tc>
        <w:tc>
          <w:tcPr>
            <w:tcW w:w="1060" w:type="dxa"/>
            <w:vAlign w:val="bottom"/>
            <w:tcBorders>
              <w:bottom w:val="single" w:sz="8" w:color="D95A3B"/>
            </w:tcBorders>
            <w:shd w:val="clear" w:color="auto" w:fill="E5E5E5"/>
          </w:tcPr>
          <w:p>
            <w:pPr>
              <w:jc w:val="right"/>
              <w:ind w:right="67"/>
              <w:spacing w:after="0" w:line="155" w:lineRule="exact"/>
              <w:rPr>
                <w:sz w:val="20"/>
                <w:szCs w:val="20"/>
                <w:color w:val="auto"/>
              </w:rPr>
            </w:pPr>
            <w:r>
              <w:rPr>
                <w:rFonts w:ascii="Arial" w:cs="Arial" w:eastAsia="Arial" w:hAnsi="Arial"/>
                <w:sz w:val="14"/>
                <w:szCs w:val="14"/>
                <w:color w:val="auto"/>
              </w:rPr>
              <w:t>88%</w:t>
            </w:r>
          </w:p>
        </w:tc>
      </w:tr>
    </w:tbl>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Mr. Smith’s base salary was unchanged in 2018.</w:t>
      </w:r>
    </w:p>
    <w:p>
      <w:pPr>
        <w:spacing w:after="0" w:line="103" w:lineRule="exact"/>
        <w:rPr>
          <w:sz w:val="20"/>
          <w:szCs w:val="20"/>
          <w:color w:val="auto"/>
        </w:rPr>
      </w:pPr>
    </w:p>
    <w:p>
      <w:pPr>
        <w:jc w:val="both"/>
        <w:ind w:left="220" w:right="260"/>
        <w:spacing w:after="0" w:line="252" w:lineRule="auto"/>
        <w:rPr>
          <w:sz w:val="20"/>
          <w:szCs w:val="20"/>
          <w:color w:val="auto"/>
        </w:rPr>
      </w:pPr>
      <w:r>
        <w:rPr>
          <w:rFonts w:ascii="Arial" w:cs="Arial" w:eastAsia="Arial" w:hAnsi="Arial"/>
          <w:sz w:val="18"/>
          <w:szCs w:val="18"/>
          <w:b w:val="1"/>
          <w:bCs w:val="1"/>
          <w:color w:val="auto"/>
        </w:rPr>
        <w:t xml:space="preserve">Annual incentive award: </w:t>
      </w:r>
      <w:r>
        <w:rPr>
          <w:rFonts w:ascii="Arial" w:cs="Arial" w:eastAsia="Arial" w:hAnsi="Arial"/>
          <w:sz w:val="18"/>
          <w:szCs w:val="18"/>
          <w:color w:val="auto"/>
        </w:rPr>
        <w:t>Mr. Smith was granted a 2018 annual incentive award based 80% on our company’s performance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F&amp;R business) and 20% based on F&amp;R business performance. This award had a payout of approximately 129% of target based on financial performance. Mr. Smith’s award was not eligible for an individual performance factor adjustment.</w:t>
      </w:r>
    </w:p>
    <w:p>
      <w:pPr>
        <w:spacing w:after="0" w:line="61" w:lineRule="exact"/>
        <w:rPr>
          <w:sz w:val="20"/>
          <w:szCs w:val="20"/>
          <w:color w:val="auto"/>
        </w:rPr>
      </w:pPr>
    </w:p>
    <w:p>
      <w:pPr>
        <w:ind w:left="220" w:right="100"/>
        <w:spacing w:after="0" w:line="243" w:lineRule="auto"/>
        <w:rPr>
          <w:sz w:val="20"/>
          <w:szCs w:val="20"/>
          <w:color w:val="auto"/>
        </w:rPr>
      </w:pPr>
      <w:r>
        <w:rPr>
          <w:rFonts w:ascii="Arial" w:cs="Arial" w:eastAsia="Arial" w:hAnsi="Arial"/>
          <w:sz w:val="18"/>
          <w:szCs w:val="18"/>
          <w:b w:val="1"/>
          <w:bCs w:val="1"/>
          <w:color w:val="auto"/>
        </w:rPr>
        <w:t xml:space="preserve">Long-term incentive awards: </w:t>
      </w:r>
      <w:r>
        <w:rPr>
          <w:rFonts w:ascii="Arial" w:cs="Arial" w:eastAsia="Arial" w:hAnsi="Arial"/>
          <w:sz w:val="18"/>
          <w:szCs w:val="18"/>
          <w:color w:val="auto"/>
        </w:rPr>
        <w:t>Mr. Smith’s 2018 award grant (based on 2017 performance) had a grant date value of $8,800,000, split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50% TRSUs and 50% stock options. TRSUs granted in 2018 will fully vest in March 2021, and stock options granted in 2018 will vest 25% each year over a four-year period. Mr. Smith’s 2019 award grant (based on 2018 performance) also had a grant date value of $8,800,000, split between 50% PRSUs, 25% TRSUs and 25% stock options. PRSUs and TRSUs granted in 2019 will fully vest in March 2022, and stock options granted in 2019 will vest 25% each year over a four-year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118110</wp:posOffset>
            </wp:positionV>
            <wp:extent cx="697357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1"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62</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D95A3B"/>
        </w:rPr>
        <w:t>Stephane 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-139065</wp:posOffset>
            </wp:positionV>
            <wp:extent cx="1358900" cy="13589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58900" cy="1358900"/>
                    </a:xfrm>
                    <a:prstGeom prst="rect">
                      <a:avLst/>
                    </a:prstGeom>
                    <a:noFill/>
                  </pic:spPr>
                </pic:pic>
              </a:graphicData>
            </a:graphic>
          </wp:anchor>
        </w:drawing>
      </w:r>
    </w:p>
    <w:p>
      <w:pPr>
        <w:ind w:left="2760"/>
        <w:spacing w:after="0"/>
        <w:rPr>
          <w:sz w:val="20"/>
          <w:szCs w:val="20"/>
          <w:color w:val="auto"/>
        </w:rPr>
      </w:pPr>
      <w:r>
        <w:rPr>
          <w:rFonts w:ascii="Arial" w:cs="Arial" w:eastAsia="Arial" w:hAnsi="Arial"/>
          <w:sz w:val="22"/>
          <w:szCs w:val="22"/>
          <w:color w:val="D95A3B"/>
        </w:rPr>
        <w:t>Executive Vice President and Chief Financial Officer</w:t>
      </w:r>
    </w:p>
    <w:p>
      <w:pPr>
        <w:spacing w:after="0" w:line="116" w:lineRule="exact"/>
        <w:rPr>
          <w:sz w:val="20"/>
          <w:szCs w:val="20"/>
          <w:color w:val="auto"/>
        </w:rPr>
      </w:pPr>
    </w:p>
    <w:p>
      <w:pPr>
        <w:ind w:left="2760" w:right="180"/>
        <w:spacing w:after="0" w:line="238" w:lineRule="auto"/>
        <w:rPr>
          <w:sz w:val="20"/>
          <w:szCs w:val="20"/>
          <w:color w:val="auto"/>
        </w:rPr>
      </w:pPr>
      <w:r>
        <w:rPr>
          <w:rFonts w:ascii="Arial" w:cs="Arial" w:eastAsia="Arial" w:hAnsi="Arial"/>
          <w:sz w:val="18"/>
          <w:szCs w:val="18"/>
          <w:color w:val="auto"/>
        </w:rPr>
        <w:t>Mr. Bello has been Executive Vice President &amp; Chief Financial Officer since January 2012. Mr. Bello was Chief Financial Officer of Thomson Reuters Professional division from April 2008 to December 2011. Mr. Bello joined Thomson in 2001 and was Senior Vice President and Treasurer until April 2008. Prior to joining Thomson, Mr. Bello held several positions at General Motors.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2018 performance</w:t>
      </w:r>
    </w:p>
    <w:p>
      <w:pPr>
        <w:spacing w:after="0" w:line="35" w:lineRule="exact"/>
        <w:rPr>
          <w:sz w:val="20"/>
          <w:szCs w:val="20"/>
          <w:color w:val="auto"/>
        </w:rPr>
      </w:pPr>
    </w:p>
    <w:p>
      <w:pPr>
        <w:ind w:left="220" w:right="60"/>
        <w:spacing w:after="0" w:line="244" w:lineRule="auto"/>
        <w:rPr>
          <w:sz w:val="20"/>
          <w:szCs w:val="20"/>
          <w:color w:val="auto"/>
        </w:rPr>
      </w:pPr>
      <w:r>
        <w:rPr>
          <w:rFonts w:ascii="Arial" w:cs="Arial" w:eastAsia="Arial" w:hAnsi="Arial"/>
          <w:sz w:val="18"/>
          <w:szCs w:val="18"/>
          <w:color w:val="auto"/>
        </w:rPr>
        <w:t>Under Mr. Bello’s leadership, 2018 was the seventh consecutive year that our company met or exceeded each of the performance metrics in our external financial outlook.</w:t>
      </w:r>
    </w:p>
    <w:p>
      <w:pPr>
        <w:spacing w:after="0" w:line="91" w:lineRule="exact"/>
        <w:rPr>
          <w:sz w:val="20"/>
          <w:szCs w:val="20"/>
          <w:color w:val="auto"/>
        </w:rPr>
      </w:pPr>
    </w:p>
    <w:p>
      <w:pPr>
        <w:jc w:val="both"/>
        <w:ind w:left="220" w:right="400"/>
        <w:spacing w:after="0" w:line="239" w:lineRule="auto"/>
        <w:rPr>
          <w:sz w:val="20"/>
          <w:szCs w:val="20"/>
          <w:color w:val="auto"/>
        </w:rPr>
      </w:pPr>
      <w:r>
        <w:rPr>
          <w:rFonts w:ascii="Arial" w:cs="Arial" w:eastAsia="Arial" w:hAnsi="Arial"/>
          <w:sz w:val="18"/>
          <w:szCs w:val="18"/>
          <w:color w:val="auto"/>
        </w:rPr>
        <w:t>Mr. Bello oversaw the return of $10 billion of F&amp;R transaction proceeds to shareholders through a $6.5 billion substantial issuer bid, a $2.3 billion return of capital transaction and $1.2 billion of share repurchases. An additional $900 million was returned to shareholders through dividends.</w:t>
      </w:r>
    </w:p>
    <w:p>
      <w:pPr>
        <w:spacing w:after="0" w:line="95" w:lineRule="exact"/>
        <w:rPr>
          <w:sz w:val="20"/>
          <w:szCs w:val="20"/>
          <w:color w:val="auto"/>
        </w:rPr>
      </w:pPr>
    </w:p>
    <w:p>
      <w:pPr>
        <w:ind w:left="220" w:right="20"/>
        <w:spacing w:after="0" w:line="239" w:lineRule="auto"/>
        <w:rPr>
          <w:sz w:val="20"/>
          <w:szCs w:val="20"/>
          <w:color w:val="auto"/>
        </w:rPr>
      </w:pPr>
      <w:r>
        <w:rPr>
          <w:rFonts w:ascii="Arial" w:cs="Arial" w:eastAsia="Arial" w:hAnsi="Arial"/>
          <w:sz w:val="18"/>
          <w:szCs w:val="18"/>
          <w:color w:val="auto"/>
        </w:rPr>
        <w:t>Mr. Bello also guided the repayment of $4 billion of outstanding debt using F&amp;R transaction proceeds, strengthening our company’s capital structure. Following this repayment, the maturity dates for our term debt are well balanced with no significant concentration in any one year. As of year-end 2018, our company remained well below our target leverage ratio of net debt to adjusted EBITDA of 2.5:1.</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Mr. Smith’s medical leave early in 2018, Mr. Bello oversaw Mr. Smith’s responsibilities alongside his own.</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2018 compensation</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1660" w:type="dxa"/>
            <w:vAlign w:val="bottom"/>
          </w:tcPr>
          <w:p>
            <w:pPr>
              <w:spacing w:after="0"/>
              <w:rPr>
                <w:sz w:val="16"/>
                <w:szCs w:val="16"/>
                <w:color w:val="auto"/>
              </w:rPr>
            </w:pPr>
          </w:p>
        </w:tc>
        <w:tc>
          <w:tcPr>
            <w:tcW w:w="3620" w:type="dxa"/>
            <w:vAlign w:val="bottom"/>
            <w:tcBorders>
              <w:top w:val="single" w:sz="8" w:color="D95A3B"/>
              <w:bottom w:val="single" w:sz="8" w:color="D95A3B"/>
              <w:right w:val="single" w:sz="8" w:color="AFAFAF"/>
            </w:tcBorders>
            <w:gridSpan w:val="2"/>
          </w:tcPr>
          <w:p>
            <w:pPr>
              <w:jc w:val="right"/>
              <w:ind w:right="388"/>
              <w:spacing w:after="0"/>
              <w:rPr>
                <w:sz w:val="20"/>
                <w:szCs w:val="20"/>
                <w:color w:val="auto"/>
              </w:rPr>
            </w:pPr>
            <w:r>
              <w:rPr>
                <w:rFonts w:ascii="Arial" w:cs="Arial" w:eastAsia="Arial" w:hAnsi="Arial"/>
                <w:sz w:val="15"/>
                <w:szCs w:val="15"/>
                <w:b w:val="1"/>
                <w:bCs w:val="1"/>
                <w:color w:val="auto"/>
              </w:rPr>
              <w:t>Target Total Direct Compensation (2017)</w:t>
            </w:r>
          </w:p>
        </w:tc>
        <w:tc>
          <w:tcPr>
            <w:tcW w:w="3740" w:type="dxa"/>
            <w:vAlign w:val="bottom"/>
            <w:tcBorders>
              <w:top w:val="single" w:sz="8" w:color="D95A3B"/>
              <w:bottom w:val="single" w:sz="8" w:color="D95A3B"/>
              <w:right w:val="single" w:sz="8" w:color="AFAFAF"/>
            </w:tcBorders>
            <w:gridSpan w:val="2"/>
            <w:shd w:val="clear" w:color="auto" w:fill="E5E5E5"/>
          </w:tcPr>
          <w:p>
            <w:pPr>
              <w:jc w:val="right"/>
              <w:ind w:right="448"/>
              <w:spacing w:after="0"/>
              <w:rPr>
                <w:sz w:val="20"/>
                <w:szCs w:val="20"/>
                <w:color w:val="auto"/>
              </w:rPr>
            </w:pPr>
            <w:r>
              <w:rPr>
                <w:rFonts w:ascii="Arial" w:cs="Arial" w:eastAsia="Arial" w:hAnsi="Arial"/>
                <w:sz w:val="15"/>
                <w:szCs w:val="15"/>
                <w:b w:val="1"/>
                <w:bCs w:val="1"/>
                <w:color w:val="auto"/>
              </w:rPr>
              <w:t>Target Total Direct Compensation (2018)</w:t>
            </w:r>
          </w:p>
        </w:tc>
        <w:tc>
          <w:tcPr>
            <w:tcW w:w="900" w:type="dxa"/>
            <w:vAlign w:val="bottom"/>
            <w:tcBorders>
              <w:top w:val="single" w:sz="8" w:color="D95A3B"/>
              <w:bottom w:val="single" w:sz="8" w:color="D95A3B"/>
              <w:right w:val="single" w:sz="8" w:color="AFAFAF"/>
            </w:tcBorders>
            <w:shd w:val="clear" w:color="auto" w:fill="E5E5E5"/>
          </w:tcPr>
          <w:p>
            <w:pPr>
              <w:jc w:val="right"/>
              <w:ind w:right="227"/>
              <w:spacing w:after="0"/>
              <w:rPr>
                <w:sz w:val="20"/>
                <w:szCs w:val="20"/>
                <w:color w:val="auto"/>
              </w:rPr>
            </w:pPr>
            <w:r>
              <w:rPr>
                <w:rFonts w:ascii="Arial" w:cs="Arial" w:eastAsia="Arial" w:hAnsi="Arial"/>
                <w:sz w:val="15"/>
                <w:szCs w:val="15"/>
                <w:b w:val="1"/>
                <w:bCs w:val="1"/>
                <w:color w:val="auto"/>
              </w:rPr>
              <w:t>Fixed</w:t>
            </w:r>
          </w:p>
        </w:tc>
        <w:tc>
          <w:tcPr>
            <w:tcW w:w="1060" w:type="dxa"/>
            <w:vAlign w:val="bottom"/>
            <w:tcBorders>
              <w:top w:val="single" w:sz="8" w:color="D95A3B"/>
              <w:bottom w:val="single" w:sz="8" w:color="D95A3B"/>
            </w:tcBorders>
            <w:shd w:val="clear" w:color="auto" w:fill="E5E5E5"/>
          </w:tcPr>
          <w:p>
            <w:pPr>
              <w:jc w:val="right"/>
              <w:ind w:right="207"/>
              <w:spacing w:after="0"/>
              <w:rPr>
                <w:sz w:val="20"/>
                <w:szCs w:val="20"/>
                <w:color w:val="auto"/>
              </w:rPr>
            </w:pPr>
            <w:r>
              <w:rPr>
                <w:rFonts w:ascii="Arial" w:cs="Arial" w:eastAsia="Arial" w:hAnsi="Arial"/>
                <w:sz w:val="15"/>
                <w:szCs w:val="15"/>
                <w:b w:val="1"/>
                <w:bCs w:val="1"/>
                <w:color w:val="auto"/>
              </w:rPr>
              <w:t>Variable</w:t>
            </w:r>
          </w:p>
        </w:tc>
      </w:tr>
      <w:tr>
        <w:trPr>
          <w:trHeight w:val="155"/>
        </w:trPr>
        <w:tc>
          <w:tcPr>
            <w:tcW w:w="1660" w:type="dxa"/>
            <w:vAlign w:val="bottom"/>
            <w:tcBorders>
              <w:bottom w:val="single" w:sz="8" w:color="D95A3B"/>
            </w:tcBorders>
          </w:tcPr>
          <w:p>
            <w:pPr>
              <w:spacing w:after="0"/>
              <w:rPr>
                <w:sz w:val="13"/>
                <w:szCs w:val="13"/>
                <w:color w:val="auto"/>
              </w:rPr>
            </w:pPr>
          </w:p>
        </w:tc>
        <w:tc>
          <w:tcPr>
            <w:tcW w:w="1480" w:type="dxa"/>
            <w:vAlign w:val="bottom"/>
            <w:tcBorders>
              <w:bottom w:val="single" w:sz="8" w:color="D95A3B"/>
              <w:right w:val="single" w:sz="8" w:color="AFAFAF"/>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w:t>
            </w:r>
          </w:p>
        </w:tc>
        <w:tc>
          <w:tcPr>
            <w:tcW w:w="2140" w:type="dxa"/>
            <w:vAlign w:val="bottom"/>
            <w:tcBorders>
              <w:bottom w:val="single" w:sz="8" w:color="D95A3B"/>
              <w:right w:val="single" w:sz="8" w:color="AFAFAF"/>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 of base salary</w:t>
            </w:r>
          </w:p>
        </w:tc>
        <w:tc>
          <w:tcPr>
            <w:tcW w:w="1580" w:type="dxa"/>
            <w:vAlign w:val="bottom"/>
            <w:tcBorders>
              <w:bottom w:val="single" w:sz="8" w:color="D95A3B"/>
              <w:right w:val="single" w:sz="8" w:color="AFAFAF"/>
            </w:tcBorders>
            <w:shd w:val="clear" w:color="auto" w:fill="E5E5E5"/>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2160" w:type="dxa"/>
            <w:vAlign w:val="bottom"/>
            <w:tcBorders>
              <w:bottom w:val="single" w:sz="8" w:color="D95A3B"/>
              <w:right w:val="single" w:sz="8" w:color="AFAFAF"/>
            </w:tcBorders>
            <w:shd w:val="clear" w:color="auto" w:fill="E5E5E5"/>
          </w:tcPr>
          <w:p>
            <w:pPr>
              <w:jc w:val="right"/>
              <w:ind w:right="368"/>
              <w:spacing w:after="0" w:line="155" w:lineRule="exact"/>
              <w:rPr>
                <w:sz w:val="20"/>
                <w:szCs w:val="20"/>
                <w:color w:val="auto"/>
              </w:rPr>
            </w:pPr>
            <w:r>
              <w:rPr>
                <w:rFonts w:ascii="Arial" w:cs="Arial" w:eastAsia="Arial" w:hAnsi="Arial"/>
                <w:sz w:val="14"/>
                <w:szCs w:val="14"/>
                <w:b w:val="1"/>
                <w:bCs w:val="1"/>
                <w:color w:val="auto"/>
              </w:rPr>
              <w:t>% of base salary</w:t>
            </w:r>
          </w:p>
        </w:tc>
        <w:tc>
          <w:tcPr>
            <w:tcW w:w="900" w:type="dxa"/>
            <w:vAlign w:val="bottom"/>
            <w:tcBorders>
              <w:bottom w:val="single" w:sz="8" w:color="D95A3B"/>
              <w:right w:val="single" w:sz="8" w:color="AFAFAF"/>
            </w:tcBorders>
            <w:shd w:val="clear" w:color="auto" w:fill="E5E5E5"/>
          </w:tcPr>
          <w:p>
            <w:pPr>
              <w:spacing w:after="0"/>
              <w:rPr>
                <w:sz w:val="13"/>
                <w:szCs w:val="13"/>
                <w:color w:val="auto"/>
              </w:rPr>
            </w:pPr>
          </w:p>
        </w:tc>
        <w:tc>
          <w:tcPr>
            <w:tcW w:w="1060" w:type="dxa"/>
            <w:vAlign w:val="bottom"/>
            <w:tcBorders>
              <w:bottom w:val="single" w:sz="8" w:color="D95A3B"/>
            </w:tcBorders>
            <w:shd w:val="clear" w:color="auto" w:fill="E5E5E5"/>
          </w:tcPr>
          <w:p>
            <w:pPr>
              <w:spacing w:after="0"/>
              <w:rPr>
                <w:sz w:val="13"/>
                <w:szCs w:val="13"/>
                <w:color w:val="auto"/>
              </w:rPr>
            </w:pPr>
          </w:p>
        </w:tc>
      </w:tr>
      <w:tr>
        <w:trPr>
          <w:trHeight w:val="155"/>
        </w:trPr>
        <w:tc>
          <w:tcPr>
            <w:tcW w:w="16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Base salary</w:t>
            </w:r>
          </w:p>
        </w:tc>
        <w:tc>
          <w:tcPr>
            <w:tcW w:w="1480" w:type="dxa"/>
            <w:vAlign w:val="bottom"/>
            <w:tcBorders>
              <w:bottom w:val="single" w:sz="8" w:color="AFAFAF"/>
              <w:right w:val="single" w:sz="8" w:color="AFAFAF"/>
            </w:tcBorders>
          </w:tcPr>
          <w:p>
            <w:pPr>
              <w:jc w:val="right"/>
              <w:ind w:right="108"/>
              <w:spacing w:after="0" w:line="155" w:lineRule="exact"/>
              <w:rPr>
                <w:sz w:val="20"/>
                <w:szCs w:val="20"/>
                <w:color w:val="auto"/>
              </w:rPr>
            </w:pPr>
            <w:r>
              <w:rPr>
                <w:rFonts w:ascii="Arial" w:cs="Arial" w:eastAsia="Arial" w:hAnsi="Arial"/>
                <w:sz w:val="14"/>
                <w:szCs w:val="14"/>
                <w:color w:val="auto"/>
              </w:rPr>
              <w:t>$1,000,000</w:t>
            </w:r>
          </w:p>
        </w:tc>
        <w:tc>
          <w:tcPr>
            <w:tcW w:w="2140" w:type="dxa"/>
            <w:vAlign w:val="bottom"/>
            <w:tcBorders>
              <w:bottom w:val="single" w:sz="8" w:color="AFAFAF"/>
              <w:right w:val="single" w:sz="8" w:color="AFAFAF"/>
            </w:tcBorders>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FAFAF"/>
              <w:right w:val="single" w:sz="8" w:color="AFAFAF"/>
            </w:tcBorders>
            <w:shd w:val="clear" w:color="auto" w:fill="E5E5E5"/>
          </w:tcPr>
          <w:p>
            <w:pPr>
              <w:jc w:val="right"/>
              <w:ind w:right="148"/>
              <w:spacing w:after="0" w:line="155" w:lineRule="exact"/>
              <w:rPr>
                <w:sz w:val="20"/>
                <w:szCs w:val="20"/>
                <w:color w:val="auto"/>
              </w:rPr>
            </w:pPr>
            <w:r>
              <w:rPr>
                <w:rFonts w:ascii="Arial" w:cs="Arial" w:eastAsia="Arial" w:hAnsi="Arial"/>
                <w:sz w:val="14"/>
                <w:szCs w:val="14"/>
                <w:color w:val="auto"/>
              </w:rPr>
              <w:t>$1,000,000</w:t>
            </w:r>
          </w:p>
        </w:tc>
        <w:tc>
          <w:tcPr>
            <w:tcW w:w="2160" w:type="dxa"/>
            <w:vAlign w:val="bottom"/>
            <w:tcBorders>
              <w:bottom w:val="single" w:sz="8" w:color="AFAFAF"/>
              <w:right w:val="single" w:sz="8" w:color="AFAFAF"/>
            </w:tcBorders>
            <w:shd w:val="clear" w:color="auto" w:fill="E5E5E5"/>
          </w:tcPr>
          <w:p>
            <w:pPr>
              <w:jc w:val="right"/>
              <w:ind w:right="36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FAFAF"/>
              <w:right w:val="single" w:sz="8" w:color="AFAFAF"/>
            </w:tcBorders>
            <w:shd w:val="clear" w:color="auto" w:fill="E5E5E5"/>
          </w:tcPr>
          <w:p>
            <w:pPr>
              <w:jc w:val="right"/>
              <w:ind w:right="87"/>
              <w:spacing w:after="0" w:line="155" w:lineRule="exact"/>
              <w:rPr>
                <w:sz w:val="20"/>
                <w:szCs w:val="20"/>
                <w:color w:val="auto"/>
              </w:rPr>
            </w:pPr>
            <w:r>
              <w:rPr>
                <w:rFonts w:ascii="Arial" w:cs="Arial" w:eastAsia="Arial" w:hAnsi="Arial"/>
                <w:sz w:val="14"/>
                <w:szCs w:val="14"/>
                <w:color w:val="auto"/>
              </w:rPr>
              <w:t>24%</w:t>
            </w:r>
          </w:p>
        </w:tc>
        <w:tc>
          <w:tcPr>
            <w:tcW w:w="1060" w:type="dxa"/>
            <w:vAlign w:val="bottom"/>
            <w:tcBorders>
              <w:bottom w:val="single" w:sz="8" w:color="AFAFAF"/>
            </w:tcBorders>
            <w:shd w:val="clear" w:color="auto" w:fill="E5E5E5"/>
          </w:tcPr>
          <w:p>
            <w:pPr>
              <w:jc w:val="right"/>
              <w:ind w:right="207"/>
              <w:spacing w:after="0" w:line="155" w:lineRule="exact"/>
              <w:rPr>
                <w:sz w:val="20"/>
                <w:szCs w:val="20"/>
                <w:color w:val="auto"/>
              </w:rPr>
            </w:pPr>
            <w:r>
              <w:rPr>
                <w:rFonts w:ascii="Arial" w:cs="Arial" w:eastAsia="Arial" w:hAnsi="Arial"/>
                <w:sz w:val="14"/>
                <w:szCs w:val="14"/>
                <w:color w:val="auto"/>
              </w:rPr>
              <w:t>–</w:t>
            </w:r>
          </w:p>
        </w:tc>
      </w:tr>
      <w:tr>
        <w:trPr>
          <w:trHeight w:val="155"/>
        </w:trPr>
        <w:tc>
          <w:tcPr>
            <w:tcW w:w="16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Annual incentive award</w:t>
            </w:r>
          </w:p>
        </w:tc>
        <w:tc>
          <w:tcPr>
            <w:tcW w:w="1480" w:type="dxa"/>
            <w:vAlign w:val="bottom"/>
            <w:tcBorders>
              <w:bottom w:val="single" w:sz="8" w:color="AFAFAF"/>
              <w:right w:val="single" w:sz="8" w:color="AFAFAF"/>
            </w:tcBorders>
          </w:tcPr>
          <w:p>
            <w:pPr>
              <w:jc w:val="right"/>
              <w:ind w:right="108"/>
              <w:spacing w:after="0" w:line="155" w:lineRule="exact"/>
              <w:rPr>
                <w:sz w:val="20"/>
                <w:szCs w:val="20"/>
                <w:color w:val="auto"/>
              </w:rPr>
            </w:pPr>
            <w:r>
              <w:rPr>
                <w:rFonts w:ascii="Arial" w:cs="Arial" w:eastAsia="Arial" w:hAnsi="Arial"/>
                <w:sz w:val="14"/>
                <w:szCs w:val="14"/>
                <w:color w:val="auto"/>
              </w:rPr>
              <w:t>$1,250,000</w:t>
            </w:r>
          </w:p>
        </w:tc>
        <w:tc>
          <w:tcPr>
            <w:tcW w:w="2140" w:type="dxa"/>
            <w:vAlign w:val="bottom"/>
            <w:tcBorders>
              <w:bottom w:val="single" w:sz="8" w:color="AFAFAF"/>
              <w:right w:val="single" w:sz="8" w:color="AFAFAF"/>
            </w:tcBorders>
          </w:tcPr>
          <w:p>
            <w:pPr>
              <w:jc w:val="right"/>
              <w:ind w:right="188"/>
              <w:spacing w:after="0" w:line="155" w:lineRule="exact"/>
              <w:rPr>
                <w:sz w:val="20"/>
                <w:szCs w:val="20"/>
                <w:color w:val="auto"/>
              </w:rPr>
            </w:pPr>
            <w:r>
              <w:rPr>
                <w:rFonts w:ascii="Arial" w:cs="Arial" w:eastAsia="Arial" w:hAnsi="Arial"/>
                <w:sz w:val="14"/>
                <w:szCs w:val="14"/>
                <w:color w:val="auto"/>
              </w:rPr>
              <w:t>125%</w:t>
            </w:r>
          </w:p>
        </w:tc>
        <w:tc>
          <w:tcPr>
            <w:tcW w:w="1580" w:type="dxa"/>
            <w:vAlign w:val="bottom"/>
            <w:tcBorders>
              <w:bottom w:val="single" w:sz="8" w:color="AFAFAF"/>
              <w:right w:val="single" w:sz="8" w:color="AFAFAF"/>
            </w:tcBorders>
            <w:shd w:val="clear" w:color="auto" w:fill="E5E5E5"/>
          </w:tcPr>
          <w:p>
            <w:pPr>
              <w:jc w:val="right"/>
              <w:ind w:right="148"/>
              <w:spacing w:after="0" w:line="155" w:lineRule="exact"/>
              <w:rPr>
                <w:sz w:val="20"/>
                <w:szCs w:val="20"/>
                <w:color w:val="auto"/>
              </w:rPr>
            </w:pPr>
            <w:r>
              <w:rPr>
                <w:rFonts w:ascii="Arial" w:cs="Arial" w:eastAsia="Arial" w:hAnsi="Arial"/>
                <w:sz w:val="14"/>
                <w:szCs w:val="14"/>
                <w:color w:val="auto"/>
              </w:rPr>
              <w:t>$1,250,000</w:t>
            </w:r>
          </w:p>
        </w:tc>
        <w:tc>
          <w:tcPr>
            <w:tcW w:w="2160" w:type="dxa"/>
            <w:vAlign w:val="bottom"/>
            <w:tcBorders>
              <w:bottom w:val="single" w:sz="8" w:color="AFAFAF"/>
              <w:right w:val="single" w:sz="8" w:color="AFAFAF"/>
            </w:tcBorders>
            <w:shd w:val="clear" w:color="auto" w:fill="E5E5E5"/>
          </w:tcPr>
          <w:p>
            <w:pPr>
              <w:jc w:val="right"/>
              <w:ind w:right="228"/>
              <w:spacing w:after="0" w:line="155" w:lineRule="exact"/>
              <w:rPr>
                <w:sz w:val="20"/>
                <w:szCs w:val="20"/>
                <w:color w:val="auto"/>
              </w:rPr>
            </w:pPr>
            <w:r>
              <w:rPr>
                <w:rFonts w:ascii="Arial" w:cs="Arial" w:eastAsia="Arial" w:hAnsi="Arial"/>
                <w:sz w:val="14"/>
                <w:szCs w:val="14"/>
                <w:color w:val="auto"/>
              </w:rPr>
              <w:t>125%</w:t>
            </w:r>
          </w:p>
        </w:tc>
        <w:tc>
          <w:tcPr>
            <w:tcW w:w="900" w:type="dxa"/>
            <w:vAlign w:val="bottom"/>
            <w:tcBorders>
              <w:bottom w:val="single" w:sz="8" w:color="AFAFAF"/>
              <w:right w:val="single" w:sz="8" w:color="AFAFAF"/>
            </w:tcBorders>
            <w:shd w:val="clear" w:color="auto" w:fill="E5E5E5"/>
          </w:tcPr>
          <w:p>
            <w:pPr>
              <w:jc w:val="right"/>
              <w:ind w:right="227"/>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FAFAF"/>
            </w:tcBorders>
            <w:shd w:val="clear" w:color="auto" w:fill="E5E5E5"/>
          </w:tcPr>
          <w:p>
            <w:pPr>
              <w:jc w:val="right"/>
              <w:ind w:right="67"/>
              <w:spacing w:after="0" w:line="155" w:lineRule="exact"/>
              <w:rPr>
                <w:sz w:val="20"/>
                <w:szCs w:val="20"/>
                <w:color w:val="auto"/>
              </w:rPr>
            </w:pPr>
            <w:r>
              <w:rPr>
                <w:rFonts w:ascii="Arial" w:cs="Arial" w:eastAsia="Arial" w:hAnsi="Arial"/>
                <w:sz w:val="14"/>
                <w:szCs w:val="14"/>
                <w:color w:val="auto"/>
              </w:rPr>
              <w:t>29%</w:t>
            </w:r>
          </w:p>
        </w:tc>
      </w:tr>
      <w:tr>
        <w:trPr>
          <w:trHeight w:val="142"/>
        </w:trPr>
        <w:tc>
          <w:tcPr>
            <w:tcW w:w="166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Long-term incentive</w:t>
            </w:r>
          </w:p>
        </w:tc>
        <w:tc>
          <w:tcPr>
            <w:tcW w:w="1480" w:type="dxa"/>
            <w:vAlign w:val="bottom"/>
            <w:tcBorders>
              <w:right w:val="single" w:sz="8" w:color="AFAFAF"/>
            </w:tcBorders>
          </w:tcPr>
          <w:p>
            <w:pPr>
              <w:spacing w:after="0"/>
              <w:rPr>
                <w:sz w:val="12"/>
                <w:szCs w:val="12"/>
                <w:color w:val="auto"/>
              </w:rPr>
            </w:pPr>
          </w:p>
        </w:tc>
        <w:tc>
          <w:tcPr>
            <w:tcW w:w="2140" w:type="dxa"/>
            <w:vAlign w:val="bottom"/>
            <w:tcBorders>
              <w:right w:val="single" w:sz="8" w:color="AFAFAF"/>
            </w:tcBorders>
          </w:tcPr>
          <w:p>
            <w:pPr>
              <w:spacing w:after="0"/>
              <w:rPr>
                <w:sz w:val="12"/>
                <w:szCs w:val="12"/>
                <w:color w:val="auto"/>
              </w:rPr>
            </w:pPr>
          </w:p>
        </w:tc>
        <w:tc>
          <w:tcPr>
            <w:tcW w:w="1580" w:type="dxa"/>
            <w:vAlign w:val="bottom"/>
            <w:tcBorders>
              <w:right w:val="single" w:sz="8" w:color="AFAFAF"/>
            </w:tcBorders>
            <w:shd w:val="clear" w:color="auto" w:fill="E5E5E5"/>
          </w:tcPr>
          <w:p>
            <w:pPr>
              <w:spacing w:after="0"/>
              <w:rPr>
                <w:sz w:val="12"/>
                <w:szCs w:val="12"/>
                <w:color w:val="auto"/>
              </w:rPr>
            </w:pPr>
          </w:p>
        </w:tc>
        <w:tc>
          <w:tcPr>
            <w:tcW w:w="2160" w:type="dxa"/>
            <w:vAlign w:val="bottom"/>
            <w:tcBorders>
              <w:right w:val="single" w:sz="8" w:color="AFAFAF"/>
            </w:tcBorders>
            <w:shd w:val="clear" w:color="auto" w:fill="E5E5E5"/>
          </w:tcPr>
          <w:p>
            <w:pPr>
              <w:spacing w:after="0"/>
              <w:rPr>
                <w:sz w:val="12"/>
                <w:szCs w:val="12"/>
                <w:color w:val="auto"/>
              </w:rPr>
            </w:pPr>
          </w:p>
        </w:tc>
        <w:tc>
          <w:tcPr>
            <w:tcW w:w="900" w:type="dxa"/>
            <w:vAlign w:val="bottom"/>
            <w:tcBorders>
              <w:right w:val="single" w:sz="8" w:color="AFAFAF"/>
            </w:tcBorders>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r>
      <w:tr>
        <w:trPr>
          <w:trHeight w:val="175"/>
        </w:trPr>
        <w:tc>
          <w:tcPr>
            <w:tcW w:w="1660" w:type="dxa"/>
            <w:vAlign w:val="bottom"/>
            <w:tcBorders>
              <w:bottom w:val="single" w:sz="8" w:color="D95A3B"/>
              <w:right w:val="single" w:sz="8" w:color="AFAFAF"/>
            </w:tcBorders>
          </w:tcPr>
          <w:p>
            <w:pPr>
              <w:ind w:left="140"/>
              <w:spacing w:after="0"/>
              <w:rPr>
                <w:sz w:val="20"/>
                <w:szCs w:val="20"/>
                <w:color w:val="auto"/>
              </w:rPr>
            </w:pPr>
            <w:r>
              <w:rPr>
                <w:rFonts w:ascii="Arial" w:cs="Arial" w:eastAsia="Arial" w:hAnsi="Arial"/>
                <w:sz w:val="14"/>
                <w:szCs w:val="14"/>
                <w:b w:val="1"/>
                <w:bCs w:val="1"/>
                <w:color w:val="auto"/>
              </w:rPr>
              <w:t>awards</w:t>
            </w:r>
          </w:p>
        </w:tc>
        <w:tc>
          <w:tcPr>
            <w:tcW w:w="1480" w:type="dxa"/>
            <w:vAlign w:val="bottom"/>
            <w:tcBorders>
              <w:bottom w:val="single" w:sz="8" w:color="D95A3B"/>
              <w:right w:val="single" w:sz="8" w:color="AFAFAF"/>
            </w:tcBorders>
          </w:tcPr>
          <w:p>
            <w:pPr>
              <w:jc w:val="right"/>
              <w:ind w:right="108"/>
              <w:spacing w:after="0"/>
              <w:rPr>
                <w:sz w:val="20"/>
                <w:szCs w:val="20"/>
                <w:color w:val="auto"/>
              </w:rPr>
            </w:pPr>
            <w:r>
              <w:rPr>
                <w:rFonts w:ascii="Arial" w:cs="Arial" w:eastAsia="Arial" w:hAnsi="Arial"/>
                <w:sz w:val="14"/>
                <w:szCs w:val="14"/>
                <w:color w:val="auto"/>
              </w:rPr>
              <w:t>$2,000,000</w:t>
            </w:r>
          </w:p>
        </w:tc>
        <w:tc>
          <w:tcPr>
            <w:tcW w:w="2140" w:type="dxa"/>
            <w:vAlign w:val="bottom"/>
            <w:tcBorders>
              <w:bottom w:val="single" w:sz="8" w:color="D95A3B"/>
              <w:right w:val="single" w:sz="8" w:color="AFAFAF"/>
            </w:tcBorders>
          </w:tcPr>
          <w:p>
            <w:pPr>
              <w:jc w:val="right"/>
              <w:ind w:right="188"/>
              <w:spacing w:after="0"/>
              <w:rPr>
                <w:sz w:val="20"/>
                <w:szCs w:val="20"/>
                <w:color w:val="auto"/>
              </w:rPr>
            </w:pPr>
            <w:r>
              <w:rPr>
                <w:rFonts w:ascii="Arial" w:cs="Arial" w:eastAsia="Arial" w:hAnsi="Arial"/>
                <w:sz w:val="14"/>
                <w:szCs w:val="14"/>
                <w:color w:val="auto"/>
              </w:rPr>
              <w:t>200%</w:t>
            </w:r>
          </w:p>
        </w:tc>
        <w:tc>
          <w:tcPr>
            <w:tcW w:w="1580" w:type="dxa"/>
            <w:vAlign w:val="bottom"/>
            <w:tcBorders>
              <w:bottom w:val="single" w:sz="8" w:color="D95A3B"/>
              <w:right w:val="single" w:sz="8" w:color="AFAFAF"/>
            </w:tcBorders>
            <w:shd w:val="clear" w:color="auto" w:fill="E5E5E5"/>
          </w:tcPr>
          <w:p>
            <w:pPr>
              <w:jc w:val="right"/>
              <w:ind w:right="148"/>
              <w:spacing w:after="0"/>
              <w:rPr>
                <w:sz w:val="20"/>
                <w:szCs w:val="20"/>
                <w:color w:val="auto"/>
              </w:rPr>
            </w:pPr>
            <w:r>
              <w:rPr>
                <w:rFonts w:ascii="Arial" w:cs="Arial" w:eastAsia="Arial" w:hAnsi="Arial"/>
                <w:sz w:val="14"/>
                <w:szCs w:val="14"/>
                <w:color w:val="auto"/>
              </w:rPr>
              <w:t>$2,000,000</w:t>
            </w:r>
          </w:p>
        </w:tc>
        <w:tc>
          <w:tcPr>
            <w:tcW w:w="2160" w:type="dxa"/>
            <w:vAlign w:val="bottom"/>
            <w:tcBorders>
              <w:bottom w:val="single" w:sz="8" w:color="D95A3B"/>
              <w:right w:val="single" w:sz="8" w:color="AFAFAF"/>
            </w:tcBorders>
            <w:shd w:val="clear" w:color="auto" w:fill="E5E5E5"/>
          </w:tcPr>
          <w:p>
            <w:pPr>
              <w:jc w:val="right"/>
              <w:ind w:right="228"/>
              <w:spacing w:after="0"/>
              <w:rPr>
                <w:sz w:val="20"/>
                <w:szCs w:val="20"/>
                <w:color w:val="auto"/>
              </w:rPr>
            </w:pPr>
            <w:r>
              <w:rPr>
                <w:rFonts w:ascii="Arial" w:cs="Arial" w:eastAsia="Arial" w:hAnsi="Arial"/>
                <w:sz w:val="14"/>
                <w:szCs w:val="14"/>
                <w:color w:val="auto"/>
              </w:rPr>
              <w:t>200%</w:t>
            </w:r>
          </w:p>
        </w:tc>
        <w:tc>
          <w:tcPr>
            <w:tcW w:w="900" w:type="dxa"/>
            <w:vAlign w:val="bottom"/>
            <w:tcBorders>
              <w:bottom w:val="single" w:sz="8" w:color="D95A3B"/>
              <w:right w:val="single" w:sz="8" w:color="AFAFAF"/>
            </w:tcBorders>
            <w:shd w:val="clear" w:color="auto" w:fill="E5E5E5"/>
          </w:tcPr>
          <w:p>
            <w:pPr>
              <w:jc w:val="right"/>
              <w:ind w:right="227"/>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95A3B"/>
            </w:tcBorders>
            <w:shd w:val="clear" w:color="auto" w:fill="E5E5E5"/>
          </w:tcPr>
          <w:p>
            <w:pPr>
              <w:jc w:val="right"/>
              <w:ind w:right="67"/>
              <w:spacing w:after="0"/>
              <w:rPr>
                <w:sz w:val="20"/>
                <w:szCs w:val="20"/>
                <w:color w:val="auto"/>
              </w:rPr>
            </w:pPr>
            <w:r>
              <w:rPr>
                <w:rFonts w:ascii="Arial" w:cs="Arial" w:eastAsia="Arial" w:hAnsi="Arial"/>
                <w:sz w:val="14"/>
                <w:szCs w:val="14"/>
                <w:color w:val="auto"/>
              </w:rPr>
              <w:t>47%</w:t>
            </w:r>
          </w:p>
        </w:tc>
      </w:tr>
      <w:tr>
        <w:trPr>
          <w:trHeight w:val="155"/>
        </w:trPr>
        <w:tc>
          <w:tcPr>
            <w:tcW w:w="166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D95A3B"/>
              <w:right w:val="single" w:sz="8" w:color="AFAFAF"/>
            </w:tcBorders>
          </w:tcPr>
          <w:p>
            <w:pPr>
              <w:jc w:val="right"/>
              <w:ind w:right="108"/>
              <w:spacing w:after="0" w:line="155" w:lineRule="exact"/>
              <w:rPr>
                <w:sz w:val="20"/>
                <w:szCs w:val="20"/>
                <w:color w:val="auto"/>
              </w:rPr>
            </w:pPr>
            <w:r>
              <w:rPr>
                <w:rFonts w:ascii="Arial" w:cs="Arial" w:eastAsia="Arial" w:hAnsi="Arial"/>
                <w:sz w:val="14"/>
                <w:szCs w:val="14"/>
                <w:color w:val="auto"/>
              </w:rPr>
              <w:t>$4,250,000</w:t>
            </w:r>
          </w:p>
        </w:tc>
        <w:tc>
          <w:tcPr>
            <w:tcW w:w="2140" w:type="dxa"/>
            <w:vAlign w:val="bottom"/>
            <w:tcBorders>
              <w:bottom w:val="single" w:sz="8" w:color="D95A3B"/>
              <w:right w:val="single" w:sz="8" w:color="AFAFAF"/>
            </w:tcBorders>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D95A3B"/>
              <w:right w:val="single" w:sz="8" w:color="AFAFAF"/>
            </w:tcBorders>
            <w:shd w:val="clear" w:color="auto" w:fill="E5E5E5"/>
          </w:tcPr>
          <w:p>
            <w:pPr>
              <w:jc w:val="right"/>
              <w:ind w:right="148"/>
              <w:spacing w:after="0" w:line="155" w:lineRule="exact"/>
              <w:rPr>
                <w:sz w:val="20"/>
                <w:szCs w:val="20"/>
                <w:color w:val="auto"/>
              </w:rPr>
            </w:pPr>
            <w:r>
              <w:rPr>
                <w:rFonts w:ascii="Arial" w:cs="Arial" w:eastAsia="Arial" w:hAnsi="Arial"/>
                <w:sz w:val="14"/>
                <w:szCs w:val="14"/>
                <w:color w:val="auto"/>
              </w:rPr>
              <w:t>$4,250,000</w:t>
            </w:r>
          </w:p>
        </w:tc>
        <w:tc>
          <w:tcPr>
            <w:tcW w:w="2160" w:type="dxa"/>
            <w:vAlign w:val="bottom"/>
            <w:tcBorders>
              <w:bottom w:val="single" w:sz="8" w:color="D95A3B"/>
              <w:right w:val="single" w:sz="8" w:color="AFAFAF"/>
            </w:tcBorders>
            <w:shd w:val="clear" w:color="auto" w:fill="E5E5E5"/>
          </w:tcPr>
          <w:p>
            <w:pPr>
              <w:jc w:val="right"/>
              <w:ind w:right="36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D95A3B"/>
              <w:right w:val="single" w:sz="8" w:color="AFAFAF"/>
            </w:tcBorders>
            <w:shd w:val="clear" w:color="auto" w:fill="E5E5E5"/>
          </w:tcPr>
          <w:p>
            <w:pPr>
              <w:jc w:val="right"/>
              <w:ind w:right="87"/>
              <w:spacing w:after="0" w:line="155" w:lineRule="exact"/>
              <w:rPr>
                <w:sz w:val="20"/>
                <w:szCs w:val="20"/>
                <w:color w:val="auto"/>
              </w:rPr>
            </w:pPr>
            <w:r>
              <w:rPr>
                <w:rFonts w:ascii="Arial" w:cs="Arial" w:eastAsia="Arial" w:hAnsi="Arial"/>
                <w:sz w:val="14"/>
                <w:szCs w:val="14"/>
                <w:color w:val="auto"/>
              </w:rPr>
              <w:t>24%</w:t>
            </w:r>
          </w:p>
        </w:tc>
        <w:tc>
          <w:tcPr>
            <w:tcW w:w="1060" w:type="dxa"/>
            <w:vAlign w:val="bottom"/>
            <w:tcBorders>
              <w:bottom w:val="single" w:sz="8" w:color="D95A3B"/>
            </w:tcBorders>
            <w:shd w:val="clear" w:color="auto" w:fill="E5E5E5"/>
          </w:tcPr>
          <w:p>
            <w:pPr>
              <w:jc w:val="right"/>
              <w:ind w:right="67"/>
              <w:spacing w:after="0" w:line="155" w:lineRule="exact"/>
              <w:rPr>
                <w:sz w:val="20"/>
                <w:szCs w:val="20"/>
                <w:color w:val="auto"/>
              </w:rPr>
            </w:pPr>
            <w:r>
              <w:rPr>
                <w:rFonts w:ascii="Arial" w:cs="Arial" w:eastAsia="Arial" w:hAnsi="Arial"/>
                <w:sz w:val="14"/>
                <w:szCs w:val="14"/>
                <w:color w:val="auto"/>
              </w:rPr>
              <w:t>76%</w:t>
            </w:r>
          </w:p>
        </w:tc>
      </w:tr>
    </w:tbl>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Mr. Bello’s base salary was unchanged in 2018.</w:t>
      </w:r>
    </w:p>
    <w:p>
      <w:pPr>
        <w:spacing w:after="0" w:line="103" w:lineRule="exact"/>
        <w:rPr>
          <w:sz w:val="20"/>
          <w:szCs w:val="20"/>
          <w:color w:val="auto"/>
        </w:rPr>
      </w:pPr>
    </w:p>
    <w:p>
      <w:pPr>
        <w:ind w:left="220" w:right="20"/>
        <w:spacing w:after="0" w:line="246" w:lineRule="auto"/>
        <w:rPr>
          <w:sz w:val="20"/>
          <w:szCs w:val="20"/>
          <w:color w:val="auto"/>
        </w:rPr>
      </w:pPr>
      <w:r>
        <w:rPr>
          <w:rFonts w:ascii="Arial" w:cs="Arial" w:eastAsia="Arial" w:hAnsi="Arial"/>
          <w:sz w:val="18"/>
          <w:szCs w:val="18"/>
          <w:b w:val="1"/>
          <w:bCs w:val="1"/>
          <w:color w:val="auto"/>
        </w:rPr>
        <w:t xml:space="preserve">Annual incentive award: </w:t>
      </w:r>
      <w:r>
        <w:rPr>
          <w:rFonts w:ascii="Arial" w:cs="Arial" w:eastAsia="Arial" w:hAnsi="Arial"/>
          <w:sz w:val="18"/>
          <w:szCs w:val="18"/>
          <w:color w:val="auto"/>
        </w:rPr>
        <w:t>Mr. Bello was granted a 2018 annual incentive award based 80% on our company’s performance (excluding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F&amp;R business) and 20% based on F&amp;R business performance. This award had a payout of approximately 129% of target based on financial performance. Based on his 2018 individual performance against strategic objectives, the HR Committee increased Mr. Bello’s payout by 5% to approximately 136% of target.</w:t>
      </w:r>
    </w:p>
    <w:p>
      <w:pPr>
        <w:spacing w:after="0" w:line="67" w:lineRule="exact"/>
        <w:rPr>
          <w:sz w:val="20"/>
          <w:szCs w:val="20"/>
          <w:color w:val="auto"/>
        </w:rPr>
      </w:pPr>
    </w:p>
    <w:p>
      <w:pPr>
        <w:ind w:left="220" w:right="100"/>
        <w:spacing w:after="0" w:line="243" w:lineRule="auto"/>
        <w:rPr>
          <w:sz w:val="20"/>
          <w:szCs w:val="20"/>
          <w:color w:val="auto"/>
        </w:rPr>
      </w:pPr>
      <w:r>
        <w:rPr>
          <w:rFonts w:ascii="Arial" w:cs="Arial" w:eastAsia="Arial" w:hAnsi="Arial"/>
          <w:sz w:val="18"/>
          <w:szCs w:val="18"/>
          <w:b w:val="1"/>
          <w:bCs w:val="1"/>
          <w:color w:val="auto"/>
        </w:rPr>
        <w:t xml:space="preserve">Long-term incentive awards: </w:t>
      </w:r>
      <w:r>
        <w:rPr>
          <w:rFonts w:ascii="Arial" w:cs="Arial" w:eastAsia="Arial" w:hAnsi="Arial"/>
          <w:sz w:val="18"/>
          <w:szCs w:val="18"/>
          <w:color w:val="auto"/>
        </w:rPr>
        <w:t>Mr. Bello’s 2018 award grant (based on 2017 performance) had a grant date value of $2,000,000, split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50% TRSUs and 50% stock options. TRSUs granted in 2018 will fully vest in March 2021, and stock options granted in 2018 will vest 25% each year over a four-year period. Mr. Bello’s 2019 award grant (based on 2018 performance) also had a grant date value of $2,000,000, split between 50% PRSUs, 25% TRSUs and 25% stock options. PRSUs and TRSUs granted in 2019 will fully vest in March 2022, and stock options granted in 2019 will vest 25% each year over a four-year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118110</wp:posOffset>
            </wp:positionV>
            <wp:extent cx="697357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27"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63</w:t>
      </w:r>
    </w:p>
    <w:p>
      <w:pPr>
        <w:sectPr>
          <w:pgSz w:w="11900" w:h="16838" w:orient="portrait"/>
          <w:cols w:equalWidth="0" w:num="1">
            <w:col w:w="11200"/>
          </w:cols>
          <w:pgMar w:left="240" w:top="458"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D95A3B"/>
        </w:rPr>
        <w:t>Brian Peccarelli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-139065</wp:posOffset>
            </wp:positionV>
            <wp:extent cx="1358900" cy="13589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58900" cy="1358900"/>
                    </a:xfrm>
                    <a:prstGeom prst="rect">
                      <a:avLst/>
                    </a:prstGeom>
                    <a:noFill/>
                  </pic:spPr>
                </pic:pic>
              </a:graphicData>
            </a:graphic>
          </wp:anchor>
        </w:drawing>
      </w:r>
    </w:p>
    <w:p>
      <w:pPr>
        <w:ind w:left="2760"/>
        <w:spacing w:after="0"/>
        <w:rPr>
          <w:sz w:val="20"/>
          <w:szCs w:val="20"/>
          <w:color w:val="auto"/>
        </w:rPr>
      </w:pPr>
      <w:r>
        <w:rPr>
          <w:rFonts w:ascii="Arial" w:cs="Arial" w:eastAsia="Arial" w:hAnsi="Arial"/>
          <w:sz w:val="22"/>
          <w:szCs w:val="22"/>
          <w:color w:val="D95A3B"/>
        </w:rPr>
        <w:t>Executive Vice President and Chief Operating Officer, Customer Markets</w:t>
      </w:r>
    </w:p>
    <w:p>
      <w:pPr>
        <w:spacing w:after="0" w:line="116" w:lineRule="exact"/>
        <w:rPr>
          <w:sz w:val="20"/>
          <w:szCs w:val="20"/>
          <w:color w:val="auto"/>
        </w:rPr>
      </w:pPr>
    </w:p>
    <w:p>
      <w:pPr>
        <w:ind w:left="2760" w:right="100"/>
        <w:spacing w:after="0" w:line="236" w:lineRule="auto"/>
        <w:rPr>
          <w:sz w:val="20"/>
          <w:szCs w:val="20"/>
          <w:color w:val="auto"/>
        </w:rPr>
      </w:pPr>
      <w:r>
        <w:rPr>
          <w:rFonts w:ascii="Arial" w:cs="Arial" w:eastAsia="Arial" w:hAnsi="Arial"/>
          <w:sz w:val="18"/>
          <w:szCs w:val="18"/>
          <w:color w:val="auto"/>
        </w:rPr>
        <w:t>Mr. Peccarelli has been Chief Operating Officer, Customer Markets and also has led the Legal Professionals segment since June 2018. Prior to June 2018, Mr. Peccarelli was President of the Tax &amp; Accounting business for seven years. Prior to February 2011, Mr. Peccarelli was President of Workflow &amp; Service Solutions within the Tax &amp; Accounting business for seven years. Mr. Peccarelli joined Thomson in 1984 and has held a number of other key leadership positions within the organization, including Vice President of the Corporate Services Market and General Manager for RIA Compliance. He is also a certified public accountant and a lawyer.</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2018 performance</w:t>
      </w:r>
    </w:p>
    <w:p>
      <w:pPr>
        <w:spacing w:after="0" w:line="35"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Mr. Peccarelli’s primary focus since his appointment as Chief Operating Officer, Customer Markets, has been on accelerating growth for Thomson Reuters – primarily organically, but also through acquisitions. Mr. Peccarelli was instrumental in the creation of our new customer-focused organizational structure, which is intended to drive growth and allow us to better serve our company’s 460,000+ customers (compared to our previous product-centric structure). Through Mr. Peccarelli’s leadership, our new customer segments are now better aligned around the customer, allowing us to concentrate more on customer experience and offer full value propositions to address the needs of each customer. Mr. Peccarelli is driving initiatives for our company to cross sell more to existing customers, while also attracting and acquiring new customers that are looking for comprehensive solutions. Mr. Peccarelli is also overseeing initiatives for our businesses to provide more software and solutions to our customers.</w:t>
      </w:r>
    </w:p>
    <w:p>
      <w:pPr>
        <w:spacing w:after="0" w:line="94" w:lineRule="exact"/>
        <w:rPr>
          <w:sz w:val="20"/>
          <w:szCs w:val="20"/>
          <w:color w:val="auto"/>
        </w:rPr>
      </w:pPr>
    </w:p>
    <w:p>
      <w:pPr>
        <w:ind w:left="220" w:right="20"/>
        <w:spacing w:after="0" w:line="244" w:lineRule="auto"/>
        <w:rPr>
          <w:sz w:val="20"/>
          <w:szCs w:val="20"/>
          <w:color w:val="auto"/>
        </w:rPr>
      </w:pPr>
      <w:r>
        <w:rPr>
          <w:rFonts w:ascii="Arial" w:cs="Arial" w:eastAsia="Arial" w:hAnsi="Arial"/>
          <w:sz w:val="18"/>
          <w:szCs w:val="18"/>
          <w:color w:val="auto"/>
        </w:rPr>
        <w:t>Mr. Peccarelli also has led our largest customer segment (Legal Professionals) since mid-2018. In 2018, Legal Professionals delivered 4% revenue growth and improved adjusted EBITDA as a result of revenue growth.</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2018 compensation</w:t>
      </w:r>
    </w:p>
    <w:p>
      <w:pPr>
        <w:spacing w:after="0" w:line="35" w:lineRule="exact"/>
        <w:rPr>
          <w:sz w:val="20"/>
          <w:szCs w:val="20"/>
          <w:color w:val="auto"/>
        </w:rPr>
      </w:pPr>
    </w:p>
    <w:p>
      <w:pPr>
        <w:ind w:left="220" w:right="400"/>
        <w:spacing w:after="0" w:line="244" w:lineRule="auto"/>
        <w:rPr>
          <w:sz w:val="20"/>
          <w:szCs w:val="20"/>
          <w:color w:val="auto"/>
        </w:rPr>
      </w:pPr>
      <w:r>
        <w:rPr>
          <w:rFonts w:ascii="Arial" w:cs="Arial" w:eastAsia="Arial" w:hAnsi="Arial"/>
          <w:sz w:val="18"/>
          <w:szCs w:val="18"/>
          <w:color w:val="auto"/>
        </w:rPr>
        <w:t>Mr. Peccarelli’s target total direct compensation in the table below reflects annualized values based on his compensation following his promotion to co-Chief Operating Officer during 2018.</w:t>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1640" w:type="dxa"/>
            <w:vAlign w:val="bottom"/>
          </w:tcPr>
          <w:p>
            <w:pPr>
              <w:spacing w:after="0"/>
              <w:rPr>
                <w:sz w:val="16"/>
                <w:szCs w:val="16"/>
                <w:color w:val="auto"/>
              </w:rPr>
            </w:pPr>
          </w:p>
        </w:tc>
        <w:tc>
          <w:tcPr>
            <w:tcW w:w="40" w:type="dxa"/>
            <w:vAlign w:val="bottom"/>
            <w:tcBorders>
              <w:top w:val="single" w:sz="8" w:color="D95A3B"/>
              <w:bottom w:val="single" w:sz="8" w:color="D95A3B"/>
            </w:tcBorders>
          </w:tcPr>
          <w:p>
            <w:pPr>
              <w:spacing w:after="0"/>
              <w:rPr>
                <w:sz w:val="16"/>
                <w:szCs w:val="16"/>
                <w:color w:val="auto"/>
              </w:rPr>
            </w:pPr>
          </w:p>
        </w:tc>
        <w:tc>
          <w:tcPr>
            <w:tcW w:w="3600" w:type="dxa"/>
            <w:vAlign w:val="bottom"/>
            <w:tcBorders>
              <w:top w:val="single" w:sz="8" w:color="D95A3B"/>
              <w:bottom w:val="single" w:sz="8" w:color="D95A3B"/>
              <w:right w:val="single" w:sz="8" w:color="AFAFAF"/>
            </w:tcBorders>
            <w:gridSpan w:val="2"/>
          </w:tcPr>
          <w:p>
            <w:pPr>
              <w:jc w:val="right"/>
              <w:ind w:right="368"/>
              <w:spacing w:after="0"/>
              <w:rPr>
                <w:sz w:val="20"/>
                <w:szCs w:val="20"/>
                <w:color w:val="auto"/>
              </w:rPr>
            </w:pPr>
            <w:r>
              <w:rPr>
                <w:rFonts w:ascii="Arial" w:cs="Arial" w:eastAsia="Arial" w:hAnsi="Arial"/>
                <w:sz w:val="15"/>
                <w:szCs w:val="15"/>
                <w:b w:val="1"/>
                <w:bCs w:val="1"/>
                <w:color w:val="auto"/>
              </w:rPr>
              <w:t>Target Total Direct Compensation (2017)</w:t>
            </w:r>
          </w:p>
        </w:tc>
        <w:tc>
          <w:tcPr>
            <w:tcW w:w="3740" w:type="dxa"/>
            <w:vAlign w:val="bottom"/>
            <w:tcBorders>
              <w:top w:val="single" w:sz="8" w:color="D95A3B"/>
              <w:bottom w:val="single" w:sz="8" w:color="D95A3B"/>
              <w:right w:val="single" w:sz="8" w:color="AFAFAF"/>
            </w:tcBorders>
            <w:gridSpan w:val="2"/>
            <w:shd w:val="clear" w:color="auto" w:fill="E5E5E5"/>
          </w:tcPr>
          <w:p>
            <w:pPr>
              <w:jc w:val="right"/>
              <w:ind w:right="428"/>
              <w:spacing w:after="0"/>
              <w:rPr>
                <w:sz w:val="20"/>
                <w:szCs w:val="20"/>
                <w:color w:val="auto"/>
              </w:rPr>
            </w:pPr>
            <w:r>
              <w:rPr>
                <w:rFonts w:ascii="Arial" w:cs="Arial" w:eastAsia="Arial" w:hAnsi="Arial"/>
                <w:sz w:val="15"/>
                <w:szCs w:val="15"/>
                <w:b w:val="1"/>
                <w:bCs w:val="1"/>
                <w:color w:val="auto"/>
              </w:rPr>
              <w:t>Target Total Direct Compensation (2018)</w:t>
            </w:r>
          </w:p>
        </w:tc>
        <w:tc>
          <w:tcPr>
            <w:tcW w:w="920" w:type="dxa"/>
            <w:vAlign w:val="bottom"/>
            <w:tcBorders>
              <w:top w:val="single" w:sz="8" w:color="D95A3B"/>
              <w:bottom w:val="single" w:sz="8" w:color="D95A3B"/>
              <w:right w:val="single" w:sz="8" w:color="AFAFAF"/>
            </w:tcBorders>
            <w:shd w:val="clear" w:color="auto" w:fill="E5E5E5"/>
          </w:tcPr>
          <w:p>
            <w:pPr>
              <w:jc w:val="right"/>
              <w:ind w:right="227"/>
              <w:spacing w:after="0"/>
              <w:rPr>
                <w:sz w:val="20"/>
                <w:szCs w:val="20"/>
                <w:color w:val="auto"/>
              </w:rPr>
            </w:pPr>
            <w:r>
              <w:rPr>
                <w:rFonts w:ascii="Arial" w:cs="Arial" w:eastAsia="Arial" w:hAnsi="Arial"/>
                <w:sz w:val="15"/>
                <w:szCs w:val="15"/>
                <w:b w:val="1"/>
                <w:bCs w:val="1"/>
                <w:color w:val="auto"/>
              </w:rPr>
              <w:t>Fixed</w:t>
            </w:r>
          </w:p>
        </w:tc>
        <w:tc>
          <w:tcPr>
            <w:tcW w:w="1040" w:type="dxa"/>
            <w:vAlign w:val="bottom"/>
            <w:tcBorders>
              <w:top w:val="single" w:sz="8" w:color="D95A3B"/>
              <w:bottom w:val="single" w:sz="8" w:color="D95A3B"/>
            </w:tcBorders>
            <w:shd w:val="clear" w:color="auto" w:fill="E5E5E5"/>
          </w:tcPr>
          <w:p>
            <w:pPr>
              <w:jc w:val="right"/>
              <w:ind w:right="207"/>
              <w:spacing w:after="0"/>
              <w:rPr>
                <w:sz w:val="20"/>
                <w:szCs w:val="20"/>
                <w:color w:val="auto"/>
              </w:rPr>
            </w:pPr>
            <w:r>
              <w:rPr>
                <w:rFonts w:ascii="Arial" w:cs="Arial" w:eastAsia="Arial" w:hAnsi="Arial"/>
                <w:sz w:val="15"/>
                <w:szCs w:val="15"/>
                <w:b w:val="1"/>
                <w:bCs w:val="1"/>
                <w:color w:val="auto"/>
              </w:rPr>
              <w:t>Variable</w:t>
            </w:r>
          </w:p>
        </w:tc>
      </w:tr>
      <w:tr>
        <w:trPr>
          <w:trHeight w:val="155"/>
        </w:trPr>
        <w:tc>
          <w:tcPr>
            <w:tcW w:w="1640" w:type="dxa"/>
            <w:vAlign w:val="bottom"/>
            <w:tcBorders>
              <w:bottom w:val="single" w:sz="8" w:color="D95A3B"/>
            </w:tcBorders>
          </w:tcPr>
          <w:p>
            <w:pPr>
              <w:spacing w:after="0"/>
              <w:rPr>
                <w:sz w:val="13"/>
                <w:szCs w:val="13"/>
                <w:color w:val="auto"/>
              </w:rPr>
            </w:pPr>
          </w:p>
        </w:tc>
        <w:tc>
          <w:tcPr>
            <w:tcW w:w="40" w:type="dxa"/>
            <w:vAlign w:val="bottom"/>
            <w:tcBorders>
              <w:bottom w:val="single" w:sz="8" w:color="D95A3B"/>
            </w:tcBorders>
          </w:tcPr>
          <w:p>
            <w:pPr>
              <w:spacing w:after="0"/>
              <w:rPr>
                <w:sz w:val="13"/>
                <w:szCs w:val="13"/>
                <w:color w:val="auto"/>
              </w:rPr>
            </w:pPr>
          </w:p>
        </w:tc>
        <w:tc>
          <w:tcPr>
            <w:tcW w:w="1480" w:type="dxa"/>
            <w:vAlign w:val="bottom"/>
            <w:tcBorders>
              <w:bottom w:val="single" w:sz="8" w:color="D95A3B"/>
              <w:right w:val="single" w:sz="8" w:color="AFAFAF"/>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w:t>
            </w:r>
          </w:p>
        </w:tc>
        <w:tc>
          <w:tcPr>
            <w:tcW w:w="2120" w:type="dxa"/>
            <w:vAlign w:val="bottom"/>
            <w:tcBorders>
              <w:bottom w:val="single" w:sz="8" w:color="D95A3B"/>
              <w:right w:val="single" w:sz="8" w:color="AFAFAF"/>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 of base salary</w:t>
            </w:r>
          </w:p>
        </w:tc>
        <w:tc>
          <w:tcPr>
            <w:tcW w:w="1600" w:type="dxa"/>
            <w:vAlign w:val="bottom"/>
            <w:tcBorders>
              <w:bottom w:val="single" w:sz="8" w:color="D95A3B"/>
              <w:right w:val="single" w:sz="8" w:color="AFAFAF"/>
            </w:tcBorders>
            <w:shd w:val="clear" w:color="auto" w:fill="E5E5E5"/>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2140" w:type="dxa"/>
            <w:vAlign w:val="bottom"/>
            <w:tcBorders>
              <w:bottom w:val="single" w:sz="8" w:color="D95A3B"/>
              <w:right w:val="single" w:sz="8" w:color="AFAFAF"/>
            </w:tcBorders>
            <w:shd w:val="clear" w:color="auto" w:fill="E5E5E5"/>
          </w:tcPr>
          <w:p>
            <w:pPr>
              <w:jc w:val="right"/>
              <w:ind w:right="348"/>
              <w:spacing w:after="0" w:line="155" w:lineRule="exact"/>
              <w:rPr>
                <w:sz w:val="20"/>
                <w:szCs w:val="20"/>
                <w:color w:val="auto"/>
              </w:rPr>
            </w:pPr>
            <w:r>
              <w:rPr>
                <w:rFonts w:ascii="Arial" w:cs="Arial" w:eastAsia="Arial" w:hAnsi="Arial"/>
                <w:sz w:val="14"/>
                <w:szCs w:val="14"/>
                <w:b w:val="1"/>
                <w:bCs w:val="1"/>
                <w:color w:val="auto"/>
              </w:rPr>
              <w:t>% of base salary</w:t>
            </w:r>
          </w:p>
        </w:tc>
        <w:tc>
          <w:tcPr>
            <w:tcW w:w="920" w:type="dxa"/>
            <w:vAlign w:val="bottom"/>
            <w:tcBorders>
              <w:bottom w:val="single" w:sz="8" w:color="D95A3B"/>
              <w:right w:val="single" w:sz="8" w:color="AFAFAF"/>
            </w:tcBorders>
            <w:shd w:val="clear" w:color="auto" w:fill="E5E5E5"/>
          </w:tcPr>
          <w:p>
            <w:pPr>
              <w:spacing w:after="0"/>
              <w:rPr>
                <w:sz w:val="13"/>
                <w:szCs w:val="13"/>
                <w:color w:val="auto"/>
              </w:rPr>
            </w:pPr>
          </w:p>
        </w:tc>
        <w:tc>
          <w:tcPr>
            <w:tcW w:w="1040" w:type="dxa"/>
            <w:vAlign w:val="bottom"/>
            <w:tcBorders>
              <w:bottom w:val="single" w:sz="8" w:color="D95A3B"/>
            </w:tcBorders>
            <w:shd w:val="clear" w:color="auto" w:fill="E5E5E5"/>
          </w:tcPr>
          <w:p>
            <w:pPr>
              <w:spacing w:after="0"/>
              <w:rPr>
                <w:sz w:val="13"/>
                <w:szCs w:val="13"/>
                <w:color w:val="auto"/>
              </w:rPr>
            </w:pPr>
          </w:p>
        </w:tc>
      </w:tr>
      <w:tr>
        <w:trPr>
          <w:trHeight w:val="155"/>
        </w:trPr>
        <w:tc>
          <w:tcPr>
            <w:tcW w:w="1680" w:type="dxa"/>
            <w:vAlign w:val="bottom"/>
            <w:tcBorders>
              <w:bottom w:val="single" w:sz="8" w:color="AFAFAF"/>
              <w:right w:val="single" w:sz="8" w:color="AFAFAF"/>
            </w:tcBorders>
            <w:gridSpan w:val="2"/>
          </w:tcPr>
          <w:p>
            <w:pPr>
              <w:spacing w:after="0" w:line="155" w:lineRule="exact"/>
              <w:rPr>
                <w:sz w:val="20"/>
                <w:szCs w:val="20"/>
                <w:color w:val="auto"/>
              </w:rPr>
            </w:pPr>
            <w:r>
              <w:rPr>
                <w:rFonts w:ascii="Arial" w:cs="Arial" w:eastAsia="Arial" w:hAnsi="Arial"/>
                <w:sz w:val="14"/>
                <w:szCs w:val="14"/>
                <w:b w:val="1"/>
                <w:bCs w:val="1"/>
                <w:color w:val="auto"/>
              </w:rPr>
              <w:t>Base salary</w:t>
            </w:r>
          </w:p>
        </w:tc>
        <w:tc>
          <w:tcPr>
            <w:tcW w:w="1480" w:type="dxa"/>
            <w:vAlign w:val="bottom"/>
            <w:tcBorders>
              <w:bottom w:val="single" w:sz="8" w:color="AFAFAF"/>
              <w:right w:val="single" w:sz="8" w:color="AFAFAF"/>
            </w:tcBorders>
          </w:tcPr>
          <w:p>
            <w:pPr>
              <w:jc w:val="right"/>
              <w:ind w:right="108"/>
              <w:spacing w:after="0" w:line="155" w:lineRule="exact"/>
              <w:rPr>
                <w:sz w:val="20"/>
                <w:szCs w:val="20"/>
                <w:color w:val="auto"/>
              </w:rPr>
            </w:pPr>
            <w:r>
              <w:rPr>
                <w:rFonts w:ascii="Arial" w:cs="Arial" w:eastAsia="Arial" w:hAnsi="Arial"/>
                <w:sz w:val="14"/>
                <w:szCs w:val="14"/>
                <w:color w:val="auto"/>
              </w:rPr>
              <w:t>$630,000</w:t>
            </w:r>
          </w:p>
        </w:tc>
        <w:tc>
          <w:tcPr>
            <w:tcW w:w="2120" w:type="dxa"/>
            <w:vAlign w:val="bottom"/>
            <w:tcBorders>
              <w:bottom w:val="single" w:sz="8" w:color="AFAFAF"/>
              <w:right w:val="single" w:sz="8" w:color="AFAFAF"/>
            </w:tcBorders>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FAFAF"/>
              <w:right w:val="single" w:sz="8" w:color="AFAFAF"/>
            </w:tcBorders>
            <w:shd w:val="clear" w:color="auto" w:fill="E5E5E5"/>
          </w:tcPr>
          <w:p>
            <w:pPr>
              <w:jc w:val="right"/>
              <w:ind w:right="148"/>
              <w:spacing w:after="0" w:line="155" w:lineRule="exact"/>
              <w:rPr>
                <w:sz w:val="20"/>
                <w:szCs w:val="20"/>
                <w:color w:val="auto"/>
              </w:rPr>
            </w:pPr>
            <w:r>
              <w:rPr>
                <w:rFonts w:ascii="Arial" w:cs="Arial" w:eastAsia="Arial" w:hAnsi="Arial"/>
                <w:sz w:val="14"/>
                <w:szCs w:val="14"/>
                <w:color w:val="auto"/>
              </w:rPr>
              <w:t>$750,000</w:t>
            </w:r>
          </w:p>
        </w:tc>
        <w:tc>
          <w:tcPr>
            <w:tcW w:w="2140" w:type="dxa"/>
            <w:vAlign w:val="bottom"/>
            <w:tcBorders>
              <w:bottom w:val="single" w:sz="8" w:color="AFAFAF"/>
              <w:right w:val="single" w:sz="8" w:color="AFAFAF"/>
            </w:tcBorders>
            <w:shd w:val="clear" w:color="auto" w:fill="E5E5E5"/>
          </w:tcPr>
          <w:p>
            <w:pPr>
              <w:jc w:val="right"/>
              <w:ind w:right="34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FAFAF"/>
              <w:right w:val="single" w:sz="8" w:color="AFAFAF"/>
            </w:tcBorders>
            <w:shd w:val="clear" w:color="auto" w:fill="E5E5E5"/>
          </w:tcPr>
          <w:p>
            <w:pPr>
              <w:jc w:val="right"/>
              <w:ind w:right="107"/>
              <w:spacing w:after="0" w:line="155" w:lineRule="exact"/>
              <w:rPr>
                <w:sz w:val="20"/>
                <w:szCs w:val="20"/>
                <w:color w:val="auto"/>
              </w:rPr>
            </w:pPr>
            <w:r>
              <w:rPr>
                <w:rFonts w:ascii="Arial" w:cs="Arial" w:eastAsia="Arial" w:hAnsi="Arial"/>
                <w:sz w:val="14"/>
                <w:szCs w:val="14"/>
                <w:color w:val="auto"/>
              </w:rPr>
              <w:t>27%</w:t>
            </w:r>
          </w:p>
        </w:tc>
        <w:tc>
          <w:tcPr>
            <w:tcW w:w="1040" w:type="dxa"/>
            <w:vAlign w:val="bottom"/>
            <w:tcBorders>
              <w:bottom w:val="single" w:sz="8" w:color="AFAFAF"/>
            </w:tcBorders>
            <w:shd w:val="clear" w:color="auto" w:fill="E5E5E5"/>
          </w:tcPr>
          <w:p>
            <w:pPr>
              <w:jc w:val="right"/>
              <w:ind w:right="207"/>
              <w:spacing w:after="0" w:line="155" w:lineRule="exact"/>
              <w:rPr>
                <w:sz w:val="20"/>
                <w:szCs w:val="20"/>
                <w:color w:val="auto"/>
              </w:rPr>
            </w:pPr>
            <w:r>
              <w:rPr>
                <w:rFonts w:ascii="Arial" w:cs="Arial" w:eastAsia="Arial" w:hAnsi="Arial"/>
                <w:sz w:val="14"/>
                <w:szCs w:val="14"/>
                <w:color w:val="auto"/>
              </w:rPr>
              <w:t>–</w:t>
            </w:r>
          </w:p>
        </w:tc>
      </w:tr>
      <w:tr>
        <w:trPr>
          <w:trHeight w:val="155"/>
        </w:trPr>
        <w:tc>
          <w:tcPr>
            <w:tcW w:w="1680" w:type="dxa"/>
            <w:vAlign w:val="bottom"/>
            <w:tcBorders>
              <w:bottom w:val="single" w:sz="8" w:color="AFAFAF"/>
              <w:right w:val="single" w:sz="8" w:color="AFAFAF"/>
            </w:tcBorders>
            <w:gridSpan w:val="2"/>
          </w:tcPr>
          <w:p>
            <w:pPr>
              <w:spacing w:after="0" w:line="155" w:lineRule="exact"/>
              <w:rPr>
                <w:sz w:val="20"/>
                <w:szCs w:val="20"/>
                <w:color w:val="auto"/>
              </w:rPr>
            </w:pPr>
            <w:r>
              <w:rPr>
                <w:rFonts w:ascii="Arial" w:cs="Arial" w:eastAsia="Arial" w:hAnsi="Arial"/>
                <w:sz w:val="14"/>
                <w:szCs w:val="14"/>
                <w:b w:val="1"/>
                <w:bCs w:val="1"/>
                <w:color w:val="auto"/>
              </w:rPr>
              <w:t>Annual incentive award</w:t>
            </w:r>
          </w:p>
        </w:tc>
        <w:tc>
          <w:tcPr>
            <w:tcW w:w="1480" w:type="dxa"/>
            <w:vAlign w:val="bottom"/>
            <w:tcBorders>
              <w:bottom w:val="single" w:sz="8" w:color="AFAFAF"/>
              <w:right w:val="single" w:sz="8" w:color="AFAFAF"/>
            </w:tcBorders>
          </w:tcPr>
          <w:p>
            <w:pPr>
              <w:jc w:val="right"/>
              <w:ind w:right="108"/>
              <w:spacing w:after="0" w:line="155" w:lineRule="exact"/>
              <w:rPr>
                <w:sz w:val="20"/>
                <w:szCs w:val="20"/>
                <w:color w:val="auto"/>
              </w:rPr>
            </w:pPr>
            <w:r>
              <w:rPr>
                <w:rFonts w:ascii="Arial" w:cs="Arial" w:eastAsia="Arial" w:hAnsi="Arial"/>
                <w:sz w:val="14"/>
                <w:szCs w:val="14"/>
                <w:color w:val="auto"/>
              </w:rPr>
              <w:t>$787,500</w:t>
            </w:r>
          </w:p>
        </w:tc>
        <w:tc>
          <w:tcPr>
            <w:tcW w:w="212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125%</w:t>
            </w:r>
          </w:p>
        </w:tc>
        <w:tc>
          <w:tcPr>
            <w:tcW w:w="1600" w:type="dxa"/>
            <w:vAlign w:val="bottom"/>
            <w:tcBorders>
              <w:bottom w:val="single" w:sz="8" w:color="AFAFAF"/>
              <w:right w:val="single" w:sz="8" w:color="AFAFAF"/>
            </w:tcBorders>
            <w:shd w:val="clear" w:color="auto" w:fill="E5E5E5"/>
          </w:tcPr>
          <w:p>
            <w:pPr>
              <w:jc w:val="right"/>
              <w:ind w:right="148"/>
              <w:spacing w:after="0" w:line="155" w:lineRule="exact"/>
              <w:rPr>
                <w:sz w:val="20"/>
                <w:szCs w:val="20"/>
                <w:color w:val="auto"/>
              </w:rPr>
            </w:pPr>
            <w:r>
              <w:rPr>
                <w:rFonts w:ascii="Arial" w:cs="Arial" w:eastAsia="Arial" w:hAnsi="Arial"/>
                <w:sz w:val="14"/>
                <w:szCs w:val="14"/>
                <w:color w:val="auto"/>
              </w:rPr>
              <w:t>$937,500</w:t>
            </w:r>
          </w:p>
        </w:tc>
        <w:tc>
          <w:tcPr>
            <w:tcW w:w="2140" w:type="dxa"/>
            <w:vAlign w:val="bottom"/>
            <w:tcBorders>
              <w:bottom w:val="single" w:sz="8" w:color="AFAFAF"/>
              <w:right w:val="single" w:sz="8" w:color="AFAFAF"/>
            </w:tcBorders>
            <w:shd w:val="clear" w:color="auto" w:fill="E5E5E5"/>
          </w:tcPr>
          <w:p>
            <w:pPr>
              <w:jc w:val="right"/>
              <w:ind w:right="208"/>
              <w:spacing w:after="0" w:line="155" w:lineRule="exact"/>
              <w:rPr>
                <w:sz w:val="20"/>
                <w:szCs w:val="20"/>
                <w:color w:val="auto"/>
              </w:rPr>
            </w:pPr>
            <w:r>
              <w:rPr>
                <w:rFonts w:ascii="Arial" w:cs="Arial" w:eastAsia="Arial" w:hAnsi="Arial"/>
                <w:sz w:val="14"/>
                <w:szCs w:val="14"/>
                <w:color w:val="auto"/>
              </w:rPr>
              <w:t>125%</w:t>
            </w:r>
          </w:p>
        </w:tc>
        <w:tc>
          <w:tcPr>
            <w:tcW w:w="920" w:type="dxa"/>
            <w:vAlign w:val="bottom"/>
            <w:tcBorders>
              <w:bottom w:val="single" w:sz="8" w:color="AFAFAF"/>
              <w:right w:val="single" w:sz="8" w:color="AFAFAF"/>
            </w:tcBorders>
            <w:shd w:val="clear" w:color="auto" w:fill="E5E5E5"/>
          </w:tcPr>
          <w:p>
            <w:pPr>
              <w:jc w:val="right"/>
              <w:ind w:right="227"/>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FAFAF"/>
            </w:tcBorders>
            <w:shd w:val="clear" w:color="auto" w:fill="E5E5E5"/>
          </w:tcPr>
          <w:p>
            <w:pPr>
              <w:jc w:val="right"/>
              <w:ind w:right="67"/>
              <w:spacing w:after="0" w:line="155" w:lineRule="exact"/>
              <w:rPr>
                <w:sz w:val="20"/>
                <w:szCs w:val="20"/>
                <w:color w:val="auto"/>
              </w:rPr>
            </w:pPr>
            <w:r>
              <w:rPr>
                <w:rFonts w:ascii="Arial" w:cs="Arial" w:eastAsia="Arial" w:hAnsi="Arial"/>
                <w:sz w:val="14"/>
                <w:szCs w:val="14"/>
                <w:color w:val="auto"/>
              </w:rPr>
              <w:t>33%</w:t>
            </w:r>
          </w:p>
        </w:tc>
      </w:tr>
      <w:tr>
        <w:trPr>
          <w:trHeight w:val="142"/>
        </w:trPr>
        <w:tc>
          <w:tcPr>
            <w:tcW w:w="1680" w:type="dxa"/>
            <w:vAlign w:val="bottom"/>
            <w:tcBorders>
              <w:right w:val="single" w:sz="8" w:color="AFAFAF"/>
            </w:tcBorders>
            <w:gridSpan w:val="2"/>
          </w:tcPr>
          <w:p>
            <w:pPr>
              <w:spacing w:after="0" w:line="142" w:lineRule="exact"/>
              <w:rPr>
                <w:sz w:val="20"/>
                <w:szCs w:val="20"/>
                <w:color w:val="auto"/>
              </w:rPr>
            </w:pPr>
            <w:r>
              <w:rPr>
                <w:rFonts w:ascii="Arial" w:cs="Arial" w:eastAsia="Arial" w:hAnsi="Arial"/>
                <w:sz w:val="14"/>
                <w:szCs w:val="14"/>
                <w:b w:val="1"/>
                <w:bCs w:val="1"/>
                <w:color w:val="auto"/>
              </w:rPr>
              <w:t>Long-term incentive</w:t>
            </w:r>
          </w:p>
        </w:tc>
        <w:tc>
          <w:tcPr>
            <w:tcW w:w="1480" w:type="dxa"/>
            <w:vAlign w:val="bottom"/>
            <w:tcBorders>
              <w:right w:val="single" w:sz="8" w:color="AFAFAF"/>
            </w:tcBorders>
          </w:tcPr>
          <w:p>
            <w:pPr>
              <w:spacing w:after="0"/>
              <w:rPr>
                <w:sz w:val="12"/>
                <w:szCs w:val="12"/>
                <w:color w:val="auto"/>
              </w:rPr>
            </w:pPr>
          </w:p>
        </w:tc>
        <w:tc>
          <w:tcPr>
            <w:tcW w:w="2120" w:type="dxa"/>
            <w:vAlign w:val="bottom"/>
            <w:tcBorders>
              <w:right w:val="single" w:sz="8" w:color="AFAFAF"/>
            </w:tcBorders>
          </w:tcPr>
          <w:p>
            <w:pPr>
              <w:spacing w:after="0"/>
              <w:rPr>
                <w:sz w:val="12"/>
                <w:szCs w:val="12"/>
                <w:color w:val="auto"/>
              </w:rPr>
            </w:pPr>
          </w:p>
        </w:tc>
        <w:tc>
          <w:tcPr>
            <w:tcW w:w="1600" w:type="dxa"/>
            <w:vAlign w:val="bottom"/>
            <w:tcBorders>
              <w:right w:val="single" w:sz="8" w:color="AFAFAF"/>
            </w:tcBorders>
            <w:shd w:val="clear" w:color="auto" w:fill="E5E5E5"/>
          </w:tcPr>
          <w:p>
            <w:pPr>
              <w:spacing w:after="0"/>
              <w:rPr>
                <w:sz w:val="12"/>
                <w:szCs w:val="12"/>
                <w:color w:val="auto"/>
              </w:rPr>
            </w:pPr>
          </w:p>
        </w:tc>
        <w:tc>
          <w:tcPr>
            <w:tcW w:w="2140" w:type="dxa"/>
            <w:vAlign w:val="bottom"/>
            <w:tcBorders>
              <w:right w:val="single" w:sz="8" w:color="AFAFAF"/>
            </w:tcBorders>
            <w:shd w:val="clear" w:color="auto" w:fill="E5E5E5"/>
          </w:tcPr>
          <w:p>
            <w:pPr>
              <w:spacing w:after="0"/>
              <w:rPr>
                <w:sz w:val="12"/>
                <w:szCs w:val="12"/>
                <w:color w:val="auto"/>
              </w:rPr>
            </w:pPr>
          </w:p>
        </w:tc>
        <w:tc>
          <w:tcPr>
            <w:tcW w:w="920" w:type="dxa"/>
            <w:vAlign w:val="bottom"/>
            <w:tcBorders>
              <w:right w:val="single" w:sz="8" w:color="AFAFAF"/>
            </w:tcBorders>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r>
      <w:tr>
        <w:trPr>
          <w:trHeight w:val="175"/>
        </w:trPr>
        <w:tc>
          <w:tcPr>
            <w:tcW w:w="1680" w:type="dxa"/>
            <w:vAlign w:val="bottom"/>
            <w:tcBorders>
              <w:bottom w:val="single" w:sz="8" w:color="D95A3B"/>
              <w:right w:val="single" w:sz="8" w:color="AFAFAF"/>
            </w:tcBorders>
            <w:gridSpan w:val="2"/>
          </w:tcPr>
          <w:p>
            <w:pPr>
              <w:ind w:left="140"/>
              <w:spacing w:after="0"/>
              <w:rPr>
                <w:sz w:val="20"/>
                <w:szCs w:val="20"/>
                <w:color w:val="auto"/>
              </w:rPr>
            </w:pPr>
            <w:r>
              <w:rPr>
                <w:rFonts w:ascii="Arial" w:cs="Arial" w:eastAsia="Arial" w:hAnsi="Arial"/>
                <w:sz w:val="14"/>
                <w:szCs w:val="14"/>
                <w:b w:val="1"/>
                <w:bCs w:val="1"/>
                <w:color w:val="auto"/>
              </w:rPr>
              <w:t>awards</w:t>
            </w:r>
          </w:p>
        </w:tc>
        <w:tc>
          <w:tcPr>
            <w:tcW w:w="1480" w:type="dxa"/>
            <w:vAlign w:val="bottom"/>
            <w:tcBorders>
              <w:bottom w:val="single" w:sz="8" w:color="D95A3B"/>
              <w:right w:val="single" w:sz="8" w:color="AFAFAF"/>
            </w:tcBorders>
          </w:tcPr>
          <w:p>
            <w:pPr>
              <w:jc w:val="right"/>
              <w:ind w:right="108"/>
              <w:spacing w:after="0"/>
              <w:rPr>
                <w:sz w:val="20"/>
                <w:szCs w:val="20"/>
                <w:color w:val="auto"/>
              </w:rPr>
            </w:pPr>
            <w:r>
              <w:rPr>
                <w:rFonts w:ascii="Arial" w:cs="Arial" w:eastAsia="Arial" w:hAnsi="Arial"/>
                <w:sz w:val="14"/>
                <w:szCs w:val="14"/>
                <w:color w:val="auto"/>
              </w:rPr>
              <w:t>$630,000</w:t>
            </w:r>
          </w:p>
        </w:tc>
        <w:tc>
          <w:tcPr>
            <w:tcW w:w="2120" w:type="dxa"/>
            <w:vAlign w:val="bottom"/>
            <w:tcBorders>
              <w:bottom w:val="single" w:sz="8" w:color="D95A3B"/>
              <w:right w:val="single" w:sz="8" w:color="AFAFAF"/>
            </w:tcBorders>
          </w:tcPr>
          <w:p>
            <w:pPr>
              <w:jc w:val="right"/>
              <w:ind w:right="168"/>
              <w:spacing w:after="0"/>
              <w:rPr>
                <w:sz w:val="20"/>
                <w:szCs w:val="20"/>
                <w:color w:val="auto"/>
              </w:rPr>
            </w:pPr>
            <w:r>
              <w:rPr>
                <w:rFonts w:ascii="Arial" w:cs="Arial" w:eastAsia="Arial" w:hAnsi="Arial"/>
                <w:sz w:val="14"/>
                <w:szCs w:val="14"/>
                <w:color w:val="auto"/>
              </w:rPr>
              <w:t>100%</w:t>
            </w:r>
          </w:p>
        </w:tc>
        <w:tc>
          <w:tcPr>
            <w:tcW w:w="1600" w:type="dxa"/>
            <w:vAlign w:val="bottom"/>
            <w:tcBorders>
              <w:bottom w:val="single" w:sz="8" w:color="D95A3B"/>
              <w:right w:val="single" w:sz="8" w:color="AFAFAF"/>
            </w:tcBorders>
            <w:shd w:val="clear" w:color="auto" w:fill="E5E5E5"/>
          </w:tcPr>
          <w:p>
            <w:pPr>
              <w:jc w:val="right"/>
              <w:ind w:right="148"/>
              <w:spacing w:after="0"/>
              <w:rPr>
                <w:sz w:val="20"/>
                <w:szCs w:val="20"/>
                <w:color w:val="auto"/>
              </w:rPr>
            </w:pPr>
            <w:r>
              <w:rPr>
                <w:rFonts w:ascii="Arial" w:cs="Arial" w:eastAsia="Arial" w:hAnsi="Arial"/>
                <w:sz w:val="14"/>
                <w:szCs w:val="14"/>
                <w:color w:val="auto"/>
              </w:rPr>
              <w:t>$1,125,000</w:t>
            </w:r>
          </w:p>
        </w:tc>
        <w:tc>
          <w:tcPr>
            <w:tcW w:w="2140" w:type="dxa"/>
            <w:vAlign w:val="bottom"/>
            <w:tcBorders>
              <w:bottom w:val="single" w:sz="8" w:color="D95A3B"/>
              <w:right w:val="single" w:sz="8" w:color="AFAFAF"/>
            </w:tcBorders>
            <w:shd w:val="clear" w:color="auto" w:fill="E5E5E5"/>
          </w:tcPr>
          <w:p>
            <w:pPr>
              <w:jc w:val="right"/>
              <w:ind w:right="208"/>
              <w:spacing w:after="0"/>
              <w:rPr>
                <w:sz w:val="20"/>
                <w:szCs w:val="20"/>
                <w:color w:val="auto"/>
              </w:rPr>
            </w:pPr>
            <w:r>
              <w:rPr>
                <w:rFonts w:ascii="Arial" w:cs="Arial" w:eastAsia="Arial" w:hAnsi="Arial"/>
                <w:sz w:val="14"/>
                <w:szCs w:val="14"/>
                <w:color w:val="auto"/>
              </w:rPr>
              <w:t>150%</w:t>
            </w:r>
          </w:p>
        </w:tc>
        <w:tc>
          <w:tcPr>
            <w:tcW w:w="920" w:type="dxa"/>
            <w:vAlign w:val="bottom"/>
            <w:tcBorders>
              <w:bottom w:val="single" w:sz="8" w:color="D95A3B"/>
              <w:right w:val="single" w:sz="8" w:color="AFAFAF"/>
            </w:tcBorders>
            <w:shd w:val="clear" w:color="auto" w:fill="E5E5E5"/>
          </w:tcPr>
          <w:p>
            <w:pPr>
              <w:jc w:val="right"/>
              <w:ind w:right="227"/>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95A3B"/>
            </w:tcBorders>
            <w:shd w:val="clear" w:color="auto" w:fill="E5E5E5"/>
          </w:tcPr>
          <w:p>
            <w:pPr>
              <w:jc w:val="right"/>
              <w:ind w:right="67"/>
              <w:spacing w:after="0"/>
              <w:rPr>
                <w:sz w:val="20"/>
                <w:szCs w:val="20"/>
                <w:color w:val="auto"/>
              </w:rPr>
            </w:pPr>
            <w:r>
              <w:rPr>
                <w:rFonts w:ascii="Arial" w:cs="Arial" w:eastAsia="Arial" w:hAnsi="Arial"/>
                <w:sz w:val="14"/>
                <w:szCs w:val="14"/>
                <w:color w:val="auto"/>
              </w:rPr>
              <w:t>40%</w:t>
            </w:r>
          </w:p>
        </w:tc>
      </w:tr>
      <w:tr>
        <w:trPr>
          <w:trHeight w:val="155"/>
        </w:trPr>
        <w:tc>
          <w:tcPr>
            <w:tcW w:w="1680" w:type="dxa"/>
            <w:vAlign w:val="bottom"/>
            <w:tcBorders>
              <w:bottom w:val="single" w:sz="8" w:color="D95A3B"/>
              <w:right w:val="single" w:sz="8" w:color="AFAFAF"/>
            </w:tcBorders>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D95A3B"/>
              <w:right w:val="single" w:sz="8" w:color="AFAFAF"/>
            </w:tcBorders>
          </w:tcPr>
          <w:p>
            <w:pPr>
              <w:jc w:val="right"/>
              <w:ind w:right="108"/>
              <w:spacing w:after="0" w:line="155" w:lineRule="exact"/>
              <w:rPr>
                <w:sz w:val="20"/>
                <w:szCs w:val="20"/>
                <w:color w:val="auto"/>
              </w:rPr>
            </w:pPr>
            <w:r>
              <w:rPr>
                <w:rFonts w:ascii="Arial" w:cs="Arial" w:eastAsia="Arial" w:hAnsi="Arial"/>
                <w:sz w:val="14"/>
                <w:szCs w:val="14"/>
                <w:color w:val="auto"/>
              </w:rPr>
              <w:t>$2,047,500</w:t>
            </w:r>
          </w:p>
        </w:tc>
        <w:tc>
          <w:tcPr>
            <w:tcW w:w="2120" w:type="dxa"/>
            <w:vAlign w:val="bottom"/>
            <w:tcBorders>
              <w:bottom w:val="single" w:sz="8" w:color="D95A3B"/>
              <w:right w:val="single" w:sz="8" w:color="AFAFAF"/>
            </w:tcBorders>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D95A3B"/>
              <w:right w:val="single" w:sz="8" w:color="AFAFAF"/>
            </w:tcBorders>
            <w:shd w:val="clear" w:color="auto" w:fill="E5E5E5"/>
          </w:tcPr>
          <w:p>
            <w:pPr>
              <w:jc w:val="right"/>
              <w:ind w:right="148"/>
              <w:spacing w:after="0" w:line="155" w:lineRule="exact"/>
              <w:rPr>
                <w:sz w:val="20"/>
                <w:szCs w:val="20"/>
                <w:color w:val="auto"/>
              </w:rPr>
            </w:pPr>
            <w:r>
              <w:rPr>
                <w:rFonts w:ascii="Arial" w:cs="Arial" w:eastAsia="Arial" w:hAnsi="Arial"/>
                <w:sz w:val="14"/>
                <w:szCs w:val="14"/>
                <w:color w:val="auto"/>
              </w:rPr>
              <w:t>$2,812,500</w:t>
            </w:r>
          </w:p>
        </w:tc>
        <w:tc>
          <w:tcPr>
            <w:tcW w:w="2140" w:type="dxa"/>
            <w:vAlign w:val="bottom"/>
            <w:tcBorders>
              <w:bottom w:val="single" w:sz="8" w:color="D95A3B"/>
              <w:right w:val="single" w:sz="8" w:color="AFAFAF"/>
            </w:tcBorders>
            <w:shd w:val="clear" w:color="auto" w:fill="E5E5E5"/>
          </w:tcPr>
          <w:p>
            <w:pPr>
              <w:jc w:val="right"/>
              <w:ind w:right="34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D95A3B"/>
              <w:right w:val="single" w:sz="8" w:color="AFAFAF"/>
            </w:tcBorders>
            <w:shd w:val="clear" w:color="auto" w:fill="E5E5E5"/>
          </w:tcPr>
          <w:p>
            <w:pPr>
              <w:jc w:val="right"/>
              <w:ind w:right="107"/>
              <w:spacing w:after="0" w:line="155" w:lineRule="exact"/>
              <w:rPr>
                <w:sz w:val="20"/>
                <w:szCs w:val="20"/>
                <w:color w:val="auto"/>
              </w:rPr>
            </w:pPr>
            <w:r>
              <w:rPr>
                <w:rFonts w:ascii="Arial" w:cs="Arial" w:eastAsia="Arial" w:hAnsi="Arial"/>
                <w:sz w:val="14"/>
                <w:szCs w:val="14"/>
                <w:color w:val="auto"/>
              </w:rPr>
              <w:t>27%</w:t>
            </w:r>
          </w:p>
        </w:tc>
        <w:tc>
          <w:tcPr>
            <w:tcW w:w="1040" w:type="dxa"/>
            <w:vAlign w:val="bottom"/>
            <w:tcBorders>
              <w:bottom w:val="single" w:sz="8" w:color="D95A3B"/>
            </w:tcBorders>
            <w:shd w:val="clear" w:color="auto" w:fill="E5E5E5"/>
          </w:tcPr>
          <w:p>
            <w:pPr>
              <w:jc w:val="right"/>
              <w:ind w:right="67"/>
              <w:spacing w:after="0" w:line="155" w:lineRule="exact"/>
              <w:rPr>
                <w:sz w:val="20"/>
                <w:szCs w:val="20"/>
                <w:color w:val="auto"/>
              </w:rPr>
            </w:pPr>
            <w:r>
              <w:rPr>
                <w:rFonts w:ascii="Arial" w:cs="Arial" w:eastAsia="Arial" w:hAnsi="Arial"/>
                <w:sz w:val="14"/>
                <w:szCs w:val="14"/>
                <w:color w:val="auto"/>
              </w:rPr>
              <w:t>73%</w:t>
            </w:r>
          </w:p>
        </w:tc>
      </w:tr>
    </w:tbl>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Mr. Peccarelli’s base salary was increased in 2018 in connection with his promotion to co-Chief Operating Officer.</w:t>
      </w:r>
    </w:p>
    <w:p>
      <w:pPr>
        <w:spacing w:after="0" w:line="103" w:lineRule="exact"/>
        <w:rPr>
          <w:sz w:val="20"/>
          <w:szCs w:val="20"/>
          <w:color w:val="auto"/>
        </w:rPr>
      </w:pPr>
    </w:p>
    <w:p>
      <w:pPr>
        <w:ind w:left="220" w:right="300"/>
        <w:spacing w:after="0" w:line="246" w:lineRule="auto"/>
        <w:rPr>
          <w:sz w:val="20"/>
          <w:szCs w:val="20"/>
          <w:color w:val="auto"/>
        </w:rPr>
      </w:pPr>
      <w:r>
        <w:rPr>
          <w:rFonts w:ascii="Arial" w:cs="Arial" w:eastAsia="Arial" w:hAnsi="Arial"/>
          <w:sz w:val="18"/>
          <w:szCs w:val="18"/>
          <w:b w:val="1"/>
          <w:bCs w:val="1"/>
          <w:color w:val="auto"/>
        </w:rPr>
        <w:t xml:space="preserve">Annual incentive award: </w:t>
      </w:r>
      <w:r>
        <w:rPr>
          <w:rFonts w:ascii="Arial" w:cs="Arial" w:eastAsia="Arial" w:hAnsi="Arial"/>
          <w:sz w:val="18"/>
          <w:szCs w:val="18"/>
          <w:color w:val="auto"/>
        </w:rPr>
        <w:t>Mr. Peccarelli was granted a 2018 annual incentive award based 100% on our company’s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the F&amp;R business). This award had a payout of approximately 134% of target based on financial performance. Based on his 2018 individual performance against strategic objectives, the HR Committee increased Mr. Peccarelli’s payout by 5% to approximately 141% of target.</w:t>
      </w:r>
    </w:p>
    <w:p>
      <w:pPr>
        <w:spacing w:after="0" w:line="67" w:lineRule="exact"/>
        <w:rPr>
          <w:sz w:val="20"/>
          <w:szCs w:val="20"/>
          <w:color w:val="auto"/>
        </w:rPr>
      </w:pPr>
    </w:p>
    <w:p>
      <w:pPr>
        <w:ind w:left="220"/>
        <w:spacing w:after="0" w:line="241" w:lineRule="auto"/>
        <w:rPr>
          <w:sz w:val="20"/>
          <w:szCs w:val="20"/>
          <w:color w:val="auto"/>
        </w:rPr>
      </w:pPr>
      <w:r>
        <w:rPr>
          <w:rFonts w:ascii="Arial" w:cs="Arial" w:eastAsia="Arial" w:hAnsi="Arial"/>
          <w:sz w:val="18"/>
          <w:szCs w:val="18"/>
          <w:b w:val="1"/>
          <w:bCs w:val="1"/>
          <w:color w:val="auto"/>
        </w:rPr>
        <w:t xml:space="preserve">Long-term incentive awards: </w:t>
      </w:r>
      <w:r>
        <w:rPr>
          <w:rFonts w:ascii="Arial" w:cs="Arial" w:eastAsia="Arial" w:hAnsi="Arial"/>
          <w:sz w:val="18"/>
          <w:szCs w:val="18"/>
          <w:color w:val="auto"/>
        </w:rPr>
        <w:t>Mr. Peccarelli’s target long-term incentive award was increased from 100% to 150% of his base salary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his promotion. Mr. Peccarelli’s 2018 award grant (based on 2017 performance) had a grant date value of $1,125,000, split between 50% TRSUs and 50% stock options. TRSUs granted in 2018 will fully vest in March 2021, and stock options granted in 2018 will vest 25% each year over a four-year period. Mr. Peccarelli’s 2019 award grant (based on 2018 performance) also had a grant date value of $1,125,000, split between 50% PRSUs, 25% TRSUs and 25% stock options. PRSUs and TRSUs granted in 2019 will fully vest in March 2022, and stock options granted in 2019 will vest 25% each year over a four-year period.</w:t>
      </w:r>
    </w:p>
    <w:p>
      <w:pPr>
        <w:spacing w:after="0" w:line="72" w:lineRule="exact"/>
        <w:rPr>
          <w:sz w:val="20"/>
          <w:szCs w:val="20"/>
          <w:color w:val="auto"/>
        </w:rPr>
      </w:pPr>
    </w:p>
    <w:p>
      <w:pPr>
        <w:ind w:left="220" w:right="160"/>
        <w:spacing w:after="0" w:line="252" w:lineRule="auto"/>
        <w:rPr>
          <w:sz w:val="20"/>
          <w:szCs w:val="20"/>
          <w:color w:val="auto"/>
        </w:rPr>
      </w:pPr>
      <w:r>
        <w:rPr>
          <w:rFonts w:ascii="Arial" w:cs="Arial" w:eastAsia="Arial" w:hAnsi="Arial"/>
          <w:sz w:val="18"/>
          <w:szCs w:val="18"/>
          <w:b w:val="1"/>
          <w:bCs w:val="1"/>
          <w:color w:val="auto"/>
        </w:rPr>
        <w:t xml:space="preserve">Special award: </w:t>
      </w:r>
      <w:r>
        <w:rPr>
          <w:rFonts w:ascii="Arial" w:cs="Arial" w:eastAsia="Arial" w:hAnsi="Arial"/>
          <w:sz w:val="18"/>
          <w:szCs w:val="18"/>
          <w:color w:val="auto"/>
        </w:rPr>
        <w:t>In 2018, we granted Mr. Peccarelli 100,000 TRSUs in connection with his promotion. As these TRSUs are not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Mr. Peccarelli’s regular annual compensation, they are not reflected in the table above. Mr. Peccarelli’s special award of TRSUs vests on the fifth anniversary of the grant date in 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113030</wp:posOffset>
            </wp:positionV>
            <wp:extent cx="697357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19"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64</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D95A3B"/>
        </w:rPr>
        <w:t>Neil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-88265</wp:posOffset>
            </wp:positionV>
            <wp:extent cx="1367155" cy="13589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67155" cy="1358900"/>
                    </a:xfrm>
                    <a:prstGeom prst="rect">
                      <a:avLst/>
                    </a:prstGeom>
                    <a:noFill/>
                  </pic:spPr>
                </pic:pic>
              </a:graphicData>
            </a:graphic>
          </wp:anchor>
        </w:drawing>
      </w:r>
    </w:p>
    <w:p>
      <w:pPr>
        <w:ind w:left="2860"/>
        <w:spacing w:after="0"/>
        <w:rPr>
          <w:sz w:val="20"/>
          <w:szCs w:val="20"/>
          <w:color w:val="auto"/>
        </w:rPr>
      </w:pPr>
      <w:r>
        <w:rPr>
          <w:rFonts w:ascii="Arial" w:cs="Arial" w:eastAsia="Arial" w:hAnsi="Arial"/>
          <w:sz w:val="22"/>
          <w:szCs w:val="22"/>
          <w:color w:val="D95A3B"/>
        </w:rPr>
        <w:t>Executive Vice President and Chief Operating Officer, Operations &amp; Enablement</w:t>
      </w:r>
    </w:p>
    <w:p>
      <w:pPr>
        <w:spacing w:after="0" w:line="116" w:lineRule="exact"/>
        <w:rPr>
          <w:sz w:val="20"/>
          <w:szCs w:val="20"/>
          <w:color w:val="auto"/>
        </w:rPr>
      </w:pPr>
    </w:p>
    <w:p>
      <w:pPr>
        <w:ind w:left="2860" w:right="40"/>
        <w:spacing w:after="0" w:line="236" w:lineRule="auto"/>
        <w:rPr>
          <w:sz w:val="20"/>
          <w:szCs w:val="20"/>
          <w:color w:val="auto"/>
        </w:rPr>
      </w:pPr>
      <w:r>
        <w:rPr>
          <w:rFonts w:ascii="Arial" w:cs="Arial" w:eastAsia="Arial" w:hAnsi="Arial"/>
          <w:sz w:val="18"/>
          <w:szCs w:val="18"/>
          <w:color w:val="auto"/>
        </w:rPr>
        <w:t>Mr. Masterson has been Chief Operating Officer, Operations &amp; Enablement since June 2018. Prior to June 2018, Mr. Masterson was Executive Vice President &amp; Chief Transformation Officer for five years and also led the former Enterprise Technology &amp; Operations organization for two years. Mr. Masterson joined Thomson in 2002 and has held a number of key leadership positions within the organization, including Managing Director of the Investor segment of F&amp;R and Vice President, Treasury and Corporate Planning for Thomson Reuters. Prior to joining Thomson, Mr. Masterson spent two years at Reuters as Senior Vice President of Business Development.</w:t>
      </w:r>
    </w:p>
    <w:p>
      <w:pPr>
        <w:spacing w:after="0" w:line="30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2018 performance</w:t>
      </w:r>
    </w:p>
    <w:p>
      <w:pPr>
        <w:spacing w:after="0" w:line="35" w:lineRule="exact"/>
        <w:rPr>
          <w:sz w:val="20"/>
          <w:szCs w:val="20"/>
          <w:color w:val="auto"/>
        </w:rPr>
      </w:pPr>
    </w:p>
    <w:p>
      <w:pPr>
        <w:ind w:left="220" w:right="160"/>
        <w:spacing w:after="0" w:line="260" w:lineRule="auto"/>
        <w:rPr>
          <w:sz w:val="20"/>
          <w:szCs w:val="20"/>
          <w:color w:val="auto"/>
        </w:rPr>
      </w:pPr>
      <w:r>
        <w:rPr>
          <w:rFonts w:ascii="Arial" w:cs="Arial" w:eastAsia="Arial" w:hAnsi="Arial"/>
          <w:sz w:val="17"/>
          <w:szCs w:val="17"/>
          <w:color w:val="auto"/>
        </w:rPr>
        <w:t>In 2018, Mr. Masterson led our Operations &amp; Enablement group, which unified more than 10 core functions (such as our technology functions, operations centers, content, security, sales effectiveness, real estate and sourcing) into a single enterprise team. Operations &amp; Enablement comprises approximately 1/3 of Thomson Reuters’ employees and operating expenses and 100% of its capital investment.</w:t>
      </w:r>
    </w:p>
    <w:p>
      <w:pPr>
        <w:spacing w:after="0" w:line="78" w:lineRule="exact"/>
        <w:rPr>
          <w:sz w:val="20"/>
          <w:szCs w:val="20"/>
          <w:color w:val="auto"/>
        </w:rPr>
      </w:pPr>
    </w:p>
    <w:p>
      <w:pPr>
        <w:ind w:left="220" w:right="120"/>
        <w:spacing w:after="0" w:line="236" w:lineRule="auto"/>
        <w:rPr>
          <w:sz w:val="20"/>
          <w:szCs w:val="20"/>
          <w:color w:val="auto"/>
        </w:rPr>
      </w:pPr>
      <w:r>
        <w:rPr>
          <w:rFonts w:ascii="Arial" w:cs="Arial" w:eastAsia="Arial" w:hAnsi="Arial"/>
          <w:sz w:val="18"/>
          <w:szCs w:val="18"/>
          <w:color w:val="auto"/>
        </w:rPr>
        <w:t>Under Mr. Masterson’s leadership, Operations &amp; Enablement helped complete the F&amp;R transaction, supported the remaining Thomson Reuters business in connection with its restructuring into new customer-focused segments, and executed the company’s growth strategy. As part of the F&amp;R transaction, Mr. Masterson’s group helped divide technology, real estate and supplier relationships between Thomson Reuters and Refinitiv and the team negotiated, and now manages, a series of post-closing transition services agreements between the two organizations. Mr. Masterson’s team helped support the launch of new and innovative products such as Westlaw Edge. Operations &amp; Enablement also continued to drive our company’s efforts to invest in our digital platforms and propositions to provide a more robust and seamless end-to-end digital customer experience.</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2018 compensation</w:t>
      </w:r>
    </w:p>
    <w:p>
      <w:pPr>
        <w:spacing w:after="0" w:line="35" w:lineRule="exact"/>
        <w:rPr>
          <w:sz w:val="20"/>
          <w:szCs w:val="20"/>
          <w:color w:val="auto"/>
        </w:rPr>
      </w:pPr>
    </w:p>
    <w:p>
      <w:pPr>
        <w:ind w:left="220" w:right="340"/>
        <w:spacing w:after="0" w:line="244" w:lineRule="auto"/>
        <w:rPr>
          <w:sz w:val="20"/>
          <w:szCs w:val="20"/>
          <w:color w:val="auto"/>
        </w:rPr>
      </w:pPr>
      <w:r>
        <w:rPr>
          <w:rFonts w:ascii="Arial" w:cs="Arial" w:eastAsia="Arial" w:hAnsi="Arial"/>
          <w:sz w:val="18"/>
          <w:szCs w:val="18"/>
          <w:color w:val="auto"/>
        </w:rPr>
        <w:t>Mr. Masterson’s target total direct compensation in the table below reflects annualized values based on his compensation following his promotion to co-Chief Operating Officer during 2018.</w:t>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1700" w:type="dxa"/>
            <w:vAlign w:val="bottom"/>
          </w:tcPr>
          <w:p>
            <w:pPr>
              <w:spacing w:after="0"/>
              <w:rPr>
                <w:sz w:val="16"/>
                <w:szCs w:val="16"/>
                <w:color w:val="auto"/>
              </w:rPr>
            </w:pPr>
          </w:p>
        </w:tc>
        <w:tc>
          <w:tcPr>
            <w:tcW w:w="3620" w:type="dxa"/>
            <w:vAlign w:val="bottom"/>
            <w:tcBorders>
              <w:top w:val="single" w:sz="8" w:color="D95A3B"/>
              <w:bottom w:val="single" w:sz="8" w:color="D95A3B"/>
              <w:right w:val="single" w:sz="8" w:color="AFAFAF"/>
            </w:tcBorders>
            <w:gridSpan w:val="2"/>
          </w:tcPr>
          <w:p>
            <w:pPr>
              <w:jc w:val="right"/>
              <w:ind w:right="368"/>
              <w:spacing w:after="0"/>
              <w:rPr>
                <w:sz w:val="20"/>
                <w:szCs w:val="20"/>
                <w:color w:val="auto"/>
              </w:rPr>
            </w:pPr>
            <w:r>
              <w:rPr>
                <w:rFonts w:ascii="Arial" w:cs="Arial" w:eastAsia="Arial" w:hAnsi="Arial"/>
                <w:sz w:val="15"/>
                <w:szCs w:val="15"/>
                <w:b w:val="1"/>
                <w:bCs w:val="1"/>
                <w:color w:val="auto"/>
              </w:rPr>
              <w:t>Target Total Direct Compensation (2017)</w:t>
            </w:r>
          </w:p>
        </w:tc>
        <w:tc>
          <w:tcPr>
            <w:tcW w:w="3740" w:type="dxa"/>
            <w:vAlign w:val="bottom"/>
            <w:tcBorders>
              <w:top w:val="single" w:sz="8" w:color="D95A3B"/>
              <w:bottom w:val="single" w:sz="8" w:color="D95A3B"/>
              <w:right w:val="single" w:sz="8" w:color="AFAFAF"/>
            </w:tcBorders>
            <w:gridSpan w:val="2"/>
            <w:shd w:val="clear" w:color="auto" w:fill="D1D1D1"/>
          </w:tcPr>
          <w:p>
            <w:pPr>
              <w:jc w:val="right"/>
              <w:ind w:right="448"/>
              <w:spacing w:after="0"/>
              <w:rPr>
                <w:sz w:val="20"/>
                <w:szCs w:val="20"/>
                <w:color w:val="auto"/>
              </w:rPr>
            </w:pPr>
            <w:r>
              <w:rPr>
                <w:rFonts w:ascii="Arial" w:cs="Arial" w:eastAsia="Arial" w:hAnsi="Arial"/>
                <w:sz w:val="15"/>
                <w:szCs w:val="15"/>
                <w:b w:val="1"/>
                <w:bCs w:val="1"/>
                <w:color w:val="auto"/>
              </w:rPr>
              <w:t>Target Total Direct Compensation (2018)</w:t>
            </w:r>
          </w:p>
        </w:tc>
        <w:tc>
          <w:tcPr>
            <w:tcW w:w="900" w:type="dxa"/>
            <w:vAlign w:val="bottom"/>
            <w:tcBorders>
              <w:top w:val="single" w:sz="8" w:color="D95A3B"/>
              <w:bottom w:val="single" w:sz="8" w:color="D95A3B"/>
              <w:right w:val="single" w:sz="8" w:color="AFAFAF"/>
            </w:tcBorders>
            <w:shd w:val="clear" w:color="auto" w:fill="D1D1D1"/>
          </w:tcPr>
          <w:p>
            <w:pPr>
              <w:jc w:val="right"/>
              <w:ind w:right="227"/>
              <w:spacing w:after="0"/>
              <w:rPr>
                <w:sz w:val="20"/>
                <w:szCs w:val="20"/>
                <w:color w:val="auto"/>
              </w:rPr>
            </w:pPr>
            <w:r>
              <w:rPr>
                <w:rFonts w:ascii="Arial" w:cs="Arial" w:eastAsia="Arial" w:hAnsi="Arial"/>
                <w:sz w:val="15"/>
                <w:szCs w:val="15"/>
                <w:b w:val="1"/>
                <w:bCs w:val="1"/>
                <w:color w:val="auto"/>
              </w:rPr>
              <w:t>Fixed</w:t>
            </w:r>
          </w:p>
        </w:tc>
        <w:tc>
          <w:tcPr>
            <w:tcW w:w="1020" w:type="dxa"/>
            <w:vAlign w:val="bottom"/>
            <w:tcBorders>
              <w:top w:val="single" w:sz="8" w:color="D95A3B"/>
              <w:bottom w:val="single" w:sz="8" w:color="D95A3B"/>
            </w:tcBorders>
            <w:shd w:val="clear" w:color="auto" w:fill="D1D1D1"/>
          </w:tcPr>
          <w:p>
            <w:pPr>
              <w:jc w:val="right"/>
              <w:ind w:right="187"/>
              <w:spacing w:after="0"/>
              <w:rPr>
                <w:sz w:val="20"/>
                <w:szCs w:val="20"/>
                <w:color w:val="auto"/>
              </w:rPr>
            </w:pPr>
            <w:r>
              <w:rPr>
                <w:rFonts w:ascii="Arial" w:cs="Arial" w:eastAsia="Arial" w:hAnsi="Arial"/>
                <w:sz w:val="15"/>
                <w:szCs w:val="15"/>
                <w:b w:val="1"/>
                <w:bCs w:val="1"/>
                <w:color w:val="auto"/>
              </w:rPr>
              <w:t>Variable</w:t>
            </w:r>
          </w:p>
        </w:tc>
      </w:tr>
      <w:tr>
        <w:trPr>
          <w:trHeight w:val="155"/>
        </w:trPr>
        <w:tc>
          <w:tcPr>
            <w:tcW w:w="1700" w:type="dxa"/>
            <w:vAlign w:val="bottom"/>
            <w:tcBorders>
              <w:bottom w:val="single" w:sz="8" w:color="D95A3B"/>
            </w:tcBorders>
          </w:tcPr>
          <w:p>
            <w:pPr>
              <w:spacing w:after="0"/>
              <w:rPr>
                <w:sz w:val="13"/>
                <w:szCs w:val="13"/>
                <w:color w:val="auto"/>
              </w:rPr>
            </w:pPr>
          </w:p>
        </w:tc>
        <w:tc>
          <w:tcPr>
            <w:tcW w:w="1480" w:type="dxa"/>
            <w:vAlign w:val="bottom"/>
            <w:tcBorders>
              <w:bottom w:val="single" w:sz="8" w:color="D95A3B"/>
              <w:right w:val="single" w:sz="8" w:color="AFAFAF"/>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2140" w:type="dxa"/>
            <w:vAlign w:val="bottom"/>
            <w:tcBorders>
              <w:bottom w:val="single" w:sz="8" w:color="D95A3B"/>
              <w:right w:val="single" w:sz="8" w:color="AFAFAF"/>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 of base salary</w:t>
            </w:r>
          </w:p>
        </w:tc>
        <w:tc>
          <w:tcPr>
            <w:tcW w:w="1580" w:type="dxa"/>
            <w:vAlign w:val="bottom"/>
            <w:tcBorders>
              <w:bottom w:val="single" w:sz="8" w:color="D95A3B"/>
              <w:right w:val="single" w:sz="8" w:color="AFAFAF"/>
            </w:tcBorders>
            <w:shd w:val="clear" w:color="auto" w:fill="D1D1D1"/>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2160" w:type="dxa"/>
            <w:vAlign w:val="bottom"/>
            <w:tcBorders>
              <w:bottom w:val="single" w:sz="8" w:color="D95A3B"/>
              <w:right w:val="single" w:sz="8" w:color="AFAFAF"/>
            </w:tcBorders>
            <w:shd w:val="clear" w:color="auto" w:fill="D1D1D1"/>
          </w:tcPr>
          <w:p>
            <w:pPr>
              <w:jc w:val="right"/>
              <w:ind w:right="368"/>
              <w:spacing w:after="0" w:line="155" w:lineRule="exact"/>
              <w:rPr>
                <w:sz w:val="20"/>
                <w:szCs w:val="20"/>
                <w:color w:val="auto"/>
              </w:rPr>
            </w:pPr>
            <w:r>
              <w:rPr>
                <w:rFonts w:ascii="Arial" w:cs="Arial" w:eastAsia="Arial" w:hAnsi="Arial"/>
                <w:sz w:val="14"/>
                <w:szCs w:val="14"/>
                <w:b w:val="1"/>
                <w:bCs w:val="1"/>
                <w:color w:val="auto"/>
              </w:rPr>
              <w:t>% of base salary</w:t>
            </w:r>
          </w:p>
        </w:tc>
        <w:tc>
          <w:tcPr>
            <w:tcW w:w="900" w:type="dxa"/>
            <w:vAlign w:val="bottom"/>
            <w:tcBorders>
              <w:bottom w:val="single" w:sz="8" w:color="D95A3B"/>
              <w:right w:val="single" w:sz="8" w:color="AFAFAF"/>
            </w:tcBorders>
            <w:shd w:val="clear" w:color="auto" w:fill="D1D1D1"/>
          </w:tcPr>
          <w:p>
            <w:pPr>
              <w:spacing w:after="0"/>
              <w:rPr>
                <w:sz w:val="13"/>
                <w:szCs w:val="13"/>
                <w:color w:val="auto"/>
              </w:rPr>
            </w:pPr>
          </w:p>
        </w:tc>
        <w:tc>
          <w:tcPr>
            <w:tcW w:w="1020" w:type="dxa"/>
            <w:vAlign w:val="bottom"/>
            <w:tcBorders>
              <w:bottom w:val="single" w:sz="8" w:color="D95A3B"/>
            </w:tcBorders>
            <w:shd w:val="clear" w:color="auto" w:fill="D1D1D1"/>
          </w:tcPr>
          <w:p>
            <w:pPr>
              <w:spacing w:after="0"/>
              <w:rPr>
                <w:sz w:val="13"/>
                <w:szCs w:val="13"/>
                <w:color w:val="auto"/>
              </w:rPr>
            </w:pPr>
          </w:p>
        </w:tc>
      </w:tr>
      <w:tr>
        <w:trPr>
          <w:trHeight w:val="155"/>
        </w:trPr>
        <w:tc>
          <w:tcPr>
            <w:tcW w:w="17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Base salary</w:t>
            </w:r>
          </w:p>
        </w:tc>
        <w:tc>
          <w:tcPr>
            <w:tcW w:w="1480" w:type="dxa"/>
            <w:vAlign w:val="bottom"/>
            <w:tcBorders>
              <w:bottom w:val="single" w:sz="8" w:color="AFAFAF"/>
              <w:right w:val="single" w:sz="8" w:color="AFAFAF"/>
            </w:tcBorders>
          </w:tcPr>
          <w:p>
            <w:pPr>
              <w:jc w:val="right"/>
              <w:ind w:right="88"/>
              <w:spacing w:after="0" w:line="155" w:lineRule="exact"/>
              <w:rPr>
                <w:sz w:val="20"/>
                <w:szCs w:val="20"/>
                <w:color w:val="auto"/>
              </w:rPr>
            </w:pPr>
            <w:r>
              <w:rPr>
                <w:rFonts w:ascii="Arial" w:cs="Arial" w:eastAsia="Arial" w:hAnsi="Arial"/>
                <w:sz w:val="14"/>
                <w:szCs w:val="14"/>
                <w:color w:val="auto"/>
              </w:rPr>
              <w:t>$625,000</w:t>
            </w:r>
          </w:p>
        </w:tc>
        <w:tc>
          <w:tcPr>
            <w:tcW w:w="2140" w:type="dxa"/>
            <w:vAlign w:val="bottom"/>
            <w:tcBorders>
              <w:bottom w:val="single" w:sz="8" w:color="AFAFAF"/>
              <w:right w:val="single" w:sz="8" w:color="AFAFAF"/>
            </w:tcBorders>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FAFAF"/>
              <w:right w:val="single" w:sz="8" w:color="AFAFAF"/>
            </w:tcBorders>
            <w:shd w:val="clear" w:color="auto" w:fill="D1D1D1"/>
          </w:tcPr>
          <w:p>
            <w:pPr>
              <w:jc w:val="right"/>
              <w:ind w:right="148"/>
              <w:spacing w:after="0" w:line="155" w:lineRule="exact"/>
              <w:rPr>
                <w:sz w:val="20"/>
                <w:szCs w:val="20"/>
                <w:color w:val="auto"/>
              </w:rPr>
            </w:pPr>
            <w:r>
              <w:rPr>
                <w:rFonts w:ascii="Arial" w:cs="Arial" w:eastAsia="Arial" w:hAnsi="Arial"/>
                <w:sz w:val="14"/>
                <w:szCs w:val="14"/>
                <w:color w:val="auto"/>
              </w:rPr>
              <w:t>$750,000</w:t>
            </w:r>
          </w:p>
        </w:tc>
        <w:tc>
          <w:tcPr>
            <w:tcW w:w="2160" w:type="dxa"/>
            <w:vAlign w:val="bottom"/>
            <w:tcBorders>
              <w:bottom w:val="single" w:sz="8" w:color="AFAFAF"/>
              <w:right w:val="single" w:sz="8" w:color="AFAFAF"/>
            </w:tcBorders>
            <w:shd w:val="clear" w:color="auto" w:fill="D1D1D1"/>
          </w:tcPr>
          <w:p>
            <w:pPr>
              <w:jc w:val="right"/>
              <w:ind w:right="36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FAFAF"/>
              <w:right w:val="single" w:sz="8" w:color="AFAFAF"/>
            </w:tcBorders>
            <w:shd w:val="clear" w:color="auto" w:fill="D1D1D1"/>
          </w:tcPr>
          <w:p>
            <w:pPr>
              <w:jc w:val="right"/>
              <w:ind w:right="87"/>
              <w:spacing w:after="0" w:line="155" w:lineRule="exact"/>
              <w:rPr>
                <w:sz w:val="20"/>
                <w:szCs w:val="20"/>
                <w:color w:val="auto"/>
              </w:rPr>
            </w:pPr>
            <w:r>
              <w:rPr>
                <w:rFonts w:ascii="Arial" w:cs="Arial" w:eastAsia="Arial" w:hAnsi="Arial"/>
                <w:sz w:val="14"/>
                <w:szCs w:val="14"/>
                <w:color w:val="auto"/>
              </w:rPr>
              <w:t>27%</w:t>
            </w:r>
          </w:p>
        </w:tc>
        <w:tc>
          <w:tcPr>
            <w:tcW w:w="1020" w:type="dxa"/>
            <w:vAlign w:val="bottom"/>
            <w:tcBorders>
              <w:bottom w:val="single" w:sz="8" w:color="AFAFAF"/>
            </w:tcBorders>
            <w:shd w:val="clear" w:color="auto" w:fill="D1D1D1"/>
          </w:tcPr>
          <w:p>
            <w:pPr>
              <w:jc w:val="right"/>
              <w:ind w:right="187"/>
              <w:spacing w:after="0" w:line="155" w:lineRule="exact"/>
              <w:rPr>
                <w:sz w:val="20"/>
                <w:szCs w:val="20"/>
                <w:color w:val="auto"/>
              </w:rPr>
            </w:pPr>
            <w:r>
              <w:rPr>
                <w:rFonts w:ascii="Arial" w:cs="Arial" w:eastAsia="Arial" w:hAnsi="Arial"/>
                <w:sz w:val="14"/>
                <w:szCs w:val="14"/>
                <w:color w:val="auto"/>
              </w:rPr>
              <w:t>–</w:t>
            </w:r>
          </w:p>
        </w:tc>
      </w:tr>
      <w:tr>
        <w:trPr>
          <w:trHeight w:val="155"/>
        </w:trPr>
        <w:tc>
          <w:tcPr>
            <w:tcW w:w="17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Annual incentive award</w:t>
            </w:r>
          </w:p>
        </w:tc>
        <w:tc>
          <w:tcPr>
            <w:tcW w:w="1480" w:type="dxa"/>
            <w:vAlign w:val="bottom"/>
            <w:tcBorders>
              <w:bottom w:val="single" w:sz="8" w:color="AFAFAF"/>
              <w:right w:val="single" w:sz="8" w:color="AFAFAF"/>
            </w:tcBorders>
          </w:tcPr>
          <w:p>
            <w:pPr>
              <w:jc w:val="right"/>
              <w:ind w:right="88"/>
              <w:spacing w:after="0" w:line="155" w:lineRule="exact"/>
              <w:rPr>
                <w:sz w:val="20"/>
                <w:szCs w:val="20"/>
                <w:color w:val="auto"/>
              </w:rPr>
            </w:pPr>
            <w:r>
              <w:rPr>
                <w:rFonts w:ascii="Arial" w:cs="Arial" w:eastAsia="Arial" w:hAnsi="Arial"/>
                <w:sz w:val="14"/>
                <w:szCs w:val="14"/>
                <w:color w:val="auto"/>
              </w:rPr>
              <w:t>$781,250</w:t>
            </w:r>
          </w:p>
        </w:tc>
        <w:tc>
          <w:tcPr>
            <w:tcW w:w="2140" w:type="dxa"/>
            <w:vAlign w:val="bottom"/>
            <w:tcBorders>
              <w:bottom w:val="single" w:sz="8" w:color="AFAFAF"/>
              <w:right w:val="single" w:sz="8" w:color="AFAFAF"/>
            </w:tcBorders>
          </w:tcPr>
          <w:p>
            <w:pPr>
              <w:jc w:val="right"/>
              <w:ind w:right="188"/>
              <w:spacing w:after="0" w:line="155" w:lineRule="exact"/>
              <w:rPr>
                <w:sz w:val="20"/>
                <w:szCs w:val="20"/>
                <w:color w:val="auto"/>
              </w:rPr>
            </w:pPr>
            <w:r>
              <w:rPr>
                <w:rFonts w:ascii="Arial" w:cs="Arial" w:eastAsia="Arial" w:hAnsi="Arial"/>
                <w:sz w:val="14"/>
                <w:szCs w:val="14"/>
                <w:color w:val="auto"/>
              </w:rPr>
              <w:t>125%</w:t>
            </w:r>
          </w:p>
        </w:tc>
        <w:tc>
          <w:tcPr>
            <w:tcW w:w="1580" w:type="dxa"/>
            <w:vAlign w:val="bottom"/>
            <w:tcBorders>
              <w:bottom w:val="single" w:sz="8" w:color="AFAFAF"/>
              <w:right w:val="single" w:sz="8" w:color="AFAFAF"/>
            </w:tcBorders>
            <w:shd w:val="clear" w:color="auto" w:fill="D1D1D1"/>
          </w:tcPr>
          <w:p>
            <w:pPr>
              <w:jc w:val="right"/>
              <w:ind w:right="148"/>
              <w:spacing w:after="0" w:line="155" w:lineRule="exact"/>
              <w:rPr>
                <w:sz w:val="20"/>
                <w:szCs w:val="20"/>
                <w:color w:val="auto"/>
              </w:rPr>
            </w:pPr>
            <w:r>
              <w:rPr>
                <w:rFonts w:ascii="Arial" w:cs="Arial" w:eastAsia="Arial" w:hAnsi="Arial"/>
                <w:sz w:val="14"/>
                <w:szCs w:val="14"/>
                <w:color w:val="auto"/>
              </w:rPr>
              <w:t>$937,500</w:t>
            </w:r>
          </w:p>
        </w:tc>
        <w:tc>
          <w:tcPr>
            <w:tcW w:w="2160" w:type="dxa"/>
            <w:vAlign w:val="bottom"/>
            <w:tcBorders>
              <w:bottom w:val="single" w:sz="8" w:color="AFAFAF"/>
              <w:right w:val="single" w:sz="8" w:color="AFAFAF"/>
            </w:tcBorders>
            <w:shd w:val="clear" w:color="auto" w:fill="D1D1D1"/>
          </w:tcPr>
          <w:p>
            <w:pPr>
              <w:jc w:val="right"/>
              <w:ind w:right="228"/>
              <w:spacing w:after="0" w:line="155" w:lineRule="exact"/>
              <w:rPr>
                <w:sz w:val="20"/>
                <w:szCs w:val="20"/>
                <w:color w:val="auto"/>
              </w:rPr>
            </w:pPr>
            <w:r>
              <w:rPr>
                <w:rFonts w:ascii="Arial" w:cs="Arial" w:eastAsia="Arial" w:hAnsi="Arial"/>
                <w:sz w:val="14"/>
                <w:szCs w:val="14"/>
                <w:color w:val="auto"/>
              </w:rPr>
              <w:t>125%</w:t>
            </w:r>
          </w:p>
        </w:tc>
        <w:tc>
          <w:tcPr>
            <w:tcW w:w="900" w:type="dxa"/>
            <w:vAlign w:val="bottom"/>
            <w:tcBorders>
              <w:bottom w:val="single" w:sz="8" w:color="AFAFAF"/>
              <w:right w:val="single" w:sz="8" w:color="AFAFAF"/>
            </w:tcBorders>
            <w:shd w:val="clear" w:color="auto" w:fill="D1D1D1"/>
          </w:tcPr>
          <w:p>
            <w:pPr>
              <w:jc w:val="right"/>
              <w:ind w:right="227"/>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FAFAF"/>
            </w:tcBorders>
            <w:shd w:val="clear" w:color="auto" w:fill="D1D1D1"/>
          </w:tcPr>
          <w:p>
            <w:pPr>
              <w:jc w:val="right"/>
              <w:ind w:right="67"/>
              <w:spacing w:after="0" w:line="155" w:lineRule="exact"/>
              <w:rPr>
                <w:sz w:val="20"/>
                <w:szCs w:val="20"/>
                <w:color w:val="auto"/>
              </w:rPr>
            </w:pPr>
            <w:r>
              <w:rPr>
                <w:rFonts w:ascii="Arial" w:cs="Arial" w:eastAsia="Arial" w:hAnsi="Arial"/>
                <w:sz w:val="14"/>
                <w:szCs w:val="14"/>
                <w:color w:val="auto"/>
              </w:rPr>
              <w:t>33%</w:t>
            </w:r>
          </w:p>
        </w:tc>
      </w:tr>
      <w:tr>
        <w:trPr>
          <w:trHeight w:val="142"/>
        </w:trPr>
        <w:tc>
          <w:tcPr>
            <w:tcW w:w="170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Long-term incentive</w:t>
            </w:r>
          </w:p>
        </w:tc>
        <w:tc>
          <w:tcPr>
            <w:tcW w:w="1480" w:type="dxa"/>
            <w:vAlign w:val="bottom"/>
            <w:tcBorders>
              <w:right w:val="single" w:sz="8" w:color="AFAFAF"/>
            </w:tcBorders>
          </w:tcPr>
          <w:p>
            <w:pPr>
              <w:spacing w:after="0"/>
              <w:rPr>
                <w:sz w:val="12"/>
                <w:szCs w:val="12"/>
                <w:color w:val="auto"/>
              </w:rPr>
            </w:pPr>
          </w:p>
        </w:tc>
        <w:tc>
          <w:tcPr>
            <w:tcW w:w="2140" w:type="dxa"/>
            <w:vAlign w:val="bottom"/>
            <w:tcBorders>
              <w:right w:val="single" w:sz="8" w:color="AFAFAF"/>
            </w:tcBorders>
          </w:tcPr>
          <w:p>
            <w:pPr>
              <w:spacing w:after="0"/>
              <w:rPr>
                <w:sz w:val="12"/>
                <w:szCs w:val="12"/>
                <w:color w:val="auto"/>
              </w:rPr>
            </w:pPr>
          </w:p>
        </w:tc>
        <w:tc>
          <w:tcPr>
            <w:tcW w:w="1580" w:type="dxa"/>
            <w:vAlign w:val="bottom"/>
            <w:tcBorders>
              <w:right w:val="single" w:sz="8" w:color="AFAFAF"/>
            </w:tcBorders>
            <w:shd w:val="clear" w:color="auto" w:fill="D1D1D1"/>
          </w:tcPr>
          <w:p>
            <w:pPr>
              <w:spacing w:after="0"/>
              <w:rPr>
                <w:sz w:val="12"/>
                <w:szCs w:val="12"/>
                <w:color w:val="auto"/>
              </w:rPr>
            </w:pPr>
          </w:p>
        </w:tc>
        <w:tc>
          <w:tcPr>
            <w:tcW w:w="2160" w:type="dxa"/>
            <w:vAlign w:val="bottom"/>
            <w:tcBorders>
              <w:right w:val="single" w:sz="8" w:color="AFAFAF"/>
            </w:tcBorders>
            <w:shd w:val="clear" w:color="auto" w:fill="D1D1D1"/>
          </w:tcPr>
          <w:p>
            <w:pPr>
              <w:spacing w:after="0"/>
              <w:rPr>
                <w:sz w:val="12"/>
                <w:szCs w:val="12"/>
                <w:color w:val="auto"/>
              </w:rPr>
            </w:pPr>
          </w:p>
        </w:tc>
        <w:tc>
          <w:tcPr>
            <w:tcW w:w="900" w:type="dxa"/>
            <w:vAlign w:val="bottom"/>
            <w:tcBorders>
              <w:right w:val="single" w:sz="8" w:color="AFAFAF"/>
            </w:tcBorders>
            <w:shd w:val="clear" w:color="auto" w:fill="D1D1D1"/>
          </w:tcPr>
          <w:p>
            <w:pPr>
              <w:spacing w:after="0"/>
              <w:rPr>
                <w:sz w:val="12"/>
                <w:szCs w:val="12"/>
                <w:color w:val="auto"/>
              </w:rPr>
            </w:pPr>
          </w:p>
        </w:tc>
        <w:tc>
          <w:tcPr>
            <w:tcW w:w="1020" w:type="dxa"/>
            <w:vAlign w:val="bottom"/>
            <w:shd w:val="clear" w:color="auto" w:fill="D1D1D1"/>
          </w:tcPr>
          <w:p>
            <w:pPr>
              <w:spacing w:after="0"/>
              <w:rPr>
                <w:sz w:val="12"/>
                <w:szCs w:val="12"/>
                <w:color w:val="auto"/>
              </w:rPr>
            </w:pPr>
          </w:p>
        </w:tc>
      </w:tr>
      <w:tr>
        <w:trPr>
          <w:trHeight w:val="175"/>
        </w:trPr>
        <w:tc>
          <w:tcPr>
            <w:tcW w:w="1700" w:type="dxa"/>
            <w:vAlign w:val="bottom"/>
            <w:tcBorders>
              <w:bottom w:val="single" w:sz="8" w:color="D95A3B"/>
              <w:right w:val="single" w:sz="8" w:color="AFAFAF"/>
            </w:tcBorders>
          </w:tcPr>
          <w:p>
            <w:pPr>
              <w:ind w:left="140"/>
              <w:spacing w:after="0"/>
              <w:rPr>
                <w:sz w:val="20"/>
                <w:szCs w:val="20"/>
                <w:color w:val="auto"/>
              </w:rPr>
            </w:pPr>
            <w:r>
              <w:rPr>
                <w:rFonts w:ascii="Arial" w:cs="Arial" w:eastAsia="Arial" w:hAnsi="Arial"/>
                <w:sz w:val="14"/>
                <w:szCs w:val="14"/>
                <w:b w:val="1"/>
                <w:bCs w:val="1"/>
                <w:color w:val="auto"/>
              </w:rPr>
              <w:t>awards</w:t>
            </w:r>
          </w:p>
        </w:tc>
        <w:tc>
          <w:tcPr>
            <w:tcW w:w="1480" w:type="dxa"/>
            <w:vAlign w:val="bottom"/>
            <w:tcBorders>
              <w:bottom w:val="single" w:sz="8" w:color="D95A3B"/>
              <w:right w:val="single" w:sz="8" w:color="AFAFAF"/>
            </w:tcBorders>
          </w:tcPr>
          <w:p>
            <w:pPr>
              <w:jc w:val="right"/>
              <w:ind w:right="88"/>
              <w:spacing w:after="0"/>
              <w:rPr>
                <w:sz w:val="20"/>
                <w:szCs w:val="20"/>
                <w:color w:val="auto"/>
              </w:rPr>
            </w:pPr>
            <w:r>
              <w:rPr>
                <w:rFonts w:ascii="Arial" w:cs="Arial" w:eastAsia="Arial" w:hAnsi="Arial"/>
                <w:sz w:val="14"/>
                <w:szCs w:val="14"/>
                <w:color w:val="auto"/>
              </w:rPr>
              <w:t>$625,000</w:t>
            </w:r>
          </w:p>
        </w:tc>
        <w:tc>
          <w:tcPr>
            <w:tcW w:w="2140" w:type="dxa"/>
            <w:vAlign w:val="bottom"/>
            <w:tcBorders>
              <w:bottom w:val="single" w:sz="8" w:color="D95A3B"/>
              <w:right w:val="single" w:sz="8" w:color="AFAFAF"/>
            </w:tcBorders>
          </w:tcPr>
          <w:p>
            <w:pPr>
              <w:jc w:val="right"/>
              <w:ind w:right="188"/>
              <w:spacing w:after="0"/>
              <w:rPr>
                <w:sz w:val="20"/>
                <w:szCs w:val="20"/>
                <w:color w:val="auto"/>
              </w:rPr>
            </w:pPr>
            <w:r>
              <w:rPr>
                <w:rFonts w:ascii="Arial" w:cs="Arial" w:eastAsia="Arial" w:hAnsi="Arial"/>
                <w:sz w:val="14"/>
                <w:szCs w:val="14"/>
                <w:color w:val="auto"/>
              </w:rPr>
              <w:t>100%</w:t>
            </w:r>
          </w:p>
        </w:tc>
        <w:tc>
          <w:tcPr>
            <w:tcW w:w="1580" w:type="dxa"/>
            <w:vAlign w:val="bottom"/>
            <w:tcBorders>
              <w:bottom w:val="single" w:sz="8" w:color="D95A3B"/>
              <w:right w:val="single" w:sz="8" w:color="AFAFAF"/>
            </w:tcBorders>
            <w:shd w:val="clear" w:color="auto" w:fill="D1D1D1"/>
          </w:tcPr>
          <w:p>
            <w:pPr>
              <w:jc w:val="right"/>
              <w:ind w:right="148"/>
              <w:spacing w:after="0"/>
              <w:rPr>
                <w:sz w:val="20"/>
                <w:szCs w:val="20"/>
                <w:color w:val="auto"/>
              </w:rPr>
            </w:pPr>
            <w:r>
              <w:rPr>
                <w:rFonts w:ascii="Arial" w:cs="Arial" w:eastAsia="Arial" w:hAnsi="Arial"/>
                <w:sz w:val="14"/>
                <w:szCs w:val="14"/>
                <w:color w:val="auto"/>
              </w:rPr>
              <w:t>$1,125,000</w:t>
            </w:r>
          </w:p>
        </w:tc>
        <w:tc>
          <w:tcPr>
            <w:tcW w:w="2160" w:type="dxa"/>
            <w:vAlign w:val="bottom"/>
            <w:tcBorders>
              <w:bottom w:val="single" w:sz="8" w:color="D95A3B"/>
              <w:right w:val="single" w:sz="8" w:color="AFAFAF"/>
            </w:tcBorders>
            <w:shd w:val="clear" w:color="auto" w:fill="D1D1D1"/>
          </w:tcPr>
          <w:p>
            <w:pPr>
              <w:jc w:val="right"/>
              <w:ind w:right="228"/>
              <w:spacing w:after="0"/>
              <w:rPr>
                <w:sz w:val="20"/>
                <w:szCs w:val="20"/>
                <w:color w:val="auto"/>
              </w:rPr>
            </w:pPr>
            <w:r>
              <w:rPr>
                <w:rFonts w:ascii="Arial" w:cs="Arial" w:eastAsia="Arial" w:hAnsi="Arial"/>
                <w:sz w:val="14"/>
                <w:szCs w:val="14"/>
                <w:color w:val="auto"/>
              </w:rPr>
              <w:t>150%</w:t>
            </w:r>
          </w:p>
        </w:tc>
        <w:tc>
          <w:tcPr>
            <w:tcW w:w="900" w:type="dxa"/>
            <w:vAlign w:val="bottom"/>
            <w:tcBorders>
              <w:bottom w:val="single" w:sz="8" w:color="D95A3B"/>
              <w:right w:val="single" w:sz="8" w:color="AFAFAF"/>
            </w:tcBorders>
            <w:shd w:val="clear" w:color="auto" w:fill="D1D1D1"/>
          </w:tcPr>
          <w:p>
            <w:pPr>
              <w:jc w:val="right"/>
              <w:ind w:right="227"/>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95A3B"/>
            </w:tcBorders>
            <w:shd w:val="clear" w:color="auto" w:fill="D1D1D1"/>
          </w:tcPr>
          <w:p>
            <w:pPr>
              <w:jc w:val="right"/>
              <w:ind w:right="67"/>
              <w:spacing w:after="0"/>
              <w:rPr>
                <w:sz w:val="20"/>
                <w:szCs w:val="20"/>
                <w:color w:val="auto"/>
              </w:rPr>
            </w:pPr>
            <w:r>
              <w:rPr>
                <w:rFonts w:ascii="Arial" w:cs="Arial" w:eastAsia="Arial" w:hAnsi="Arial"/>
                <w:sz w:val="14"/>
                <w:szCs w:val="14"/>
                <w:color w:val="auto"/>
              </w:rPr>
              <w:t>40%</w:t>
            </w:r>
          </w:p>
        </w:tc>
      </w:tr>
      <w:tr>
        <w:trPr>
          <w:trHeight w:val="155"/>
        </w:trPr>
        <w:tc>
          <w:tcPr>
            <w:tcW w:w="17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D95A3B"/>
              <w:right w:val="single" w:sz="8" w:color="AFAFAF"/>
            </w:tcBorders>
          </w:tcPr>
          <w:p>
            <w:pPr>
              <w:jc w:val="right"/>
              <w:ind w:right="88"/>
              <w:spacing w:after="0" w:line="155" w:lineRule="exact"/>
              <w:rPr>
                <w:sz w:val="20"/>
                <w:szCs w:val="20"/>
                <w:color w:val="auto"/>
              </w:rPr>
            </w:pPr>
            <w:r>
              <w:rPr>
                <w:rFonts w:ascii="Arial" w:cs="Arial" w:eastAsia="Arial" w:hAnsi="Arial"/>
                <w:sz w:val="14"/>
                <w:szCs w:val="14"/>
                <w:color w:val="auto"/>
              </w:rPr>
              <w:t>$2,031,250</w:t>
            </w:r>
          </w:p>
        </w:tc>
        <w:tc>
          <w:tcPr>
            <w:tcW w:w="2140" w:type="dxa"/>
            <w:vAlign w:val="bottom"/>
            <w:tcBorders>
              <w:bottom w:val="single" w:sz="8" w:color="D95A3B"/>
              <w:right w:val="single" w:sz="8" w:color="AFAFAF"/>
            </w:tcBorders>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D95A3B"/>
              <w:right w:val="single" w:sz="8" w:color="AFAFAF"/>
            </w:tcBorders>
            <w:shd w:val="clear" w:color="auto" w:fill="D1D1D1"/>
          </w:tcPr>
          <w:p>
            <w:pPr>
              <w:jc w:val="right"/>
              <w:ind w:right="148"/>
              <w:spacing w:after="0" w:line="155" w:lineRule="exact"/>
              <w:rPr>
                <w:sz w:val="20"/>
                <w:szCs w:val="20"/>
                <w:color w:val="auto"/>
              </w:rPr>
            </w:pPr>
            <w:r>
              <w:rPr>
                <w:rFonts w:ascii="Arial" w:cs="Arial" w:eastAsia="Arial" w:hAnsi="Arial"/>
                <w:sz w:val="14"/>
                <w:szCs w:val="14"/>
                <w:color w:val="auto"/>
              </w:rPr>
              <w:t>$2,812,500</w:t>
            </w:r>
          </w:p>
        </w:tc>
        <w:tc>
          <w:tcPr>
            <w:tcW w:w="2160" w:type="dxa"/>
            <w:vAlign w:val="bottom"/>
            <w:tcBorders>
              <w:bottom w:val="single" w:sz="8" w:color="D95A3B"/>
              <w:right w:val="single" w:sz="8" w:color="AFAFAF"/>
            </w:tcBorders>
            <w:shd w:val="clear" w:color="auto" w:fill="D1D1D1"/>
          </w:tcPr>
          <w:p>
            <w:pPr>
              <w:jc w:val="right"/>
              <w:ind w:right="36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D95A3B"/>
              <w:right w:val="single" w:sz="8" w:color="AFAFAF"/>
            </w:tcBorders>
            <w:shd w:val="clear" w:color="auto" w:fill="D1D1D1"/>
          </w:tcPr>
          <w:p>
            <w:pPr>
              <w:jc w:val="right"/>
              <w:ind w:right="87"/>
              <w:spacing w:after="0" w:line="155" w:lineRule="exact"/>
              <w:rPr>
                <w:sz w:val="20"/>
                <w:szCs w:val="20"/>
                <w:color w:val="auto"/>
              </w:rPr>
            </w:pPr>
            <w:r>
              <w:rPr>
                <w:rFonts w:ascii="Arial" w:cs="Arial" w:eastAsia="Arial" w:hAnsi="Arial"/>
                <w:sz w:val="14"/>
                <w:szCs w:val="14"/>
                <w:color w:val="auto"/>
              </w:rPr>
              <w:t>27%</w:t>
            </w:r>
          </w:p>
        </w:tc>
        <w:tc>
          <w:tcPr>
            <w:tcW w:w="1020" w:type="dxa"/>
            <w:vAlign w:val="bottom"/>
            <w:tcBorders>
              <w:bottom w:val="single" w:sz="8" w:color="D95A3B"/>
            </w:tcBorders>
            <w:shd w:val="clear" w:color="auto" w:fill="D1D1D1"/>
          </w:tcPr>
          <w:p>
            <w:pPr>
              <w:jc w:val="right"/>
              <w:ind w:right="67"/>
              <w:spacing w:after="0" w:line="155" w:lineRule="exact"/>
              <w:rPr>
                <w:sz w:val="20"/>
                <w:szCs w:val="20"/>
                <w:color w:val="auto"/>
              </w:rPr>
            </w:pPr>
            <w:r>
              <w:rPr>
                <w:rFonts w:ascii="Arial" w:cs="Arial" w:eastAsia="Arial" w:hAnsi="Arial"/>
                <w:sz w:val="14"/>
                <w:szCs w:val="14"/>
                <w:color w:val="auto"/>
              </w:rPr>
              <w:t>73%</w:t>
            </w:r>
          </w:p>
        </w:tc>
      </w:tr>
    </w:tbl>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Mr. Masterson’s base salary was increased in 2018 in connection with his promotion to co-Chief Operating Officer.</w:t>
      </w:r>
    </w:p>
    <w:p>
      <w:pPr>
        <w:spacing w:after="0" w:line="103" w:lineRule="exact"/>
        <w:rPr>
          <w:sz w:val="20"/>
          <w:szCs w:val="20"/>
          <w:color w:val="auto"/>
        </w:rPr>
      </w:pPr>
    </w:p>
    <w:p>
      <w:pPr>
        <w:ind w:left="220" w:right="220"/>
        <w:spacing w:after="0" w:line="246" w:lineRule="auto"/>
        <w:rPr>
          <w:sz w:val="20"/>
          <w:szCs w:val="20"/>
          <w:color w:val="auto"/>
        </w:rPr>
      </w:pPr>
      <w:r>
        <w:rPr>
          <w:rFonts w:ascii="Arial" w:cs="Arial" w:eastAsia="Arial" w:hAnsi="Arial"/>
          <w:sz w:val="18"/>
          <w:szCs w:val="18"/>
          <w:b w:val="1"/>
          <w:bCs w:val="1"/>
          <w:color w:val="auto"/>
        </w:rPr>
        <w:t xml:space="preserve">Annual incentive award: </w:t>
      </w:r>
      <w:r>
        <w:rPr>
          <w:rFonts w:ascii="Arial" w:cs="Arial" w:eastAsia="Arial" w:hAnsi="Arial"/>
          <w:sz w:val="18"/>
          <w:szCs w:val="18"/>
          <w:color w:val="auto"/>
        </w:rPr>
        <w:t>Mr. Masterson was granted a 2018 annual incentive award based 80% on our company’s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the F&amp;R business) and 20% based on F&amp;R business performance. This award had a payout of approximately 129% of target based on financial performance. Based on his 2018 individual performance against strategic objectives, the HR Committee increased Mr. Masterson’s payout by 5% to approximately 136% of target.</w:t>
      </w:r>
    </w:p>
    <w:p>
      <w:pPr>
        <w:spacing w:after="0" w:line="67" w:lineRule="exact"/>
        <w:rPr>
          <w:sz w:val="20"/>
          <w:szCs w:val="20"/>
          <w:color w:val="auto"/>
        </w:rPr>
      </w:pPr>
    </w:p>
    <w:p>
      <w:pPr>
        <w:ind w:left="220" w:right="40"/>
        <w:spacing w:after="0" w:line="241" w:lineRule="auto"/>
        <w:rPr>
          <w:sz w:val="20"/>
          <w:szCs w:val="20"/>
          <w:color w:val="auto"/>
        </w:rPr>
      </w:pPr>
      <w:r>
        <w:rPr>
          <w:rFonts w:ascii="Arial" w:cs="Arial" w:eastAsia="Arial" w:hAnsi="Arial"/>
          <w:sz w:val="18"/>
          <w:szCs w:val="18"/>
          <w:b w:val="1"/>
          <w:bCs w:val="1"/>
          <w:color w:val="auto"/>
        </w:rPr>
        <w:t xml:space="preserve">Long-term incentive awards: </w:t>
      </w:r>
      <w:r>
        <w:rPr>
          <w:rFonts w:ascii="Arial" w:cs="Arial" w:eastAsia="Arial" w:hAnsi="Arial"/>
          <w:sz w:val="18"/>
          <w:szCs w:val="18"/>
          <w:color w:val="auto"/>
        </w:rPr>
        <w:t>Mr. Masterson’s target long-term incentive award was increased from 100% to 150% of his base salary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his promotion. Mr. Masterson’s 2018 award grant (based on 2017 performance) had a grant date value of $1,125,000, split between 50% TRSUs and 50% stock options. TRSUs granted in 2018 will fully vest in March 2021, and stock options granted in 2018 will vest 25% each year over a four-year period. Mr. Masterson’s 2019 award grant (based on 2018 performance) also had a grant date value of $1,125,000, split between 50% PRSUs, 25% TRSUs and 25% stock options. PRSUs and TRSUs granted in 2019 will fully vest in March 2022, and stock options granted in 2019 will vest 25% each year over a four-year period.</w:t>
      </w:r>
    </w:p>
    <w:p>
      <w:pPr>
        <w:spacing w:after="0" w:line="72" w:lineRule="exact"/>
        <w:rPr>
          <w:sz w:val="20"/>
          <w:szCs w:val="20"/>
          <w:color w:val="auto"/>
        </w:rPr>
      </w:pPr>
    </w:p>
    <w:p>
      <w:pPr>
        <w:ind w:left="220" w:right="40"/>
        <w:spacing w:after="0" w:line="252" w:lineRule="auto"/>
        <w:rPr>
          <w:sz w:val="20"/>
          <w:szCs w:val="20"/>
          <w:color w:val="auto"/>
        </w:rPr>
      </w:pPr>
      <w:r>
        <w:rPr>
          <w:rFonts w:ascii="Arial" w:cs="Arial" w:eastAsia="Arial" w:hAnsi="Arial"/>
          <w:sz w:val="18"/>
          <w:szCs w:val="18"/>
          <w:b w:val="1"/>
          <w:bCs w:val="1"/>
          <w:color w:val="auto"/>
        </w:rPr>
        <w:t xml:space="preserve">Special award: </w:t>
      </w:r>
      <w:r>
        <w:rPr>
          <w:rFonts w:ascii="Arial" w:cs="Arial" w:eastAsia="Arial" w:hAnsi="Arial"/>
          <w:sz w:val="18"/>
          <w:szCs w:val="18"/>
          <w:color w:val="auto"/>
        </w:rPr>
        <w:t>In 2018, we granted Mr. Masterson 100,000 TRSUs in connection with his promotion. As these TRSUs are not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Mr. Masterson’s regular annual compensation, they are not reflected in the table above. Mr. Masterson’s special award of TRSUs vests on the fifth anniversary of the grant date in 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113030</wp:posOffset>
            </wp:positionV>
            <wp:extent cx="697357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19"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65</w:t>
      </w:r>
    </w:p>
    <w:p>
      <w:pPr>
        <w:sectPr>
          <w:pgSz w:w="11900" w:h="16838" w:orient="portrait"/>
          <w:cols w:equalWidth="0" w:num="1">
            <w:col w:w="11200"/>
          </w:cols>
          <w:pgMar w:left="240" w:top="458"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D95A3B"/>
        </w:rPr>
        <w:t>Michael Friedenberg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-139065</wp:posOffset>
            </wp:positionV>
            <wp:extent cx="1358900" cy="13589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58900" cy="1358900"/>
                    </a:xfrm>
                    <a:prstGeom prst="rect">
                      <a:avLst/>
                    </a:prstGeom>
                    <a:noFill/>
                  </pic:spPr>
                </pic:pic>
              </a:graphicData>
            </a:graphic>
          </wp:anchor>
        </w:drawing>
      </w:r>
    </w:p>
    <w:p>
      <w:pPr>
        <w:ind w:left="2860"/>
        <w:spacing w:after="0"/>
        <w:rPr>
          <w:sz w:val="20"/>
          <w:szCs w:val="20"/>
          <w:color w:val="auto"/>
        </w:rPr>
      </w:pPr>
      <w:r>
        <w:rPr>
          <w:rFonts w:ascii="Arial" w:cs="Arial" w:eastAsia="Arial" w:hAnsi="Arial"/>
          <w:sz w:val="22"/>
          <w:szCs w:val="22"/>
          <w:color w:val="D95A3B"/>
        </w:rPr>
        <w:t>President, Reuters News</w:t>
      </w:r>
    </w:p>
    <w:p>
      <w:pPr>
        <w:spacing w:after="0" w:line="116" w:lineRule="exact"/>
        <w:rPr>
          <w:sz w:val="20"/>
          <w:szCs w:val="20"/>
          <w:color w:val="auto"/>
        </w:rPr>
      </w:pPr>
    </w:p>
    <w:p>
      <w:pPr>
        <w:ind w:left="2860" w:right="120"/>
        <w:spacing w:after="0" w:line="236" w:lineRule="auto"/>
        <w:rPr>
          <w:sz w:val="20"/>
          <w:szCs w:val="20"/>
          <w:color w:val="auto"/>
        </w:rPr>
      </w:pPr>
      <w:r>
        <w:rPr>
          <w:rFonts w:ascii="Arial" w:cs="Arial" w:eastAsia="Arial" w:hAnsi="Arial"/>
          <w:sz w:val="18"/>
          <w:szCs w:val="18"/>
          <w:color w:val="auto"/>
        </w:rPr>
        <w:t>Mr. Friedenberg has been President, Reuters News since December 2018. Previously, Mr. Friedenberg served as global Chief Executive Officer of IDG Communications, a media, data and services firm from November 2013 to October 2017. Before that, Mr. Friedenberg held senior executive positions with IDG Communications US and IDG Enterprise from November 2009 to November 2013. Mr. Friedenberg also held senior executive positions from CXO Media and CXO Media &amp; Network World from June 2005 to November 2009.</w:t>
      </w: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2018 performance</w:t>
      </w:r>
    </w:p>
    <w:p>
      <w:pPr>
        <w:spacing w:after="0" w:line="35" w:lineRule="exact"/>
        <w:rPr>
          <w:sz w:val="20"/>
          <w:szCs w:val="20"/>
          <w:color w:val="auto"/>
        </w:rPr>
      </w:pPr>
    </w:p>
    <w:p>
      <w:pPr>
        <w:ind w:left="220" w:right="160"/>
        <w:spacing w:after="0" w:line="234" w:lineRule="auto"/>
        <w:rPr>
          <w:sz w:val="20"/>
          <w:szCs w:val="20"/>
          <w:color w:val="auto"/>
        </w:rPr>
      </w:pPr>
      <w:r>
        <w:rPr>
          <w:rFonts w:ascii="Arial" w:cs="Arial" w:eastAsia="Arial" w:hAnsi="Arial"/>
          <w:sz w:val="18"/>
          <w:szCs w:val="18"/>
          <w:color w:val="auto"/>
        </w:rPr>
        <w:t>Mr. Friedenberg joined our company near the end of 2018. Mr. Friedenberg brings experience and a record of success in both business-to-business and business-to-consumer news. Mr. Friedenberg also brings an understanding of the challenges facing our media customers and his arrival strengthened Reuters News’ ability to further monetize trusted and critical news for our customers.</w:t>
      </w:r>
    </w:p>
    <w:p>
      <w:pPr>
        <w:ind w:left="220" w:right="360"/>
        <w:spacing w:after="0" w:line="244" w:lineRule="auto"/>
        <w:rPr>
          <w:sz w:val="20"/>
          <w:szCs w:val="20"/>
          <w:color w:val="auto"/>
        </w:rPr>
      </w:pPr>
      <w:r>
        <w:rPr>
          <w:rFonts w:ascii="Arial" w:cs="Arial" w:eastAsia="Arial" w:hAnsi="Arial"/>
          <w:sz w:val="18"/>
          <w:szCs w:val="18"/>
          <w:color w:val="auto"/>
        </w:rPr>
        <w:t>Mr. Friedenberg’s hiring allowed Stephen Adler (who was acting both as President and Editor-in-Chief of Reuters News) to focus more fully on editorial responsibilities.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2018 compensation</w:t>
      </w:r>
    </w:p>
    <w:p>
      <w:pPr>
        <w:spacing w:after="0" w:line="35" w:lineRule="exact"/>
        <w:rPr>
          <w:sz w:val="20"/>
          <w:szCs w:val="20"/>
          <w:color w:val="auto"/>
        </w:rPr>
      </w:pPr>
    </w:p>
    <w:p>
      <w:pPr>
        <w:ind w:left="220" w:right="40"/>
        <w:spacing w:after="0" w:line="239" w:lineRule="auto"/>
        <w:rPr>
          <w:sz w:val="20"/>
          <w:szCs w:val="20"/>
          <w:color w:val="auto"/>
        </w:rPr>
      </w:pPr>
      <w:r>
        <w:rPr>
          <w:rFonts w:ascii="Arial" w:cs="Arial" w:eastAsia="Arial" w:hAnsi="Arial"/>
          <w:sz w:val="18"/>
          <w:szCs w:val="18"/>
          <w:color w:val="auto"/>
        </w:rPr>
        <w:t>The table below reflects annualized values and not actual amounts earned by Mr. Friedenberg. As noted below, Mr. Friedenberg’s actual base salary and annual incentive award earned were pro-rated amounts based on the time that he worked at our company in 2018 and he did not receive a long-term incentive award in 2018.</w:t>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1860" w:type="dxa"/>
            <w:vAlign w:val="bottom"/>
          </w:tcPr>
          <w:p>
            <w:pPr>
              <w:spacing w:after="0"/>
              <w:rPr>
                <w:sz w:val="14"/>
                <w:szCs w:val="14"/>
                <w:color w:val="auto"/>
              </w:rPr>
            </w:pPr>
          </w:p>
        </w:tc>
        <w:tc>
          <w:tcPr>
            <w:tcW w:w="3240" w:type="dxa"/>
            <w:vAlign w:val="bottom"/>
            <w:tcBorders>
              <w:top w:val="single" w:sz="8" w:color="D95A3B"/>
            </w:tcBorders>
            <w:gridSpan w:val="2"/>
            <w:vMerge w:val="restart"/>
          </w:tcPr>
          <w:p>
            <w:pPr>
              <w:ind w:left="300"/>
              <w:spacing w:after="0"/>
              <w:rPr>
                <w:sz w:val="20"/>
                <w:szCs w:val="20"/>
                <w:color w:val="auto"/>
              </w:rPr>
            </w:pPr>
            <w:r>
              <w:rPr>
                <w:rFonts w:ascii="Arial" w:cs="Arial" w:eastAsia="Arial" w:hAnsi="Arial"/>
                <w:sz w:val="15"/>
                <w:szCs w:val="15"/>
                <w:b w:val="1"/>
                <w:bCs w:val="1"/>
                <w:color w:val="auto"/>
              </w:rPr>
              <w:t>Target Total Direct Compensation (2017)</w:t>
            </w:r>
          </w:p>
        </w:tc>
        <w:tc>
          <w:tcPr>
            <w:tcW w:w="400" w:type="dxa"/>
            <w:vAlign w:val="bottom"/>
            <w:tcBorders>
              <w:top w:val="single" w:sz="8" w:color="D95A3B"/>
              <w:right w:val="single" w:sz="8" w:color="AFAFAF"/>
            </w:tcBorders>
          </w:tcPr>
          <w:p>
            <w:pPr>
              <w:spacing w:after="0"/>
              <w:rPr>
                <w:sz w:val="14"/>
                <w:szCs w:val="14"/>
                <w:color w:val="auto"/>
              </w:rPr>
            </w:pPr>
          </w:p>
        </w:tc>
        <w:tc>
          <w:tcPr>
            <w:tcW w:w="3420" w:type="dxa"/>
            <w:vAlign w:val="bottom"/>
            <w:tcBorders>
              <w:top w:val="single" w:sz="8" w:color="D95A3B"/>
              <w:right w:val="single" w:sz="8" w:color="AFAFAF"/>
            </w:tcBorders>
            <w:gridSpan w:val="2"/>
            <w:shd w:val="clear" w:color="auto" w:fill="D1D1D1"/>
          </w:tcPr>
          <w:p>
            <w:pPr>
              <w:jc w:val="right"/>
              <w:ind w:right="1068"/>
              <w:spacing w:after="0" w:line="167" w:lineRule="exact"/>
              <w:rPr>
                <w:sz w:val="20"/>
                <w:szCs w:val="20"/>
                <w:color w:val="auto"/>
              </w:rPr>
            </w:pPr>
            <w:r>
              <w:rPr>
                <w:rFonts w:ascii="Arial" w:cs="Arial" w:eastAsia="Arial" w:hAnsi="Arial"/>
                <w:sz w:val="15"/>
                <w:szCs w:val="15"/>
                <w:b w:val="1"/>
                <w:bCs w:val="1"/>
                <w:color w:val="auto"/>
              </w:rPr>
              <w:t>Target Annualized</w:t>
            </w:r>
          </w:p>
        </w:tc>
        <w:tc>
          <w:tcPr>
            <w:tcW w:w="960" w:type="dxa"/>
            <w:vAlign w:val="bottom"/>
            <w:tcBorders>
              <w:top w:val="single" w:sz="8" w:color="D95A3B"/>
              <w:right w:val="single" w:sz="8" w:color="AFAFAF"/>
            </w:tcBorders>
            <w:vMerge w:val="restart"/>
            <w:shd w:val="clear" w:color="auto" w:fill="D1D1D1"/>
          </w:tcPr>
          <w:p>
            <w:pPr>
              <w:jc w:val="right"/>
              <w:ind w:right="267"/>
              <w:spacing w:after="0"/>
              <w:rPr>
                <w:sz w:val="20"/>
                <w:szCs w:val="20"/>
                <w:color w:val="auto"/>
              </w:rPr>
            </w:pPr>
            <w:r>
              <w:rPr>
                <w:rFonts w:ascii="Arial" w:cs="Arial" w:eastAsia="Arial" w:hAnsi="Arial"/>
                <w:sz w:val="15"/>
                <w:szCs w:val="15"/>
                <w:b w:val="1"/>
                <w:bCs w:val="1"/>
                <w:color w:val="auto"/>
              </w:rPr>
              <w:t>Fixed</w:t>
            </w:r>
          </w:p>
        </w:tc>
        <w:tc>
          <w:tcPr>
            <w:tcW w:w="1100" w:type="dxa"/>
            <w:vAlign w:val="bottom"/>
            <w:tcBorders>
              <w:top w:val="single" w:sz="8" w:color="D95A3B"/>
            </w:tcBorders>
            <w:vMerge w:val="restart"/>
            <w:shd w:val="clear" w:color="auto" w:fill="D1D1D1"/>
          </w:tcPr>
          <w:p>
            <w:pPr>
              <w:jc w:val="right"/>
              <w:ind w:right="207"/>
              <w:spacing w:after="0"/>
              <w:rPr>
                <w:sz w:val="20"/>
                <w:szCs w:val="20"/>
                <w:color w:val="auto"/>
              </w:rPr>
            </w:pPr>
            <w:r>
              <w:rPr>
                <w:rFonts w:ascii="Arial" w:cs="Arial" w:eastAsia="Arial" w:hAnsi="Arial"/>
                <w:sz w:val="15"/>
                <w:szCs w:val="15"/>
                <w:b w:val="1"/>
                <w:bCs w:val="1"/>
                <w:color w:val="auto"/>
              </w:rPr>
              <w:t>Variable</w:t>
            </w: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3240" w:type="dxa"/>
            <w:vAlign w:val="bottom"/>
            <w:tcBorders>
              <w:bottom w:val="single" w:sz="8" w:color="D95A3B"/>
            </w:tcBorders>
            <w:gridSpan w:val="2"/>
            <w:vMerge w:val="continue"/>
          </w:tcPr>
          <w:p>
            <w:pPr>
              <w:spacing w:after="0"/>
              <w:rPr>
                <w:sz w:val="15"/>
                <w:szCs w:val="15"/>
                <w:color w:val="auto"/>
              </w:rPr>
            </w:pPr>
          </w:p>
        </w:tc>
        <w:tc>
          <w:tcPr>
            <w:tcW w:w="400" w:type="dxa"/>
            <w:vAlign w:val="bottom"/>
            <w:tcBorders>
              <w:bottom w:val="single" w:sz="8" w:color="D95A3B"/>
              <w:right w:val="single" w:sz="8" w:color="AFAFAF"/>
            </w:tcBorders>
          </w:tcPr>
          <w:p>
            <w:pPr>
              <w:spacing w:after="0"/>
              <w:rPr>
                <w:sz w:val="15"/>
                <w:szCs w:val="15"/>
                <w:color w:val="auto"/>
              </w:rPr>
            </w:pPr>
          </w:p>
        </w:tc>
        <w:tc>
          <w:tcPr>
            <w:tcW w:w="3420" w:type="dxa"/>
            <w:vAlign w:val="bottom"/>
            <w:tcBorders>
              <w:bottom w:val="single" w:sz="8" w:color="D95A3B"/>
              <w:right w:val="single" w:sz="8" w:color="AFAFAF"/>
            </w:tcBorders>
            <w:gridSpan w:val="2"/>
            <w:shd w:val="clear" w:color="auto" w:fill="D1D1D1"/>
          </w:tcPr>
          <w:p>
            <w:pPr>
              <w:jc w:val="right"/>
              <w:ind w:right="508"/>
              <w:spacing w:after="0"/>
              <w:rPr>
                <w:sz w:val="20"/>
                <w:szCs w:val="20"/>
                <w:color w:val="auto"/>
              </w:rPr>
            </w:pPr>
            <w:r>
              <w:rPr>
                <w:rFonts w:ascii="Arial" w:cs="Arial" w:eastAsia="Arial" w:hAnsi="Arial"/>
                <w:sz w:val="15"/>
                <w:szCs w:val="15"/>
                <w:b w:val="1"/>
                <w:bCs w:val="1"/>
                <w:color w:val="auto"/>
              </w:rPr>
              <w:t>Total Direct Compensation (2018)</w:t>
            </w:r>
          </w:p>
        </w:tc>
        <w:tc>
          <w:tcPr>
            <w:tcW w:w="960" w:type="dxa"/>
            <w:vAlign w:val="bottom"/>
            <w:tcBorders>
              <w:bottom w:val="single" w:sz="8" w:color="D95A3B"/>
              <w:right w:val="single" w:sz="8" w:color="AFAFAF"/>
            </w:tcBorders>
            <w:vMerge w:val="continue"/>
            <w:shd w:val="clear" w:color="auto" w:fill="D1D1D1"/>
          </w:tcPr>
          <w:p>
            <w:pPr>
              <w:spacing w:after="0"/>
              <w:rPr>
                <w:sz w:val="15"/>
                <w:szCs w:val="15"/>
                <w:color w:val="auto"/>
              </w:rPr>
            </w:pPr>
          </w:p>
        </w:tc>
        <w:tc>
          <w:tcPr>
            <w:tcW w:w="1100" w:type="dxa"/>
            <w:vAlign w:val="bottom"/>
            <w:tcBorders>
              <w:bottom w:val="single" w:sz="8" w:color="D95A3B"/>
            </w:tcBorders>
            <w:vMerge w:val="continue"/>
            <w:shd w:val="clear" w:color="auto" w:fill="D1D1D1"/>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60" w:type="dxa"/>
            <w:vAlign w:val="bottom"/>
            <w:tcBorders>
              <w:bottom w:val="single" w:sz="8" w:color="D95A3B"/>
            </w:tcBorders>
          </w:tcPr>
          <w:p>
            <w:pPr>
              <w:spacing w:after="0"/>
              <w:rPr>
                <w:sz w:val="13"/>
                <w:szCs w:val="13"/>
                <w:color w:val="auto"/>
              </w:rPr>
            </w:pPr>
          </w:p>
        </w:tc>
        <w:tc>
          <w:tcPr>
            <w:tcW w:w="700" w:type="dxa"/>
            <w:vAlign w:val="bottom"/>
            <w:tcBorders>
              <w:bottom w:val="single" w:sz="8" w:color="D95A3B"/>
              <w:right w:val="single" w:sz="8" w:color="AFAFAF"/>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2540" w:type="dxa"/>
            <w:vAlign w:val="bottom"/>
            <w:tcBorders>
              <w:bottom w:val="single" w:sz="8" w:color="D95A3B"/>
            </w:tcBorders>
          </w:tcPr>
          <w:p>
            <w:pPr>
              <w:ind w:left="820"/>
              <w:spacing w:after="0" w:line="155" w:lineRule="exact"/>
              <w:rPr>
                <w:sz w:val="20"/>
                <w:szCs w:val="20"/>
                <w:color w:val="auto"/>
              </w:rPr>
            </w:pPr>
            <w:r>
              <w:rPr>
                <w:rFonts w:ascii="Arial" w:cs="Arial" w:eastAsia="Arial" w:hAnsi="Arial"/>
                <w:sz w:val="14"/>
                <w:szCs w:val="14"/>
                <w:b w:val="1"/>
                <w:bCs w:val="1"/>
                <w:color w:val="auto"/>
              </w:rPr>
              <w:t>% of base salary</w:t>
            </w:r>
          </w:p>
        </w:tc>
        <w:tc>
          <w:tcPr>
            <w:tcW w:w="400" w:type="dxa"/>
            <w:vAlign w:val="bottom"/>
            <w:tcBorders>
              <w:bottom w:val="single" w:sz="8" w:color="D95A3B"/>
              <w:right w:val="single" w:sz="8" w:color="AFAFAF"/>
            </w:tcBorders>
          </w:tcPr>
          <w:p>
            <w:pPr>
              <w:spacing w:after="0"/>
              <w:rPr>
                <w:sz w:val="13"/>
                <w:szCs w:val="13"/>
                <w:color w:val="auto"/>
              </w:rPr>
            </w:pPr>
          </w:p>
        </w:tc>
        <w:tc>
          <w:tcPr>
            <w:tcW w:w="1500" w:type="dxa"/>
            <w:vAlign w:val="bottom"/>
            <w:tcBorders>
              <w:bottom w:val="single" w:sz="8" w:color="D95A3B"/>
              <w:right w:val="single" w:sz="8" w:color="AFAFAF"/>
            </w:tcBorders>
            <w:shd w:val="clear" w:color="auto" w:fill="D1D1D1"/>
          </w:tcPr>
          <w:p>
            <w:pPr>
              <w:jc w:val="right"/>
              <w:ind w:right="187"/>
              <w:spacing w:after="0" w:line="155" w:lineRule="exact"/>
              <w:rPr>
                <w:sz w:val="20"/>
                <w:szCs w:val="20"/>
                <w:color w:val="auto"/>
              </w:rPr>
            </w:pPr>
            <w:r>
              <w:rPr>
                <w:rFonts w:ascii="Arial" w:cs="Arial" w:eastAsia="Arial" w:hAnsi="Arial"/>
                <w:sz w:val="14"/>
                <w:szCs w:val="14"/>
                <w:b w:val="1"/>
                <w:bCs w:val="1"/>
                <w:color w:val="auto"/>
              </w:rPr>
              <w:t>$</w:t>
            </w:r>
          </w:p>
        </w:tc>
        <w:tc>
          <w:tcPr>
            <w:tcW w:w="1920" w:type="dxa"/>
            <w:vAlign w:val="bottom"/>
            <w:tcBorders>
              <w:bottom w:val="single" w:sz="8" w:color="D95A3B"/>
              <w:right w:val="single" w:sz="8" w:color="AFAFAF"/>
            </w:tcBorders>
            <w:shd w:val="clear" w:color="auto" w:fill="D1D1D1"/>
          </w:tcPr>
          <w:p>
            <w:pPr>
              <w:jc w:val="right"/>
              <w:ind w:right="408"/>
              <w:spacing w:after="0" w:line="155" w:lineRule="exact"/>
              <w:rPr>
                <w:sz w:val="20"/>
                <w:szCs w:val="20"/>
                <w:color w:val="auto"/>
              </w:rPr>
            </w:pPr>
            <w:r>
              <w:rPr>
                <w:rFonts w:ascii="Arial" w:cs="Arial" w:eastAsia="Arial" w:hAnsi="Arial"/>
                <w:sz w:val="14"/>
                <w:szCs w:val="14"/>
                <w:b w:val="1"/>
                <w:bCs w:val="1"/>
                <w:color w:val="auto"/>
              </w:rPr>
              <w:t>% of base salary</w:t>
            </w:r>
          </w:p>
        </w:tc>
        <w:tc>
          <w:tcPr>
            <w:tcW w:w="960" w:type="dxa"/>
            <w:vAlign w:val="bottom"/>
            <w:tcBorders>
              <w:bottom w:val="single" w:sz="8" w:color="D95A3B"/>
              <w:right w:val="single" w:sz="8" w:color="AFAFAF"/>
            </w:tcBorders>
            <w:shd w:val="clear" w:color="auto" w:fill="D1D1D1"/>
          </w:tcPr>
          <w:p>
            <w:pPr>
              <w:spacing w:after="0"/>
              <w:rPr>
                <w:sz w:val="13"/>
                <w:szCs w:val="13"/>
                <w:color w:val="auto"/>
              </w:rPr>
            </w:pPr>
          </w:p>
        </w:tc>
        <w:tc>
          <w:tcPr>
            <w:tcW w:w="1100" w:type="dxa"/>
            <w:vAlign w:val="bottom"/>
            <w:tcBorders>
              <w:bottom w:val="single" w:sz="8" w:color="D95A3B"/>
            </w:tcBorders>
            <w:shd w:val="clear" w:color="auto" w:fill="D1D1D1"/>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Base salary</w:t>
            </w:r>
          </w:p>
        </w:tc>
        <w:tc>
          <w:tcPr>
            <w:tcW w:w="70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2540" w:type="dxa"/>
            <w:vAlign w:val="bottom"/>
            <w:tcBorders>
              <w:bottom w:val="single" w:sz="8" w:color="AFAFAF"/>
            </w:tcBorders>
          </w:tcPr>
          <w:p>
            <w:pPr>
              <w:spacing w:after="0"/>
              <w:rPr>
                <w:sz w:val="13"/>
                <w:szCs w:val="13"/>
                <w:color w:val="auto"/>
              </w:rPr>
            </w:pPr>
          </w:p>
        </w:tc>
        <w:tc>
          <w:tcPr>
            <w:tcW w:w="4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right w:val="single" w:sz="8" w:color="AFAFAF"/>
            </w:tcBorders>
            <w:shd w:val="clear" w:color="auto" w:fill="D1D1D1"/>
          </w:tcPr>
          <w:p>
            <w:pPr>
              <w:jc w:val="right"/>
              <w:ind w:right="187"/>
              <w:spacing w:after="0" w:line="155" w:lineRule="exact"/>
              <w:rPr>
                <w:sz w:val="20"/>
                <w:szCs w:val="20"/>
                <w:color w:val="auto"/>
              </w:rPr>
            </w:pPr>
            <w:r>
              <w:rPr>
                <w:rFonts w:ascii="Arial" w:cs="Arial" w:eastAsia="Arial" w:hAnsi="Arial"/>
                <w:sz w:val="14"/>
                <w:szCs w:val="14"/>
                <w:color w:val="auto"/>
              </w:rPr>
              <w:t>$750,000</w:t>
            </w:r>
          </w:p>
        </w:tc>
        <w:tc>
          <w:tcPr>
            <w:tcW w:w="1920" w:type="dxa"/>
            <w:vAlign w:val="bottom"/>
            <w:tcBorders>
              <w:bottom w:val="single" w:sz="8" w:color="AFAFAF"/>
              <w:right w:val="single" w:sz="8" w:color="AFAFAF"/>
            </w:tcBorders>
            <w:shd w:val="clear" w:color="auto" w:fill="D1D1D1"/>
          </w:tcPr>
          <w:p>
            <w:pPr>
              <w:jc w:val="right"/>
              <w:ind w:right="40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FAFAF"/>
              <w:right w:val="single" w:sz="8" w:color="AFAFAF"/>
            </w:tcBorders>
            <w:shd w:val="clear" w:color="auto" w:fill="D1D1D1"/>
          </w:tcPr>
          <w:p>
            <w:pPr>
              <w:jc w:val="right"/>
              <w:ind w:right="127"/>
              <w:spacing w:after="0" w:line="155" w:lineRule="exact"/>
              <w:rPr>
                <w:sz w:val="20"/>
                <w:szCs w:val="20"/>
                <w:color w:val="auto"/>
              </w:rPr>
            </w:pPr>
            <w:r>
              <w:rPr>
                <w:rFonts w:ascii="Arial" w:cs="Arial" w:eastAsia="Arial" w:hAnsi="Arial"/>
                <w:sz w:val="14"/>
                <w:szCs w:val="14"/>
                <w:color w:val="auto"/>
              </w:rPr>
              <w:t>27%</w:t>
            </w:r>
          </w:p>
        </w:tc>
        <w:tc>
          <w:tcPr>
            <w:tcW w:w="1100" w:type="dxa"/>
            <w:vAlign w:val="bottom"/>
            <w:tcBorders>
              <w:bottom w:val="single" w:sz="8" w:color="AFAFAF"/>
            </w:tcBorders>
            <w:shd w:val="clear" w:color="auto" w:fill="D1D1D1"/>
          </w:tcPr>
          <w:p>
            <w:pPr>
              <w:jc w:val="right"/>
              <w:ind w:right="207"/>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8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Annual incentive award</w:t>
            </w:r>
          </w:p>
        </w:tc>
        <w:tc>
          <w:tcPr>
            <w:tcW w:w="70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2540" w:type="dxa"/>
            <w:vAlign w:val="bottom"/>
            <w:tcBorders>
              <w:bottom w:val="single" w:sz="8" w:color="AFAFAF"/>
            </w:tcBorders>
          </w:tcPr>
          <w:p>
            <w:pPr>
              <w:spacing w:after="0"/>
              <w:rPr>
                <w:sz w:val="13"/>
                <w:szCs w:val="13"/>
                <w:color w:val="auto"/>
              </w:rPr>
            </w:pPr>
          </w:p>
        </w:tc>
        <w:tc>
          <w:tcPr>
            <w:tcW w:w="4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right w:val="single" w:sz="8" w:color="AFAFAF"/>
            </w:tcBorders>
            <w:shd w:val="clear" w:color="auto" w:fill="D1D1D1"/>
          </w:tcPr>
          <w:p>
            <w:pPr>
              <w:jc w:val="right"/>
              <w:ind w:right="187"/>
              <w:spacing w:after="0" w:line="155" w:lineRule="exact"/>
              <w:rPr>
                <w:sz w:val="20"/>
                <w:szCs w:val="20"/>
                <w:color w:val="auto"/>
              </w:rPr>
            </w:pPr>
            <w:r>
              <w:rPr>
                <w:rFonts w:ascii="Arial" w:cs="Arial" w:eastAsia="Arial" w:hAnsi="Arial"/>
                <w:sz w:val="14"/>
                <w:szCs w:val="14"/>
                <w:color w:val="auto"/>
              </w:rPr>
              <w:t>$937,500</w:t>
            </w:r>
          </w:p>
        </w:tc>
        <w:tc>
          <w:tcPr>
            <w:tcW w:w="1920" w:type="dxa"/>
            <w:vAlign w:val="bottom"/>
            <w:tcBorders>
              <w:bottom w:val="single" w:sz="8" w:color="AFAFAF"/>
              <w:right w:val="single" w:sz="8" w:color="AFAFAF"/>
            </w:tcBorders>
            <w:shd w:val="clear" w:color="auto" w:fill="D1D1D1"/>
          </w:tcPr>
          <w:p>
            <w:pPr>
              <w:jc w:val="right"/>
              <w:ind w:right="288"/>
              <w:spacing w:after="0" w:line="155" w:lineRule="exact"/>
              <w:rPr>
                <w:sz w:val="20"/>
                <w:szCs w:val="20"/>
                <w:color w:val="auto"/>
              </w:rPr>
            </w:pPr>
            <w:r>
              <w:rPr>
                <w:rFonts w:ascii="Arial" w:cs="Arial" w:eastAsia="Arial" w:hAnsi="Arial"/>
                <w:sz w:val="14"/>
                <w:szCs w:val="14"/>
                <w:color w:val="auto"/>
              </w:rPr>
              <w:t>125%</w:t>
            </w:r>
          </w:p>
        </w:tc>
        <w:tc>
          <w:tcPr>
            <w:tcW w:w="960" w:type="dxa"/>
            <w:vAlign w:val="bottom"/>
            <w:tcBorders>
              <w:bottom w:val="single" w:sz="8" w:color="AFAFAF"/>
              <w:right w:val="single" w:sz="8" w:color="AFAFAF"/>
            </w:tcBorders>
            <w:shd w:val="clear" w:color="auto" w:fill="D1D1D1"/>
          </w:tcPr>
          <w:p>
            <w:pPr>
              <w:jc w:val="right"/>
              <w:ind w:right="267"/>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FAFAF"/>
            </w:tcBorders>
            <w:shd w:val="clear" w:color="auto" w:fill="D1D1D1"/>
          </w:tcPr>
          <w:p>
            <w:pPr>
              <w:jc w:val="right"/>
              <w:ind w:right="67"/>
              <w:spacing w:after="0" w:line="155"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186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Long-term incentive</w:t>
            </w:r>
          </w:p>
        </w:tc>
        <w:tc>
          <w:tcPr>
            <w:tcW w:w="700" w:type="dxa"/>
            <w:vAlign w:val="bottom"/>
            <w:tcBorders>
              <w:right w:val="single" w:sz="8" w:color="AFAFAF"/>
            </w:tcBorders>
          </w:tcPr>
          <w:p>
            <w:pPr>
              <w:spacing w:after="0"/>
              <w:rPr>
                <w:sz w:val="12"/>
                <w:szCs w:val="12"/>
                <w:color w:val="auto"/>
              </w:rPr>
            </w:pPr>
          </w:p>
        </w:tc>
        <w:tc>
          <w:tcPr>
            <w:tcW w:w="2540" w:type="dxa"/>
            <w:vAlign w:val="bottom"/>
          </w:tcPr>
          <w:p>
            <w:pPr>
              <w:spacing w:after="0"/>
              <w:rPr>
                <w:sz w:val="12"/>
                <w:szCs w:val="12"/>
                <w:color w:val="auto"/>
              </w:rPr>
            </w:pPr>
          </w:p>
        </w:tc>
        <w:tc>
          <w:tcPr>
            <w:tcW w:w="400" w:type="dxa"/>
            <w:vAlign w:val="bottom"/>
            <w:tcBorders>
              <w:right w:val="single" w:sz="8" w:color="AFAFAF"/>
            </w:tcBorders>
          </w:tcPr>
          <w:p>
            <w:pPr>
              <w:spacing w:after="0"/>
              <w:rPr>
                <w:sz w:val="12"/>
                <w:szCs w:val="12"/>
                <w:color w:val="auto"/>
              </w:rPr>
            </w:pPr>
          </w:p>
        </w:tc>
        <w:tc>
          <w:tcPr>
            <w:tcW w:w="1500" w:type="dxa"/>
            <w:vAlign w:val="bottom"/>
            <w:tcBorders>
              <w:right w:val="single" w:sz="8" w:color="AFAFAF"/>
            </w:tcBorders>
            <w:shd w:val="clear" w:color="auto" w:fill="D1D1D1"/>
          </w:tcPr>
          <w:p>
            <w:pPr>
              <w:spacing w:after="0"/>
              <w:rPr>
                <w:sz w:val="12"/>
                <w:szCs w:val="12"/>
                <w:color w:val="auto"/>
              </w:rPr>
            </w:pPr>
          </w:p>
        </w:tc>
        <w:tc>
          <w:tcPr>
            <w:tcW w:w="1920" w:type="dxa"/>
            <w:vAlign w:val="bottom"/>
            <w:tcBorders>
              <w:right w:val="single" w:sz="8" w:color="AFAFAF"/>
            </w:tcBorders>
            <w:shd w:val="clear" w:color="auto" w:fill="D1D1D1"/>
          </w:tcPr>
          <w:p>
            <w:pPr>
              <w:spacing w:after="0"/>
              <w:rPr>
                <w:sz w:val="12"/>
                <w:szCs w:val="12"/>
                <w:color w:val="auto"/>
              </w:rPr>
            </w:pPr>
          </w:p>
        </w:tc>
        <w:tc>
          <w:tcPr>
            <w:tcW w:w="960" w:type="dxa"/>
            <w:vAlign w:val="bottom"/>
            <w:tcBorders>
              <w:right w:val="single" w:sz="8" w:color="AFAFAF"/>
            </w:tcBorders>
            <w:shd w:val="clear" w:color="auto" w:fill="D1D1D1"/>
          </w:tcPr>
          <w:p>
            <w:pPr>
              <w:spacing w:after="0"/>
              <w:rPr>
                <w:sz w:val="12"/>
                <w:szCs w:val="12"/>
                <w:color w:val="auto"/>
              </w:rPr>
            </w:pPr>
          </w:p>
        </w:tc>
        <w:tc>
          <w:tcPr>
            <w:tcW w:w="1100" w:type="dxa"/>
            <w:vAlign w:val="bottom"/>
            <w:shd w:val="clear" w:color="auto" w:fill="D1D1D1"/>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60" w:type="dxa"/>
            <w:vAlign w:val="bottom"/>
            <w:tcBorders>
              <w:bottom w:val="single" w:sz="8" w:color="D95A3B"/>
              <w:right w:val="single" w:sz="8" w:color="AFAFAF"/>
            </w:tcBorders>
          </w:tcPr>
          <w:p>
            <w:pPr>
              <w:ind w:left="140"/>
              <w:spacing w:after="0"/>
              <w:rPr>
                <w:sz w:val="20"/>
                <w:szCs w:val="20"/>
                <w:color w:val="auto"/>
              </w:rPr>
            </w:pPr>
            <w:r>
              <w:rPr>
                <w:rFonts w:ascii="Arial" w:cs="Arial" w:eastAsia="Arial" w:hAnsi="Arial"/>
                <w:sz w:val="14"/>
                <w:szCs w:val="14"/>
                <w:b w:val="1"/>
                <w:bCs w:val="1"/>
                <w:color w:val="auto"/>
              </w:rPr>
              <w:t>awards</w:t>
            </w:r>
          </w:p>
        </w:tc>
        <w:tc>
          <w:tcPr>
            <w:tcW w:w="700" w:type="dxa"/>
            <w:vAlign w:val="bottom"/>
            <w:tcBorders>
              <w:bottom w:val="single" w:sz="8" w:color="D95A3B"/>
              <w:right w:val="single" w:sz="8" w:color="AFAFAF"/>
            </w:tcBorders>
          </w:tcPr>
          <w:p>
            <w:pPr>
              <w:jc w:val="right"/>
              <w:ind w:right="168"/>
              <w:spacing w:after="0"/>
              <w:rPr>
                <w:sz w:val="20"/>
                <w:szCs w:val="20"/>
                <w:color w:val="auto"/>
              </w:rPr>
            </w:pPr>
            <w:r>
              <w:rPr>
                <w:rFonts w:ascii="Arial" w:cs="Arial" w:eastAsia="Arial" w:hAnsi="Arial"/>
                <w:sz w:val="14"/>
                <w:szCs w:val="14"/>
                <w:color w:val="auto"/>
              </w:rPr>
              <w:t>–</w:t>
            </w:r>
          </w:p>
        </w:tc>
        <w:tc>
          <w:tcPr>
            <w:tcW w:w="2540" w:type="dxa"/>
            <w:vAlign w:val="bottom"/>
            <w:tcBorders>
              <w:bottom w:val="single" w:sz="8" w:color="D95A3B"/>
            </w:tcBorders>
          </w:tcPr>
          <w:p>
            <w:pPr>
              <w:spacing w:after="0"/>
              <w:rPr>
                <w:sz w:val="15"/>
                <w:szCs w:val="15"/>
                <w:color w:val="auto"/>
              </w:rPr>
            </w:pPr>
          </w:p>
        </w:tc>
        <w:tc>
          <w:tcPr>
            <w:tcW w:w="400" w:type="dxa"/>
            <w:vAlign w:val="bottom"/>
            <w:tcBorders>
              <w:bottom w:val="single" w:sz="8" w:color="D95A3B"/>
              <w:right w:val="single" w:sz="8" w:color="AFAFAF"/>
            </w:tcBorders>
          </w:tcPr>
          <w:p>
            <w:pPr>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95A3B"/>
              <w:right w:val="single" w:sz="8" w:color="AFAFAF"/>
            </w:tcBorders>
            <w:shd w:val="clear" w:color="auto" w:fill="D1D1D1"/>
          </w:tcPr>
          <w:p>
            <w:pPr>
              <w:jc w:val="right"/>
              <w:ind w:right="187"/>
              <w:spacing w:after="0"/>
              <w:rPr>
                <w:sz w:val="20"/>
                <w:szCs w:val="20"/>
                <w:color w:val="auto"/>
              </w:rPr>
            </w:pPr>
            <w:r>
              <w:rPr>
                <w:rFonts w:ascii="Arial" w:cs="Arial" w:eastAsia="Arial" w:hAnsi="Arial"/>
                <w:sz w:val="14"/>
                <w:szCs w:val="14"/>
                <w:color w:val="auto"/>
              </w:rPr>
              <w:t>$1,125,000</w:t>
            </w:r>
          </w:p>
        </w:tc>
        <w:tc>
          <w:tcPr>
            <w:tcW w:w="1920" w:type="dxa"/>
            <w:vAlign w:val="bottom"/>
            <w:tcBorders>
              <w:bottom w:val="single" w:sz="8" w:color="D95A3B"/>
              <w:right w:val="single" w:sz="8" w:color="AFAFAF"/>
            </w:tcBorders>
            <w:shd w:val="clear" w:color="auto" w:fill="D1D1D1"/>
          </w:tcPr>
          <w:p>
            <w:pPr>
              <w:jc w:val="right"/>
              <w:ind w:right="288"/>
              <w:spacing w:after="0"/>
              <w:rPr>
                <w:sz w:val="20"/>
                <w:szCs w:val="20"/>
                <w:color w:val="auto"/>
              </w:rPr>
            </w:pPr>
            <w:r>
              <w:rPr>
                <w:rFonts w:ascii="Arial" w:cs="Arial" w:eastAsia="Arial" w:hAnsi="Arial"/>
                <w:sz w:val="14"/>
                <w:szCs w:val="14"/>
                <w:color w:val="auto"/>
              </w:rPr>
              <w:t>150%</w:t>
            </w:r>
          </w:p>
        </w:tc>
        <w:tc>
          <w:tcPr>
            <w:tcW w:w="960" w:type="dxa"/>
            <w:vAlign w:val="bottom"/>
            <w:tcBorders>
              <w:bottom w:val="single" w:sz="8" w:color="D95A3B"/>
              <w:right w:val="single" w:sz="8" w:color="AFAFAF"/>
            </w:tcBorders>
            <w:shd w:val="clear" w:color="auto" w:fill="D1D1D1"/>
          </w:tcPr>
          <w:p>
            <w:pPr>
              <w:jc w:val="right"/>
              <w:ind w:right="267"/>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95A3B"/>
            </w:tcBorders>
            <w:shd w:val="clear" w:color="auto" w:fill="D1D1D1"/>
          </w:tcPr>
          <w:p>
            <w:pPr>
              <w:jc w:val="right"/>
              <w:ind w:right="67"/>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55"/>
        </w:trPr>
        <w:tc>
          <w:tcPr>
            <w:tcW w:w="186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D95A3B"/>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2540" w:type="dxa"/>
            <w:vAlign w:val="bottom"/>
            <w:tcBorders>
              <w:bottom w:val="single" w:sz="8" w:color="D95A3B"/>
            </w:tcBorders>
          </w:tcPr>
          <w:p>
            <w:pPr>
              <w:spacing w:after="0"/>
              <w:rPr>
                <w:sz w:val="13"/>
                <w:szCs w:val="13"/>
                <w:color w:val="auto"/>
              </w:rPr>
            </w:pPr>
          </w:p>
        </w:tc>
        <w:tc>
          <w:tcPr>
            <w:tcW w:w="4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D95A3B"/>
              <w:right w:val="single" w:sz="8" w:color="AFAFAF"/>
            </w:tcBorders>
            <w:shd w:val="clear" w:color="auto" w:fill="D1D1D1"/>
          </w:tcPr>
          <w:p>
            <w:pPr>
              <w:jc w:val="right"/>
              <w:ind w:right="187"/>
              <w:spacing w:after="0" w:line="155" w:lineRule="exact"/>
              <w:rPr>
                <w:sz w:val="20"/>
                <w:szCs w:val="20"/>
                <w:color w:val="auto"/>
              </w:rPr>
            </w:pPr>
            <w:r>
              <w:rPr>
                <w:rFonts w:ascii="Arial" w:cs="Arial" w:eastAsia="Arial" w:hAnsi="Arial"/>
                <w:sz w:val="14"/>
                <w:szCs w:val="14"/>
                <w:color w:val="auto"/>
              </w:rPr>
              <w:t>$2,812,500</w:t>
            </w:r>
          </w:p>
        </w:tc>
        <w:tc>
          <w:tcPr>
            <w:tcW w:w="1920" w:type="dxa"/>
            <w:vAlign w:val="bottom"/>
            <w:tcBorders>
              <w:bottom w:val="single" w:sz="8" w:color="D95A3B"/>
              <w:right w:val="single" w:sz="8" w:color="AFAFAF"/>
            </w:tcBorders>
            <w:shd w:val="clear" w:color="auto" w:fill="D1D1D1"/>
          </w:tcPr>
          <w:p>
            <w:pPr>
              <w:jc w:val="right"/>
              <w:ind w:right="40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D95A3B"/>
              <w:right w:val="single" w:sz="8" w:color="AFAFAF"/>
            </w:tcBorders>
            <w:shd w:val="clear" w:color="auto" w:fill="D1D1D1"/>
          </w:tcPr>
          <w:p>
            <w:pPr>
              <w:jc w:val="right"/>
              <w:ind w:right="127"/>
              <w:spacing w:after="0" w:line="155" w:lineRule="exact"/>
              <w:rPr>
                <w:sz w:val="20"/>
                <w:szCs w:val="20"/>
                <w:color w:val="auto"/>
              </w:rPr>
            </w:pPr>
            <w:r>
              <w:rPr>
                <w:rFonts w:ascii="Arial" w:cs="Arial" w:eastAsia="Arial" w:hAnsi="Arial"/>
                <w:sz w:val="14"/>
                <w:szCs w:val="14"/>
                <w:color w:val="auto"/>
              </w:rPr>
              <w:t>27%</w:t>
            </w:r>
          </w:p>
        </w:tc>
        <w:tc>
          <w:tcPr>
            <w:tcW w:w="1100" w:type="dxa"/>
            <w:vAlign w:val="bottom"/>
            <w:tcBorders>
              <w:bottom w:val="single" w:sz="8" w:color="D95A3B"/>
            </w:tcBorders>
            <w:shd w:val="clear" w:color="auto" w:fill="D1D1D1"/>
          </w:tcPr>
          <w:p>
            <w:pPr>
              <w:jc w:val="right"/>
              <w:ind w:right="67"/>
              <w:spacing w:after="0" w:line="155"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220" w:right="20"/>
        <w:spacing w:after="0" w:line="270" w:lineRule="auto"/>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Mr. Friedenberg joined our company with a base salary of $750,000 and he received a pro-rated amount during the time that</w:t>
      </w:r>
      <w:r>
        <w:rPr>
          <w:rFonts w:ascii="Arial" w:cs="Arial" w:eastAsia="Arial" w:hAnsi="Arial"/>
          <w:sz w:val="18"/>
          <w:szCs w:val="18"/>
          <w:b w:val="1"/>
          <w:bCs w:val="1"/>
          <w:color w:val="auto"/>
        </w:rPr>
        <w:t xml:space="preserve"> </w:t>
      </w:r>
      <w:r>
        <w:rPr>
          <w:rFonts w:ascii="Arial" w:cs="Arial" w:eastAsia="Arial" w:hAnsi="Arial"/>
          <w:sz w:val="18"/>
          <w:szCs w:val="18"/>
          <w:color w:val="auto"/>
        </w:rPr>
        <w:t>he worked at Thomson Reuters in 2018.</w:t>
      </w:r>
    </w:p>
    <w:p>
      <w:pPr>
        <w:spacing w:after="0" w:line="46" w:lineRule="exact"/>
        <w:rPr>
          <w:sz w:val="20"/>
          <w:szCs w:val="20"/>
          <w:color w:val="auto"/>
        </w:rPr>
      </w:pPr>
    </w:p>
    <w:p>
      <w:pPr>
        <w:ind w:left="220" w:right="340"/>
        <w:spacing w:after="0" w:line="252" w:lineRule="auto"/>
        <w:rPr>
          <w:sz w:val="20"/>
          <w:szCs w:val="20"/>
          <w:color w:val="auto"/>
        </w:rPr>
      </w:pPr>
      <w:r>
        <w:rPr>
          <w:rFonts w:ascii="Arial" w:cs="Arial" w:eastAsia="Arial" w:hAnsi="Arial"/>
          <w:sz w:val="18"/>
          <w:szCs w:val="18"/>
          <w:b w:val="1"/>
          <w:bCs w:val="1"/>
          <w:color w:val="auto"/>
        </w:rPr>
        <w:t xml:space="preserve">Annual incentive award: </w:t>
      </w:r>
      <w:r>
        <w:rPr>
          <w:rFonts w:ascii="Arial" w:cs="Arial" w:eastAsia="Arial" w:hAnsi="Arial"/>
          <w:sz w:val="18"/>
          <w:szCs w:val="18"/>
          <w:color w:val="auto"/>
        </w:rPr>
        <w:t>Mr. Friedenberg was granted a 2018 annual incentive award based on his pro-rated salary for 2018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performance. Mr. Friedenberg’s award had a payout of approximately 134% of target based on financial performance. No additional adjustment was made based on individual performance against strategic objectives.</w:t>
      </w:r>
    </w:p>
    <w:p>
      <w:pPr>
        <w:spacing w:after="0" w:line="61" w:lineRule="exact"/>
        <w:rPr>
          <w:sz w:val="20"/>
          <w:szCs w:val="20"/>
          <w:color w:val="auto"/>
        </w:rPr>
      </w:pPr>
    </w:p>
    <w:p>
      <w:pPr>
        <w:jc w:val="both"/>
        <w:ind w:left="220"/>
        <w:spacing w:after="0" w:line="252" w:lineRule="auto"/>
        <w:rPr>
          <w:sz w:val="20"/>
          <w:szCs w:val="20"/>
          <w:color w:val="auto"/>
        </w:rPr>
      </w:pPr>
      <w:r>
        <w:rPr>
          <w:rFonts w:ascii="Arial" w:cs="Arial" w:eastAsia="Arial" w:hAnsi="Arial"/>
          <w:sz w:val="18"/>
          <w:szCs w:val="18"/>
          <w:b w:val="1"/>
          <w:bCs w:val="1"/>
          <w:color w:val="auto"/>
        </w:rPr>
        <w:t xml:space="preserve">Long-term incentive awards: </w:t>
      </w:r>
      <w:r>
        <w:rPr>
          <w:rFonts w:ascii="Arial" w:cs="Arial" w:eastAsia="Arial" w:hAnsi="Arial"/>
          <w:sz w:val="18"/>
          <w:szCs w:val="18"/>
          <w:color w:val="auto"/>
        </w:rPr>
        <w:t>Mr. Friedenberg did not receive a 2018 long-term incentive award. Mr. Friedenberg’s 2019 award grant had</w:t>
      </w:r>
      <w:r>
        <w:rPr>
          <w:rFonts w:ascii="Arial" w:cs="Arial" w:eastAsia="Arial" w:hAnsi="Arial"/>
          <w:sz w:val="18"/>
          <w:szCs w:val="18"/>
          <w:b w:val="1"/>
          <w:bCs w:val="1"/>
          <w:color w:val="auto"/>
        </w:rPr>
        <w:t xml:space="preserve"> </w:t>
      </w:r>
      <w:r>
        <w:rPr>
          <w:rFonts w:ascii="Arial" w:cs="Arial" w:eastAsia="Arial" w:hAnsi="Arial"/>
          <w:sz w:val="18"/>
          <w:szCs w:val="18"/>
          <w:color w:val="auto"/>
        </w:rPr>
        <w:t>a grant date value of $1,125,000, split between 50% PRSUs, 25% TRSUs and 25% stock options. PRSUs and TRSUs granted in 2019 will fully vest in March 2022, and stock options granted in 2019 will vest 25% each year over a four-year period.</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Special awards: </w:t>
      </w:r>
      <w:r>
        <w:rPr>
          <w:rFonts w:ascii="Arial" w:cs="Arial" w:eastAsia="Arial" w:hAnsi="Arial"/>
          <w:sz w:val="18"/>
          <w:szCs w:val="18"/>
          <w:color w:val="auto"/>
        </w:rPr>
        <w:t>In 2018, we granted Mr. Friedenberg 99,030 TRSUs when he joined our company. As these TRSUs are not part of</w:t>
      </w:r>
    </w:p>
    <w:p>
      <w:pPr>
        <w:spacing w:after="0" w:line="17" w:lineRule="exact"/>
        <w:rPr>
          <w:sz w:val="20"/>
          <w:szCs w:val="20"/>
          <w:color w:val="auto"/>
        </w:rPr>
      </w:pPr>
    </w:p>
    <w:p>
      <w:pPr>
        <w:ind w:left="220" w:right="20"/>
        <w:spacing w:after="0" w:line="239" w:lineRule="auto"/>
        <w:rPr>
          <w:sz w:val="20"/>
          <w:szCs w:val="20"/>
          <w:color w:val="auto"/>
        </w:rPr>
      </w:pPr>
      <w:r>
        <w:rPr>
          <w:rFonts w:ascii="Arial" w:cs="Arial" w:eastAsia="Arial" w:hAnsi="Arial"/>
          <w:sz w:val="18"/>
          <w:szCs w:val="18"/>
          <w:color w:val="auto"/>
        </w:rPr>
        <w:t>Mr. Friedenberg’s regular annual compensation, they are not reflected in the table above. Mr. Friedenberg’s TRSUs ratably vest over three years on each anniversary of the grant date. We also provided Mr. Friedenberg with a $500,000 cash sign-on bonus, which would be forfeited and repaid if he were to leave the company or be terminated for cause within his first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120650</wp:posOffset>
            </wp:positionV>
            <wp:extent cx="697357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1"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66</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Retirement and Other Benefits</w:t>
      </w:r>
    </w:p>
    <w:p>
      <w:pPr>
        <w:spacing w:after="0" w:line="35"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Our retirement and other benefits are designed to provide a competitive level of post-retirement income and strong incentive for executives to remain with Thomson Reuters throughout their careers. Some of our longer service executives, including Messrs. Smith and Bello, have a supplemental executive retirement plan (SERP) which provides a vested pension benefit as a percentage of final salary based on meeting service and age criteria. We no longer offer SERPs to new executives. For more information about retirement and other pension benefits provided to each named executive officer, please see the “Pension and Other Retirement Benefits” subsection of the “Executive Compensation” section of this circular.</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Perquisites and Other Personal Benefits</w:t>
      </w:r>
    </w:p>
    <w:p>
      <w:pPr>
        <w:spacing w:after="0" w:line="35" w:lineRule="exact"/>
        <w:rPr>
          <w:sz w:val="20"/>
          <w:szCs w:val="20"/>
          <w:color w:val="auto"/>
        </w:rPr>
      </w:pPr>
    </w:p>
    <w:p>
      <w:pPr>
        <w:ind w:left="220" w:right="220"/>
        <w:spacing w:after="0" w:line="237" w:lineRule="auto"/>
        <w:rPr>
          <w:sz w:val="20"/>
          <w:szCs w:val="20"/>
          <w:color w:val="auto"/>
        </w:rPr>
      </w:pPr>
      <w:r>
        <w:rPr>
          <w:rFonts w:ascii="Arial" w:cs="Arial" w:eastAsia="Arial" w:hAnsi="Arial"/>
          <w:sz w:val="18"/>
          <w:szCs w:val="18"/>
          <w:color w:val="auto"/>
        </w:rPr>
        <w:t>The HR Committee periodically reviews the perquisites and other personal benefits provided to our executive officers. Over the past few years, we have reduced and eliminated various perquisites and other personal benefits provided to our named executive officers (and other members of senior management) in order to simplify our compensation program, better align with emerging trends and focus on performance-based variable incentives. Only those perquisites which the HR Committee believes provide a significant benefit to our company on a cost-effective basis have been retained.</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our named executive officers, perquisites provided in 2018 consisted of:</w:t>
      </w:r>
    </w:p>
    <w:p>
      <w:pPr>
        <w:spacing w:after="0" w:line="54" w:lineRule="exact"/>
        <w:rPr>
          <w:sz w:val="20"/>
          <w:szCs w:val="20"/>
          <w:color w:val="auto"/>
        </w:rPr>
      </w:pPr>
    </w:p>
    <w:p>
      <w:pPr>
        <w:ind w:left="440" w:right="220" w:hanging="217"/>
        <w:spacing w:after="0" w:line="252" w:lineRule="auto"/>
        <w:tabs>
          <w:tab w:leader="none" w:pos="440" w:val="left"/>
        </w:tabs>
        <w:numPr>
          <w:ilvl w:val="0"/>
          <w:numId w:val="41"/>
        </w:numPr>
        <w:rPr>
          <w:rFonts w:ascii="Arial" w:cs="Arial" w:eastAsia="Arial" w:hAnsi="Arial"/>
          <w:sz w:val="18"/>
          <w:szCs w:val="18"/>
          <w:color w:val="D95A3B"/>
          <w:vertAlign w:val="superscript"/>
        </w:rPr>
      </w:pPr>
      <w:r>
        <w:rPr>
          <w:rFonts w:ascii="Arial" w:cs="Arial" w:eastAsia="Arial" w:hAnsi="Arial"/>
          <w:sz w:val="18"/>
          <w:szCs w:val="18"/>
          <w:b w:val="1"/>
          <w:bCs w:val="1"/>
          <w:color w:val="auto"/>
        </w:rPr>
        <w:t xml:space="preserve">Executive physicals </w:t>
      </w:r>
      <w:r>
        <w:rPr>
          <w:rFonts w:ascii="Arial" w:cs="Arial" w:eastAsia="Arial" w:hAnsi="Arial"/>
          <w:sz w:val="18"/>
          <w:szCs w:val="18"/>
          <w:color w:val="auto"/>
        </w:rPr>
        <w:t>– this benefit can be provided by our company on a coordinated basis at a reasonable price to our 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reduces the risk that we will lose an executive to an unforeseen medical or health issue, while minimizing the amount of time an executive needs to spend away from the office.</w:t>
      </w:r>
    </w:p>
    <w:p>
      <w:pPr>
        <w:sectPr>
          <w:pgSz w:w="11900" w:h="16838" w:orient="portrait"/>
          <w:cols w:equalWidth="0" w:num="1">
            <w:col w:w="11200"/>
          </w:cols>
          <w:pgMar w:left="240" w:top="458" w:right="459" w:bottom="1440" w:gutter="0" w:footer="0" w:header="0"/>
        </w:sectPr>
      </w:pPr>
    </w:p>
    <w:p>
      <w:pPr>
        <w:spacing w:after="0" w:line="48"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auto"/>
        </w:rPr>
        <w:t xml:space="preserve">Use of company automobiles </w:t>
      </w:r>
      <w:r>
        <w:rPr>
          <w:rFonts w:ascii="Arial" w:cs="Arial" w:eastAsia="Arial" w:hAnsi="Arial"/>
          <w:sz w:val="18"/>
          <w:szCs w:val="18"/>
          <w:color w:val="auto"/>
        </w:rPr>
        <w:t>– this benefit is available to Mr. Smith, who is entitled to use a car and driver which allows him to devote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time to Thomson Reuters business.</w:t>
      </w:r>
    </w:p>
    <w:p>
      <w:pPr>
        <w:spacing w:after="0" w:line="1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b w:val="1"/>
          <w:bCs w:val="1"/>
          <w:color w:val="auto"/>
        </w:rPr>
        <w:t xml:space="preserve">Tax and financial planning assistance </w:t>
      </w:r>
      <w:r>
        <w:rPr>
          <w:rFonts w:ascii="Arial" w:cs="Arial" w:eastAsia="Arial" w:hAnsi="Arial"/>
          <w:sz w:val="18"/>
          <w:szCs w:val="18"/>
          <w:color w:val="auto"/>
        </w:rPr>
        <w:t>– this benefit allows our named executive officers to utilize the services of a limited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advisors who are familiar with our compensation structure and benefit programs. Thomson Reuters benefits from being able to minimize the number of advisors with which it works.</w:t>
      </w:r>
    </w:p>
    <w:p>
      <w:pPr>
        <w:spacing w:after="0" w:line="83"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ind w:left="220" w:right="80"/>
        <w:spacing w:after="0" w:line="237" w:lineRule="auto"/>
        <w:rPr>
          <w:sz w:val="20"/>
          <w:szCs w:val="20"/>
          <w:color w:val="auto"/>
        </w:rPr>
      </w:pPr>
      <w:r>
        <w:rPr>
          <w:rFonts w:ascii="Arial" w:cs="Arial" w:eastAsia="Arial" w:hAnsi="Arial"/>
          <w:sz w:val="18"/>
          <w:szCs w:val="18"/>
          <w:color w:val="auto"/>
        </w:rPr>
        <w:t>We offer a package of expatriate benefits to all employees on a company-initiated long-term assignment to a foreign location. These benefits are typically provided in our industry when companies ask their executives to work outside of their home country. Standard benefits for our executives include a housing allowance (if home sale assistance is not provided), a cost of living allowance for relocations between certain countries, health and welfare benefits, shipping and storage costs, tax equalization, tax preparation services and an annual home leave. Messrs. Smith, Bello and Masterson are currently on expatriate assignments.</w:t>
      </w:r>
    </w:p>
    <w:p>
      <w:pPr>
        <w:spacing w:after="0" w:line="95"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In connection with their relocations to Toronto in April 2017, our company entered into international assignment agreements with Messrs. Smith and Bello. Messrs. Smith and Bello are not being provided with housing allowances, nor are they being provided cost of living allowances. We agreed to provide Messrs. Smith and Bello with home sale assistance in connection with their relocations, as discussed in note 6 to the Summary Compensation Table. If Mr. Smith or Mr. Bello voluntarily resigns from our company before May 1, 2019, they will have certain repayment obligations to our company related to expatriate-related payments, allowances and reimbursements received in connection with their assignment.</w:t>
      </w:r>
    </w:p>
    <w:p>
      <w:pPr>
        <w:spacing w:after="0" w:line="98" w:lineRule="exact"/>
        <w:rPr>
          <w:sz w:val="20"/>
          <w:szCs w:val="20"/>
          <w:color w:val="auto"/>
        </w:rPr>
      </w:pPr>
    </w:p>
    <w:p>
      <w:pPr>
        <w:ind w:left="220" w:right="300"/>
        <w:spacing w:after="0" w:line="260" w:lineRule="auto"/>
        <w:rPr>
          <w:sz w:val="20"/>
          <w:szCs w:val="20"/>
          <w:color w:val="auto"/>
        </w:rPr>
      </w:pPr>
      <w:r>
        <w:rPr>
          <w:rFonts w:ascii="Arial" w:cs="Arial" w:eastAsia="Arial" w:hAnsi="Arial"/>
          <w:sz w:val="17"/>
          <w:szCs w:val="17"/>
          <w:color w:val="auto"/>
        </w:rPr>
        <w:t>Mr. Masterson has been on an expatriate assignment in Switzerland since the beginning of 2016. We provide Mr. Masterson with a housing allowance (as home sale assistance was not provided to him), a cost of living allowance and a car allowance. If Mr. Masterson were to voluntarily resign from our company before the end of his assignment, he would forego the right to repatriation benefits.</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Insurance Policies</w:t>
      </w:r>
    </w:p>
    <w:p>
      <w:pPr>
        <w:spacing w:after="0" w:line="22" w:lineRule="exact"/>
        <w:rPr>
          <w:sz w:val="20"/>
          <w:szCs w:val="20"/>
          <w:color w:val="auto"/>
        </w:rPr>
      </w:pPr>
    </w:p>
    <w:p>
      <w:pPr>
        <w:ind w:left="220" w:right="280"/>
        <w:spacing w:after="0" w:line="239" w:lineRule="auto"/>
        <w:rPr>
          <w:sz w:val="20"/>
          <w:szCs w:val="20"/>
          <w:color w:val="auto"/>
        </w:rPr>
      </w:pPr>
      <w:r>
        <w:rPr>
          <w:rFonts w:ascii="Arial" w:cs="Arial" w:eastAsia="Arial" w:hAnsi="Arial"/>
          <w:sz w:val="18"/>
          <w:szCs w:val="18"/>
          <w:color w:val="auto"/>
        </w:rPr>
        <w:t>Our company provides life insurance to certain employees. Our U.S. employees are provided with group life insurance in the amount of their annual salary up to a maximum of $400,000. Employees may increase this coverage at their expense. Messrs. Smith, Bello, Peccarelli, Masterson and Friedenberg are eligible for this benefit.</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Termination Benefits</w:t>
      </w:r>
    </w:p>
    <w:p>
      <w:pPr>
        <w:spacing w:after="0" w:line="35" w:lineRule="exact"/>
        <w:rPr>
          <w:sz w:val="20"/>
          <w:szCs w:val="20"/>
          <w:color w:val="auto"/>
        </w:rPr>
      </w:pPr>
    </w:p>
    <w:p>
      <w:pPr>
        <w:ind w:left="220" w:right="180"/>
        <w:spacing w:after="0" w:line="238" w:lineRule="auto"/>
        <w:rPr>
          <w:sz w:val="20"/>
          <w:szCs w:val="20"/>
          <w:color w:val="auto"/>
        </w:rPr>
      </w:pPr>
      <w:r>
        <w:rPr>
          <w:rFonts w:ascii="Arial" w:cs="Arial" w:eastAsia="Arial" w:hAnsi="Arial"/>
          <w:sz w:val="18"/>
          <w:szCs w:val="18"/>
          <w:color w:val="auto"/>
        </w:rPr>
        <w:t>Each of our named executive officers may be eligible to receive certain payments and benefits if their employment is terminated under certain circumstances. Additional information is provided in the “Termination Benefits” subsection of this circular. The HR Committee believes that potential termination benefits enhance our ability to attract and retain our executive officers. These benefits do not enhance an executive’s income while employed at our company and are independent of direct compensation decisions made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0"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67</w:t>
      </w:r>
    </w:p>
    <w:p>
      <w:pPr>
        <w:sectPr>
          <w:pgSz w:w="11900" w:h="16838" w:orient="portrait"/>
          <w:cols w:equalWidth="0" w:num="1">
            <w:col w:w="11200"/>
          </w:cols>
          <w:pgMar w:left="240" w:top="458" w:right="4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Equity Grant Policy</w:t>
      </w:r>
    </w:p>
    <w:p>
      <w:pPr>
        <w:spacing w:after="0" w:line="35" w:lineRule="exact"/>
        <w:rPr>
          <w:sz w:val="20"/>
          <w:szCs w:val="20"/>
          <w:color w:val="auto"/>
        </w:rPr>
      </w:pPr>
    </w:p>
    <w:p>
      <w:pPr>
        <w:ind w:left="220" w:right="560"/>
        <w:spacing w:after="0" w:line="244" w:lineRule="auto"/>
        <w:rPr>
          <w:sz w:val="20"/>
          <w:szCs w:val="20"/>
          <w:color w:val="auto"/>
        </w:rPr>
      </w:pPr>
      <w:r>
        <w:rPr>
          <w:rFonts w:ascii="Arial" w:cs="Arial" w:eastAsia="Arial" w:hAnsi="Arial"/>
          <w:sz w:val="18"/>
          <w:szCs w:val="18"/>
          <w:color w:val="auto"/>
        </w:rPr>
        <w:t>We have an equity grant policy which sets forth approval requirements for annual and off-cycle awards. The following describes our current policy.</w:t>
      </w:r>
    </w:p>
    <w:p>
      <w:pPr>
        <w:spacing w:after="0" w:line="91" w:lineRule="exact"/>
        <w:rPr>
          <w:sz w:val="20"/>
          <w:szCs w:val="20"/>
          <w:color w:val="auto"/>
        </w:rPr>
      </w:pPr>
    </w:p>
    <w:p>
      <w:pPr>
        <w:ind w:left="220" w:right="160"/>
        <w:spacing w:after="0" w:line="244" w:lineRule="auto"/>
        <w:rPr>
          <w:sz w:val="20"/>
          <w:szCs w:val="20"/>
          <w:color w:val="auto"/>
        </w:rPr>
      </w:pPr>
      <w:r>
        <w:rPr>
          <w:rFonts w:ascii="Arial" w:cs="Arial" w:eastAsia="Arial" w:hAnsi="Arial"/>
          <w:sz w:val="18"/>
          <w:szCs w:val="18"/>
          <w:color w:val="auto"/>
        </w:rPr>
        <w:t>Annual grants of long-term incentive awards are typically approved at the board’s meeting in March of each year. In certain years, grants have occurred later in the year. Annual awards in 2018 were granted in June as a result of the F&amp;R transaction.</w:t>
      </w:r>
    </w:p>
    <w:p>
      <w:pPr>
        <w:spacing w:after="0" w:line="91"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Under the equity grant policy, the CEO is authorized to approve certain off-cycle awards, depending on the size of the grant and the identity of the particular grantee. Awards that exceed the CEO’s approval authority are submitted to the HR Committee. In addition, under the policy, unless we are in a designated closed period or are in possession of material nonpublic information, off-cycle awards are granted on the 10th day of each month.</w:t>
      </w:r>
    </w:p>
    <w:p>
      <w:pPr>
        <w:spacing w:after="0" w:line="94" w:lineRule="exact"/>
        <w:rPr>
          <w:sz w:val="20"/>
          <w:szCs w:val="20"/>
          <w:color w:val="auto"/>
        </w:rPr>
      </w:pPr>
    </w:p>
    <w:p>
      <w:pPr>
        <w:ind w:left="220"/>
        <w:spacing w:after="0" w:line="244" w:lineRule="auto"/>
        <w:rPr>
          <w:sz w:val="20"/>
          <w:szCs w:val="20"/>
          <w:color w:val="auto"/>
        </w:rPr>
      </w:pPr>
      <w:r>
        <w:rPr>
          <w:rFonts w:ascii="Arial" w:cs="Arial" w:eastAsia="Arial" w:hAnsi="Arial"/>
          <w:sz w:val="18"/>
          <w:szCs w:val="18"/>
          <w:color w:val="auto"/>
        </w:rPr>
        <w:t>New hire awards are made on the 10th day of the month following the month in which the grantee commenced employment with Thomson Reuters.</w:t>
      </w:r>
    </w:p>
    <w:p>
      <w:pPr>
        <w:spacing w:after="0" w:line="91" w:lineRule="exact"/>
        <w:rPr>
          <w:sz w:val="20"/>
          <w:szCs w:val="20"/>
          <w:color w:val="auto"/>
        </w:rPr>
      </w:pPr>
    </w:p>
    <w:p>
      <w:pPr>
        <w:ind w:left="220" w:right="40"/>
        <w:spacing w:after="0" w:line="238" w:lineRule="auto"/>
        <w:rPr>
          <w:sz w:val="20"/>
          <w:szCs w:val="20"/>
          <w:color w:val="auto"/>
        </w:rPr>
      </w:pPr>
      <w:r>
        <w:rPr>
          <w:rFonts w:ascii="Arial" w:cs="Arial" w:eastAsia="Arial" w:hAnsi="Arial"/>
          <w:sz w:val="18"/>
          <w:szCs w:val="18"/>
          <w:color w:val="auto"/>
        </w:rPr>
        <w:t>Promotion-related awards are made on the 10th day of the month following the month in which the grantee’s promotion was made effective by Thomson Reuters. If we are in a designated closed period or otherwise are in possession of material nonpublic information on the date that a grant would typically be made, then the grant is not made until the 10th day of the month following the month when the closed period ended, or when we are no longer in possession of material nonpublic information.</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the 10th day of the month is not a business day, then the applicable award is made on the next business day that follows the 10th.</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Insider Trading Policy/Pledging and Hedging Restrictions</w:t>
      </w:r>
    </w:p>
    <w:p>
      <w:pPr>
        <w:spacing w:after="0" w:line="35" w:lineRule="exact"/>
        <w:rPr>
          <w:sz w:val="20"/>
          <w:szCs w:val="20"/>
          <w:color w:val="auto"/>
        </w:rPr>
      </w:pPr>
    </w:p>
    <w:p>
      <w:pPr>
        <w:ind w:left="220" w:right="260"/>
        <w:spacing w:after="0" w:line="236" w:lineRule="auto"/>
        <w:rPr>
          <w:sz w:val="20"/>
          <w:szCs w:val="20"/>
          <w:color w:val="auto"/>
        </w:rPr>
      </w:pPr>
      <w:r>
        <w:rPr>
          <w:rFonts w:ascii="Arial" w:cs="Arial" w:eastAsia="Arial" w:hAnsi="Arial"/>
          <w:sz w:val="18"/>
          <w:szCs w:val="18"/>
          <w:color w:val="auto"/>
        </w:rPr>
        <w:t xml:space="preserve">Our directors and executive officers are required to obtain pre-clearance prior to trading in Thomson Reuters securities. Directors and executive officers may only trade in securities of our company during designated open periods when they do not possess material nonpublic information. Our open periods begin on the business day after we release quarterly or annual earnings and end on the last business day of the quarter or year. Directors and executive officers report their transactions in our securities through the System for Electronic Disclosure by Insiders (SEDI) in Canada, which can be accessed at </w:t>
      </w:r>
      <w:r>
        <w:rPr>
          <w:rFonts w:ascii="Arial" w:cs="Arial" w:eastAsia="Arial" w:hAnsi="Arial"/>
          <w:sz w:val="18"/>
          <w:szCs w:val="18"/>
          <w:b w:val="1"/>
          <w:bCs w:val="1"/>
          <w:color w:val="D95A3B"/>
        </w:rPr>
        <w:t>www.sedi.ca</w:t>
      </w:r>
      <w:r>
        <w:rPr>
          <w:rFonts w:ascii="Arial" w:cs="Arial" w:eastAsia="Arial" w:hAnsi="Arial"/>
          <w:sz w:val="18"/>
          <w:szCs w:val="18"/>
          <w:color w:val="auto"/>
        </w:rPr>
        <w:t>. Our directors and executive officers are exempt from reporting their transactions with the U.S. Securities and Exchange Commission (SEC) as our company is a foreign private issuer for SEC purposes.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directors and executive officers are prohibited from pledging Thomson Reuters securities or holding them in margin accounts.</w:t>
      </w:r>
    </w:p>
    <w:p>
      <w:pPr>
        <w:spacing w:after="0" w:line="103" w:lineRule="exact"/>
        <w:rPr>
          <w:sz w:val="20"/>
          <w:szCs w:val="20"/>
          <w:color w:val="auto"/>
        </w:rPr>
      </w:pPr>
    </w:p>
    <w:p>
      <w:pPr>
        <w:ind w:left="220" w:right="160"/>
        <w:spacing w:after="0" w:line="256" w:lineRule="auto"/>
        <w:rPr>
          <w:sz w:val="20"/>
          <w:szCs w:val="20"/>
          <w:color w:val="auto"/>
        </w:rPr>
      </w:pPr>
      <w:r>
        <w:rPr>
          <w:rFonts w:ascii="Arial" w:cs="Arial" w:eastAsia="Arial" w:hAnsi="Arial"/>
          <w:sz w:val="17"/>
          <w:szCs w:val="17"/>
          <w:color w:val="auto"/>
        </w:rPr>
        <w:t>Our directors, officers and employees are restricted from purchasing financial instruments or otherwise engaging in transactions that are designed to, or have the effect of, hedging or offsetting any decrease in the market value of Thomson Reuters securities. Prohibited transactions of this type including, but not are limited to, trading in puts and calls in Thomson Reuters securities, short sales of Thomson Reuters securities and other types of hedging transactions, such as prepaid variable forward sale contracts, equity swaps and collars.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111760</wp:posOffset>
            </wp:positionV>
            <wp:extent cx="697357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1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68</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180"/>
          </w:cols>
          <w:pgMar w:left="240" w:top="458"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Performance Graphs</w:t>
      </w:r>
    </w:p>
    <w:p>
      <w:pPr>
        <w:spacing w:after="0" w:line="35" w:lineRule="exact"/>
        <w:rPr>
          <w:sz w:val="20"/>
          <w:szCs w:val="20"/>
          <w:color w:val="auto"/>
        </w:rPr>
      </w:pPr>
    </w:p>
    <w:p>
      <w:pPr>
        <w:ind w:left="220" w:right="380"/>
        <w:spacing w:after="0" w:line="239" w:lineRule="auto"/>
        <w:rPr>
          <w:sz w:val="20"/>
          <w:szCs w:val="20"/>
          <w:color w:val="auto"/>
        </w:rPr>
      </w:pPr>
      <w:r>
        <w:rPr>
          <w:rFonts w:ascii="Arial" w:cs="Arial" w:eastAsia="Arial" w:hAnsi="Arial"/>
          <w:sz w:val="18"/>
          <w:szCs w:val="18"/>
          <w:color w:val="auto"/>
        </w:rPr>
        <w:t>The following graphs compare our cumulative total shareholder return, assuming reinvestment of dividends, of C $100 and US$100 invested in our common shares for the periods presented. Our common shares are listed on the New York Stock Exchange (NYSE) in U.S. dollars and on the Toronto Stock Exchange (TSX) in Canadian dollars under the symbol “TRI”.</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Cumulative Value of a C$100 Investment</w:t>
      </w:r>
    </w:p>
    <w:p>
      <w:pPr>
        <w:spacing w:after="0" w:line="35" w:lineRule="exact"/>
        <w:rPr>
          <w:sz w:val="20"/>
          <w:szCs w:val="20"/>
          <w:color w:val="auto"/>
        </w:rPr>
      </w:pPr>
    </w:p>
    <w:p>
      <w:pPr>
        <w:ind w:left="220" w:right="40"/>
        <w:spacing w:after="0" w:line="239" w:lineRule="auto"/>
        <w:rPr>
          <w:sz w:val="20"/>
          <w:szCs w:val="20"/>
          <w:color w:val="auto"/>
        </w:rPr>
      </w:pPr>
      <w:r>
        <w:rPr>
          <w:rFonts w:ascii="Arial" w:cs="Arial" w:eastAsia="Arial" w:hAnsi="Arial"/>
          <w:sz w:val="18"/>
          <w:szCs w:val="18"/>
          <w:color w:val="auto"/>
        </w:rPr>
        <w:t>A significant portion of our revenues is generated in U.S. dollars and our financial statements are expressed in U.S. dollars. As such, the appreciation of the U.S. dollar relative to the Canadian dollar can have a favorable effect on the value of our Canadian dollar-denominated common shares. Our common shares are included in the S&amp;P/TSX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69215</wp:posOffset>
            </wp:positionV>
            <wp:extent cx="6007735" cy="15386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07735" cy="153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Cumulative Value of a US$100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74295</wp:posOffset>
            </wp:positionV>
            <wp:extent cx="6007735" cy="15379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07735" cy="153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right="120"/>
        <w:spacing w:after="0" w:line="237" w:lineRule="auto"/>
        <w:rPr>
          <w:sz w:val="20"/>
          <w:szCs w:val="20"/>
          <w:color w:val="auto"/>
        </w:rPr>
      </w:pPr>
      <w:r>
        <w:rPr>
          <w:rFonts w:ascii="Arial" w:cs="Arial" w:eastAsia="Arial" w:hAnsi="Arial"/>
          <w:sz w:val="18"/>
          <w:szCs w:val="18"/>
          <w:color w:val="auto"/>
        </w:rPr>
        <w:t>In the performance graphs above, the total shareholder return on our Canadian and U.S. dollar-denominated shares for the period ended December 31, 2018 reflects shareholder participation in our company’s November 2018 return of capital transaction and treats the US$4.45 per share cash distribution as a dividend reinvested in additional shares. The return of capital transaction (approximately US$2.3 billion in the aggregate) also included a consolidation of our outstanding common shares (or reverse stock split) at a ratio of 1 pre-consolidated share for 0.9079 post-consolidated shares. The share consolidation was proportional to the cash distribution.</w:t>
      </w:r>
    </w:p>
    <w:p>
      <w:pPr>
        <w:spacing w:after="0" w:line="95"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Certain taxable non-Canadian resident shareholders (which included taxable U.S. resident shareholders and others) were able to opt out of the return of capital transaction. Eligible shareholders who opted out of the transaction did not receive the cash distribution and continued to hold the same number of shares that they held prior to the effective time of the transaction. The total shareholder return on our U.S. dollar-denominated shares for a shareholder that opted out of the return of capital transaction (i.e., not including the US$4.45 per share cash distribution as a reinvested dividend) for the period ended December 31, 2018 is US$151. The slight difference between the two calculations of total shareholder return was due to changes in our share price between the time we announced the share consolidation ratio and when the return of capital transaction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121285</wp:posOffset>
            </wp:positionV>
            <wp:extent cx="697357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2"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69</w:t>
      </w:r>
    </w:p>
    <w:p>
      <w:pPr>
        <w:sectPr>
          <w:pgSz w:w="11900" w:h="16838" w:orient="portrait"/>
          <w:cols w:equalWidth="0" w:num="1">
            <w:col w:w="11200"/>
          </w:cols>
          <w:pgMar w:left="240" w:top="458"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Historic Named Executive Officer Compensation</w:t>
      </w:r>
    </w:p>
    <w:p>
      <w:pPr>
        <w:spacing w:after="0" w:line="35"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Over the past five years (from January 1, 2014 to December 31, 2018), the total shareholder return of our U.S. and Canadian-dollar denominated common shares was approximately 50% and 93%, respectively. During this same period, the total shareholder return for our U.S. dollar-denominated shares was equivalent to the S&amp;P 500 composite index but and the total return for our Canadian dollar-denominated shares was well above the S&amp;P/TSX 60 composite index, primarily due to the strengthening of the U.S. dollar relative to the Canadian dollar in recent years.</w:t>
      </w:r>
    </w:p>
    <w:p>
      <w:pPr>
        <w:spacing w:after="0" w:line="95" w:lineRule="exact"/>
        <w:rPr>
          <w:sz w:val="20"/>
          <w:szCs w:val="20"/>
          <w:color w:val="auto"/>
        </w:rPr>
      </w:pPr>
    </w:p>
    <w:p>
      <w:pPr>
        <w:ind w:left="220" w:right="40"/>
        <w:spacing w:after="0" w:line="244" w:lineRule="auto"/>
        <w:rPr>
          <w:sz w:val="20"/>
          <w:szCs w:val="20"/>
          <w:color w:val="auto"/>
        </w:rPr>
      </w:pPr>
      <w:r>
        <w:rPr>
          <w:rFonts w:ascii="Arial" w:cs="Arial" w:eastAsia="Arial" w:hAnsi="Arial"/>
          <w:sz w:val="18"/>
          <w:szCs w:val="18"/>
          <w:color w:val="auto"/>
        </w:rPr>
        <w:t>We believe that the five-year trend set forth below reflects thoughtful and balanced compensation decision-making related to our CEO and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66675</wp:posOffset>
            </wp:positionV>
            <wp:extent cx="5956300" cy="23926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5630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2019 Key Compensation Decisions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HR Committee recently made a number of 2019 compensation decisions:</w:t>
      </w:r>
    </w:p>
    <w:p>
      <w:pPr>
        <w:spacing w:after="0" w:line="116" w:lineRule="exact"/>
        <w:rPr>
          <w:sz w:val="20"/>
          <w:szCs w:val="20"/>
          <w:color w:val="auto"/>
        </w:rPr>
      </w:pPr>
    </w:p>
    <w:p>
      <w:pPr>
        <w:ind w:left="700" w:right="40" w:hanging="262"/>
        <w:spacing w:after="0" w:line="239" w:lineRule="auto"/>
        <w:tabs>
          <w:tab w:leader="none" w:pos="700" w:val="left"/>
        </w:tabs>
        <w:numPr>
          <w:ilvl w:val="0"/>
          <w:numId w:val="42"/>
        </w:numPr>
        <w:rPr>
          <w:rFonts w:ascii="Arial" w:cs="Arial" w:eastAsia="Arial" w:hAnsi="Arial"/>
          <w:sz w:val="15"/>
          <w:szCs w:val="15"/>
          <w:color w:val="auto"/>
        </w:rPr>
      </w:pPr>
      <w:r>
        <w:rPr>
          <w:rFonts w:ascii="Arial" w:cs="Arial" w:eastAsia="Arial" w:hAnsi="Arial"/>
          <w:sz w:val="18"/>
          <w:szCs w:val="18"/>
          <w:color w:val="auto"/>
        </w:rPr>
        <w:t>After an evaluation of current market positioning of their compensation, none of our named executive officers received a base salary increase for 2019. In addition, our named executive officers were granted 2019 annual and long-term incentive awards with target payouts reflected at the same percentages of base salary as their 2018 awards.</w:t>
      </w:r>
    </w:p>
    <w:p>
      <w:pPr>
        <w:spacing w:after="0" w:line="68" w:lineRule="exact"/>
        <w:rPr>
          <w:rFonts w:ascii="Arial" w:cs="Arial" w:eastAsia="Arial" w:hAnsi="Arial"/>
          <w:sz w:val="15"/>
          <w:szCs w:val="15"/>
          <w:color w:val="auto"/>
        </w:rPr>
      </w:pPr>
    </w:p>
    <w:p>
      <w:pPr>
        <w:ind w:left="700" w:hanging="262"/>
        <w:spacing w:after="0" w:line="236" w:lineRule="auto"/>
        <w:tabs>
          <w:tab w:leader="none" w:pos="700" w:val="left"/>
        </w:tabs>
        <w:numPr>
          <w:ilvl w:val="0"/>
          <w:numId w:val="42"/>
        </w:numPr>
        <w:rPr>
          <w:rFonts w:ascii="Arial" w:cs="Arial" w:eastAsia="Arial" w:hAnsi="Arial"/>
          <w:sz w:val="15"/>
          <w:szCs w:val="15"/>
          <w:color w:val="auto"/>
        </w:rPr>
      </w:pPr>
      <w:r>
        <w:rPr>
          <w:rFonts w:ascii="Arial" w:cs="Arial" w:eastAsia="Arial" w:hAnsi="Arial"/>
          <w:sz w:val="18"/>
          <w:szCs w:val="18"/>
          <w:color w:val="auto"/>
        </w:rPr>
        <w:t>2019 annual incentive awards for our named executive officers were weighted 1/3 each on organic revenue growth, book of business and adjusted EBITDA less capital expenditures performance. The only change to these metrics from 2018 annual incentive awards is that total revenue growth (which includes growth from acquisitions) was replaced with total organic revenue growth. All metrics are based on Thomson Reuters consolidated performance, which the HR Committee believes promotes teamwork and enables more enterprise collaboration. Similar to 2018 annual incentive awards described in this circular, the HR Committee also agreed to include an individual performance modifier that would allow the HR Committee to modify awards up or down by 15% (except for the CEO’s award).</w:t>
      </w:r>
    </w:p>
    <w:p>
      <w:pPr>
        <w:spacing w:after="0" w:line="69" w:lineRule="exact"/>
        <w:rPr>
          <w:rFonts w:ascii="Arial" w:cs="Arial" w:eastAsia="Arial" w:hAnsi="Arial"/>
          <w:sz w:val="15"/>
          <w:szCs w:val="15"/>
          <w:color w:val="auto"/>
        </w:rPr>
      </w:pPr>
    </w:p>
    <w:p>
      <w:pPr>
        <w:ind w:left="700" w:right="80" w:hanging="262"/>
        <w:spacing w:after="0" w:line="236" w:lineRule="auto"/>
        <w:tabs>
          <w:tab w:leader="none" w:pos="700" w:val="left"/>
        </w:tabs>
        <w:numPr>
          <w:ilvl w:val="0"/>
          <w:numId w:val="42"/>
        </w:numPr>
        <w:rPr>
          <w:rFonts w:ascii="Arial" w:cs="Arial" w:eastAsia="Arial" w:hAnsi="Arial"/>
          <w:sz w:val="15"/>
          <w:szCs w:val="15"/>
          <w:color w:val="auto"/>
        </w:rPr>
      </w:pPr>
      <w:r>
        <w:rPr>
          <w:rFonts w:ascii="Arial" w:cs="Arial" w:eastAsia="Arial" w:hAnsi="Arial"/>
          <w:sz w:val="18"/>
          <w:szCs w:val="18"/>
          <w:color w:val="auto"/>
        </w:rPr>
        <w:t>2019 long-term incentive awards for our named executive officers were split between 50% PRSUs, 25% TRSUs and 25% stock options. PRSUs granted for the 2019-2021 performance period are weighted 50% each on average organic revenue growth and average free cash flow per share performance. Organic revenue growth replaced adjusted EPS as a PRSU performance metric included in past long-term incentive awards. The HR Committee believes that organic revenue growth over a multi-year period complements the same metric as reflected in 2019 annual incentive awards and aligns to the company’s strategic priorities. The HR Committee also believes that including a component of TRSUs in long-term awards balances the award mix and supports retention, while still promoting a performance culture in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121285</wp:posOffset>
            </wp:positionV>
            <wp:extent cx="697357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2"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70</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Executive Compensation</w:t>
      </w:r>
    </w:p>
    <w:p>
      <w:pPr>
        <w:spacing w:after="0" w:line="3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Summary Compensation Table</w:t>
      </w:r>
    </w:p>
    <w:p>
      <w:pPr>
        <w:spacing w:after="0" w:line="146" w:lineRule="exact"/>
        <w:rPr>
          <w:sz w:val="20"/>
          <w:szCs w:val="20"/>
          <w:color w:val="auto"/>
        </w:rPr>
      </w:pPr>
    </w:p>
    <w:p>
      <w:pPr>
        <w:jc w:val="both"/>
        <w:ind w:left="220" w:right="60"/>
        <w:spacing w:after="0" w:line="239" w:lineRule="auto"/>
        <w:rPr>
          <w:sz w:val="20"/>
          <w:szCs w:val="20"/>
          <w:color w:val="auto"/>
        </w:rPr>
      </w:pPr>
      <w:r>
        <w:rPr>
          <w:rFonts w:ascii="Arial" w:cs="Arial" w:eastAsia="Arial" w:hAnsi="Arial"/>
          <w:sz w:val="18"/>
          <w:szCs w:val="18"/>
          <w:color w:val="auto"/>
        </w:rPr>
        <w:t>The table below shows the compensation earned in the last three years by our named executive officers. Total compensation as reflected in the table below includes various items based on grant date fair value of awards as well as accounting and actuarial assumptions, which are not necessarily indicative of compensation realizable by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6354445</wp:posOffset>
            </wp:positionH>
            <wp:positionV relativeFrom="paragraph">
              <wp:posOffset>146050</wp:posOffset>
            </wp:positionV>
            <wp:extent cx="8255" cy="768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768985"/>
                    </a:xfrm>
                    <a:prstGeom prst="rect">
                      <a:avLst/>
                    </a:prstGeom>
                    <a:noFill/>
                  </pic:spPr>
                </pic:pic>
              </a:graphicData>
            </a:graphic>
          </wp:anchor>
        </w:drawing>
        <w:drawing>
          <wp:anchor simplePos="0" relativeHeight="251657728" behindDoc="1" locked="0" layoutInCell="0" allowOverlap="1">
            <wp:simplePos x="0" y="0"/>
            <wp:positionH relativeFrom="column">
              <wp:posOffset>5593715</wp:posOffset>
            </wp:positionH>
            <wp:positionV relativeFrom="paragraph">
              <wp:posOffset>146050</wp:posOffset>
            </wp:positionV>
            <wp:extent cx="8255" cy="768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76898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146050</wp:posOffset>
            </wp:positionV>
            <wp:extent cx="8255" cy="768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768985"/>
                    </a:xfrm>
                    <a:prstGeom prst="rect">
                      <a:avLst/>
                    </a:prstGeom>
                    <a:noFill/>
                  </pic:spPr>
                </pic:pic>
              </a:graphicData>
            </a:graphic>
          </wp:anchor>
        </w:drawing>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Borders>
              <w:right w:val="single" w:sz="8" w:color="E5E5E5"/>
            </w:tcBorders>
          </w:tcPr>
          <w:p>
            <w:pPr>
              <w:spacing w:after="0"/>
              <w:rPr>
                <w:sz w:val="15"/>
                <w:szCs w:val="15"/>
                <w:color w:val="auto"/>
              </w:rPr>
            </w:pPr>
          </w:p>
        </w:tc>
        <w:tc>
          <w:tcPr>
            <w:tcW w:w="140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Non-equity</w:t>
            </w:r>
          </w:p>
        </w:tc>
        <w:tc>
          <w:tcPr>
            <w:tcW w:w="860" w:type="dxa"/>
            <w:vAlign w:val="bottom"/>
            <w:tcBorders>
              <w:right w:val="single" w:sz="8" w:color="E5E5E5"/>
            </w:tcBorders>
            <w:shd w:val="clear" w:color="auto" w:fill="E5E5E5"/>
          </w:tcPr>
          <w:p>
            <w:pPr>
              <w:spacing w:after="0"/>
              <w:rPr>
                <w:sz w:val="15"/>
                <w:szCs w:val="15"/>
                <w:color w:val="auto"/>
              </w:rPr>
            </w:pPr>
          </w:p>
        </w:tc>
        <w:tc>
          <w:tcPr>
            <w:tcW w:w="1200" w:type="dxa"/>
            <w:vAlign w:val="bottom"/>
            <w:tcBorders>
              <w:right w:val="single" w:sz="8" w:color="E5E5E5"/>
            </w:tcBorders>
            <w:shd w:val="clear" w:color="auto" w:fill="E5E5E5"/>
          </w:tcPr>
          <w:p>
            <w:pPr>
              <w:spacing w:after="0"/>
              <w:rPr>
                <w:sz w:val="15"/>
                <w:szCs w:val="15"/>
                <w:color w:val="auto"/>
              </w:rPr>
            </w:pPr>
          </w:p>
        </w:tc>
        <w:tc>
          <w:tcPr>
            <w:tcW w:w="11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Borders>
              <w:right w:val="single" w:sz="8" w:color="E5E5E5"/>
            </w:tcBorders>
          </w:tcPr>
          <w:p>
            <w:pPr>
              <w:spacing w:after="0"/>
              <w:rPr>
                <w:sz w:val="14"/>
                <w:szCs w:val="14"/>
                <w:color w:val="auto"/>
              </w:rPr>
            </w:pPr>
          </w:p>
        </w:tc>
        <w:tc>
          <w:tcPr>
            <w:tcW w:w="140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incentive plan</w:t>
            </w:r>
          </w:p>
        </w:tc>
        <w:tc>
          <w:tcPr>
            <w:tcW w:w="860" w:type="dxa"/>
            <w:vAlign w:val="bottom"/>
            <w:tcBorders>
              <w:right w:val="single" w:sz="8" w:color="E5E5E5"/>
            </w:tcBorders>
            <w:shd w:val="clear" w:color="auto" w:fill="E5E5E5"/>
          </w:tcPr>
          <w:p>
            <w:pPr>
              <w:spacing w:after="0"/>
              <w:rPr>
                <w:sz w:val="14"/>
                <w:szCs w:val="14"/>
                <w:color w:val="auto"/>
              </w:rPr>
            </w:pPr>
          </w:p>
        </w:tc>
        <w:tc>
          <w:tcPr>
            <w:tcW w:w="120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All other</w:t>
            </w:r>
          </w:p>
        </w:tc>
        <w:tc>
          <w:tcPr>
            <w:tcW w:w="1180" w:type="dxa"/>
            <w:vAlign w:val="bottom"/>
            <w:shd w:val="clear" w:color="auto" w:fill="E5E5E5"/>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Borders>
              <w:right w:val="single" w:sz="8" w:color="E5E5E5"/>
            </w:tcBorders>
          </w:tcPr>
          <w:p>
            <w:pPr>
              <w:spacing w:after="0"/>
              <w:rPr>
                <w:sz w:val="13"/>
                <w:szCs w:val="13"/>
                <w:color w:val="auto"/>
              </w:rPr>
            </w:pPr>
          </w:p>
        </w:tc>
        <w:tc>
          <w:tcPr>
            <w:tcW w:w="1400" w:type="dxa"/>
            <w:vAlign w:val="bottom"/>
            <w:tcBorders>
              <w:right w:val="single" w:sz="8" w:color="E5E5E5"/>
            </w:tcBorders>
            <w:shd w:val="clear" w:color="auto" w:fill="E5E5E5"/>
          </w:tcPr>
          <w:p>
            <w:pPr>
              <w:jc w:val="center"/>
              <w:spacing w:after="0" w:line="158" w:lineRule="exact"/>
              <w:rPr>
                <w:sz w:val="20"/>
                <w:szCs w:val="20"/>
                <w:color w:val="auto"/>
              </w:rPr>
            </w:pPr>
            <w:r>
              <w:rPr>
                <w:rFonts w:ascii="Arial" w:cs="Arial" w:eastAsia="Arial" w:hAnsi="Arial"/>
                <w:sz w:val="14"/>
                <w:szCs w:val="14"/>
                <w:b w:val="1"/>
                <w:bCs w:val="1"/>
                <w:color w:val="auto"/>
              </w:rPr>
              <w:t>compensation</w:t>
            </w:r>
          </w:p>
        </w:tc>
        <w:tc>
          <w:tcPr>
            <w:tcW w:w="860" w:type="dxa"/>
            <w:vAlign w:val="bottom"/>
            <w:tcBorders>
              <w:right w:val="single" w:sz="8" w:color="E5E5E5"/>
            </w:tcBorders>
            <w:shd w:val="clear" w:color="auto" w:fill="E5E5E5"/>
          </w:tcPr>
          <w:p>
            <w:pPr>
              <w:jc w:val="right"/>
              <w:ind w:right="89"/>
              <w:spacing w:after="0" w:line="158" w:lineRule="exact"/>
              <w:rPr>
                <w:sz w:val="20"/>
                <w:szCs w:val="20"/>
                <w:color w:val="auto"/>
              </w:rPr>
            </w:pPr>
            <w:r>
              <w:rPr>
                <w:rFonts w:ascii="Arial" w:cs="Arial" w:eastAsia="Arial" w:hAnsi="Arial"/>
                <w:sz w:val="14"/>
                <w:szCs w:val="14"/>
                <w:b w:val="1"/>
                <w:bCs w:val="1"/>
                <w:color w:val="auto"/>
              </w:rPr>
              <w:t>Pension</w:t>
            </w:r>
          </w:p>
        </w:tc>
        <w:tc>
          <w:tcPr>
            <w:tcW w:w="1200" w:type="dxa"/>
            <w:vAlign w:val="bottom"/>
            <w:tcBorders>
              <w:right w:val="single" w:sz="8" w:color="E5E5E5"/>
            </w:tcBorders>
            <w:shd w:val="clear" w:color="auto" w:fill="E5E5E5"/>
          </w:tcPr>
          <w:p>
            <w:pPr>
              <w:jc w:val="center"/>
              <w:spacing w:after="0" w:line="158" w:lineRule="exact"/>
              <w:rPr>
                <w:sz w:val="20"/>
                <w:szCs w:val="20"/>
                <w:color w:val="auto"/>
              </w:rPr>
            </w:pPr>
            <w:r>
              <w:rPr>
                <w:rFonts w:ascii="Arial" w:cs="Arial" w:eastAsia="Arial" w:hAnsi="Arial"/>
                <w:sz w:val="14"/>
                <w:szCs w:val="14"/>
                <w:b w:val="1"/>
                <w:bCs w:val="1"/>
                <w:color w:val="auto"/>
              </w:rPr>
              <w:t>compensation</w:t>
            </w:r>
          </w:p>
        </w:tc>
        <w:tc>
          <w:tcPr>
            <w:tcW w:w="1180" w:type="dxa"/>
            <w:vAlign w:val="bottom"/>
            <w:shd w:val="clear" w:color="auto" w:fill="E5E5E5"/>
          </w:tcPr>
          <w:p>
            <w:pPr>
              <w:jc w:val="center"/>
              <w:spacing w:after="0" w:line="158"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CCCCCC"/>
            </w:tcBorders>
          </w:tcPr>
          <w:p>
            <w:pPr>
              <w:spacing w:after="0"/>
              <w:rPr>
                <w:sz w:val="16"/>
                <w:szCs w:val="16"/>
                <w:color w:val="auto"/>
              </w:rPr>
            </w:pPr>
          </w:p>
        </w:tc>
        <w:tc>
          <w:tcPr>
            <w:tcW w:w="560" w:type="dxa"/>
            <w:vAlign w:val="bottom"/>
            <w:tcBorders>
              <w:bottom w:val="single" w:sz="8" w:color="CCCCCC"/>
            </w:tcBorders>
          </w:tcPr>
          <w:p>
            <w:pPr>
              <w:spacing w:after="0"/>
              <w:rPr>
                <w:sz w:val="16"/>
                <w:szCs w:val="16"/>
                <w:color w:val="auto"/>
              </w:rPr>
            </w:pPr>
          </w:p>
        </w:tc>
        <w:tc>
          <w:tcPr>
            <w:tcW w:w="780" w:type="dxa"/>
            <w:vAlign w:val="bottom"/>
            <w:tcBorders>
              <w:bottom w:val="single" w:sz="8" w:color="CCCCCC"/>
            </w:tcBorders>
          </w:tcPr>
          <w:p>
            <w:pPr>
              <w:spacing w:after="0"/>
              <w:rPr>
                <w:sz w:val="16"/>
                <w:szCs w:val="16"/>
                <w:color w:val="auto"/>
              </w:rPr>
            </w:pPr>
          </w:p>
        </w:tc>
        <w:tc>
          <w:tcPr>
            <w:tcW w:w="200" w:type="dxa"/>
            <w:vAlign w:val="bottom"/>
            <w:tcBorders>
              <w:bottom w:val="single" w:sz="8" w:color="CCCCCC"/>
            </w:tcBorders>
          </w:tcPr>
          <w:p>
            <w:pPr>
              <w:spacing w:after="0"/>
              <w:rPr>
                <w:sz w:val="16"/>
                <w:szCs w:val="16"/>
                <w:color w:val="auto"/>
              </w:rPr>
            </w:pPr>
          </w:p>
        </w:tc>
        <w:tc>
          <w:tcPr>
            <w:tcW w:w="840" w:type="dxa"/>
            <w:vAlign w:val="bottom"/>
            <w:tcBorders>
              <w:bottom w:val="single" w:sz="8" w:color="CCCCCC"/>
            </w:tcBorders>
          </w:tcPr>
          <w:p>
            <w:pPr>
              <w:spacing w:after="0"/>
              <w:rPr>
                <w:sz w:val="16"/>
                <w:szCs w:val="16"/>
                <w:color w:val="auto"/>
              </w:rPr>
            </w:pPr>
          </w:p>
        </w:tc>
        <w:tc>
          <w:tcPr>
            <w:tcW w:w="200" w:type="dxa"/>
            <w:vAlign w:val="bottom"/>
            <w:tcBorders>
              <w:bottom w:val="single" w:sz="8" w:color="CCCCCC"/>
            </w:tcBorders>
          </w:tcPr>
          <w:p>
            <w:pPr>
              <w:spacing w:after="0"/>
              <w:rPr>
                <w:sz w:val="16"/>
                <w:szCs w:val="16"/>
                <w:color w:val="auto"/>
              </w:rPr>
            </w:pPr>
          </w:p>
        </w:tc>
        <w:tc>
          <w:tcPr>
            <w:tcW w:w="860" w:type="dxa"/>
            <w:vAlign w:val="bottom"/>
            <w:tcBorders>
              <w:bottom w:val="single" w:sz="8" w:color="CCCCCC"/>
            </w:tcBorders>
          </w:tcPr>
          <w:p>
            <w:pPr>
              <w:spacing w:after="0"/>
              <w:rPr>
                <w:sz w:val="16"/>
                <w:szCs w:val="16"/>
                <w:color w:val="auto"/>
              </w:rPr>
            </w:pPr>
          </w:p>
        </w:tc>
        <w:tc>
          <w:tcPr>
            <w:tcW w:w="200" w:type="dxa"/>
            <w:vAlign w:val="bottom"/>
            <w:tcBorders>
              <w:bottom w:val="single" w:sz="8" w:color="CCCCCC"/>
              <w:right w:val="single" w:sz="8" w:color="E5E5E5"/>
            </w:tcBorders>
          </w:tcPr>
          <w:p>
            <w:pPr>
              <w:spacing w:after="0"/>
              <w:rPr>
                <w:sz w:val="16"/>
                <w:szCs w:val="16"/>
                <w:color w:val="auto"/>
              </w:rPr>
            </w:pPr>
          </w:p>
        </w:tc>
        <w:tc>
          <w:tcPr>
            <w:tcW w:w="1400" w:type="dxa"/>
            <w:vAlign w:val="bottom"/>
            <w:tcBorders>
              <w:bottom w:val="single" w:sz="8" w:color="D95A3B"/>
              <w:right w:val="single" w:sz="8" w:color="E5E5E5"/>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95A3B"/>
              <w:right w:val="single" w:sz="8" w:color="E5E5E5"/>
            </w:tcBorders>
            <w:shd w:val="clear" w:color="auto" w:fill="E5E5E5"/>
          </w:tcPr>
          <w:p>
            <w:pPr>
              <w:jc w:val="right"/>
              <w:ind w:right="49"/>
              <w:spacing w:after="0" w:line="191" w:lineRule="exact"/>
              <w:rPr>
                <w:sz w:val="20"/>
                <w:szCs w:val="20"/>
                <w:color w:val="auto"/>
              </w:rPr>
            </w:pPr>
            <w:r>
              <w:rPr>
                <w:rFonts w:ascii="Arial" w:cs="Arial" w:eastAsia="Arial" w:hAnsi="Arial"/>
                <w:sz w:val="13"/>
                <w:szCs w:val="13"/>
                <w:b w:val="1"/>
                <w:bCs w:val="1"/>
                <w:color w:val="auto"/>
              </w:rPr>
              <w:t>value ($)</w:t>
            </w:r>
            <w:r>
              <w:rPr>
                <w:rFonts w:ascii="Arial" w:cs="Arial" w:eastAsia="Arial" w:hAnsi="Arial"/>
                <w:sz w:val="22"/>
                <w:szCs w:val="22"/>
                <w:b w:val="1"/>
                <w:bCs w:val="1"/>
                <w:color w:val="auto"/>
                <w:vertAlign w:val="superscript"/>
              </w:rPr>
              <w:t>5</w:t>
            </w:r>
          </w:p>
        </w:tc>
        <w:tc>
          <w:tcPr>
            <w:tcW w:w="1200" w:type="dxa"/>
            <w:vAlign w:val="bottom"/>
            <w:tcBorders>
              <w:bottom w:val="single" w:sz="8" w:color="D95A3B"/>
              <w:right w:val="single" w:sz="8" w:color="E5E5E5"/>
            </w:tcBorders>
            <w:shd w:val="clear" w:color="auto" w:fill="E5E5E5"/>
          </w:tcPr>
          <w:p>
            <w:pPr>
              <w:jc w:val="center"/>
              <w:spacing w:after="0" w:line="191"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2"/>
                <w:szCs w:val="22"/>
                <w:b w:val="1"/>
                <w:bCs w:val="1"/>
                <w:color w:val="auto"/>
                <w:w w:val="99"/>
                <w:vertAlign w:val="superscript"/>
              </w:rPr>
              <w:t>6</w:t>
            </w:r>
          </w:p>
        </w:tc>
        <w:tc>
          <w:tcPr>
            <w:tcW w:w="1180" w:type="dxa"/>
            <w:vAlign w:val="bottom"/>
            <w:tcBorders>
              <w:bottom w:val="single" w:sz="8" w:color="D95A3B"/>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7"/>
        </w:trPr>
        <w:tc>
          <w:tcPr>
            <w:tcW w:w="2700" w:type="dxa"/>
            <w:vAlign w:val="bottom"/>
            <w:tcBorders>
              <w:right w:val="single" w:sz="8" w:color="CCCCCC"/>
            </w:tcBorders>
            <w:vMerge w:val="restart"/>
            <w:shd w:val="clear" w:color="auto" w:fill="CCCCCC"/>
          </w:tcPr>
          <w:p>
            <w:pPr>
              <w:spacing w:after="0"/>
              <w:rPr>
                <w:sz w:val="20"/>
                <w:szCs w:val="20"/>
                <w:color w:val="auto"/>
              </w:rPr>
            </w:pPr>
            <w:r>
              <w:rPr>
                <w:rFonts w:ascii="Arial" w:cs="Arial" w:eastAsia="Arial" w:hAnsi="Arial"/>
                <w:sz w:val="15"/>
                <w:szCs w:val="15"/>
                <w:b w:val="1"/>
                <w:bCs w:val="1"/>
                <w:color w:val="auto"/>
              </w:rPr>
              <w:t>Name and principal</w:t>
            </w:r>
          </w:p>
        </w:tc>
        <w:tc>
          <w:tcPr>
            <w:tcW w:w="560" w:type="dxa"/>
            <w:vAlign w:val="bottom"/>
            <w:tcBorders>
              <w:right w:val="single" w:sz="8" w:color="CCCCCC"/>
            </w:tcBorders>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200" w:type="dxa"/>
            <w:vAlign w:val="bottom"/>
            <w:tcBorders>
              <w:right w:val="single" w:sz="8" w:color="CCCCCC"/>
            </w:tcBorders>
            <w:shd w:val="clear" w:color="auto" w:fill="CCCCCC"/>
          </w:tcPr>
          <w:p>
            <w:pPr>
              <w:spacing w:after="0"/>
              <w:rPr>
                <w:sz w:val="12"/>
                <w:szCs w:val="12"/>
                <w:color w:val="auto"/>
              </w:rPr>
            </w:pPr>
          </w:p>
        </w:tc>
        <w:tc>
          <w:tcPr>
            <w:tcW w:w="1040" w:type="dxa"/>
            <w:vAlign w:val="bottom"/>
            <w:tcBorders>
              <w:right w:val="single" w:sz="8" w:color="CCCCCC"/>
            </w:tcBorders>
            <w:gridSpan w:val="2"/>
            <w:shd w:val="clear" w:color="auto" w:fill="CCCCCC"/>
          </w:tcPr>
          <w:p>
            <w:pPr>
              <w:jc w:val="right"/>
              <w:ind w:right="55"/>
              <w:spacing w:after="0" w:line="147" w:lineRule="exact"/>
              <w:rPr>
                <w:sz w:val="20"/>
                <w:szCs w:val="20"/>
                <w:color w:val="auto"/>
              </w:rPr>
            </w:pPr>
            <w:r>
              <w:rPr>
                <w:rFonts w:ascii="Arial" w:cs="Arial" w:eastAsia="Arial" w:hAnsi="Arial"/>
                <w:sz w:val="15"/>
                <w:szCs w:val="15"/>
                <w:b w:val="1"/>
                <w:bCs w:val="1"/>
                <w:color w:val="auto"/>
              </w:rPr>
              <w:t>Share-</w:t>
            </w:r>
          </w:p>
        </w:tc>
        <w:tc>
          <w:tcPr>
            <w:tcW w:w="1060" w:type="dxa"/>
            <w:vAlign w:val="bottom"/>
            <w:tcBorders>
              <w:right w:val="single" w:sz="8" w:color="CCCCCC"/>
            </w:tcBorders>
            <w:gridSpan w:val="2"/>
            <w:shd w:val="clear" w:color="auto" w:fill="CCCCCC"/>
          </w:tcPr>
          <w:p>
            <w:pPr>
              <w:jc w:val="right"/>
              <w:ind w:right="91"/>
              <w:spacing w:after="0" w:line="147" w:lineRule="exact"/>
              <w:rPr>
                <w:sz w:val="20"/>
                <w:szCs w:val="20"/>
                <w:color w:val="auto"/>
              </w:rPr>
            </w:pPr>
            <w:r>
              <w:rPr>
                <w:rFonts w:ascii="Arial" w:cs="Arial" w:eastAsia="Arial" w:hAnsi="Arial"/>
                <w:sz w:val="15"/>
                <w:szCs w:val="15"/>
                <w:b w:val="1"/>
                <w:bCs w:val="1"/>
                <w:color w:val="auto"/>
              </w:rPr>
              <w:t>Option-</w:t>
            </w:r>
          </w:p>
        </w:tc>
        <w:tc>
          <w:tcPr>
            <w:tcW w:w="1400" w:type="dxa"/>
            <w:vAlign w:val="bottom"/>
            <w:tcBorders>
              <w:right w:val="single" w:sz="8" w:color="CCCCCC"/>
            </w:tcBorders>
            <w:vMerge w:val="restart"/>
            <w:shd w:val="clear" w:color="auto" w:fill="CCCCCC"/>
          </w:tcPr>
          <w:p>
            <w:pPr>
              <w:jc w:val="right"/>
              <w:ind w:right="71"/>
              <w:spacing w:after="0"/>
              <w:rPr>
                <w:sz w:val="20"/>
                <w:szCs w:val="20"/>
                <w:color w:val="auto"/>
              </w:rPr>
            </w:pPr>
            <w:r>
              <w:rPr>
                <w:rFonts w:ascii="Arial" w:cs="Arial" w:eastAsia="Arial" w:hAnsi="Arial"/>
                <w:sz w:val="15"/>
                <w:szCs w:val="15"/>
                <w:b w:val="1"/>
                <w:bCs w:val="1"/>
                <w:color w:val="auto"/>
              </w:rPr>
              <w:t>Annual</w:t>
            </w:r>
          </w:p>
        </w:tc>
        <w:tc>
          <w:tcPr>
            <w:tcW w:w="860" w:type="dxa"/>
            <w:vAlign w:val="bottom"/>
            <w:tcBorders>
              <w:right w:val="single" w:sz="8" w:color="CCCCCC"/>
            </w:tcBorders>
            <w:shd w:val="clear" w:color="auto" w:fill="CCCCCC"/>
          </w:tcPr>
          <w:p>
            <w:pPr>
              <w:spacing w:after="0"/>
              <w:rPr>
                <w:sz w:val="12"/>
                <w:szCs w:val="12"/>
                <w:color w:val="auto"/>
              </w:rPr>
            </w:pPr>
          </w:p>
        </w:tc>
        <w:tc>
          <w:tcPr>
            <w:tcW w:w="1200" w:type="dxa"/>
            <w:vAlign w:val="bottom"/>
            <w:tcBorders>
              <w:right w:val="single" w:sz="8" w:color="CCCCCC"/>
            </w:tcBorders>
            <w:shd w:val="clear" w:color="auto" w:fill="CCCCCC"/>
          </w:tcPr>
          <w:p>
            <w:pPr>
              <w:spacing w:after="0"/>
              <w:rPr>
                <w:sz w:val="12"/>
                <w:szCs w:val="12"/>
                <w:color w:val="auto"/>
              </w:rPr>
            </w:pPr>
          </w:p>
        </w:tc>
        <w:tc>
          <w:tcPr>
            <w:tcW w:w="118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Borders>
              <w:right w:val="single" w:sz="8" w:color="CCCCCC"/>
            </w:tcBorders>
            <w:vMerge w:val="continue"/>
            <w:shd w:val="clear" w:color="auto" w:fill="CCCCCC"/>
          </w:tcPr>
          <w:p>
            <w:pPr>
              <w:spacing w:after="0"/>
              <w:rPr>
                <w:sz w:val="14"/>
                <w:szCs w:val="14"/>
                <w:color w:val="auto"/>
              </w:rPr>
            </w:pPr>
          </w:p>
        </w:tc>
        <w:tc>
          <w:tcPr>
            <w:tcW w:w="560" w:type="dxa"/>
            <w:vAlign w:val="bottom"/>
            <w:tcBorders>
              <w:right w:val="single" w:sz="8" w:color="CCCCCC"/>
            </w:tcBorders>
            <w:vMerge w:val="restart"/>
            <w:shd w:val="clear" w:color="auto" w:fill="CCCCCC"/>
          </w:tcPr>
          <w:p>
            <w:pPr>
              <w:ind w:left="140"/>
              <w:spacing w:after="0"/>
              <w:rPr>
                <w:sz w:val="20"/>
                <w:szCs w:val="20"/>
                <w:color w:val="auto"/>
              </w:rPr>
            </w:pPr>
            <w:r>
              <w:rPr>
                <w:rFonts w:ascii="Arial" w:cs="Arial" w:eastAsia="Arial" w:hAnsi="Arial"/>
                <w:sz w:val="15"/>
                <w:szCs w:val="15"/>
                <w:b w:val="1"/>
                <w:bCs w:val="1"/>
                <w:color w:val="auto"/>
              </w:rPr>
              <w:t>Year</w:t>
            </w:r>
          </w:p>
        </w:tc>
        <w:tc>
          <w:tcPr>
            <w:tcW w:w="780" w:type="dxa"/>
            <w:vAlign w:val="bottom"/>
            <w:vMerge w:val="restart"/>
            <w:shd w:val="clear" w:color="auto" w:fill="CCCCCC"/>
          </w:tcPr>
          <w:p>
            <w:pPr>
              <w:ind w:left="100"/>
              <w:spacing w:after="0"/>
              <w:rPr>
                <w:sz w:val="20"/>
                <w:szCs w:val="20"/>
                <w:color w:val="auto"/>
              </w:rPr>
            </w:pPr>
            <w:r>
              <w:rPr>
                <w:rFonts w:ascii="Arial" w:cs="Arial" w:eastAsia="Arial" w:hAnsi="Arial"/>
                <w:sz w:val="15"/>
                <w:szCs w:val="15"/>
                <w:b w:val="1"/>
                <w:bCs w:val="1"/>
                <w:color w:val="auto"/>
                <w:w w:val="97"/>
              </w:rPr>
              <w:t>Salary ($)</w:t>
            </w:r>
          </w:p>
        </w:tc>
        <w:tc>
          <w:tcPr>
            <w:tcW w:w="200" w:type="dxa"/>
            <w:vAlign w:val="bottom"/>
            <w:tcBorders>
              <w:right w:val="single" w:sz="8" w:color="CCCCCC"/>
            </w:tcBorders>
            <w:shd w:val="clear" w:color="auto" w:fill="CCCCCC"/>
          </w:tcPr>
          <w:p>
            <w:pPr>
              <w:spacing w:after="0"/>
              <w:rPr>
                <w:sz w:val="14"/>
                <w:szCs w:val="14"/>
                <w:color w:val="auto"/>
              </w:rPr>
            </w:pPr>
          </w:p>
        </w:tc>
        <w:tc>
          <w:tcPr>
            <w:tcW w:w="1040" w:type="dxa"/>
            <w:vAlign w:val="bottom"/>
            <w:tcBorders>
              <w:right w:val="single" w:sz="8" w:color="CCCCCC"/>
            </w:tcBorders>
            <w:gridSpan w:val="2"/>
            <w:shd w:val="clear" w:color="auto" w:fill="CCCCCC"/>
          </w:tcPr>
          <w:p>
            <w:pPr>
              <w:jc w:val="right"/>
              <w:ind w:right="55"/>
              <w:spacing w:after="0" w:line="161" w:lineRule="exact"/>
              <w:rPr>
                <w:sz w:val="20"/>
                <w:szCs w:val="20"/>
                <w:color w:val="auto"/>
              </w:rPr>
            </w:pPr>
            <w:r>
              <w:rPr>
                <w:rFonts w:ascii="Arial" w:cs="Arial" w:eastAsia="Arial" w:hAnsi="Arial"/>
                <w:sz w:val="15"/>
                <w:szCs w:val="15"/>
                <w:b w:val="1"/>
                <w:bCs w:val="1"/>
                <w:color w:val="auto"/>
              </w:rPr>
              <w:t>based</w:t>
            </w:r>
          </w:p>
        </w:tc>
        <w:tc>
          <w:tcPr>
            <w:tcW w:w="1060" w:type="dxa"/>
            <w:vAlign w:val="bottom"/>
            <w:tcBorders>
              <w:right w:val="single" w:sz="8" w:color="CCCCCC"/>
            </w:tcBorders>
            <w:gridSpan w:val="2"/>
            <w:shd w:val="clear" w:color="auto" w:fill="CCCCCC"/>
          </w:tcPr>
          <w:p>
            <w:pPr>
              <w:jc w:val="right"/>
              <w:ind w:right="91"/>
              <w:spacing w:after="0" w:line="161" w:lineRule="exact"/>
              <w:rPr>
                <w:sz w:val="20"/>
                <w:szCs w:val="20"/>
                <w:color w:val="auto"/>
              </w:rPr>
            </w:pPr>
            <w:r>
              <w:rPr>
                <w:rFonts w:ascii="Arial" w:cs="Arial" w:eastAsia="Arial" w:hAnsi="Arial"/>
                <w:sz w:val="15"/>
                <w:szCs w:val="15"/>
                <w:b w:val="1"/>
                <w:bCs w:val="1"/>
                <w:color w:val="auto"/>
              </w:rPr>
              <w:t>based</w:t>
            </w:r>
          </w:p>
        </w:tc>
        <w:tc>
          <w:tcPr>
            <w:tcW w:w="1400" w:type="dxa"/>
            <w:vAlign w:val="bottom"/>
            <w:tcBorders>
              <w:right w:val="single" w:sz="8" w:color="CCCCCC"/>
            </w:tcBorders>
            <w:vMerge w:val="continue"/>
            <w:shd w:val="clear" w:color="auto" w:fill="CCCCCC"/>
          </w:tcPr>
          <w:p>
            <w:pPr>
              <w:spacing w:after="0"/>
              <w:rPr>
                <w:sz w:val="14"/>
                <w:szCs w:val="14"/>
                <w:color w:val="auto"/>
              </w:rPr>
            </w:pPr>
          </w:p>
        </w:tc>
        <w:tc>
          <w:tcPr>
            <w:tcW w:w="860" w:type="dxa"/>
            <w:vAlign w:val="bottom"/>
            <w:tcBorders>
              <w:right w:val="single" w:sz="8" w:color="CCCCCC"/>
            </w:tcBorders>
            <w:shd w:val="clear" w:color="auto" w:fill="CCCCCC"/>
          </w:tcPr>
          <w:p>
            <w:pPr>
              <w:spacing w:after="0"/>
              <w:rPr>
                <w:sz w:val="14"/>
                <w:szCs w:val="14"/>
                <w:color w:val="auto"/>
              </w:rPr>
            </w:pPr>
          </w:p>
        </w:tc>
        <w:tc>
          <w:tcPr>
            <w:tcW w:w="1200" w:type="dxa"/>
            <w:vAlign w:val="bottom"/>
            <w:tcBorders>
              <w:right w:val="single" w:sz="8" w:color="CCCCCC"/>
            </w:tcBorders>
            <w:shd w:val="clear" w:color="auto" w:fill="CCCCCC"/>
          </w:tcPr>
          <w:p>
            <w:pPr>
              <w:spacing w:after="0"/>
              <w:rPr>
                <w:sz w:val="14"/>
                <w:szCs w:val="14"/>
                <w:color w:val="auto"/>
              </w:rPr>
            </w:pPr>
          </w:p>
        </w:tc>
        <w:tc>
          <w:tcPr>
            <w:tcW w:w="118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70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2"/>
                <w:szCs w:val="2"/>
                <w:b w:val="1"/>
                <w:bCs w:val="1"/>
                <w:color w:val="auto"/>
              </w:rPr>
              <w:t>position</w:t>
            </w:r>
          </w:p>
        </w:tc>
        <w:tc>
          <w:tcPr>
            <w:tcW w:w="560" w:type="dxa"/>
            <w:vAlign w:val="bottom"/>
            <w:tcBorders>
              <w:right w:val="single" w:sz="8" w:color="CCCCCC"/>
            </w:tcBorders>
            <w:vMerge w:val="continue"/>
            <w:shd w:val="clear" w:color="auto" w:fill="CCCCCC"/>
          </w:tcPr>
          <w:p>
            <w:pPr>
              <w:spacing w:after="0"/>
              <w:rPr>
                <w:sz w:val="2"/>
                <w:szCs w:val="2"/>
                <w:color w:val="auto"/>
              </w:rPr>
            </w:pPr>
          </w:p>
        </w:tc>
        <w:tc>
          <w:tcPr>
            <w:tcW w:w="780" w:type="dxa"/>
            <w:vAlign w:val="bottom"/>
            <w:vMerge w:val="continue"/>
            <w:shd w:val="clear" w:color="auto" w:fill="CCCCCC"/>
          </w:tcPr>
          <w:p>
            <w:pPr>
              <w:spacing w:after="0"/>
              <w:rPr>
                <w:sz w:val="2"/>
                <w:szCs w:val="2"/>
                <w:color w:val="auto"/>
              </w:rPr>
            </w:pPr>
          </w:p>
        </w:tc>
        <w:tc>
          <w:tcPr>
            <w:tcW w:w="200" w:type="dxa"/>
            <w:vAlign w:val="bottom"/>
            <w:tcBorders>
              <w:right w:val="single" w:sz="8" w:color="CCCCCC"/>
            </w:tcBorders>
            <w:vMerge w:val="restart"/>
            <w:shd w:val="clear" w:color="auto" w:fill="CCCCCC"/>
          </w:tcPr>
          <w:p>
            <w:pPr>
              <w:jc w:val="right"/>
              <w:ind w:right="55"/>
              <w:spacing w:after="0"/>
              <w:rPr>
                <w:sz w:val="20"/>
                <w:szCs w:val="20"/>
                <w:color w:val="auto"/>
              </w:rPr>
            </w:pPr>
            <w:r>
              <w:rPr>
                <w:rFonts w:ascii="Arial" w:cs="Arial" w:eastAsia="Arial" w:hAnsi="Arial"/>
                <w:sz w:val="13"/>
                <w:szCs w:val="13"/>
                <w:b w:val="1"/>
                <w:bCs w:val="1"/>
                <w:color w:val="auto"/>
                <w:w w:val="82"/>
              </w:rPr>
              <w:t>1</w:t>
            </w:r>
          </w:p>
        </w:tc>
        <w:tc>
          <w:tcPr>
            <w:tcW w:w="840" w:type="dxa"/>
            <w:vAlign w:val="bottom"/>
            <w:shd w:val="clear" w:color="auto" w:fill="CCCCCC"/>
          </w:tcPr>
          <w:p>
            <w:pPr>
              <w:ind w:left="100"/>
              <w:spacing w:after="0"/>
              <w:rPr>
                <w:sz w:val="20"/>
                <w:szCs w:val="20"/>
                <w:color w:val="auto"/>
              </w:rPr>
            </w:pPr>
            <w:r>
              <w:rPr>
                <w:rFonts w:ascii="Arial" w:cs="Arial" w:eastAsia="Arial" w:hAnsi="Arial"/>
                <w:sz w:val="2"/>
                <w:szCs w:val="2"/>
                <w:b w:val="1"/>
                <w:bCs w:val="1"/>
                <w:color w:val="auto"/>
              </w:rPr>
              <w:t>awards ($)</w:t>
            </w:r>
          </w:p>
        </w:tc>
        <w:tc>
          <w:tcPr>
            <w:tcW w:w="200" w:type="dxa"/>
            <w:vAlign w:val="bottom"/>
            <w:tcBorders>
              <w:right w:val="single" w:sz="8" w:color="CCCCCC"/>
            </w:tcBorders>
            <w:vMerge w:val="restart"/>
            <w:shd w:val="clear" w:color="auto" w:fill="CCCCCC"/>
          </w:tcPr>
          <w:p>
            <w:pPr>
              <w:jc w:val="right"/>
              <w:ind w:right="55"/>
              <w:spacing w:after="0"/>
              <w:rPr>
                <w:sz w:val="20"/>
                <w:szCs w:val="20"/>
                <w:color w:val="auto"/>
              </w:rPr>
            </w:pPr>
            <w:r>
              <w:rPr>
                <w:rFonts w:ascii="Arial" w:cs="Arial" w:eastAsia="Arial" w:hAnsi="Arial"/>
                <w:sz w:val="13"/>
                <w:szCs w:val="13"/>
                <w:b w:val="1"/>
                <w:bCs w:val="1"/>
                <w:color w:val="auto"/>
                <w:w w:val="82"/>
              </w:rPr>
              <w:t>2</w:t>
            </w:r>
          </w:p>
        </w:tc>
        <w:tc>
          <w:tcPr>
            <w:tcW w:w="860" w:type="dxa"/>
            <w:vAlign w:val="bottom"/>
            <w:shd w:val="clear" w:color="auto" w:fill="CCCCCC"/>
          </w:tcPr>
          <w:p>
            <w:pPr>
              <w:ind w:left="100"/>
              <w:spacing w:after="0"/>
              <w:rPr>
                <w:sz w:val="20"/>
                <w:szCs w:val="20"/>
                <w:color w:val="auto"/>
              </w:rPr>
            </w:pPr>
            <w:r>
              <w:rPr>
                <w:rFonts w:ascii="Arial" w:cs="Arial" w:eastAsia="Arial" w:hAnsi="Arial"/>
                <w:sz w:val="2"/>
                <w:szCs w:val="2"/>
                <w:b w:val="1"/>
                <w:bCs w:val="1"/>
                <w:color w:val="auto"/>
              </w:rPr>
              <w:t>awards ($)</w:t>
            </w:r>
          </w:p>
        </w:tc>
        <w:tc>
          <w:tcPr>
            <w:tcW w:w="200" w:type="dxa"/>
            <w:vAlign w:val="bottom"/>
            <w:tcBorders>
              <w:right w:val="single" w:sz="8" w:color="CCCCCC"/>
            </w:tcBorders>
            <w:vMerge w:val="restart"/>
            <w:shd w:val="clear" w:color="auto" w:fill="CCCCCC"/>
          </w:tcPr>
          <w:p>
            <w:pPr>
              <w:jc w:val="right"/>
              <w:ind w:right="91"/>
              <w:spacing w:after="0"/>
              <w:rPr>
                <w:sz w:val="20"/>
                <w:szCs w:val="20"/>
                <w:color w:val="auto"/>
              </w:rPr>
            </w:pPr>
            <w:r>
              <w:rPr>
                <w:rFonts w:ascii="Arial" w:cs="Arial" w:eastAsia="Arial" w:hAnsi="Arial"/>
                <w:sz w:val="10"/>
                <w:szCs w:val="10"/>
                <w:b w:val="1"/>
                <w:bCs w:val="1"/>
                <w:color w:val="auto"/>
                <w:w w:val="71"/>
              </w:rPr>
              <w:t>3</w:t>
            </w:r>
          </w:p>
        </w:tc>
        <w:tc>
          <w:tcPr>
            <w:tcW w:w="1400" w:type="dxa"/>
            <w:vAlign w:val="bottom"/>
            <w:tcBorders>
              <w:right w:val="single" w:sz="8" w:color="CCCCCC"/>
            </w:tcBorders>
            <w:shd w:val="clear" w:color="auto" w:fill="CCCCCC"/>
          </w:tcPr>
          <w:p>
            <w:pPr>
              <w:jc w:val="right"/>
              <w:ind w:right="131"/>
              <w:spacing w:after="0"/>
              <w:rPr>
                <w:sz w:val="20"/>
                <w:szCs w:val="20"/>
                <w:color w:val="auto"/>
              </w:rPr>
            </w:pPr>
            <w:r>
              <w:rPr>
                <w:rFonts w:ascii="Arial" w:cs="Arial" w:eastAsia="Arial" w:hAnsi="Arial"/>
                <w:sz w:val="2"/>
                <w:szCs w:val="2"/>
                <w:b w:val="1"/>
                <w:bCs w:val="1"/>
                <w:color w:val="auto"/>
              </w:rPr>
              <w:t>incentive plans</w:t>
            </w:r>
          </w:p>
        </w:tc>
        <w:tc>
          <w:tcPr>
            <w:tcW w:w="860" w:type="dxa"/>
            <w:vAlign w:val="bottom"/>
            <w:tcBorders>
              <w:right w:val="single" w:sz="8" w:color="CCCCCC"/>
            </w:tcBorders>
            <w:shd w:val="clear" w:color="auto" w:fill="CCCCCC"/>
          </w:tcPr>
          <w:p>
            <w:pPr>
              <w:spacing w:after="0"/>
              <w:rPr>
                <w:sz w:val="2"/>
                <w:szCs w:val="2"/>
                <w:color w:val="auto"/>
              </w:rPr>
            </w:pPr>
          </w:p>
        </w:tc>
        <w:tc>
          <w:tcPr>
            <w:tcW w:w="1200" w:type="dxa"/>
            <w:vAlign w:val="bottom"/>
            <w:tcBorders>
              <w:right w:val="single" w:sz="8" w:color="CCCCCC"/>
            </w:tcBorders>
            <w:shd w:val="clear" w:color="auto" w:fill="CCCCCC"/>
          </w:tcPr>
          <w:p>
            <w:pPr>
              <w:spacing w:after="0"/>
              <w:rPr>
                <w:sz w:val="2"/>
                <w:szCs w:val="2"/>
                <w:color w:val="auto"/>
              </w:rPr>
            </w:pPr>
          </w:p>
        </w:tc>
        <w:tc>
          <w:tcPr>
            <w:tcW w:w="1180" w:type="dxa"/>
            <w:vAlign w:val="bottom"/>
            <w:shd w:val="clear" w:color="auto" w:fill="CCCC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700" w:type="dxa"/>
            <w:vAlign w:val="bottom"/>
            <w:tcBorders>
              <w:bottom w:val="single" w:sz="8" w:color="D95A3B"/>
              <w:right w:val="single" w:sz="8" w:color="CCCCCC"/>
            </w:tcBorders>
            <w:shd w:val="clear" w:color="auto" w:fill="CCCCCC"/>
          </w:tcPr>
          <w:p>
            <w:pPr>
              <w:spacing w:after="0"/>
              <w:rPr>
                <w:sz w:val="13"/>
                <w:szCs w:val="13"/>
                <w:color w:val="auto"/>
              </w:rPr>
            </w:pPr>
          </w:p>
        </w:tc>
        <w:tc>
          <w:tcPr>
            <w:tcW w:w="560" w:type="dxa"/>
            <w:vAlign w:val="bottom"/>
            <w:tcBorders>
              <w:bottom w:val="single" w:sz="8" w:color="D95A3B"/>
              <w:right w:val="single" w:sz="8" w:color="CCCCCC"/>
            </w:tcBorders>
            <w:shd w:val="clear" w:color="auto" w:fill="CCCCCC"/>
          </w:tcPr>
          <w:p>
            <w:pPr>
              <w:spacing w:after="0"/>
              <w:rPr>
                <w:sz w:val="13"/>
                <w:szCs w:val="13"/>
                <w:color w:val="auto"/>
              </w:rPr>
            </w:pPr>
          </w:p>
        </w:tc>
        <w:tc>
          <w:tcPr>
            <w:tcW w:w="780" w:type="dxa"/>
            <w:vAlign w:val="bottom"/>
            <w:tcBorders>
              <w:bottom w:val="single" w:sz="8" w:color="D95A3B"/>
            </w:tcBorders>
            <w:shd w:val="clear" w:color="auto" w:fill="CCCCCC"/>
          </w:tcPr>
          <w:p>
            <w:pPr>
              <w:spacing w:after="0"/>
              <w:rPr>
                <w:sz w:val="13"/>
                <w:szCs w:val="13"/>
                <w:color w:val="auto"/>
              </w:rPr>
            </w:pPr>
          </w:p>
        </w:tc>
        <w:tc>
          <w:tcPr>
            <w:tcW w:w="200" w:type="dxa"/>
            <w:vAlign w:val="bottom"/>
            <w:tcBorders>
              <w:bottom w:val="single" w:sz="8" w:color="D95A3B"/>
              <w:right w:val="single" w:sz="8" w:color="CCCCCC"/>
            </w:tcBorders>
            <w:vMerge w:val="continue"/>
            <w:shd w:val="clear" w:color="auto" w:fill="CCCCCC"/>
          </w:tcPr>
          <w:p>
            <w:pPr>
              <w:spacing w:after="0"/>
              <w:rPr>
                <w:sz w:val="13"/>
                <w:szCs w:val="13"/>
                <w:color w:val="auto"/>
              </w:rPr>
            </w:pPr>
          </w:p>
        </w:tc>
        <w:tc>
          <w:tcPr>
            <w:tcW w:w="840" w:type="dxa"/>
            <w:vAlign w:val="bottom"/>
            <w:tcBorders>
              <w:bottom w:val="single" w:sz="8" w:color="D95A3B"/>
            </w:tcBorders>
            <w:shd w:val="clear" w:color="auto" w:fill="CCCCCC"/>
          </w:tcPr>
          <w:p>
            <w:pPr>
              <w:spacing w:after="0"/>
              <w:rPr>
                <w:sz w:val="13"/>
                <w:szCs w:val="13"/>
                <w:color w:val="auto"/>
              </w:rPr>
            </w:pPr>
          </w:p>
        </w:tc>
        <w:tc>
          <w:tcPr>
            <w:tcW w:w="200" w:type="dxa"/>
            <w:vAlign w:val="bottom"/>
            <w:tcBorders>
              <w:bottom w:val="single" w:sz="8" w:color="D95A3B"/>
              <w:right w:val="single" w:sz="8" w:color="CCCCCC"/>
            </w:tcBorders>
            <w:vMerge w:val="continue"/>
            <w:shd w:val="clear" w:color="auto" w:fill="CCCCCC"/>
          </w:tcPr>
          <w:p>
            <w:pPr>
              <w:spacing w:after="0"/>
              <w:rPr>
                <w:sz w:val="13"/>
                <w:szCs w:val="13"/>
                <w:color w:val="auto"/>
              </w:rPr>
            </w:pPr>
          </w:p>
        </w:tc>
        <w:tc>
          <w:tcPr>
            <w:tcW w:w="860" w:type="dxa"/>
            <w:vAlign w:val="bottom"/>
            <w:tcBorders>
              <w:bottom w:val="single" w:sz="8" w:color="D95A3B"/>
            </w:tcBorders>
            <w:shd w:val="clear" w:color="auto" w:fill="CCCCCC"/>
          </w:tcPr>
          <w:p>
            <w:pPr>
              <w:spacing w:after="0"/>
              <w:rPr>
                <w:sz w:val="13"/>
                <w:szCs w:val="13"/>
                <w:color w:val="auto"/>
              </w:rPr>
            </w:pPr>
          </w:p>
        </w:tc>
        <w:tc>
          <w:tcPr>
            <w:tcW w:w="200" w:type="dxa"/>
            <w:vAlign w:val="bottom"/>
            <w:tcBorders>
              <w:bottom w:val="single" w:sz="8" w:color="D95A3B"/>
              <w:right w:val="single" w:sz="8" w:color="CCCCCC"/>
            </w:tcBorders>
            <w:vMerge w:val="continue"/>
            <w:shd w:val="clear" w:color="auto" w:fill="CCCCCC"/>
          </w:tcPr>
          <w:p>
            <w:pPr>
              <w:spacing w:after="0"/>
              <w:rPr>
                <w:sz w:val="13"/>
                <w:szCs w:val="13"/>
                <w:color w:val="auto"/>
              </w:rPr>
            </w:pPr>
          </w:p>
        </w:tc>
        <w:tc>
          <w:tcPr>
            <w:tcW w:w="1400" w:type="dxa"/>
            <w:vAlign w:val="bottom"/>
            <w:tcBorders>
              <w:bottom w:val="single" w:sz="8" w:color="D95A3B"/>
              <w:right w:val="single" w:sz="8" w:color="CCCCCC"/>
            </w:tcBorders>
            <w:shd w:val="clear" w:color="auto" w:fill="CCCCCC"/>
          </w:tcPr>
          <w:p>
            <w:pPr>
              <w:jc w:val="right"/>
              <w:ind w:right="71"/>
              <w:spacing w:after="0"/>
              <w:rPr>
                <w:sz w:val="20"/>
                <w:szCs w:val="20"/>
                <w:color w:val="auto"/>
              </w:rPr>
            </w:pPr>
            <w:r>
              <w:rPr>
                <w:rFonts w:ascii="Arial" w:cs="Arial" w:eastAsia="Arial" w:hAnsi="Arial"/>
                <w:sz w:val="13"/>
                <w:szCs w:val="13"/>
                <w:b w:val="1"/>
                <w:bCs w:val="1"/>
                <w:color w:val="auto"/>
              </w:rPr>
              <w:t>4</w:t>
            </w:r>
          </w:p>
        </w:tc>
        <w:tc>
          <w:tcPr>
            <w:tcW w:w="860" w:type="dxa"/>
            <w:vAlign w:val="bottom"/>
            <w:tcBorders>
              <w:bottom w:val="single" w:sz="8" w:color="D95A3B"/>
              <w:right w:val="single" w:sz="8" w:color="CCCCCC"/>
            </w:tcBorders>
            <w:shd w:val="clear" w:color="auto" w:fill="CCCCCC"/>
          </w:tcPr>
          <w:p>
            <w:pPr>
              <w:spacing w:after="0"/>
              <w:rPr>
                <w:sz w:val="13"/>
                <w:szCs w:val="13"/>
                <w:color w:val="auto"/>
              </w:rPr>
            </w:pPr>
          </w:p>
        </w:tc>
        <w:tc>
          <w:tcPr>
            <w:tcW w:w="1200" w:type="dxa"/>
            <w:vAlign w:val="bottom"/>
            <w:tcBorders>
              <w:bottom w:val="single" w:sz="8" w:color="D95A3B"/>
              <w:right w:val="single" w:sz="8" w:color="CCCCCC"/>
            </w:tcBorders>
            <w:shd w:val="clear" w:color="auto" w:fill="CCCCCC"/>
          </w:tcPr>
          <w:p>
            <w:pPr>
              <w:spacing w:after="0"/>
              <w:rPr>
                <w:sz w:val="13"/>
                <w:szCs w:val="13"/>
                <w:color w:val="auto"/>
              </w:rPr>
            </w:pPr>
          </w:p>
        </w:tc>
        <w:tc>
          <w:tcPr>
            <w:tcW w:w="1180" w:type="dxa"/>
            <w:vAlign w:val="bottom"/>
            <w:tcBorders>
              <w:bottom w:val="single" w:sz="8" w:color="D95A3B"/>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00" w:type="dxa"/>
            <w:vAlign w:val="bottom"/>
            <w:tcBorders>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James C. Smith</w:t>
            </w:r>
          </w:p>
        </w:tc>
        <w:tc>
          <w:tcPr>
            <w:tcW w:w="560" w:type="dxa"/>
            <w:vAlign w:val="bottom"/>
            <w:tcBorders>
              <w:bottom w:val="single" w:sz="8" w:color="auto"/>
              <w:right w:val="single" w:sz="8" w:color="AFAFAF"/>
            </w:tcBorders>
          </w:tcPr>
          <w:p>
            <w:pPr>
              <w:ind w:left="140"/>
              <w:spacing w:after="0" w:line="155"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right w:val="single" w:sz="8" w:color="AFAFAF"/>
            </w:tcBorders>
            <w:gridSpan w:val="2"/>
          </w:tcPr>
          <w:p>
            <w:pPr>
              <w:jc w:val="right"/>
              <w:ind w:right="55"/>
              <w:spacing w:after="0" w:line="155" w:lineRule="exact"/>
              <w:rPr>
                <w:sz w:val="20"/>
                <w:szCs w:val="20"/>
                <w:color w:val="auto"/>
              </w:rPr>
            </w:pPr>
            <w:r>
              <w:rPr>
                <w:rFonts w:ascii="Arial" w:cs="Arial" w:eastAsia="Arial" w:hAnsi="Arial"/>
                <w:sz w:val="14"/>
                <w:szCs w:val="14"/>
                <w:b w:val="1"/>
                <w:bCs w:val="1"/>
                <w:color w:val="auto"/>
              </w:rPr>
              <w:t>1,600,000</w:t>
            </w:r>
          </w:p>
        </w:tc>
        <w:tc>
          <w:tcPr>
            <w:tcW w:w="1040" w:type="dxa"/>
            <w:vAlign w:val="bottom"/>
            <w:tcBorders>
              <w:bottom w:val="single" w:sz="8" w:color="auto"/>
              <w:right w:val="single" w:sz="8" w:color="AFAFAF"/>
            </w:tcBorders>
            <w:gridSpan w:val="2"/>
          </w:tcPr>
          <w:p>
            <w:pPr>
              <w:jc w:val="right"/>
              <w:ind w:right="55"/>
              <w:spacing w:after="0" w:line="155" w:lineRule="exact"/>
              <w:rPr>
                <w:sz w:val="20"/>
                <w:szCs w:val="20"/>
                <w:color w:val="auto"/>
              </w:rPr>
            </w:pPr>
            <w:r>
              <w:rPr>
                <w:rFonts w:ascii="Arial" w:cs="Arial" w:eastAsia="Arial" w:hAnsi="Arial"/>
                <w:sz w:val="14"/>
                <w:szCs w:val="14"/>
                <w:b w:val="1"/>
                <w:bCs w:val="1"/>
                <w:color w:val="auto"/>
              </w:rPr>
              <w:t>4,400,015</w:t>
            </w:r>
          </w:p>
        </w:tc>
        <w:tc>
          <w:tcPr>
            <w:tcW w:w="1060" w:type="dxa"/>
            <w:vAlign w:val="bottom"/>
            <w:tcBorders>
              <w:bottom w:val="single" w:sz="8" w:color="auto"/>
              <w:right w:val="single" w:sz="8" w:color="AFAFAF"/>
            </w:tcBorders>
            <w:gridSpan w:val="2"/>
          </w:tcPr>
          <w:p>
            <w:pPr>
              <w:jc w:val="right"/>
              <w:ind w:right="91"/>
              <w:spacing w:after="0" w:line="155" w:lineRule="exact"/>
              <w:rPr>
                <w:sz w:val="20"/>
                <w:szCs w:val="20"/>
                <w:color w:val="auto"/>
              </w:rPr>
            </w:pPr>
            <w:r>
              <w:rPr>
                <w:rFonts w:ascii="Arial" w:cs="Arial" w:eastAsia="Arial" w:hAnsi="Arial"/>
                <w:sz w:val="14"/>
                <w:szCs w:val="14"/>
                <w:b w:val="1"/>
                <w:bCs w:val="1"/>
                <w:color w:val="auto"/>
              </w:rPr>
              <w:t>4,400,003</w:t>
            </w:r>
          </w:p>
        </w:tc>
        <w:tc>
          <w:tcPr>
            <w:tcW w:w="1400" w:type="dxa"/>
            <w:vAlign w:val="bottom"/>
            <w:tcBorders>
              <w:bottom w:val="single" w:sz="8" w:color="auto"/>
              <w:right w:val="single" w:sz="8" w:color="AFAFAF"/>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4,139,520</w:t>
            </w:r>
          </w:p>
        </w:tc>
        <w:tc>
          <w:tcPr>
            <w:tcW w:w="860" w:type="dxa"/>
            <w:vAlign w:val="bottom"/>
            <w:tcBorders>
              <w:bottom w:val="single" w:sz="8" w:color="auto"/>
              <w:right w:val="single" w:sz="8" w:color="AFAFAF"/>
            </w:tcBorders>
          </w:tcPr>
          <w:p>
            <w:pPr>
              <w:jc w:val="right"/>
              <w:ind w:right="9"/>
              <w:spacing w:after="0" w:line="155" w:lineRule="exact"/>
              <w:rPr>
                <w:sz w:val="20"/>
                <w:szCs w:val="20"/>
                <w:color w:val="auto"/>
              </w:rPr>
            </w:pPr>
            <w:r>
              <w:rPr>
                <w:rFonts w:ascii="Arial" w:cs="Arial" w:eastAsia="Arial" w:hAnsi="Arial"/>
                <w:sz w:val="14"/>
                <w:szCs w:val="14"/>
                <w:b w:val="1"/>
                <w:bCs w:val="1"/>
                <w:color w:val="auto"/>
              </w:rPr>
              <w:t>(92,000)</w:t>
            </w:r>
          </w:p>
        </w:tc>
        <w:tc>
          <w:tcPr>
            <w:tcW w:w="1200" w:type="dxa"/>
            <w:vAlign w:val="bottom"/>
            <w:tcBorders>
              <w:bottom w:val="single" w:sz="8" w:color="auto"/>
              <w:right w:val="single" w:sz="8" w:color="AFAFA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37,571</w:t>
            </w:r>
          </w:p>
        </w:tc>
        <w:tc>
          <w:tcPr>
            <w:tcW w:w="1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14,485,109</w:t>
            </w:r>
          </w:p>
        </w:tc>
        <w:tc>
          <w:tcPr>
            <w:tcW w:w="0" w:type="dxa"/>
            <w:vAlign w:val="bottom"/>
          </w:tcPr>
          <w:p>
            <w:pPr>
              <w:spacing w:after="0"/>
              <w:rPr>
                <w:sz w:val="1"/>
                <w:szCs w:val="1"/>
                <w:color w:val="auto"/>
              </w:rPr>
            </w:pPr>
          </w:p>
        </w:tc>
      </w:tr>
      <w:tr>
        <w:trPr>
          <w:trHeight w:val="148"/>
        </w:trPr>
        <w:tc>
          <w:tcPr>
            <w:tcW w:w="2700" w:type="dxa"/>
            <w:vAlign w:val="bottom"/>
            <w:tcBorders>
              <w:right w:val="single" w:sz="8" w:color="AFAFAF"/>
            </w:tcBorders>
          </w:tcPr>
          <w:p>
            <w:pPr>
              <w:spacing w:after="0" w:line="147" w:lineRule="exact"/>
              <w:rPr>
                <w:sz w:val="20"/>
                <w:szCs w:val="20"/>
                <w:color w:val="auto"/>
              </w:rPr>
            </w:pPr>
            <w:r>
              <w:rPr>
                <w:rFonts w:ascii="Arial" w:cs="Arial" w:eastAsia="Arial" w:hAnsi="Arial"/>
                <w:sz w:val="14"/>
                <w:szCs w:val="14"/>
                <w:color w:val="auto"/>
              </w:rPr>
              <w:t>President and Chief</w:t>
            </w:r>
          </w:p>
        </w:tc>
        <w:tc>
          <w:tcPr>
            <w:tcW w:w="560" w:type="dxa"/>
            <w:vAlign w:val="bottom"/>
            <w:tcBorders>
              <w:bottom w:val="single" w:sz="8" w:color="auto"/>
              <w:right w:val="single" w:sz="8" w:color="AFAFAF"/>
            </w:tcBorders>
          </w:tcPr>
          <w:p>
            <w:pPr>
              <w:ind w:left="140"/>
              <w:spacing w:after="0" w:line="147" w:lineRule="exact"/>
              <w:rPr>
                <w:sz w:val="20"/>
                <w:szCs w:val="20"/>
                <w:color w:val="auto"/>
              </w:rPr>
            </w:pPr>
            <w:r>
              <w:rPr>
                <w:rFonts w:ascii="Arial" w:cs="Arial" w:eastAsia="Arial" w:hAnsi="Arial"/>
                <w:sz w:val="14"/>
                <w:szCs w:val="14"/>
                <w:color w:val="auto"/>
              </w:rPr>
              <w:t>2017</w:t>
            </w:r>
          </w:p>
        </w:tc>
        <w:tc>
          <w:tcPr>
            <w:tcW w:w="980" w:type="dxa"/>
            <w:vAlign w:val="bottom"/>
            <w:tcBorders>
              <w:bottom w:val="single" w:sz="8" w:color="auto"/>
              <w:right w:val="single" w:sz="8" w:color="AFAFAF"/>
            </w:tcBorders>
            <w:gridSpan w:val="2"/>
          </w:tcPr>
          <w:p>
            <w:pPr>
              <w:jc w:val="right"/>
              <w:ind w:right="55"/>
              <w:spacing w:after="0" w:line="147" w:lineRule="exact"/>
              <w:rPr>
                <w:sz w:val="20"/>
                <w:szCs w:val="20"/>
                <w:color w:val="auto"/>
              </w:rPr>
            </w:pPr>
            <w:r>
              <w:rPr>
                <w:rFonts w:ascii="Arial" w:cs="Arial" w:eastAsia="Arial" w:hAnsi="Arial"/>
                <w:sz w:val="14"/>
                <w:szCs w:val="14"/>
                <w:color w:val="auto"/>
              </w:rPr>
              <w:t>1,600,000</w:t>
            </w:r>
          </w:p>
        </w:tc>
        <w:tc>
          <w:tcPr>
            <w:tcW w:w="1040" w:type="dxa"/>
            <w:vAlign w:val="bottom"/>
            <w:tcBorders>
              <w:bottom w:val="single" w:sz="8" w:color="auto"/>
              <w:right w:val="single" w:sz="8" w:color="AFAFAF"/>
            </w:tcBorders>
            <w:gridSpan w:val="2"/>
          </w:tcPr>
          <w:p>
            <w:pPr>
              <w:jc w:val="right"/>
              <w:ind w:right="55"/>
              <w:spacing w:after="0" w:line="147" w:lineRule="exact"/>
              <w:rPr>
                <w:sz w:val="20"/>
                <w:szCs w:val="20"/>
                <w:color w:val="auto"/>
              </w:rPr>
            </w:pPr>
            <w:r>
              <w:rPr>
                <w:rFonts w:ascii="Arial" w:cs="Arial" w:eastAsia="Arial" w:hAnsi="Arial"/>
                <w:sz w:val="14"/>
                <w:szCs w:val="14"/>
                <w:color w:val="auto"/>
              </w:rPr>
              <w:t>4,400,004</w:t>
            </w:r>
          </w:p>
        </w:tc>
        <w:tc>
          <w:tcPr>
            <w:tcW w:w="1060" w:type="dxa"/>
            <w:vAlign w:val="bottom"/>
            <w:tcBorders>
              <w:bottom w:val="single" w:sz="8" w:color="auto"/>
              <w:right w:val="single" w:sz="8" w:color="AFAFAF"/>
            </w:tcBorders>
            <w:gridSpan w:val="2"/>
          </w:tcPr>
          <w:p>
            <w:pPr>
              <w:jc w:val="right"/>
              <w:ind w:right="91"/>
              <w:spacing w:after="0" w:line="147" w:lineRule="exact"/>
              <w:rPr>
                <w:sz w:val="20"/>
                <w:szCs w:val="20"/>
                <w:color w:val="auto"/>
              </w:rPr>
            </w:pPr>
            <w:r>
              <w:rPr>
                <w:rFonts w:ascii="Arial" w:cs="Arial" w:eastAsia="Arial" w:hAnsi="Arial"/>
                <w:sz w:val="14"/>
                <w:szCs w:val="14"/>
                <w:color w:val="auto"/>
              </w:rPr>
              <w:t>4,400,001</w:t>
            </w:r>
          </w:p>
        </w:tc>
        <w:tc>
          <w:tcPr>
            <w:tcW w:w="1400" w:type="dxa"/>
            <w:vAlign w:val="bottom"/>
            <w:tcBorders>
              <w:bottom w:val="single" w:sz="8" w:color="auto"/>
              <w:right w:val="single" w:sz="8" w:color="AFAFAF"/>
            </w:tcBorders>
          </w:tcPr>
          <w:p>
            <w:pPr>
              <w:jc w:val="right"/>
              <w:ind w:right="71"/>
              <w:spacing w:after="0" w:line="147" w:lineRule="exact"/>
              <w:rPr>
                <w:sz w:val="20"/>
                <w:szCs w:val="20"/>
                <w:color w:val="auto"/>
              </w:rPr>
            </w:pPr>
            <w:r>
              <w:rPr>
                <w:rFonts w:ascii="Arial" w:cs="Arial" w:eastAsia="Arial" w:hAnsi="Arial"/>
                <w:sz w:val="14"/>
                <w:szCs w:val="14"/>
                <w:color w:val="auto"/>
              </w:rPr>
              <w:t>2,996,800</w:t>
            </w:r>
          </w:p>
        </w:tc>
        <w:tc>
          <w:tcPr>
            <w:tcW w:w="860" w:type="dxa"/>
            <w:vAlign w:val="bottom"/>
            <w:tcBorders>
              <w:bottom w:val="single" w:sz="8" w:color="auto"/>
              <w:right w:val="single" w:sz="8" w:color="AFAFAF"/>
            </w:tcBorders>
          </w:tcPr>
          <w:p>
            <w:pPr>
              <w:jc w:val="right"/>
              <w:ind w:right="9"/>
              <w:spacing w:after="0" w:line="147" w:lineRule="exact"/>
              <w:rPr>
                <w:sz w:val="20"/>
                <w:szCs w:val="20"/>
                <w:color w:val="auto"/>
              </w:rPr>
            </w:pPr>
            <w:r>
              <w:rPr>
                <w:rFonts w:ascii="Arial" w:cs="Arial" w:eastAsia="Arial" w:hAnsi="Arial"/>
                <w:sz w:val="14"/>
                <w:szCs w:val="14"/>
                <w:color w:val="auto"/>
              </w:rPr>
              <w:t>(57,000)</w:t>
            </w:r>
          </w:p>
        </w:tc>
        <w:tc>
          <w:tcPr>
            <w:tcW w:w="1200" w:type="dxa"/>
            <w:vAlign w:val="bottom"/>
            <w:tcBorders>
              <w:bottom w:val="single" w:sz="8" w:color="auto"/>
              <w:right w:val="single" w:sz="8" w:color="AFAFAF"/>
            </w:tcBorders>
          </w:tcPr>
          <w:p>
            <w:pPr>
              <w:jc w:val="right"/>
              <w:ind w:right="49"/>
              <w:spacing w:after="0" w:line="147" w:lineRule="exact"/>
              <w:rPr>
                <w:sz w:val="20"/>
                <w:szCs w:val="20"/>
                <w:color w:val="auto"/>
              </w:rPr>
            </w:pPr>
            <w:r>
              <w:rPr>
                <w:rFonts w:ascii="Arial" w:cs="Arial" w:eastAsia="Arial" w:hAnsi="Arial"/>
                <w:sz w:val="14"/>
                <w:szCs w:val="14"/>
                <w:color w:val="auto"/>
              </w:rPr>
              <w:t>1,095,178</w:t>
            </w:r>
          </w:p>
        </w:tc>
        <w:tc>
          <w:tcPr>
            <w:tcW w:w="1180" w:type="dxa"/>
            <w:vAlign w:val="bottom"/>
            <w:tcBorders>
              <w:bottom w:val="single" w:sz="8" w:color="auto"/>
            </w:tcBorders>
          </w:tcPr>
          <w:p>
            <w:pPr>
              <w:jc w:val="right"/>
              <w:ind w:right="28"/>
              <w:spacing w:after="0" w:line="147" w:lineRule="exact"/>
              <w:rPr>
                <w:sz w:val="20"/>
                <w:szCs w:val="20"/>
                <w:color w:val="auto"/>
              </w:rPr>
            </w:pPr>
            <w:r>
              <w:rPr>
                <w:rFonts w:ascii="Arial" w:cs="Arial" w:eastAsia="Arial" w:hAnsi="Arial"/>
                <w:sz w:val="14"/>
                <w:szCs w:val="14"/>
                <w:color w:val="auto"/>
              </w:rPr>
              <w:t>14,434,983</w:t>
            </w:r>
          </w:p>
        </w:tc>
        <w:tc>
          <w:tcPr>
            <w:tcW w:w="0" w:type="dxa"/>
            <w:vAlign w:val="bottom"/>
          </w:tcPr>
          <w:p>
            <w:pPr>
              <w:spacing w:after="0"/>
              <w:rPr>
                <w:sz w:val="1"/>
                <w:szCs w:val="1"/>
                <w:color w:val="auto"/>
              </w:rPr>
            </w:pPr>
          </w:p>
        </w:tc>
      </w:tr>
      <w:tr>
        <w:trPr>
          <w:trHeight w:val="161"/>
        </w:trPr>
        <w:tc>
          <w:tcPr>
            <w:tcW w:w="2700" w:type="dxa"/>
            <w:vAlign w:val="bottom"/>
            <w:tcBorders>
              <w:bottom w:val="single" w:sz="8" w:color="AFAFAF"/>
              <w:right w:val="single" w:sz="8" w:color="AFAFAF"/>
            </w:tcBorders>
          </w:tcPr>
          <w:p>
            <w:pPr>
              <w:spacing w:after="0" w:line="150" w:lineRule="exact"/>
              <w:rPr>
                <w:sz w:val="20"/>
                <w:szCs w:val="20"/>
                <w:color w:val="auto"/>
              </w:rPr>
            </w:pPr>
            <w:r>
              <w:rPr>
                <w:rFonts w:ascii="Arial" w:cs="Arial" w:eastAsia="Arial" w:hAnsi="Arial"/>
                <w:sz w:val="14"/>
                <w:szCs w:val="14"/>
                <w:color w:val="auto"/>
              </w:rPr>
              <w:t>Executive Officer</w:t>
            </w:r>
          </w:p>
        </w:tc>
        <w:tc>
          <w:tcPr>
            <w:tcW w:w="560" w:type="dxa"/>
            <w:vAlign w:val="bottom"/>
            <w:tcBorders>
              <w:bottom w:val="single" w:sz="8" w:color="AFAFAF"/>
              <w:right w:val="single" w:sz="8" w:color="AFAFAF"/>
            </w:tcBorders>
          </w:tcPr>
          <w:p>
            <w:pPr>
              <w:ind w:left="140"/>
              <w:spacing w:after="0"/>
              <w:rPr>
                <w:sz w:val="20"/>
                <w:szCs w:val="20"/>
                <w:color w:val="auto"/>
              </w:rPr>
            </w:pPr>
            <w:r>
              <w:rPr>
                <w:rFonts w:ascii="Arial" w:cs="Arial" w:eastAsia="Arial" w:hAnsi="Arial"/>
                <w:sz w:val="14"/>
                <w:szCs w:val="14"/>
                <w:color w:val="auto"/>
              </w:rPr>
              <w:t>2016</w:t>
            </w:r>
          </w:p>
        </w:tc>
        <w:tc>
          <w:tcPr>
            <w:tcW w:w="980" w:type="dxa"/>
            <w:vAlign w:val="bottom"/>
            <w:tcBorders>
              <w:bottom w:val="single" w:sz="8" w:color="AFAFAF"/>
              <w:right w:val="single" w:sz="8" w:color="AFAFAF"/>
            </w:tcBorders>
            <w:gridSpan w:val="2"/>
          </w:tcPr>
          <w:p>
            <w:pPr>
              <w:jc w:val="right"/>
              <w:ind w:right="55"/>
              <w:spacing w:after="0"/>
              <w:rPr>
                <w:sz w:val="20"/>
                <w:szCs w:val="20"/>
                <w:color w:val="auto"/>
              </w:rPr>
            </w:pPr>
            <w:r>
              <w:rPr>
                <w:rFonts w:ascii="Arial" w:cs="Arial" w:eastAsia="Arial" w:hAnsi="Arial"/>
                <w:sz w:val="14"/>
                <w:szCs w:val="14"/>
                <w:color w:val="auto"/>
              </w:rPr>
              <w:t>1,591,530</w:t>
            </w:r>
          </w:p>
        </w:tc>
        <w:tc>
          <w:tcPr>
            <w:tcW w:w="1040" w:type="dxa"/>
            <w:vAlign w:val="bottom"/>
            <w:tcBorders>
              <w:bottom w:val="single" w:sz="8" w:color="AFAFAF"/>
              <w:right w:val="single" w:sz="8" w:color="AFAFAF"/>
            </w:tcBorders>
            <w:gridSpan w:val="2"/>
          </w:tcPr>
          <w:p>
            <w:pPr>
              <w:jc w:val="right"/>
              <w:ind w:right="55"/>
              <w:spacing w:after="0"/>
              <w:rPr>
                <w:sz w:val="20"/>
                <w:szCs w:val="20"/>
                <w:color w:val="auto"/>
              </w:rPr>
            </w:pPr>
            <w:r>
              <w:rPr>
                <w:rFonts w:ascii="Arial" w:cs="Arial" w:eastAsia="Arial" w:hAnsi="Arial"/>
                <w:sz w:val="14"/>
                <w:szCs w:val="14"/>
                <w:color w:val="auto"/>
              </w:rPr>
              <w:t>4,400,032</w:t>
            </w:r>
          </w:p>
        </w:tc>
        <w:tc>
          <w:tcPr>
            <w:tcW w:w="1060" w:type="dxa"/>
            <w:vAlign w:val="bottom"/>
            <w:tcBorders>
              <w:bottom w:val="single" w:sz="8" w:color="AFAFAF"/>
              <w:right w:val="single" w:sz="8" w:color="AFAFAF"/>
            </w:tcBorders>
            <w:gridSpan w:val="2"/>
          </w:tcPr>
          <w:p>
            <w:pPr>
              <w:jc w:val="right"/>
              <w:ind w:right="91"/>
              <w:spacing w:after="0"/>
              <w:rPr>
                <w:sz w:val="20"/>
                <w:szCs w:val="20"/>
                <w:color w:val="auto"/>
              </w:rPr>
            </w:pPr>
            <w:r>
              <w:rPr>
                <w:rFonts w:ascii="Arial" w:cs="Arial" w:eastAsia="Arial" w:hAnsi="Arial"/>
                <w:sz w:val="14"/>
                <w:szCs w:val="14"/>
                <w:color w:val="auto"/>
              </w:rPr>
              <w:t>4,400,001</w:t>
            </w:r>
          </w:p>
        </w:tc>
        <w:tc>
          <w:tcPr>
            <w:tcW w:w="1400" w:type="dxa"/>
            <w:vAlign w:val="bottom"/>
            <w:tcBorders>
              <w:bottom w:val="single" w:sz="8" w:color="AFAFAF"/>
              <w:right w:val="single" w:sz="8" w:color="AFAFAF"/>
            </w:tcBorders>
          </w:tcPr>
          <w:p>
            <w:pPr>
              <w:jc w:val="right"/>
              <w:ind w:right="71"/>
              <w:spacing w:after="0"/>
              <w:rPr>
                <w:sz w:val="20"/>
                <w:szCs w:val="20"/>
                <w:color w:val="auto"/>
              </w:rPr>
            </w:pPr>
            <w:r>
              <w:rPr>
                <w:rFonts w:ascii="Arial" w:cs="Arial" w:eastAsia="Arial" w:hAnsi="Arial"/>
                <w:sz w:val="14"/>
                <w:szCs w:val="14"/>
                <w:color w:val="auto"/>
              </w:rPr>
              <w:t>2,651,489</w:t>
            </w:r>
          </w:p>
        </w:tc>
        <w:tc>
          <w:tcPr>
            <w:tcW w:w="860" w:type="dxa"/>
            <w:vAlign w:val="bottom"/>
            <w:tcBorders>
              <w:bottom w:val="single" w:sz="8" w:color="AFAFAF"/>
              <w:right w:val="single" w:sz="8" w:color="AFAFAF"/>
            </w:tcBorders>
          </w:tcPr>
          <w:p>
            <w:pPr>
              <w:jc w:val="right"/>
              <w:ind w:right="49"/>
              <w:spacing w:after="0"/>
              <w:rPr>
                <w:sz w:val="20"/>
                <w:szCs w:val="20"/>
                <w:color w:val="auto"/>
              </w:rPr>
            </w:pPr>
            <w:r>
              <w:rPr>
                <w:rFonts w:ascii="Arial" w:cs="Arial" w:eastAsia="Arial" w:hAnsi="Arial"/>
                <w:sz w:val="14"/>
                <w:szCs w:val="14"/>
                <w:color w:val="auto"/>
              </w:rPr>
              <w:t>337,000</w:t>
            </w:r>
          </w:p>
        </w:tc>
        <w:tc>
          <w:tcPr>
            <w:tcW w:w="1200" w:type="dxa"/>
            <w:vAlign w:val="bottom"/>
            <w:tcBorders>
              <w:bottom w:val="single" w:sz="8" w:color="AFAFAF"/>
              <w:right w:val="single" w:sz="8" w:color="AFAFAF"/>
            </w:tcBorders>
          </w:tcPr>
          <w:p>
            <w:pPr>
              <w:jc w:val="right"/>
              <w:ind w:right="49"/>
              <w:spacing w:after="0"/>
              <w:rPr>
                <w:sz w:val="20"/>
                <w:szCs w:val="20"/>
                <w:color w:val="auto"/>
              </w:rPr>
            </w:pPr>
            <w:r>
              <w:rPr>
                <w:rFonts w:ascii="Arial" w:cs="Arial" w:eastAsia="Arial" w:hAnsi="Arial"/>
                <w:sz w:val="14"/>
                <w:szCs w:val="14"/>
                <w:color w:val="auto"/>
              </w:rPr>
              <w:t>32,039</w:t>
            </w:r>
          </w:p>
        </w:tc>
        <w:tc>
          <w:tcPr>
            <w:tcW w:w="1180" w:type="dxa"/>
            <w:vAlign w:val="bottom"/>
            <w:tcBorders>
              <w:bottom w:val="single" w:sz="8" w:color="AFAFAF"/>
            </w:tcBorders>
          </w:tcPr>
          <w:p>
            <w:pPr>
              <w:jc w:val="right"/>
              <w:ind w:right="28"/>
              <w:spacing w:after="0"/>
              <w:rPr>
                <w:sz w:val="20"/>
                <w:szCs w:val="20"/>
                <w:color w:val="auto"/>
              </w:rPr>
            </w:pPr>
            <w:r>
              <w:rPr>
                <w:rFonts w:ascii="Arial" w:cs="Arial" w:eastAsia="Arial" w:hAnsi="Arial"/>
                <w:sz w:val="14"/>
                <w:szCs w:val="14"/>
                <w:color w:val="auto"/>
              </w:rPr>
              <w:t>13,412,091</w:t>
            </w:r>
          </w:p>
        </w:tc>
        <w:tc>
          <w:tcPr>
            <w:tcW w:w="0" w:type="dxa"/>
            <w:vAlign w:val="bottom"/>
          </w:tcPr>
          <w:p>
            <w:pPr>
              <w:spacing w:after="0"/>
              <w:rPr>
                <w:sz w:val="1"/>
                <w:szCs w:val="1"/>
                <w:color w:val="auto"/>
              </w:rPr>
            </w:pPr>
          </w:p>
        </w:tc>
      </w:tr>
      <w:tr>
        <w:trPr>
          <w:trHeight w:val="155"/>
        </w:trPr>
        <w:tc>
          <w:tcPr>
            <w:tcW w:w="2700" w:type="dxa"/>
            <w:vAlign w:val="bottom"/>
            <w:tcBorders>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Stephane Bello</w:t>
            </w:r>
          </w:p>
        </w:tc>
        <w:tc>
          <w:tcPr>
            <w:tcW w:w="560" w:type="dxa"/>
            <w:vAlign w:val="bottom"/>
            <w:tcBorders>
              <w:bottom w:val="single" w:sz="8" w:color="auto"/>
              <w:right w:val="single" w:sz="8" w:color="AFAFAF"/>
            </w:tcBorders>
          </w:tcPr>
          <w:p>
            <w:pPr>
              <w:ind w:left="140"/>
              <w:spacing w:after="0" w:line="155"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right w:val="single" w:sz="8" w:color="AFAFAF"/>
            </w:tcBorders>
            <w:gridSpan w:val="2"/>
          </w:tcPr>
          <w:p>
            <w:pPr>
              <w:jc w:val="right"/>
              <w:ind w:right="55"/>
              <w:spacing w:after="0" w:line="155" w:lineRule="exact"/>
              <w:rPr>
                <w:sz w:val="20"/>
                <w:szCs w:val="20"/>
                <w:color w:val="auto"/>
              </w:rPr>
            </w:pPr>
            <w:r>
              <w:rPr>
                <w:rFonts w:ascii="Arial" w:cs="Arial" w:eastAsia="Arial" w:hAnsi="Arial"/>
                <w:sz w:val="14"/>
                <w:szCs w:val="14"/>
                <w:b w:val="1"/>
                <w:bCs w:val="1"/>
                <w:color w:val="auto"/>
              </w:rPr>
              <w:t>1,000,000</w:t>
            </w:r>
          </w:p>
        </w:tc>
        <w:tc>
          <w:tcPr>
            <w:tcW w:w="1040" w:type="dxa"/>
            <w:vAlign w:val="bottom"/>
            <w:tcBorders>
              <w:bottom w:val="single" w:sz="8" w:color="auto"/>
              <w:right w:val="single" w:sz="8" w:color="AFAFAF"/>
            </w:tcBorders>
            <w:gridSpan w:val="2"/>
          </w:tcPr>
          <w:p>
            <w:pPr>
              <w:jc w:val="right"/>
              <w:ind w:right="55"/>
              <w:spacing w:after="0" w:line="155" w:lineRule="exact"/>
              <w:rPr>
                <w:sz w:val="20"/>
                <w:szCs w:val="20"/>
                <w:color w:val="auto"/>
              </w:rPr>
            </w:pPr>
            <w:r>
              <w:rPr>
                <w:rFonts w:ascii="Arial" w:cs="Arial" w:eastAsia="Arial" w:hAnsi="Arial"/>
                <w:sz w:val="14"/>
                <w:szCs w:val="14"/>
                <w:b w:val="1"/>
                <w:bCs w:val="1"/>
                <w:color w:val="auto"/>
              </w:rPr>
              <w:t>1,000,005</w:t>
            </w:r>
          </w:p>
        </w:tc>
        <w:tc>
          <w:tcPr>
            <w:tcW w:w="1060" w:type="dxa"/>
            <w:vAlign w:val="bottom"/>
            <w:tcBorders>
              <w:bottom w:val="single" w:sz="8" w:color="auto"/>
              <w:right w:val="single" w:sz="8" w:color="AFAFAF"/>
            </w:tcBorders>
            <w:gridSpan w:val="2"/>
          </w:tcPr>
          <w:p>
            <w:pPr>
              <w:jc w:val="right"/>
              <w:ind w:right="91"/>
              <w:spacing w:after="0" w:line="155" w:lineRule="exact"/>
              <w:rPr>
                <w:sz w:val="20"/>
                <w:szCs w:val="20"/>
                <w:color w:val="auto"/>
              </w:rPr>
            </w:pPr>
            <w:r>
              <w:rPr>
                <w:rFonts w:ascii="Arial" w:cs="Arial" w:eastAsia="Arial" w:hAnsi="Arial"/>
                <w:sz w:val="14"/>
                <w:szCs w:val="14"/>
                <w:b w:val="1"/>
                <w:bCs w:val="1"/>
                <w:color w:val="auto"/>
              </w:rPr>
              <w:t>1,000,001</w:t>
            </w:r>
          </w:p>
        </w:tc>
        <w:tc>
          <w:tcPr>
            <w:tcW w:w="1400" w:type="dxa"/>
            <w:vAlign w:val="bottom"/>
            <w:tcBorders>
              <w:bottom w:val="single" w:sz="8" w:color="auto"/>
              <w:right w:val="single" w:sz="8" w:color="AFAFAF"/>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1,697,850</w:t>
            </w:r>
          </w:p>
        </w:tc>
        <w:tc>
          <w:tcPr>
            <w:tcW w:w="860" w:type="dxa"/>
            <w:vAlign w:val="bottom"/>
            <w:tcBorders>
              <w:bottom w:val="single" w:sz="8" w:color="auto"/>
              <w:right w:val="single" w:sz="8" w:color="AFAFA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167,000</w:t>
            </w:r>
          </w:p>
        </w:tc>
        <w:tc>
          <w:tcPr>
            <w:tcW w:w="1200" w:type="dxa"/>
            <w:vAlign w:val="bottom"/>
            <w:tcBorders>
              <w:bottom w:val="single" w:sz="8" w:color="auto"/>
              <w:right w:val="single" w:sz="8" w:color="AFAFA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38,612</w:t>
            </w:r>
          </w:p>
        </w:tc>
        <w:tc>
          <w:tcPr>
            <w:tcW w:w="1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4,903,468</w:t>
            </w:r>
          </w:p>
        </w:tc>
        <w:tc>
          <w:tcPr>
            <w:tcW w:w="0" w:type="dxa"/>
            <w:vAlign w:val="bottom"/>
          </w:tcPr>
          <w:p>
            <w:pPr>
              <w:spacing w:after="0"/>
              <w:rPr>
                <w:sz w:val="1"/>
                <w:szCs w:val="1"/>
                <w:color w:val="auto"/>
              </w:rPr>
            </w:pPr>
          </w:p>
        </w:tc>
      </w:tr>
      <w:tr>
        <w:trPr>
          <w:trHeight w:val="148"/>
        </w:trPr>
        <w:tc>
          <w:tcPr>
            <w:tcW w:w="2700" w:type="dxa"/>
            <w:vAlign w:val="bottom"/>
            <w:tcBorders>
              <w:right w:val="single" w:sz="8" w:color="AFAFAF"/>
            </w:tcBorders>
          </w:tcPr>
          <w:p>
            <w:pPr>
              <w:spacing w:after="0" w:line="147" w:lineRule="exact"/>
              <w:rPr>
                <w:sz w:val="20"/>
                <w:szCs w:val="20"/>
                <w:color w:val="auto"/>
              </w:rPr>
            </w:pPr>
            <w:r>
              <w:rPr>
                <w:rFonts w:ascii="Arial" w:cs="Arial" w:eastAsia="Arial" w:hAnsi="Arial"/>
                <w:sz w:val="14"/>
                <w:szCs w:val="14"/>
                <w:color w:val="auto"/>
              </w:rPr>
              <w:t>Executive Vice President</w:t>
            </w:r>
          </w:p>
        </w:tc>
        <w:tc>
          <w:tcPr>
            <w:tcW w:w="560" w:type="dxa"/>
            <w:vAlign w:val="bottom"/>
            <w:tcBorders>
              <w:bottom w:val="single" w:sz="8" w:color="auto"/>
              <w:right w:val="single" w:sz="8" w:color="AFAFAF"/>
            </w:tcBorders>
          </w:tcPr>
          <w:p>
            <w:pPr>
              <w:ind w:left="140"/>
              <w:spacing w:after="0" w:line="147" w:lineRule="exact"/>
              <w:rPr>
                <w:sz w:val="20"/>
                <w:szCs w:val="20"/>
                <w:color w:val="auto"/>
              </w:rPr>
            </w:pPr>
            <w:r>
              <w:rPr>
                <w:rFonts w:ascii="Arial" w:cs="Arial" w:eastAsia="Arial" w:hAnsi="Arial"/>
                <w:sz w:val="14"/>
                <w:szCs w:val="14"/>
                <w:color w:val="auto"/>
              </w:rPr>
              <w:t>2017</w:t>
            </w:r>
          </w:p>
        </w:tc>
        <w:tc>
          <w:tcPr>
            <w:tcW w:w="980" w:type="dxa"/>
            <w:vAlign w:val="bottom"/>
            <w:tcBorders>
              <w:bottom w:val="single" w:sz="8" w:color="auto"/>
              <w:right w:val="single" w:sz="8" w:color="AFAFAF"/>
            </w:tcBorders>
            <w:gridSpan w:val="2"/>
          </w:tcPr>
          <w:p>
            <w:pPr>
              <w:jc w:val="right"/>
              <w:ind w:right="55"/>
              <w:spacing w:after="0" w:line="147" w:lineRule="exact"/>
              <w:rPr>
                <w:sz w:val="20"/>
                <w:szCs w:val="20"/>
                <w:color w:val="auto"/>
              </w:rPr>
            </w:pPr>
            <w:r>
              <w:rPr>
                <w:rFonts w:ascii="Arial" w:cs="Arial" w:eastAsia="Arial" w:hAnsi="Arial"/>
                <w:sz w:val="14"/>
                <w:szCs w:val="14"/>
                <w:color w:val="auto"/>
              </w:rPr>
              <w:t>1,000,000</w:t>
            </w:r>
          </w:p>
        </w:tc>
        <w:tc>
          <w:tcPr>
            <w:tcW w:w="1040" w:type="dxa"/>
            <w:vAlign w:val="bottom"/>
            <w:tcBorders>
              <w:bottom w:val="single" w:sz="8" w:color="auto"/>
              <w:right w:val="single" w:sz="8" w:color="AFAFAF"/>
            </w:tcBorders>
            <w:gridSpan w:val="2"/>
          </w:tcPr>
          <w:p>
            <w:pPr>
              <w:jc w:val="right"/>
              <w:ind w:right="55"/>
              <w:spacing w:after="0" w:line="147" w:lineRule="exact"/>
              <w:rPr>
                <w:sz w:val="20"/>
                <w:szCs w:val="20"/>
                <w:color w:val="auto"/>
              </w:rPr>
            </w:pPr>
            <w:r>
              <w:rPr>
                <w:rFonts w:ascii="Arial" w:cs="Arial" w:eastAsia="Arial" w:hAnsi="Arial"/>
                <w:sz w:val="14"/>
                <w:szCs w:val="14"/>
                <w:color w:val="auto"/>
              </w:rPr>
              <w:t>1,000,014</w:t>
            </w:r>
          </w:p>
        </w:tc>
        <w:tc>
          <w:tcPr>
            <w:tcW w:w="1060" w:type="dxa"/>
            <w:vAlign w:val="bottom"/>
            <w:tcBorders>
              <w:bottom w:val="single" w:sz="8" w:color="auto"/>
              <w:right w:val="single" w:sz="8" w:color="AFAFAF"/>
            </w:tcBorders>
            <w:gridSpan w:val="2"/>
          </w:tcPr>
          <w:p>
            <w:pPr>
              <w:jc w:val="right"/>
              <w:ind w:right="91"/>
              <w:spacing w:after="0" w:line="147" w:lineRule="exact"/>
              <w:rPr>
                <w:sz w:val="20"/>
                <w:szCs w:val="20"/>
                <w:color w:val="auto"/>
              </w:rPr>
            </w:pPr>
            <w:r>
              <w:rPr>
                <w:rFonts w:ascii="Arial" w:cs="Arial" w:eastAsia="Arial" w:hAnsi="Arial"/>
                <w:sz w:val="14"/>
                <w:szCs w:val="14"/>
                <w:color w:val="auto"/>
              </w:rPr>
              <w:t>1,000,002</w:t>
            </w:r>
          </w:p>
        </w:tc>
        <w:tc>
          <w:tcPr>
            <w:tcW w:w="1400" w:type="dxa"/>
            <w:vAlign w:val="bottom"/>
            <w:tcBorders>
              <w:bottom w:val="single" w:sz="8" w:color="auto"/>
              <w:right w:val="single" w:sz="8" w:color="AFAFAF"/>
            </w:tcBorders>
          </w:tcPr>
          <w:p>
            <w:pPr>
              <w:jc w:val="right"/>
              <w:ind w:right="71"/>
              <w:spacing w:after="0" w:line="147" w:lineRule="exact"/>
              <w:rPr>
                <w:sz w:val="20"/>
                <w:szCs w:val="20"/>
                <w:color w:val="auto"/>
              </w:rPr>
            </w:pPr>
            <w:r>
              <w:rPr>
                <w:rFonts w:ascii="Arial" w:cs="Arial" w:eastAsia="Arial" w:hAnsi="Arial"/>
                <w:sz w:val="14"/>
                <w:szCs w:val="14"/>
                <w:color w:val="auto"/>
              </w:rPr>
              <w:t>1,170,625</w:t>
            </w:r>
          </w:p>
        </w:tc>
        <w:tc>
          <w:tcPr>
            <w:tcW w:w="860" w:type="dxa"/>
            <w:vAlign w:val="bottom"/>
            <w:tcBorders>
              <w:bottom w:val="single" w:sz="8" w:color="auto"/>
              <w:right w:val="single" w:sz="8" w:color="AFAFAF"/>
            </w:tcBorders>
          </w:tcPr>
          <w:p>
            <w:pPr>
              <w:jc w:val="right"/>
              <w:ind w:right="49"/>
              <w:spacing w:after="0" w:line="147" w:lineRule="exact"/>
              <w:rPr>
                <w:sz w:val="20"/>
                <w:szCs w:val="20"/>
                <w:color w:val="auto"/>
              </w:rPr>
            </w:pPr>
            <w:r>
              <w:rPr>
                <w:rFonts w:ascii="Arial" w:cs="Arial" w:eastAsia="Arial" w:hAnsi="Arial"/>
                <w:sz w:val="14"/>
                <w:szCs w:val="14"/>
                <w:color w:val="auto"/>
              </w:rPr>
              <w:t>180,000</w:t>
            </w:r>
          </w:p>
        </w:tc>
        <w:tc>
          <w:tcPr>
            <w:tcW w:w="1200" w:type="dxa"/>
            <w:vAlign w:val="bottom"/>
            <w:tcBorders>
              <w:bottom w:val="single" w:sz="8" w:color="auto"/>
              <w:right w:val="single" w:sz="8" w:color="AFAFAF"/>
            </w:tcBorders>
          </w:tcPr>
          <w:p>
            <w:pPr>
              <w:jc w:val="right"/>
              <w:ind w:right="49"/>
              <w:spacing w:after="0" w:line="147" w:lineRule="exact"/>
              <w:rPr>
                <w:sz w:val="20"/>
                <w:szCs w:val="20"/>
                <w:color w:val="auto"/>
              </w:rPr>
            </w:pPr>
            <w:r>
              <w:rPr>
                <w:rFonts w:ascii="Arial" w:cs="Arial" w:eastAsia="Arial" w:hAnsi="Arial"/>
                <w:sz w:val="14"/>
                <w:szCs w:val="14"/>
                <w:color w:val="auto"/>
              </w:rPr>
              <w:t>589,202</w:t>
            </w:r>
          </w:p>
        </w:tc>
        <w:tc>
          <w:tcPr>
            <w:tcW w:w="1180" w:type="dxa"/>
            <w:vAlign w:val="bottom"/>
            <w:tcBorders>
              <w:bottom w:val="single" w:sz="8" w:color="auto"/>
            </w:tcBorders>
          </w:tcPr>
          <w:p>
            <w:pPr>
              <w:jc w:val="right"/>
              <w:ind w:right="28"/>
              <w:spacing w:after="0" w:line="147" w:lineRule="exact"/>
              <w:rPr>
                <w:sz w:val="20"/>
                <w:szCs w:val="20"/>
                <w:color w:val="auto"/>
              </w:rPr>
            </w:pPr>
            <w:r>
              <w:rPr>
                <w:rFonts w:ascii="Arial" w:cs="Arial" w:eastAsia="Arial" w:hAnsi="Arial"/>
                <w:sz w:val="14"/>
                <w:szCs w:val="14"/>
                <w:color w:val="auto"/>
              </w:rPr>
              <w:t>4,939,843</w:t>
            </w:r>
          </w:p>
        </w:tc>
        <w:tc>
          <w:tcPr>
            <w:tcW w:w="0" w:type="dxa"/>
            <w:vAlign w:val="bottom"/>
          </w:tcPr>
          <w:p>
            <w:pPr>
              <w:spacing w:after="0"/>
              <w:rPr>
                <w:sz w:val="1"/>
                <w:szCs w:val="1"/>
                <w:color w:val="auto"/>
              </w:rPr>
            </w:pPr>
          </w:p>
        </w:tc>
      </w:tr>
      <w:tr>
        <w:trPr>
          <w:trHeight w:val="162"/>
        </w:trPr>
        <w:tc>
          <w:tcPr>
            <w:tcW w:w="2700" w:type="dxa"/>
            <w:vAlign w:val="bottom"/>
            <w:tcBorders>
              <w:bottom w:val="single" w:sz="8" w:color="AFAFAF"/>
              <w:right w:val="single" w:sz="8" w:color="AFAFAF"/>
            </w:tcBorders>
          </w:tcPr>
          <w:p>
            <w:pPr>
              <w:spacing w:after="0" w:line="150" w:lineRule="exact"/>
              <w:rPr>
                <w:sz w:val="20"/>
                <w:szCs w:val="20"/>
                <w:color w:val="auto"/>
              </w:rPr>
            </w:pPr>
            <w:r>
              <w:rPr>
                <w:rFonts w:ascii="Arial" w:cs="Arial" w:eastAsia="Arial" w:hAnsi="Arial"/>
                <w:sz w:val="14"/>
                <w:szCs w:val="14"/>
                <w:color w:val="auto"/>
              </w:rPr>
              <w:t>and Chief Financial Officer</w:t>
            </w:r>
          </w:p>
        </w:tc>
        <w:tc>
          <w:tcPr>
            <w:tcW w:w="560" w:type="dxa"/>
            <w:vAlign w:val="bottom"/>
            <w:tcBorders>
              <w:bottom w:val="single" w:sz="8" w:color="AFAFAF"/>
              <w:right w:val="single" w:sz="8" w:color="AFAFAF"/>
            </w:tcBorders>
          </w:tcPr>
          <w:p>
            <w:pPr>
              <w:ind w:left="140"/>
              <w:spacing w:after="0"/>
              <w:rPr>
                <w:sz w:val="20"/>
                <w:szCs w:val="20"/>
                <w:color w:val="auto"/>
              </w:rPr>
            </w:pPr>
            <w:r>
              <w:rPr>
                <w:rFonts w:ascii="Arial" w:cs="Arial" w:eastAsia="Arial" w:hAnsi="Arial"/>
                <w:sz w:val="14"/>
                <w:szCs w:val="14"/>
                <w:color w:val="auto"/>
              </w:rPr>
              <w:t>2016</w:t>
            </w:r>
          </w:p>
        </w:tc>
        <w:tc>
          <w:tcPr>
            <w:tcW w:w="980" w:type="dxa"/>
            <w:vAlign w:val="bottom"/>
            <w:tcBorders>
              <w:bottom w:val="single" w:sz="8" w:color="AFAFAF"/>
              <w:right w:val="single" w:sz="8" w:color="AFAFAF"/>
            </w:tcBorders>
            <w:gridSpan w:val="2"/>
          </w:tcPr>
          <w:p>
            <w:pPr>
              <w:jc w:val="right"/>
              <w:ind w:right="55"/>
              <w:spacing w:after="0"/>
              <w:rPr>
                <w:sz w:val="20"/>
                <w:szCs w:val="20"/>
                <w:color w:val="auto"/>
              </w:rPr>
            </w:pPr>
            <w:r>
              <w:rPr>
                <w:rFonts w:ascii="Arial" w:cs="Arial" w:eastAsia="Arial" w:hAnsi="Arial"/>
                <w:sz w:val="14"/>
                <w:szCs w:val="14"/>
                <w:color w:val="auto"/>
              </w:rPr>
              <w:t>990,820</w:t>
            </w:r>
          </w:p>
        </w:tc>
        <w:tc>
          <w:tcPr>
            <w:tcW w:w="1040" w:type="dxa"/>
            <w:vAlign w:val="bottom"/>
            <w:tcBorders>
              <w:bottom w:val="single" w:sz="8" w:color="AFAFAF"/>
              <w:right w:val="single" w:sz="8" w:color="AFAFAF"/>
            </w:tcBorders>
            <w:gridSpan w:val="2"/>
          </w:tcPr>
          <w:p>
            <w:pPr>
              <w:jc w:val="right"/>
              <w:ind w:right="55"/>
              <w:spacing w:after="0"/>
              <w:rPr>
                <w:sz w:val="20"/>
                <w:szCs w:val="20"/>
                <w:color w:val="auto"/>
              </w:rPr>
            </w:pPr>
            <w:r>
              <w:rPr>
                <w:rFonts w:ascii="Arial" w:cs="Arial" w:eastAsia="Arial" w:hAnsi="Arial"/>
                <w:sz w:val="14"/>
                <w:szCs w:val="14"/>
                <w:color w:val="auto"/>
              </w:rPr>
              <w:t>2,500,071</w:t>
            </w:r>
          </w:p>
        </w:tc>
        <w:tc>
          <w:tcPr>
            <w:tcW w:w="1060" w:type="dxa"/>
            <w:vAlign w:val="bottom"/>
            <w:tcBorders>
              <w:bottom w:val="single" w:sz="8" w:color="AFAFAF"/>
              <w:right w:val="single" w:sz="8" w:color="AFAFAF"/>
            </w:tcBorders>
            <w:gridSpan w:val="2"/>
          </w:tcPr>
          <w:p>
            <w:pPr>
              <w:jc w:val="right"/>
              <w:ind w:right="91"/>
              <w:spacing w:after="0"/>
              <w:rPr>
                <w:sz w:val="20"/>
                <w:szCs w:val="20"/>
                <w:color w:val="auto"/>
              </w:rPr>
            </w:pPr>
            <w:r>
              <w:rPr>
                <w:rFonts w:ascii="Arial" w:cs="Arial" w:eastAsia="Arial" w:hAnsi="Arial"/>
                <w:sz w:val="14"/>
                <w:szCs w:val="14"/>
                <w:color w:val="auto"/>
              </w:rPr>
              <w:t>1,000,001</w:t>
            </w:r>
          </w:p>
        </w:tc>
        <w:tc>
          <w:tcPr>
            <w:tcW w:w="1400" w:type="dxa"/>
            <w:vAlign w:val="bottom"/>
            <w:tcBorders>
              <w:bottom w:val="single" w:sz="8" w:color="AFAFAF"/>
              <w:right w:val="single" w:sz="8" w:color="AFAFAF"/>
            </w:tcBorders>
          </w:tcPr>
          <w:p>
            <w:pPr>
              <w:jc w:val="right"/>
              <w:ind w:right="71"/>
              <w:spacing w:after="0"/>
              <w:rPr>
                <w:sz w:val="20"/>
                <w:szCs w:val="20"/>
                <w:color w:val="auto"/>
              </w:rPr>
            </w:pPr>
            <w:r>
              <w:rPr>
                <w:rFonts w:ascii="Arial" w:cs="Arial" w:eastAsia="Arial" w:hAnsi="Arial"/>
                <w:sz w:val="14"/>
                <w:szCs w:val="14"/>
                <w:color w:val="auto"/>
              </w:rPr>
              <w:t>1,031,691</w:t>
            </w:r>
          </w:p>
        </w:tc>
        <w:tc>
          <w:tcPr>
            <w:tcW w:w="860" w:type="dxa"/>
            <w:vAlign w:val="bottom"/>
            <w:tcBorders>
              <w:bottom w:val="single" w:sz="8" w:color="AFAFAF"/>
              <w:right w:val="single" w:sz="8" w:color="AFAFAF"/>
            </w:tcBorders>
          </w:tcPr>
          <w:p>
            <w:pPr>
              <w:jc w:val="right"/>
              <w:ind w:right="49"/>
              <w:spacing w:after="0"/>
              <w:rPr>
                <w:sz w:val="20"/>
                <w:szCs w:val="20"/>
                <w:color w:val="auto"/>
              </w:rPr>
            </w:pPr>
            <w:r>
              <w:rPr>
                <w:rFonts w:ascii="Arial" w:cs="Arial" w:eastAsia="Arial" w:hAnsi="Arial"/>
                <w:sz w:val="14"/>
                <w:szCs w:val="14"/>
                <w:color w:val="auto"/>
              </w:rPr>
              <w:t>474,000</w:t>
            </w:r>
          </w:p>
        </w:tc>
        <w:tc>
          <w:tcPr>
            <w:tcW w:w="1200" w:type="dxa"/>
            <w:vAlign w:val="bottom"/>
            <w:tcBorders>
              <w:bottom w:val="single" w:sz="8" w:color="AFAFAF"/>
              <w:right w:val="single" w:sz="8" w:color="AFAFAF"/>
            </w:tcBorders>
          </w:tcPr>
          <w:p>
            <w:pPr>
              <w:jc w:val="right"/>
              <w:ind w:right="49"/>
              <w:spacing w:after="0"/>
              <w:rPr>
                <w:sz w:val="20"/>
                <w:szCs w:val="20"/>
                <w:color w:val="auto"/>
              </w:rPr>
            </w:pPr>
            <w:r>
              <w:rPr>
                <w:rFonts w:ascii="Arial" w:cs="Arial" w:eastAsia="Arial" w:hAnsi="Arial"/>
                <w:sz w:val="14"/>
                <w:szCs w:val="14"/>
                <w:color w:val="auto"/>
              </w:rPr>
              <w:t>39,698</w:t>
            </w:r>
          </w:p>
        </w:tc>
        <w:tc>
          <w:tcPr>
            <w:tcW w:w="1180" w:type="dxa"/>
            <w:vAlign w:val="bottom"/>
            <w:tcBorders>
              <w:bottom w:val="single" w:sz="8" w:color="AFAFAF"/>
            </w:tcBorders>
          </w:tcPr>
          <w:p>
            <w:pPr>
              <w:jc w:val="right"/>
              <w:ind w:right="28"/>
              <w:spacing w:after="0"/>
              <w:rPr>
                <w:sz w:val="20"/>
                <w:szCs w:val="20"/>
                <w:color w:val="auto"/>
              </w:rPr>
            </w:pPr>
            <w:r>
              <w:rPr>
                <w:rFonts w:ascii="Arial" w:cs="Arial" w:eastAsia="Arial" w:hAnsi="Arial"/>
                <w:sz w:val="14"/>
                <w:szCs w:val="14"/>
                <w:color w:val="auto"/>
              </w:rPr>
              <w:t>6,036,281</w:t>
            </w:r>
          </w:p>
        </w:tc>
        <w:tc>
          <w:tcPr>
            <w:tcW w:w="0" w:type="dxa"/>
            <w:vAlign w:val="bottom"/>
          </w:tcPr>
          <w:p>
            <w:pPr>
              <w:spacing w:after="0"/>
              <w:rPr>
                <w:sz w:val="1"/>
                <w:szCs w:val="1"/>
                <w:color w:val="auto"/>
              </w:rPr>
            </w:pPr>
          </w:p>
        </w:tc>
      </w:tr>
      <w:tr>
        <w:trPr>
          <w:trHeight w:val="168"/>
        </w:trPr>
        <w:tc>
          <w:tcPr>
            <w:tcW w:w="270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Brian Peccarelli</w:t>
            </w:r>
          </w:p>
        </w:tc>
        <w:tc>
          <w:tcPr>
            <w:tcW w:w="560" w:type="dxa"/>
            <w:vAlign w:val="bottom"/>
            <w:tcBorders>
              <w:right w:val="single" w:sz="8" w:color="AFAFAF"/>
            </w:tcBorders>
          </w:tcPr>
          <w:p>
            <w:pPr>
              <w:ind w:left="140"/>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right w:val="single" w:sz="8" w:color="AFAFAF"/>
            </w:tcBorders>
            <w:gridSpan w:val="2"/>
          </w:tcPr>
          <w:p>
            <w:pPr>
              <w:jc w:val="right"/>
              <w:ind w:right="55"/>
              <w:spacing w:after="0"/>
              <w:rPr>
                <w:sz w:val="20"/>
                <w:szCs w:val="20"/>
                <w:color w:val="auto"/>
              </w:rPr>
            </w:pPr>
            <w:r>
              <w:rPr>
                <w:rFonts w:ascii="Arial" w:cs="Arial" w:eastAsia="Arial" w:hAnsi="Arial"/>
                <w:sz w:val="14"/>
                <w:szCs w:val="14"/>
                <w:b w:val="1"/>
                <w:bCs w:val="1"/>
                <w:color w:val="auto"/>
              </w:rPr>
              <w:t>700,356</w:t>
            </w:r>
          </w:p>
        </w:tc>
        <w:tc>
          <w:tcPr>
            <w:tcW w:w="1040" w:type="dxa"/>
            <w:vAlign w:val="bottom"/>
            <w:tcBorders>
              <w:right w:val="single" w:sz="8" w:color="AFAFAF"/>
            </w:tcBorders>
            <w:gridSpan w:val="2"/>
          </w:tcPr>
          <w:p>
            <w:pPr>
              <w:jc w:val="right"/>
              <w:ind w:right="55"/>
              <w:spacing w:after="0"/>
              <w:rPr>
                <w:sz w:val="20"/>
                <w:szCs w:val="20"/>
                <w:color w:val="auto"/>
              </w:rPr>
            </w:pPr>
            <w:r>
              <w:rPr>
                <w:rFonts w:ascii="Arial" w:cs="Arial" w:eastAsia="Arial" w:hAnsi="Arial"/>
                <w:sz w:val="14"/>
                <w:szCs w:val="14"/>
                <w:b w:val="1"/>
                <w:bCs w:val="1"/>
                <w:color w:val="auto"/>
              </w:rPr>
              <w:t>4,511,535</w:t>
            </w:r>
          </w:p>
        </w:tc>
        <w:tc>
          <w:tcPr>
            <w:tcW w:w="1060" w:type="dxa"/>
            <w:vAlign w:val="bottom"/>
            <w:tcBorders>
              <w:right w:val="single" w:sz="8" w:color="AFAFAF"/>
            </w:tcBorders>
            <w:gridSpan w:val="2"/>
          </w:tcPr>
          <w:p>
            <w:pPr>
              <w:jc w:val="right"/>
              <w:ind w:right="91"/>
              <w:spacing w:after="0"/>
              <w:rPr>
                <w:sz w:val="20"/>
                <w:szCs w:val="20"/>
                <w:color w:val="auto"/>
              </w:rPr>
            </w:pPr>
            <w:r>
              <w:rPr>
                <w:rFonts w:ascii="Arial" w:cs="Arial" w:eastAsia="Arial" w:hAnsi="Arial"/>
                <w:sz w:val="14"/>
                <w:szCs w:val="14"/>
                <w:b w:val="1"/>
                <w:bCs w:val="1"/>
                <w:color w:val="auto"/>
              </w:rPr>
              <w:t>562,502</w:t>
            </w:r>
          </w:p>
        </w:tc>
        <w:tc>
          <w:tcPr>
            <w:tcW w:w="1400" w:type="dxa"/>
            <w:vAlign w:val="bottom"/>
            <w:tcBorders>
              <w:right w:val="single" w:sz="8" w:color="AFAFAF"/>
            </w:tcBorders>
          </w:tcPr>
          <w:p>
            <w:pPr>
              <w:jc w:val="right"/>
              <w:ind w:right="71"/>
              <w:spacing w:after="0"/>
              <w:rPr>
                <w:sz w:val="20"/>
                <w:szCs w:val="20"/>
                <w:color w:val="auto"/>
              </w:rPr>
            </w:pPr>
            <w:r>
              <w:rPr>
                <w:rFonts w:ascii="Arial" w:cs="Arial" w:eastAsia="Arial" w:hAnsi="Arial"/>
                <w:sz w:val="14"/>
                <w:szCs w:val="14"/>
                <w:b w:val="1"/>
                <w:bCs w:val="1"/>
                <w:color w:val="auto"/>
              </w:rPr>
              <w:t>1,236,256</w:t>
            </w:r>
          </w:p>
        </w:tc>
        <w:tc>
          <w:tcPr>
            <w:tcW w:w="860" w:type="dxa"/>
            <w:vAlign w:val="bottom"/>
            <w:tcBorders>
              <w:right w:val="single" w:sz="8" w:color="AFAFAF"/>
            </w:tcBorders>
          </w:tcPr>
          <w:p>
            <w:pPr>
              <w:jc w:val="right"/>
              <w:ind w:right="49"/>
              <w:spacing w:after="0"/>
              <w:rPr>
                <w:sz w:val="20"/>
                <w:szCs w:val="20"/>
                <w:color w:val="auto"/>
              </w:rPr>
            </w:pPr>
            <w:r>
              <w:rPr>
                <w:rFonts w:ascii="Arial" w:cs="Arial" w:eastAsia="Arial" w:hAnsi="Arial"/>
                <w:sz w:val="14"/>
                <w:szCs w:val="14"/>
                <w:b w:val="1"/>
                <w:bCs w:val="1"/>
                <w:color w:val="auto"/>
              </w:rPr>
              <w:t>43,000</w:t>
            </w:r>
          </w:p>
        </w:tc>
        <w:tc>
          <w:tcPr>
            <w:tcW w:w="1200" w:type="dxa"/>
            <w:vAlign w:val="bottom"/>
            <w:tcBorders>
              <w:right w:val="single" w:sz="8" w:color="AFAFAF"/>
            </w:tcBorders>
          </w:tcPr>
          <w:p>
            <w:pPr>
              <w:jc w:val="right"/>
              <w:ind w:right="49"/>
              <w:spacing w:after="0"/>
              <w:rPr>
                <w:sz w:val="20"/>
                <w:szCs w:val="20"/>
                <w:color w:val="auto"/>
              </w:rPr>
            </w:pPr>
            <w:r>
              <w:rPr>
                <w:rFonts w:ascii="Arial" w:cs="Arial" w:eastAsia="Arial" w:hAnsi="Arial"/>
                <w:sz w:val="14"/>
                <w:szCs w:val="14"/>
                <w:b w:val="1"/>
                <w:bCs w:val="1"/>
                <w:color w:val="auto"/>
              </w:rPr>
              <w:t>31,979</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7,085,628</w:t>
            </w:r>
          </w:p>
        </w:tc>
        <w:tc>
          <w:tcPr>
            <w:tcW w:w="0" w:type="dxa"/>
            <w:vAlign w:val="bottom"/>
          </w:tcPr>
          <w:p>
            <w:pPr>
              <w:spacing w:after="0"/>
              <w:rPr>
                <w:sz w:val="1"/>
                <w:szCs w:val="1"/>
                <w:color w:val="auto"/>
              </w:rPr>
            </w:pPr>
          </w:p>
        </w:tc>
      </w:tr>
      <w:tr>
        <w:trPr>
          <w:trHeight w:val="27"/>
        </w:trPr>
        <w:tc>
          <w:tcPr>
            <w:tcW w:w="2700" w:type="dxa"/>
            <w:vAlign w:val="bottom"/>
            <w:tcBorders>
              <w:right w:val="single" w:sz="8" w:color="AFAFAF"/>
            </w:tcBorders>
            <w:vMerge w:val="restart"/>
          </w:tcPr>
          <w:p>
            <w:pPr>
              <w:spacing w:after="0" w:line="153" w:lineRule="exact"/>
              <w:rPr>
                <w:sz w:val="20"/>
                <w:szCs w:val="20"/>
                <w:color w:val="auto"/>
              </w:rPr>
            </w:pPr>
            <w:r>
              <w:rPr>
                <w:rFonts w:ascii="Arial" w:cs="Arial" w:eastAsia="Arial" w:hAnsi="Arial"/>
                <w:sz w:val="14"/>
                <w:szCs w:val="14"/>
                <w:color w:val="auto"/>
              </w:rPr>
              <w:t>Executive Vice President and</w:t>
            </w:r>
          </w:p>
        </w:tc>
        <w:tc>
          <w:tcPr>
            <w:tcW w:w="560" w:type="dxa"/>
            <w:vAlign w:val="bottom"/>
            <w:tcBorders>
              <w:bottom w:val="single" w:sz="8" w:color="auto"/>
              <w:right w:val="single" w:sz="8" w:color="AFAFA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FAFA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FAFA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FAFAF"/>
            </w:tcBorders>
          </w:tcPr>
          <w:p>
            <w:pPr>
              <w:spacing w:after="0"/>
              <w:rPr>
                <w:sz w:val="2"/>
                <w:szCs w:val="2"/>
                <w:color w:val="auto"/>
              </w:rPr>
            </w:pPr>
          </w:p>
        </w:tc>
        <w:tc>
          <w:tcPr>
            <w:tcW w:w="1400" w:type="dxa"/>
            <w:vAlign w:val="bottom"/>
            <w:tcBorders>
              <w:bottom w:val="single" w:sz="8" w:color="auto"/>
              <w:right w:val="single" w:sz="8" w:color="AFAFAF"/>
            </w:tcBorders>
          </w:tcPr>
          <w:p>
            <w:pPr>
              <w:spacing w:after="0"/>
              <w:rPr>
                <w:sz w:val="2"/>
                <w:szCs w:val="2"/>
                <w:color w:val="auto"/>
              </w:rPr>
            </w:pPr>
          </w:p>
        </w:tc>
        <w:tc>
          <w:tcPr>
            <w:tcW w:w="860" w:type="dxa"/>
            <w:vAlign w:val="bottom"/>
            <w:tcBorders>
              <w:bottom w:val="single" w:sz="8" w:color="auto"/>
              <w:right w:val="single" w:sz="8" w:color="AFAFAF"/>
            </w:tcBorders>
          </w:tcPr>
          <w:p>
            <w:pPr>
              <w:spacing w:after="0"/>
              <w:rPr>
                <w:sz w:val="2"/>
                <w:szCs w:val="2"/>
                <w:color w:val="auto"/>
              </w:rPr>
            </w:pPr>
          </w:p>
        </w:tc>
        <w:tc>
          <w:tcPr>
            <w:tcW w:w="1200" w:type="dxa"/>
            <w:vAlign w:val="bottom"/>
            <w:tcBorders>
              <w:bottom w:val="single" w:sz="8" w:color="auto"/>
              <w:right w:val="single" w:sz="8" w:color="AFAFA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2700" w:type="dxa"/>
            <w:vAlign w:val="bottom"/>
            <w:tcBorders>
              <w:right w:val="single" w:sz="8" w:color="AFAFAF"/>
            </w:tcBorders>
            <w:vMerge w:val="continue"/>
          </w:tcPr>
          <w:p>
            <w:pPr>
              <w:spacing w:after="0"/>
              <w:rPr>
                <w:sz w:val="9"/>
                <w:szCs w:val="9"/>
                <w:color w:val="auto"/>
              </w:rPr>
            </w:pPr>
          </w:p>
        </w:tc>
        <w:tc>
          <w:tcPr>
            <w:tcW w:w="560" w:type="dxa"/>
            <w:vAlign w:val="bottom"/>
            <w:tcBorders>
              <w:right w:val="single" w:sz="8" w:color="AFAFAF"/>
            </w:tcBorders>
            <w:vMerge w:val="restart"/>
          </w:tcPr>
          <w:p>
            <w:pPr>
              <w:ind w:left="140"/>
              <w:spacing w:after="0"/>
              <w:rPr>
                <w:sz w:val="20"/>
                <w:szCs w:val="20"/>
                <w:color w:val="auto"/>
              </w:rPr>
            </w:pPr>
            <w:r>
              <w:rPr>
                <w:rFonts w:ascii="Arial" w:cs="Arial" w:eastAsia="Arial" w:hAnsi="Arial"/>
                <w:sz w:val="14"/>
                <w:szCs w:val="14"/>
                <w:color w:val="auto"/>
              </w:rPr>
              <w:t>2017</w:t>
            </w:r>
          </w:p>
        </w:tc>
        <w:tc>
          <w:tcPr>
            <w:tcW w:w="980" w:type="dxa"/>
            <w:vAlign w:val="bottom"/>
            <w:tcBorders>
              <w:right w:val="single" w:sz="8" w:color="AFAFAF"/>
            </w:tcBorders>
            <w:gridSpan w:val="2"/>
            <w:vMerge w:val="restart"/>
          </w:tcPr>
          <w:p>
            <w:pPr>
              <w:jc w:val="right"/>
              <w:ind w:right="55"/>
              <w:spacing w:after="0"/>
              <w:rPr>
                <w:sz w:val="20"/>
                <w:szCs w:val="20"/>
                <w:color w:val="auto"/>
              </w:rPr>
            </w:pPr>
            <w:r>
              <w:rPr>
                <w:rFonts w:ascii="Arial" w:cs="Arial" w:eastAsia="Arial" w:hAnsi="Arial"/>
                <w:sz w:val="14"/>
                <w:szCs w:val="14"/>
                <w:color w:val="auto"/>
              </w:rPr>
              <w:t>630,000</w:t>
            </w:r>
          </w:p>
        </w:tc>
        <w:tc>
          <w:tcPr>
            <w:tcW w:w="1040" w:type="dxa"/>
            <w:vAlign w:val="bottom"/>
            <w:tcBorders>
              <w:right w:val="single" w:sz="8" w:color="AFAFAF"/>
            </w:tcBorders>
            <w:gridSpan w:val="2"/>
            <w:vMerge w:val="restart"/>
          </w:tcPr>
          <w:p>
            <w:pPr>
              <w:jc w:val="right"/>
              <w:ind w:right="55"/>
              <w:spacing w:after="0"/>
              <w:rPr>
                <w:sz w:val="20"/>
                <w:szCs w:val="20"/>
                <w:color w:val="auto"/>
              </w:rPr>
            </w:pPr>
            <w:r>
              <w:rPr>
                <w:rFonts w:ascii="Arial" w:cs="Arial" w:eastAsia="Arial" w:hAnsi="Arial"/>
                <w:sz w:val="14"/>
                <w:szCs w:val="14"/>
                <w:color w:val="auto"/>
              </w:rPr>
              <w:t>315,008</w:t>
            </w:r>
          </w:p>
        </w:tc>
        <w:tc>
          <w:tcPr>
            <w:tcW w:w="1060" w:type="dxa"/>
            <w:vAlign w:val="bottom"/>
            <w:tcBorders>
              <w:right w:val="single" w:sz="8" w:color="AFAFAF"/>
            </w:tcBorders>
            <w:gridSpan w:val="2"/>
            <w:vMerge w:val="restart"/>
          </w:tcPr>
          <w:p>
            <w:pPr>
              <w:jc w:val="right"/>
              <w:ind w:right="91"/>
              <w:spacing w:after="0"/>
              <w:rPr>
                <w:sz w:val="20"/>
                <w:szCs w:val="20"/>
                <w:color w:val="auto"/>
              </w:rPr>
            </w:pPr>
            <w:r>
              <w:rPr>
                <w:rFonts w:ascii="Arial" w:cs="Arial" w:eastAsia="Arial" w:hAnsi="Arial"/>
                <w:sz w:val="14"/>
                <w:szCs w:val="14"/>
                <w:color w:val="auto"/>
              </w:rPr>
              <w:t>315,002</w:t>
            </w:r>
          </w:p>
        </w:tc>
        <w:tc>
          <w:tcPr>
            <w:tcW w:w="1400" w:type="dxa"/>
            <w:vAlign w:val="bottom"/>
            <w:tcBorders>
              <w:right w:val="single" w:sz="8" w:color="AFAFAF"/>
            </w:tcBorders>
            <w:vMerge w:val="restart"/>
          </w:tcPr>
          <w:p>
            <w:pPr>
              <w:jc w:val="right"/>
              <w:ind w:right="71"/>
              <w:spacing w:after="0"/>
              <w:rPr>
                <w:sz w:val="20"/>
                <w:szCs w:val="20"/>
                <w:color w:val="auto"/>
              </w:rPr>
            </w:pPr>
            <w:r>
              <w:rPr>
                <w:rFonts w:ascii="Arial" w:cs="Arial" w:eastAsia="Arial" w:hAnsi="Arial"/>
                <w:sz w:val="14"/>
                <w:szCs w:val="14"/>
                <w:color w:val="auto"/>
              </w:rPr>
              <w:t>919,958</w:t>
            </w:r>
          </w:p>
        </w:tc>
        <w:tc>
          <w:tcPr>
            <w:tcW w:w="860" w:type="dxa"/>
            <w:vAlign w:val="bottom"/>
            <w:tcBorders>
              <w:right w:val="single" w:sz="8" w:color="AFAFAF"/>
            </w:tcBorders>
            <w:vMerge w:val="restart"/>
          </w:tcPr>
          <w:p>
            <w:pPr>
              <w:jc w:val="right"/>
              <w:ind w:right="49"/>
              <w:spacing w:after="0"/>
              <w:rPr>
                <w:sz w:val="20"/>
                <w:szCs w:val="20"/>
                <w:color w:val="auto"/>
              </w:rPr>
            </w:pPr>
            <w:r>
              <w:rPr>
                <w:rFonts w:ascii="Arial" w:cs="Arial" w:eastAsia="Arial" w:hAnsi="Arial"/>
                <w:sz w:val="14"/>
                <w:szCs w:val="14"/>
                <w:color w:val="auto"/>
              </w:rPr>
              <w:t>38,000</w:t>
            </w:r>
          </w:p>
        </w:tc>
        <w:tc>
          <w:tcPr>
            <w:tcW w:w="1200" w:type="dxa"/>
            <w:vAlign w:val="bottom"/>
            <w:tcBorders>
              <w:right w:val="single" w:sz="8" w:color="AFAFAF"/>
            </w:tcBorders>
            <w:vMerge w:val="restart"/>
          </w:tcPr>
          <w:p>
            <w:pPr>
              <w:jc w:val="right"/>
              <w:ind w:right="49"/>
              <w:spacing w:after="0"/>
              <w:rPr>
                <w:sz w:val="20"/>
                <w:szCs w:val="20"/>
                <w:color w:val="auto"/>
              </w:rPr>
            </w:pPr>
            <w:r>
              <w:rPr>
                <w:rFonts w:ascii="Arial" w:cs="Arial" w:eastAsia="Arial" w:hAnsi="Arial"/>
                <w:sz w:val="14"/>
                <w:szCs w:val="14"/>
                <w:color w:val="auto"/>
              </w:rPr>
              <w:t>31,154</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2,249,122</w:t>
            </w:r>
          </w:p>
        </w:tc>
        <w:tc>
          <w:tcPr>
            <w:tcW w:w="0" w:type="dxa"/>
            <w:vAlign w:val="bottom"/>
          </w:tcPr>
          <w:p>
            <w:pPr>
              <w:spacing w:after="0"/>
              <w:rPr>
                <w:sz w:val="1"/>
                <w:szCs w:val="1"/>
                <w:color w:val="auto"/>
              </w:rPr>
            </w:pPr>
          </w:p>
        </w:tc>
      </w:tr>
      <w:tr>
        <w:trPr>
          <w:trHeight w:val="108"/>
        </w:trPr>
        <w:tc>
          <w:tcPr>
            <w:tcW w:w="2700" w:type="dxa"/>
            <w:vAlign w:val="bottom"/>
            <w:tcBorders>
              <w:right w:val="single" w:sz="8" w:color="AFAFAF"/>
            </w:tcBorders>
            <w:vMerge w:val="restart"/>
          </w:tcPr>
          <w:p>
            <w:pPr>
              <w:spacing w:after="0"/>
              <w:rPr>
                <w:sz w:val="20"/>
                <w:szCs w:val="20"/>
                <w:color w:val="auto"/>
              </w:rPr>
            </w:pPr>
            <w:r>
              <w:rPr>
                <w:rFonts w:ascii="Arial" w:cs="Arial" w:eastAsia="Arial" w:hAnsi="Arial"/>
                <w:sz w:val="14"/>
                <w:szCs w:val="14"/>
                <w:color w:val="auto"/>
              </w:rPr>
              <w:t>Chief Operating Officer, Customer</w:t>
            </w:r>
          </w:p>
        </w:tc>
        <w:tc>
          <w:tcPr>
            <w:tcW w:w="560" w:type="dxa"/>
            <w:vAlign w:val="bottom"/>
            <w:tcBorders>
              <w:bottom w:val="single" w:sz="8" w:color="auto"/>
              <w:right w:val="single" w:sz="8" w:color="AFAFAF"/>
            </w:tcBorders>
            <w:vMerge w:val="continue"/>
          </w:tcPr>
          <w:p>
            <w:pPr>
              <w:spacing w:after="0"/>
              <w:rPr>
                <w:sz w:val="8"/>
                <w:szCs w:val="8"/>
                <w:color w:val="auto"/>
              </w:rPr>
            </w:pPr>
          </w:p>
        </w:tc>
        <w:tc>
          <w:tcPr>
            <w:tcW w:w="980" w:type="dxa"/>
            <w:vAlign w:val="bottom"/>
            <w:tcBorders>
              <w:bottom w:val="single" w:sz="8" w:color="auto"/>
              <w:right w:val="single" w:sz="8" w:color="AFAFAF"/>
            </w:tcBorders>
            <w:gridSpan w:val="2"/>
            <w:vMerge w:val="continue"/>
          </w:tcPr>
          <w:p>
            <w:pPr>
              <w:spacing w:after="0"/>
              <w:rPr>
                <w:sz w:val="8"/>
                <w:szCs w:val="8"/>
                <w:color w:val="auto"/>
              </w:rPr>
            </w:pPr>
          </w:p>
        </w:tc>
        <w:tc>
          <w:tcPr>
            <w:tcW w:w="1040" w:type="dxa"/>
            <w:vAlign w:val="bottom"/>
            <w:tcBorders>
              <w:bottom w:val="single" w:sz="8" w:color="auto"/>
              <w:right w:val="single" w:sz="8" w:color="AFAFAF"/>
            </w:tcBorders>
            <w:gridSpan w:val="2"/>
            <w:vMerge w:val="continue"/>
          </w:tcPr>
          <w:p>
            <w:pPr>
              <w:spacing w:after="0"/>
              <w:rPr>
                <w:sz w:val="8"/>
                <w:szCs w:val="8"/>
                <w:color w:val="auto"/>
              </w:rPr>
            </w:pPr>
          </w:p>
        </w:tc>
        <w:tc>
          <w:tcPr>
            <w:tcW w:w="1060" w:type="dxa"/>
            <w:vAlign w:val="bottom"/>
            <w:tcBorders>
              <w:bottom w:val="single" w:sz="8" w:color="auto"/>
              <w:right w:val="single" w:sz="8" w:color="AFAFAF"/>
            </w:tcBorders>
            <w:gridSpan w:val="2"/>
            <w:vMerge w:val="continue"/>
          </w:tcPr>
          <w:p>
            <w:pPr>
              <w:spacing w:after="0"/>
              <w:rPr>
                <w:sz w:val="8"/>
                <w:szCs w:val="8"/>
                <w:color w:val="auto"/>
              </w:rPr>
            </w:pPr>
          </w:p>
        </w:tc>
        <w:tc>
          <w:tcPr>
            <w:tcW w:w="1400" w:type="dxa"/>
            <w:vAlign w:val="bottom"/>
            <w:tcBorders>
              <w:bottom w:val="single" w:sz="8" w:color="auto"/>
              <w:right w:val="single" w:sz="8" w:color="AFAFAF"/>
            </w:tcBorders>
            <w:vMerge w:val="continue"/>
          </w:tcPr>
          <w:p>
            <w:pPr>
              <w:spacing w:after="0"/>
              <w:rPr>
                <w:sz w:val="8"/>
                <w:szCs w:val="8"/>
                <w:color w:val="auto"/>
              </w:rPr>
            </w:pPr>
          </w:p>
        </w:tc>
        <w:tc>
          <w:tcPr>
            <w:tcW w:w="860" w:type="dxa"/>
            <w:vAlign w:val="bottom"/>
            <w:tcBorders>
              <w:bottom w:val="single" w:sz="8" w:color="auto"/>
              <w:right w:val="single" w:sz="8" w:color="AFAFAF"/>
            </w:tcBorders>
            <w:vMerge w:val="continue"/>
          </w:tcPr>
          <w:p>
            <w:pPr>
              <w:spacing w:after="0"/>
              <w:rPr>
                <w:sz w:val="8"/>
                <w:szCs w:val="8"/>
                <w:color w:val="auto"/>
              </w:rPr>
            </w:pPr>
          </w:p>
        </w:tc>
        <w:tc>
          <w:tcPr>
            <w:tcW w:w="1200" w:type="dxa"/>
            <w:vAlign w:val="bottom"/>
            <w:tcBorders>
              <w:bottom w:val="single" w:sz="8" w:color="auto"/>
              <w:right w:val="single" w:sz="8" w:color="AFAFAF"/>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700" w:type="dxa"/>
            <w:vAlign w:val="bottom"/>
            <w:tcBorders>
              <w:right w:val="single" w:sz="8" w:color="AFAFAF"/>
            </w:tcBorders>
            <w:vMerge w:val="continue"/>
          </w:tcPr>
          <w:p>
            <w:pPr>
              <w:spacing w:after="0"/>
              <w:rPr>
                <w:sz w:val="3"/>
                <w:szCs w:val="3"/>
                <w:color w:val="auto"/>
              </w:rPr>
            </w:pPr>
          </w:p>
        </w:tc>
        <w:tc>
          <w:tcPr>
            <w:tcW w:w="560" w:type="dxa"/>
            <w:vAlign w:val="bottom"/>
            <w:tcBorders>
              <w:right w:val="single" w:sz="8" w:color="AFAFAF"/>
            </w:tcBorders>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Borders>
              <w:right w:val="single" w:sz="8" w:color="AFAFAF"/>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Borders>
              <w:right w:val="single" w:sz="8" w:color="AFAFAF"/>
            </w:tcBorders>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Borders>
              <w:right w:val="single" w:sz="8" w:color="AFAFAF"/>
            </w:tcBorders>
          </w:tcPr>
          <w:p>
            <w:pPr>
              <w:spacing w:after="0"/>
              <w:rPr>
                <w:sz w:val="3"/>
                <w:szCs w:val="3"/>
                <w:color w:val="auto"/>
              </w:rPr>
            </w:pPr>
          </w:p>
        </w:tc>
        <w:tc>
          <w:tcPr>
            <w:tcW w:w="1400" w:type="dxa"/>
            <w:vAlign w:val="bottom"/>
            <w:tcBorders>
              <w:right w:val="single" w:sz="8" w:color="AFAFAF"/>
            </w:tcBorders>
          </w:tcPr>
          <w:p>
            <w:pPr>
              <w:spacing w:after="0"/>
              <w:rPr>
                <w:sz w:val="3"/>
                <w:szCs w:val="3"/>
                <w:color w:val="auto"/>
              </w:rPr>
            </w:pPr>
          </w:p>
        </w:tc>
        <w:tc>
          <w:tcPr>
            <w:tcW w:w="860" w:type="dxa"/>
            <w:vAlign w:val="bottom"/>
            <w:tcBorders>
              <w:right w:val="single" w:sz="8" w:color="AFAFAF"/>
            </w:tcBorders>
          </w:tcPr>
          <w:p>
            <w:pPr>
              <w:spacing w:after="0"/>
              <w:rPr>
                <w:sz w:val="3"/>
                <w:szCs w:val="3"/>
                <w:color w:val="auto"/>
              </w:rPr>
            </w:pPr>
          </w:p>
        </w:tc>
        <w:tc>
          <w:tcPr>
            <w:tcW w:w="1200" w:type="dxa"/>
            <w:vAlign w:val="bottom"/>
            <w:tcBorders>
              <w:right w:val="single" w:sz="8" w:color="AFAFAF"/>
            </w:tcBorders>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70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color w:val="auto"/>
              </w:rPr>
              <w:t>Markets</w:t>
            </w:r>
          </w:p>
        </w:tc>
        <w:tc>
          <w:tcPr>
            <w:tcW w:w="560" w:type="dxa"/>
            <w:vAlign w:val="bottom"/>
            <w:tcBorders>
              <w:bottom w:val="single" w:sz="8" w:color="AFAFAF"/>
              <w:right w:val="single" w:sz="8" w:color="AFAFAF"/>
            </w:tcBorders>
          </w:tcPr>
          <w:p>
            <w:pPr>
              <w:ind w:left="140"/>
              <w:spacing w:after="0"/>
              <w:rPr>
                <w:sz w:val="20"/>
                <w:szCs w:val="20"/>
                <w:color w:val="auto"/>
              </w:rPr>
            </w:pPr>
            <w:r>
              <w:rPr>
                <w:rFonts w:ascii="Arial" w:cs="Arial" w:eastAsia="Arial" w:hAnsi="Arial"/>
                <w:sz w:val="14"/>
                <w:szCs w:val="14"/>
                <w:color w:val="auto"/>
              </w:rPr>
              <w:t>2016</w:t>
            </w:r>
          </w:p>
        </w:tc>
        <w:tc>
          <w:tcPr>
            <w:tcW w:w="980" w:type="dxa"/>
            <w:vAlign w:val="bottom"/>
            <w:tcBorders>
              <w:bottom w:val="single" w:sz="8" w:color="AFAFAF"/>
              <w:right w:val="single" w:sz="8" w:color="AFAFAF"/>
            </w:tcBorders>
            <w:gridSpan w:val="2"/>
          </w:tcPr>
          <w:p>
            <w:pPr>
              <w:jc w:val="right"/>
              <w:ind w:right="55"/>
              <w:spacing w:after="0"/>
              <w:rPr>
                <w:sz w:val="20"/>
                <w:szCs w:val="20"/>
                <w:color w:val="auto"/>
              </w:rPr>
            </w:pPr>
            <w:r>
              <w:rPr>
                <w:rFonts w:ascii="Arial" w:cs="Arial" w:eastAsia="Arial" w:hAnsi="Arial"/>
                <w:sz w:val="14"/>
                <w:szCs w:val="14"/>
                <w:color w:val="auto"/>
              </w:rPr>
              <w:t>625,525</w:t>
            </w:r>
          </w:p>
        </w:tc>
        <w:tc>
          <w:tcPr>
            <w:tcW w:w="1040" w:type="dxa"/>
            <w:vAlign w:val="bottom"/>
            <w:tcBorders>
              <w:bottom w:val="single" w:sz="8" w:color="AFAFAF"/>
              <w:right w:val="single" w:sz="8" w:color="AFAFAF"/>
            </w:tcBorders>
            <w:gridSpan w:val="2"/>
          </w:tcPr>
          <w:p>
            <w:pPr>
              <w:jc w:val="right"/>
              <w:ind w:right="55"/>
              <w:spacing w:after="0"/>
              <w:rPr>
                <w:sz w:val="20"/>
                <w:szCs w:val="20"/>
                <w:color w:val="auto"/>
              </w:rPr>
            </w:pPr>
            <w:r>
              <w:rPr>
                <w:rFonts w:ascii="Arial" w:cs="Arial" w:eastAsia="Arial" w:hAnsi="Arial"/>
                <w:sz w:val="14"/>
                <w:szCs w:val="14"/>
                <w:color w:val="auto"/>
              </w:rPr>
              <w:t>306,007</w:t>
            </w:r>
          </w:p>
        </w:tc>
        <w:tc>
          <w:tcPr>
            <w:tcW w:w="1060" w:type="dxa"/>
            <w:vAlign w:val="bottom"/>
            <w:tcBorders>
              <w:bottom w:val="single" w:sz="8" w:color="AFAFAF"/>
              <w:right w:val="single" w:sz="8" w:color="AFAFAF"/>
            </w:tcBorders>
            <w:gridSpan w:val="2"/>
          </w:tcPr>
          <w:p>
            <w:pPr>
              <w:jc w:val="right"/>
              <w:ind w:right="91"/>
              <w:spacing w:after="0"/>
              <w:rPr>
                <w:sz w:val="20"/>
                <w:szCs w:val="20"/>
                <w:color w:val="auto"/>
              </w:rPr>
            </w:pPr>
            <w:r>
              <w:rPr>
                <w:rFonts w:ascii="Arial" w:cs="Arial" w:eastAsia="Arial" w:hAnsi="Arial"/>
                <w:sz w:val="14"/>
                <w:szCs w:val="14"/>
                <w:color w:val="auto"/>
              </w:rPr>
              <w:t>306,002</w:t>
            </w:r>
          </w:p>
        </w:tc>
        <w:tc>
          <w:tcPr>
            <w:tcW w:w="1400" w:type="dxa"/>
            <w:vAlign w:val="bottom"/>
            <w:tcBorders>
              <w:bottom w:val="single" w:sz="8" w:color="AFAFAF"/>
              <w:right w:val="single" w:sz="8" w:color="AFAFAF"/>
            </w:tcBorders>
          </w:tcPr>
          <w:p>
            <w:pPr>
              <w:jc w:val="right"/>
              <w:ind w:right="71"/>
              <w:spacing w:after="0"/>
              <w:rPr>
                <w:sz w:val="20"/>
                <w:szCs w:val="20"/>
                <w:color w:val="auto"/>
              </w:rPr>
            </w:pPr>
            <w:r>
              <w:rPr>
                <w:rFonts w:ascii="Arial" w:cs="Arial" w:eastAsia="Arial" w:hAnsi="Arial"/>
                <w:sz w:val="14"/>
                <w:szCs w:val="14"/>
                <w:color w:val="auto"/>
              </w:rPr>
              <w:t>615,751</w:t>
            </w:r>
          </w:p>
        </w:tc>
        <w:tc>
          <w:tcPr>
            <w:tcW w:w="860" w:type="dxa"/>
            <w:vAlign w:val="bottom"/>
            <w:tcBorders>
              <w:bottom w:val="single" w:sz="8" w:color="AFAFAF"/>
              <w:right w:val="single" w:sz="8" w:color="AFAFAF"/>
            </w:tcBorders>
          </w:tcPr>
          <w:p>
            <w:pPr>
              <w:jc w:val="right"/>
              <w:ind w:right="49"/>
              <w:spacing w:after="0"/>
              <w:rPr>
                <w:sz w:val="20"/>
                <w:szCs w:val="20"/>
                <w:color w:val="auto"/>
              </w:rPr>
            </w:pPr>
            <w:r>
              <w:rPr>
                <w:rFonts w:ascii="Arial" w:cs="Arial" w:eastAsia="Arial" w:hAnsi="Arial"/>
                <w:sz w:val="14"/>
                <w:szCs w:val="14"/>
                <w:color w:val="auto"/>
              </w:rPr>
              <w:t>35,000</w:t>
            </w:r>
          </w:p>
        </w:tc>
        <w:tc>
          <w:tcPr>
            <w:tcW w:w="1200" w:type="dxa"/>
            <w:vAlign w:val="bottom"/>
            <w:tcBorders>
              <w:bottom w:val="single" w:sz="8" w:color="AFAFAF"/>
              <w:right w:val="single" w:sz="8" w:color="AFAFAF"/>
            </w:tcBorders>
          </w:tcPr>
          <w:p>
            <w:pPr>
              <w:jc w:val="right"/>
              <w:ind w:right="49"/>
              <w:spacing w:after="0"/>
              <w:rPr>
                <w:sz w:val="20"/>
                <w:szCs w:val="20"/>
                <w:color w:val="auto"/>
              </w:rPr>
            </w:pPr>
            <w:r>
              <w:rPr>
                <w:rFonts w:ascii="Arial" w:cs="Arial" w:eastAsia="Arial" w:hAnsi="Arial"/>
                <w:sz w:val="14"/>
                <w:szCs w:val="14"/>
                <w:color w:val="auto"/>
              </w:rPr>
              <w:t>30,392</w:t>
            </w:r>
          </w:p>
        </w:tc>
        <w:tc>
          <w:tcPr>
            <w:tcW w:w="1180" w:type="dxa"/>
            <w:vAlign w:val="bottom"/>
            <w:tcBorders>
              <w:bottom w:val="single" w:sz="8" w:color="AFAFAF"/>
            </w:tcBorders>
          </w:tcPr>
          <w:p>
            <w:pPr>
              <w:jc w:val="right"/>
              <w:ind w:right="28"/>
              <w:spacing w:after="0"/>
              <w:rPr>
                <w:sz w:val="20"/>
                <w:szCs w:val="20"/>
                <w:color w:val="auto"/>
              </w:rPr>
            </w:pPr>
            <w:r>
              <w:rPr>
                <w:rFonts w:ascii="Arial" w:cs="Arial" w:eastAsia="Arial" w:hAnsi="Arial"/>
                <w:sz w:val="14"/>
                <w:szCs w:val="14"/>
                <w:color w:val="auto"/>
              </w:rPr>
              <w:t>1,918,677</w:t>
            </w:r>
          </w:p>
        </w:tc>
        <w:tc>
          <w:tcPr>
            <w:tcW w:w="0" w:type="dxa"/>
            <w:vAlign w:val="bottom"/>
          </w:tcPr>
          <w:p>
            <w:pPr>
              <w:spacing w:after="0"/>
              <w:rPr>
                <w:sz w:val="1"/>
                <w:szCs w:val="1"/>
                <w:color w:val="auto"/>
              </w:rPr>
            </w:pPr>
          </w:p>
        </w:tc>
      </w:tr>
      <w:tr>
        <w:trPr>
          <w:trHeight w:val="168"/>
        </w:trPr>
        <w:tc>
          <w:tcPr>
            <w:tcW w:w="270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Neil Masterson</w:t>
            </w:r>
          </w:p>
        </w:tc>
        <w:tc>
          <w:tcPr>
            <w:tcW w:w="560" w:type="dxa"/>
            <w:vAlign w:val="bottom"/>
            <w:tcBorders>
              <w:right w:val="single" w:sz="8" w:color="AFAFAF"/>
            </w:tcBorders>
          </w:tcPr>
          <w:p>
            <w:pPr>
              <w:ind w:left="140"/>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right w:val="single" w:sz="8" w:color="AFAFAF"/>
            </w:tcBorders>
            <w:gridSpan w:val="2"/>
          </w:tcPr>
          <w:p>
            <w:pPr>
              <w:jc w:val="right"/>
              <w:ind w:right="55"/>
              <w:spacing w:after="0"/>
              <w:rPr>
                <w:sz w:val="20"/>
                <w:szCs w:val="20"/>
                <w:color w:val="auto"/>
              </w:rPr>
            </w:pPr>
            <w:r>
              <w:rPr>
                <w:rFonts w:ascii="Arial" w:cs="Arial" w:eastAsia="Arial" w:hAnsi="Arial"/>
                <w:sz w:val="14"/>
                <w:szCs w:val="14"/>
                <w:b w:val="1"/>
                <w:bCs w:val="1"/>
                <w:color w:val="auto"/>
              </w:rPr>
              <w:t>698,288</w:t>
            </w:r>
          </w:p>
        </w:tc>
        <w:tc>
          <w:tcPr>
            <w:tcW w:w="1040" w:type="dxa"/>
            <w:vAlign w:val="bottom"/>
            <w:tcBorders>
              <w:right w:val="single" w:sz="8" w:color="AFAFAF"/>
            </w:tcBorders>
            <w:gridSpan w:val="2"/>
          </w:tcPr>
          <w:p>
            <w:pPr>
              <w:jc w:val="right"/>
              <w:ind w:right="55"/>
              <w:spacing w:after="0"/>
              <w:rPr>
                <w:sz w:val="20"/>
                <w:szCs w:val="20"/>
                <w:color w:val="auto"/>
              </w:rPr>
            </w:pPr>
            <w:r>
              <w:rPr>
                <w:rFonts w:ascii="Arial" w:cs="Arial" w:eastAsia="Arial" w:hAnsi="Arial"/>
                <w:sz w:val="14"/>
                <w:szCs w:val="14"/>
                <w:b w:val="1"/>
                <w:bCs w:val="1"/>
                <w:color w:val="auto"/>
              </w:rPr>
              <w:t>4,511,535</w:t>
            </w:r>
          </w:p>
        </w:tc>
        <w:tc>
          <w:tcPr>
            <w:tcW w:w="1060" w:type="dxa"/>
            <w:vAlign w:val="bottom"/>
            <w:tcBorders>
              <w:right w:val="single" w:sz="8" w:color="AFAFAF"/>
            </w:tcBorders>
            <w:gridSpan w:val="2"/>
          </w:tcPr>
          <w:p>
            <w:pPr>
              <w:jc w:val="right"/>
              <w:ind w:right="91"/>
              <w:spacing w:after="0"/>
              <w:rPr>
                <w:sz w:val="20"/>
                <w:szCs w:val="20"/>
                <w:color w:val="auto"/>
              </w:rPr>
            </w:pPr>
            <w:r>
              <w:rPr>
                <w:rFonts w:ascii="Arial" w:cs="Arial" w:eastAsia="Arial" w:hAnsi="Arial"/>
                <w:sz w:val="14"/>
                <w:szCs w:val="14"/>
                <w:b w:val="1"/>
                <w:bCs w:val="1"/>
                <w:color w:val="auto"/>
              </w:rPr>
              <w:t>562,502</w:t>
            </w:r>
          </w:p>
        </w:tc>
        <w:tc>
          <w:tcPr>
            <w:tcW w:w="1400" w:type="dxa"/>
            <w:vAlign w:val="bottom"/>
            <w:tcBorders>
              <w:right w:val="single" w:sz="8" w:color="AFAFAF"/>
            </w:tcBorders>
          </w:tcPr>
          <w:p>
            <w:pPr>
              <w:jc w:val="right"/>
              <w:ind w:right="71"/>
              <w:spacing w:after="0"/>
              <w:rPr>
                <w:sz w:val="20"/>
                <w:szCs w:val="20"/>
                <w:color w:val="auto"/>
              </w:rPr>
            </w:pPr>
            <w:r>
              <w:rPr>
                <w:rFonts w:ascii="Arial" w:cs="Arial" w:eastAsia="Arial" w:hAnsi="Arial"/>
                <w:sz w:val="14"/>
                <w:szCs w:val="14"/>
                <w:b w:val="1"/>
                <w:bCs w:val="1"/>
                <w:color w:val="auto"/>
              </w:rPr>
              <w:t>1,185,588</w:t>
            </w:r>
          </w:p>
        </w:tc>
        <w:tc>
          <w:tcPr>
            <w:tcW w:w="860" w:type="dxa"/>
            <w:vAlign w:val="bottom"/>
            <w:tcBorders>
              <w:right w:val="single" w:sz="8" w:color="AFAFAF"/>
            </w:tcBorders>
          </w:tcPr>
          <w:p>
            <w:pPr>
              <w:jc w:val="right"/>
              <w:ind w:right="49"/>
              <w:spacing w:after="0"/>
              <w:rPr>
                <w:sz w:val="20"/>
                <w:szCs w:val="20"/>
                <w:color w:val="auto"/>
              </w:rPr>
            </w:pPr>
            <w:r>
              <w:rPr>
                <w:rFonts w:ascii="Arial" w:cs="Arial" w:eastAsia="Arial" w:hAnsi="Arial"/>
                <w:sz w:val="14"/>
                <w:szCs w:val="14"/>
                <w:b w:val="1"/>
                <w:bCs w:val="1"/>
                <w:color w:val="auto"/>
              </w:rPr>
              <w:t>35,000</w:t>
            </w:r>
          </w:p>
        </w:tc>
        <w:tc>
          <w:tcPr>
            <w:tcW w:w="1200" w:type="dxa"/>
            <w:vAlign w:val="bottom"/>
            <w:tcBorders>
              <w:right w:val="single" w:sz="8" w:color="AFAFAF"/>
            </w:tcBorders>
          </w:tcPr>
          <w:p>
            <w:pPr>
              <w:jc w:val="right"/>
              <w:ind w:right="49"/>
              <w:spacing w:after="0"/>
              <w:rPr>
                <w:sz w:val="20"/>
                <w:szCs w:val="20"/>
                <w:color w:val="auto"/>
              </w:rPr>
            </w:pPr>
            <w:r>
              <w:rPr>
                <w:rFonts w:ascii="Arial" w:cs="Arial" w:eastAsia="Arial" w:hAnsi="Arial"/>
                <w:sz w:val="14"/>
                <w:szCs w:val="14"/>
                <w:b w:val="1"/>
                <w:bCs w:val="1"/>
                <w:color w:val="auto"/>
              </w:rPr>
              <w:t>41,146</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7,034,059</w:t>
            </w:r>
          </w:p>
        </w:tc>
        <w:tc>
          <w:tcPr>
            <w:tcW w:w="0" w:type="dxa"/>
            <w:vAlign w:val="bottom"/>
          </w:tcPr>
          <w:p>
            <w:pPr>
              <w:spacing w:after="0"/>
              <w:rPr>
                <w:sz w:val="1"/>
                <w:szCs w:val="1"/>
                <w:color w:val="auto"/>
              </w:rPr>
            </w:pPr>
          </w:p>
        </w:tc>
      </w:tr>
      <w:tr>
        <w:trPr>
          <w:trHeight w:val="27"/>
        </w:trPr>
        <w:tc>
          <w:tcPr>
            <w:tcW w:w="2700" w:type="dxa"/>
            <w:vAlign w:val="bottom"/>
            <w:tcBorders>
              <w:right w:val="single" w:sz="8" w:color="AFAFAF"/>
            </w:tcBorders>
            <w:vMerge w:val="restart"/>
          </w:tcPr>
          <w:p>
            <w:pPr>
              <w:spacing w:after="0" w:line="153" w:lineRule="exact"/>
              <w:rPr>
                <w:sz w:val="20"/>
                <w:szCs w:val="20"/>
                <w:color w:val="auto"/>
              </w:rPr>
            </w:pPr>
            <w:r>
              <w:rPr>
                <w:rFonts w:ascii="Arial" w:cs="Arial" w:eastAsia="Arial" w:hAnsi="Arial"/>
                <w:sz w:val="14"/>
                <w:szCs w:val="14"/>
                <w:color w:val="auto"/>
              </w:rPr>
              <w:t>Executive Vice President and</w:t>
            </w:r>
          </w:p>
        </w:tc>
        <w:tc>
          <w:tcPr>
            <w:tcW w:w="560" w:type="dxa"/>
            <w:vAlign w:val="bottom"/>
            <w:tcBorders>
              <w:bottom w:val="single" w:sz="8" w:color="auto"/>
              <w:right w:val="single" w:sz="8" w:color="AFAFA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FAFA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FAFA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FAFAF"/>
            </w:tcBorders>
          </w:tcPr>
          <w:p>
            <w:pPr>
              <w:spacing w:after="0"/>
              <w:rPr>
                <w:sz w:val="2"/>
                <w:szCs w:val="2"/>
                <w:color w:val="auto"/>
              </w:rPr>
            </w:pPr>
          </w:p>
        </w:tc>
        <w:tc>
          <w:tcPr>
            <w:tcW w:w="1400" w:type="dxa"/>
            <w:vAlign w:val="bottom"/>
            <w:tcBorders>
              <w:bottom w:val="single" w:sz="8" w:color="auto"/>
              <w:right w:val="single" w:sz="8" w:color="AFAFAF"/>
            </w:tcBorders>
          </w:tcPr>
          <w:p>
            <w:pPr>
              <w:spacing w:after="0"/>
              <w:rPr>
                <w:sz w:val="2"/>
                <w:szCs w:val="2"/>
                <w:color w:val="auto"/>
              </w:rPr>
            </w:pPr>
          </w:p>
        </w:tc>
        <w:tc>
          <w:tcPr>
            <w:tcW w:w="860" w:type="dxa"/>
            <w:vAlign w:val="bottom"/>
            <w:tcBorders>
              <w:bottom w:val="single" w:sz="8" w:color="auto"/>
              <w:right w:val="single" w:sz="8" w:color="AFAFAF"/>
            </w:tcBorders>
          </w:tcPr>
          <w:p>
            <w:pPr>
              <w:spacing w:after="0"/>
              <w:rPr>
                <w:sz w:val="2"/>
                <w:szCs w:val="2"/>
                <w:color w:val="auto"/>
              </w:rPr>
            </w:pPr>
          </w:p>
        </w:tc>
        <w:tc>
          <w:tcPr>
            <w:tcW w:w="1200" w:type="dxa"/>
            <w:vAlign w:val="bottom"/>
            <w:tcBorders>
              <w:bottom w:val="single" w:sz="8" w:color="auto"/>
              <w:right w:val="single" w:sz="8" w:color="AFAFA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2700" w:type="dxa"/>
            <w:vAlign w:val="bottom"/>
            <w:tcBorders>
              <w:right w:val="single" w:sz="8" w:color="AFAFAF"/>
            </w:tcBorders>
            <w:vMerge w:val="continue"/>
          </w:tcPr>
          <w:p>
            <w:pPr>
              <w:spacing w:after="0"/>
              <w:rPr>
                <w:sz w:val="9"/>
                <w:szCs w:val="9"/>
                <w:color w:val="auto"/>
              </w:rPr>
            </w:pPr>
          </w:p>
        </w:tc>
        <w:tc>
          <w:tcPr>
            <w:tcW w:w="560" w:type="dxa"/>
            <w:vAlign w:val="bottom"/>
            <w:tcBorders>
              <w:right w:val="single" w:sz="8" w:color="AFAFAF"/>
            </w:tcBorders>
            <w:vMerge w:val="restart"/>
          </w:tcPr>
          <w:p>
            <w:pPr>
              <w:ind w:left="140"/>
              <w:spacing w:after="0"/>
              <w:rPr>
                <w:sz w:val="20"/>
                <w:szCs w:val="20"/>
                <w:color w:val="auto"/>
              </w:rPr>
            </w:pPr>
            <w:r>
              <w:rPr>
                <w:rFonts w:ascii="Arial" w:cs="Arial" w:eastAsia="Arial" w:hAnsi="Arial"/>
                <w:sz w:val="14"/>
                <w:szCs w:val="14"/>
                <w:color w:val="auto"/>
              </w:rPr>
              <w:t>2017</w:t>
            </w:r>
          </w:p>
        </w:tc>
        <w:tc>
          <w:tcPr>
            <w:tcW w:w="980" w:type="dxa"/>
            <w:vAlign w:val="bottom"/>
            <w:tcBorders>
              <w:right w:val="single" w:sz="8" w:color="AFAFAF"/>
            </w:tcBorders>
            <w:gridSpan w:val="2"/>
            <w:vMerge w:val="restart"/>
          </w:tcPr>
          <w:p>
            <w:pPr>
              <w:jc w:val="right"/>
              <w:ind w:right="55"/>
              <w:spacing w:after="0"/>
              <w:rPr>
                <w:sz w:val="20"/>
                <w:szCs w:val="20"/>
                <w:color w:val="auto"/>
              </w:rPr>
            </w:pPr>
            <w:r>
              <w:rPr>
                <w:rFonts w:ascii="Arial" w:cs="Arial" w:eastAsia="Arial" w:hAnsi="Arial"/>
                <w:sz w:val="14"/>
                <w:szCs w:val="14"/>
                <w:color w:val="auto"/>
              </w:rPr>
              <w:t>625,000</w:t>
            </w:r>
          </w:p>
        </w:tc>
        <w:tc>
          <w:tcPr>
            <w:tcW w:w="1040" w:type="dxa"/>
            <w:vAlign w:val="bottom"/>
            <w:tcBorders>
              <w:right w:val="single" w:sz="8" w:color="AFAFAF"/>
            </w:tcBorders>
            <w:gridSpan w:val="2"/>
            <w:vMerge w:val="restart"/>
          </w:tcPr>
          <w:p>
            <w:pPr>
              <w:jc w:val="right"/>
              <w:ind w:right="55"/>
              <w:spacing w:after="0"/>
              <w:rPr>
                <w:sz w:val="20"/>
                <w:szCs w:val="20"/>
                <w:color w:val="auto"/>
              </w:rPr>
            </w:pPr>
            <w:r>
              <w:rPr>
                <w:rFonts w:ascii="Arial" w:cs="Arial" w:eastAsia="Arial" w:hAnsi="Arial"/>
                <w:sz w:val="14"/>
                <w:szCs w:val="14"/>
                <w:color w:val="auto"/>
              </w:rPr>
              <w:t>312,512</w:t>
            </w:r>
          </w:p>
        </w:tc>
        <w:tc>
          <w:tcPr>
            <w:tcW w:w="1060" w:type="dxa"/>
            <w:vAlign w:val="bottom"/>
            <w:tcBorders>
              <w:right w:val="single" w:sz="8" w:color="AFAFAF"/>
            </w:tcBorders>
            <w:gridSpan w:val="2"/>
            <w:vMerge w:val="restart"/>
          </w:tcPr>
          <w:p>
            <w:pPr>
              <w:jc w:val="right"/>
              <w:ind w:right="91"/>
              <w:spacing w:after="0"/>
              <w:rPr>
                <w:sz w:val="20"/>
                <w:szCs w:val="20"/>
                <w:color w:val="auto"/>
              </w:rPr>
            </w:pPr>
            <w:r>
              <w:rPr>
                <w:rFonts w:ascii="Arial" w:cs="Arial" w:eastAsia="Arial" w:hAnsi="Arial"/>
                <w:sz w:val="14"/>
                <w:szCs w:val="14"/>
                <w:color w:val="auto"/>
              </w:rPr>
              <w:t>312,503</w:t>
            </w:r>
          </w:p>
        </w:tc>
        <w:tc>
          <w:tcPr>
            <w:tcW w:w="1400" w:type="dxa"/>
            <w:vAlign w:val="bottom"/>
            <w:tcBorders>
              <w:right w:val="single" w:sz="8" w:color="AFAFAF"/>
            </w:tcBorders>
            <w:vMerge w:val="restart"/>
          </w:tcPr>
          <w:p>
            <w:pPr>
              <w:jc w:val="right"/>
              <w:ind w:right="71"/>
              <w:spacing w:after="0"/>
              <w:rPr>
                <w:sz w:val="20"/>
                <w:szCs w:val="20"/>
                <w:color w:val="auto"/>
              </w:rPr>
            </w:pPr>
            <w:r>
              <w:rPr>
                <w:rFonts w:ascii="Arial" w:cs="Arial" w:eastAsia="Arial" w:hAnsi="Arial"/>
                <w:sz w:val="14"/>
                <w:szCs w:val="14"/>
                <w:color w:val="auto"/>
              </w:rPr>
              <w:t>768,223</w:t>
            </w:r>
          </w:p>
        </w:tc>
        <w:tc>
          <w:tcPr>
            <w:tcW w:w="860" w:type="dxa"/>
            <w:vAlign w:val="bottom"/>
            <w:tcBorders>
              <w:right w:val="single" w:sz="8" w:color="AFAFAF"/>
            </w:tcBorders>
            <w:vMerge w:val="restart"/>
          </w:tcPr>
          <w:p>
            <w:pPr>
              <w:jc w:val="right"/>
              <w:ind w:right="49"/>
              <w:spacing w:after="0"/>
              <w:rPr>
                <w:sz w:val="20"/>
                <w:szCs w:val="20"/>
                <w:color w:val="auto"/>
              </w:rPr>
            </w:pPr>
            <w:r>
              <w:rPr>
                <w:rFonts w:ascii="Arial" w:cs="Arial" w:eastAsia="Arial" w:hAnsi="Arial"/>
                <w:sz w:val="14"/>
                <w:szCs w:val="14"/>
                <w:color w:val="auto"/>
              </w:rPr>
              <w:t>31,000</w:t>
            </w:r>
          </w:p>
        </w:tc>
        <w:tc>
          <w:tcPr>
            <w:tcW w:w="1200" w:type="dxa"/>
            <w:vAlign w:val="bottom"/>
            <w:tcBorders>
              <w:right w:val="single" w:sz="8" w:color="AFAFAF"/>
            </w:tcBorders>
            <w:vMerge w:val="restart"/>
          </w:tcPr>
          <w:p>
            <w:pPr>
              <w:jc w:val="right"/>
              <w:ind w:right="49"/>
              <w:spacing w:after="0"/>
              <w:rPr>
                <w:sz w:val="20"/>
                <w:szCs w:val="20"/>
                <w:color w:val="auto"/>
              </w:rPr>
            </w:pPr>
            <w:r>
              <w:rPr>
                <w:rFonts w:ascii="Arial" w:cs="Arial" w:eastAsia="Arial" w:hAnsi="Arial"/>
                <w:sz w:val="14"/>
                <w:szCs w:val="14"/>
                <w:color w:val="auto"/>
              </w:rPr>
              <w:t>30,285</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2,079,523</w:t>
            </w:r>
          </w:p>
        </w:tc>
        <w:tc>
          <w:tcPr>
            <w:tcW w:w="0" w:type="dxa"/>
            <w:vAlign w:val="bottom"/>
          </w:tcPr>
          <w:p>
            <w:pPr>
              <w:spacing w:after="0"/>
              <w:rPr>
                <w:sz w:val="1"/>
                <w:szCs w:val="1"/>
                <w:color w:val="auto"/>
              </w:rPr>
            </w:pPr>
          </w:p>
        </w:tc>
      </w:tr>
      <w:tr>
        <w:trPr>
          <w:trHeight w:val="108"/>
        </w:trPr>
        <w:tc>
          <w:tcPr>
            <w:tcW w:w="2700" w:type="dxa"/>
            <w:vAlign w:val="bottom"/>
            <w:tcBorders>
              <w:right w:val="single" w:sz="8" w:color="AFAFAF"/>
            </w:tcBorders>
            <w:vMerge w:val="restart"/>
          </w:tcPr>
          <w:p>
            <w:pPr>
              <w:spacing w:after="0"/>
              <w:rPr>
                <w:sz w:val="20"/>
                <w:szCs w:val="20"/>
                <w:color w:val="auto"/>
              </w:rPr>
            </w:pPr>
            <w:r>
              <w:rPr>
                <w:rFonts w:ascii="Arial" w:cs="Arial" w:eastAsia="Arial" w:hAnsi="Arial"/>
                <w:sz w:val="14"/>
                <w:szCs w:val="14"/>
                <w:color w:val="auto"/>
              </w:rPr>
              <w:t>Chief Operating Officer, Operations &amp;</w:t>
            </w:r>
          </w:p>
        </w:tc>
        <w:tc>
          <w:tcPr>
            <w:tcW w:w="560" w:type="dxa"/>
            <w:vAlign w:val="bottom"/>
            <w:tcBorders>
              <w:bottom w:val="single" w:sz="8" w:color="auto"/>
              <w:right w:val="single" w:sz="8" w:color="AFAFAF"/>
            </w:tcBorders>
            <w:vMerge w:val="continue"/>
          </w:tcPr>
          <w:p>
            <w:pPr>
              <w:spacing w:after="0"/>
              <w:rPr>
                <w:sz w:val="8"/>
                <w:szCs w:val="8"/>
                <w:color w:val="auto"/>
              </w:rPr>
            </w:pPr>
          </w:p>
        </w:tc>
        <w:tc>
          <w:tcPr>
            <w:tcW w:w="980" w:type="dxa"/>
            <w:vAlign w:val="bottom"/>
            <w:tcBorders>
              <w:bottom w:val="single" w:sz="8" w:color="auto"/>
              <w:right w:val="single" w:sz="8" w:color="AFAFAF"/>
            </w:tcBorders>
            <w:gridSpan w:val="2"/>
            <w:vMerge w:val="continue"/>
          </w:tcPr>
          <w:p>
            <w:pPr>
              <w:spacing w:after="0"/>
              <w:rPr>
                <w:sz w:val="8"/>
                <w:szCs w:val="8"/>
                <w:color w:val="auto"/>
              </w:rPr>
            </w:pPr>
          </w:p>
        </w:tc>
        <w:tc>
          <w:tcPr>
            <w:tcW w:w="1040" w:type="dxa"/>
            <w:vAlign w:val="bottom"/>
            <w:tcBorders>
              <w:bottom w:val="single" w:sz="8" w:color="auto"/>
              <w:right w:val="single" w:sz="8" w:color="AFAFAF"/>
            </w:tcBorders>
            <w:gridSpan w:val="2"/>
            <w:vMerge w:val="continue"/>
          </w:tcPr>
          <w:p>
            <w:pPr>
              <w:spacing w:after="0"/>
              <w:rPr>
                <w:sz w:val="8"/>
                <w:szCs w:val="8"/>
                <w:color w:val="auto"/>
              </w:rPr>
            </w:pPr>
          </w:p>
        </w:tc>
        <w:tc>
          <w:tcPr>
            <w:tcW w:w="1060" w:type="dxa"/>
            <w:vAlign w:val="bottom"/>
            <w:tcBorders>
              <w:bottom w:val="single" w:sz="8" w:color="auto"/>
              <w:right w:val="single" w:sz="8" w:color="AFAFAF"/>
            </w:tcBorders>
            <w:gridSpan w:val="2"/>
            <w:vMerge w:val="continue"/>
          </w:tcPr>
          <w:p>
            <w:pPr>
              <w:spacing w:after="0"/>
              <w:rPr>
                <w:sz w:val="8"/>
                <w:szCs w:val="8"/>
                <w:color w:val="auto"/>
              </w:rPr>
            </w:pPr>
          </w:p>
        </w:tc>
        <w:tc>
          <w:tcPr>
            <w:tcW w:w="1400" w:type="dxa"/>
            <w:vAlign w:val="bottom"/>
            <w:tcBorders>
              <w:bottom w:val="single" w:sz="8" w:color="auto"/>
              <w:right w:val="single" w:sz="8" w:color="AFAFAF"/>
            </w:tcBorders>
            <w:vMerge w:val="continue"/>
          </w:tcPr>
          <w:p>
            <w:pPr>
              <w:spacing w:after="0"/>
              <w:rPr>
                <w:sz w:val="8"/>
                <w:szCs w:val="8"/>
                <w:color w:val="auto"/>
              </w:rPr>
            </w:pPr>
          </w:p>
        </w:tc>
        <w:tc>
          <w:tcPr>
            <w:tcW w:w="860" w:type="dxa"/>
            <w:vAlign w:val="bottom"/>
            <w:tcBorders>
              <w:bottom w:val="single" w:sz="8" w:color="auto"/>
              <w:right w:val="single" w:sz="8" w:color="AFAFAF"/>
            </w:tcBorders>
            <w:vMerge w:val="continue"/>
          </w:tcPr>
          <w:p>
            <w:pPr>
              <w:spacing w:after="0"/>
              <w:rPr>
                <w:sz w:val="8"/>
                <w:szCs w:val="8"/>
                <w:color w:val="auto"/>
              </w:rPr>
            </w:pPr>
          </w:p>
        </w:tc>
        <w:tc>
          <w:tcPr>
            <w:tcW w:w="1200" w:type="dxa"/>
            <w:vAlign w:val="bottom"/>
            <w:tcBorders>
              <w:bottom w:val="single" w:sz="8" w:color="auto"/>
              <w:right w:val="single" w:sz="8" w:color="AFAFAF"/>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700" w:type="dxa"/>
            <w:vAlign w:val="bottom"/>
            <w:tcBorders>
              <w:right w:val="single" w:sz="8" w:color="AFAFAF"/>
            </w:tcBorders>
            <w:vMerge w:val="continue"/>
          </w:tcPr>
          <w:p>
            <w:pPr>
              <w:spacing w:after="0"/>
              <w:rPr>
                <w:sz w:val="3"/>
                <w:szCs w:val="3"/>
                <w:color w:val="auto"/>
              </w:rPr>
            </w:pPr>
          </w:p>
        </w:tc>
        <w:tc>
          <w:tcPr>
            <w:tcW w:w="560" w:type="dxa"/>
            <w:vAlign w:val="bottom"/>
            <w:tcBorders>
              <w:right w:val="single" w:sz="8" w:color="AFAFAF"/>
            </w:tcBorders>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Borders>
              <w:right w:val="single" w:sz="8" w:color="AFAFAF"/>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Borders>
              <w:right w:val="single" w:sz="8" w:color="AFAFAF"/>
            </w:tcBorders>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Borders>
              <w:right w:val="single" w:sz="8" w:color="AFAFAF"/>
            </w:tcBorders>
          </w:tcPr>
          <w:p>
            <w:pPr>
              <w:spacing w:after="0"/>
              <w:rPr>
                <w:sz w:val="3"/>
                <w:szCs w:val="3"/>
                <w:color w:val="auto"/>
              </w:rPr>
            </w:pPr>
          </w:p>
        </w:tc>
        <w:tc>
          <w:tcPr>
            <w:tcW w:w="1400" w:type="dxa"/>
            <w:vAlign w:val="bottom"/>
            <w:tcBorders>
              <w:right w:val="single" w:sz="8" w:color="AFAFAF"/>
            </w:tcBorders>
          </w:tcPr>
          <w:p>
            <w:pPr>
              <w:spacing w:after="0"/>
              <w:rPr>
                <w:sz w:val="3"/>
                <w:szCs w:val="3"/>
                <w:color w:val="auto"/>
              </w:rPr>
            </w:pPr>
          </w:p>
        </w:tc>
        <w:tc>
          <w:tcPr>
            <w:tcW w:w="860" w:type="dxa"/>
            <w:vAlign w:val="bottom"/>
            <w:tcBorders>
              <w:right w:val="single" w:sz="8" w:color="AFAFAF"/>
            </w:tcBorders>
          </w:tcPr>
          <w:p>
            <w:pPr>
              <w:spacing w:after="0"/>
              <w:rPr>
                <w:sz w:val="3"/>
                <w:szCs w:val="3"/>
                <w:color w:val="auto"/>
              </w:rPr>
            </w:pPr>
          </w:p>
        </w:tc>
        <w:tc>
          <w:tcPr>
            <w:tcW w:w="1200" w:type="dxa"/>
            <w:vAlign w:val="bottom"/>
            <w:tcBorders>
              <w:right w:val="single" w:sz="8" w:color="AFAFAF"/>
            </w:tcBorders>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70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color w:val="auto"/>
              </w:rPr>
              <w:t>Enablement</w:t>
            </w:r>
          </w:p>
        </w:tc>
        <w:tc>
          <w:tcPr>
            <w:tcW w:w="560" w:type="dxa"/>
            <w:vAlign w:val="bottom"/>
            <w:tcBorders>
              <w:bottom w:val="single" w:sz="8" w:color="AFAFAF"/>
              <w:right w:val="single" w:sz="8" w:color="AFAFAF"/>
            </w:tcBorders>
          </w:tcPr>
          <w:p>
            <w:pPr>
              <w:ind w:left="140"/>
              <w:spacing w:after="0"/>
              <w:rPr>
                <w:sz w:val="20"/>
                <w:szCs w:val="20"/>
                <w:color w:val="auto"/>
              </w:rPr>
            </w:pPr>
            <w:r>
              <w:rPr>
                <w:rFonts w:ascii="Arial" w:cs="Arial" w:eastAsia="Arial" w:hAnsi="Arial"/>
                <w:sz w:val="14"/>
                <w:szCs w:val="14"/>
                <w:color w:val="auto"/>
              </w:rPr>
              <w:t>2016</w:t>
            </w:r>
          </w:p>
        </w:tc>
        <w:tc>
          <w:tcPr>
            <w:tcW w:w="980" w:type="dxa"/>
            <w:vAlign w:val="bottom"/>
            <w:tcBorders>
              <w:bottom w:val="single" w:sz="8" w:color="AFAFAF"/>
              <w:right w:val="single" w:sz="8" w:color="AFAFAF"/>
            </w:tcBorders>
            <w:gridSpan w:val="2"/>
          </w:tcPr>
          <w:p>
            <w:pPr>
              <w:jc w:val="right"/>
              <w:ind w:right="55"/>
              <w:spacing w:after="0"/>
              <w:rPr>
                <w:sz w:val="20"/>
                <w:szCs w:val="20"/>
                <w:color w:val="auto"/>
              </w:rPr>
            </w:pPr>
            <w:r>
              <w:rPr>
                <w:rFonts w:ascii="Arial" w:cs="Arial" w:eastAsia="Arial" w:hAnsi="Arial"/>
                <w:sz w:val="14"/>
                <w:szCs w:val="14"/>
                <w:color w:val="auto"/>
              </w:rPr>
              <w:t>625,000</w:t>
            </w:r>
          </w:p>
        </w:tc>
        <w:tc>
          <w:tcPr>
            <w:tcW w:w="1040" w:type="dxa"/>
            <w:vAlign w:val="bottom"/>
            <w:tcBorders>
              <w:bottom w:val="single" w:sz="8" w:color="AFAFAF"/>
              <w:right w:val="single" w:sz="8" w:color="AFAFAF"/>
            </w:tcBorders>
            <w:gridSpan w:val="2"/>
          </w:tcPr>
          <w:p>
            <w:pPr>
              <w:jc w:val="right"/>
              <w:ind w:right="55"/>
              <w:spacing w:after="0"/>
              <w:rPr>
                <w:sz w:val="20"/>
                <w:szCs w:val="20"/>
                <w:color w:val="auto"/>
              </w:rPr>
            </w:pPr>
            <w:r>
              <w:rPr>
                <w:rFonts w:ascii="Arial" w:cs="Arial" w:eastAsia="Arial" w:hAnsi="Arial"/>
                <w:sz w:val="14"/>
                <w:szCs w:val="14"/>
                <w:color w:val="auto"/>
              </w:rPr>
              <w:t>2,144,027</w:t>
            </w:r>
          </w:p>
        </w:tc>
        <w:tc>
          <w:tcPr>
            <w:tcW w:w="1060" w:type="dxa"/>
            <w:vAlign w:val="bottom"/>
            <w:tcBorders>
              <w:bottom w:val="single" w:sz="8" w:color="AFAFAF"/>
              <w:right w:val="single" w:sz="8" w:color="AFAFAF"/>
            </w:tcBorders>
            <w:gridSpan w:val="2"/>
          </w:tcPr>
          <w:p>
            <w:pPr>
              <w:jc w:val="right"/>
              <w:ind w:right="91"/>
              <w:spacing w:after="0"/>
              <w:rPr>
                <w:sz w:val="20"/>
                <w:szCs w:val="20"/>
                <w:color w:val="auto"/>
              </w:rPr>
            </w:pPr>
            <w:r>
              <w:rPr>
                <w:rFonts w:ascii="Arial" w:cs="Arial" w:eastAsia="Arial" w:hAnsi="Arial"/>
                <w:sz w:val="14"/>
                <w:szCs w:val="14"/>
                <w:color w:val="auto"/>
              </w:rPr>
              <w:t>312,503</w:t>
            </w:r>
          </w:p>
        </w:tc>
        <w:tc>
          <w:tcPr>
            <w:tcW w:w="1400" w:type="dxa"/>
            <w:vAlign w:val="bottom"/>
            <w:tcBorders>
              <w:bottom w:val="single" w:sz="8" w:color="AFAFAF"/>
              <w:right w:val="single" w:sz="8" w:color="AFAFAF"/>
            </w:tcBorders>
          </w:tcPr>
          <w:p>
            <w:pPr>
              <w:jc w:val="right"/>
              <w:ind w:right="71"/>
              <w:spacing w:after="0"/>
              <w:rPr>
                <w:sz w:val="20"/>
                <w:szCs w:val="20"/>
                <w:color w:val="auto"/>
              </w:rPr>
            </w:pPr>
            <w:r>
              <w:rPr>
                <w:rFonts w:ascii="Arial" w:cs="Arial" w:eastAsia="Arial" w:hAnsi="Arial"/>
                <w:sz w:val="14"/>
                <w:szCs w:val="14"/>
                <w:color w:val="auto"/>
              </w:rPr>
              <w:t>748,398</w:t>
            </w:r>
          </w:p>
        </w:tc>
        <w:tc>
          <w:tcPr>
            <w:tcW w:w="860" w:type="dxa"/>
            <w:vAlign w:val="bottom"/>
            <w:tcBorders>
              <w:bottom w:val="single" w:sz="8" w:color="AFAFAF"/>
              <w:right w:val="single" w:sz="8" w:color="AFAFAF"/>
            </w:tcBorders>
          </w:tcPr>
          <w:p>
            <w:pPr>
              <w:jc w:val="right"/>
              <w:ind w:right="49"/>
              <w:spacing w:after="0"/>
              <w:rPr>
                <w:sz w:val="20"/>
                <w:szCs w:val="20"/>
                <w:color w:val="auto"/>
              </w:rPr>
            </w:pPr>
            <w:r>
              <w:rPr>
                <w:rFonts w:ascii="Arial" w:cs="Arial" w:eastAsia="Arial" w:hAnsi="Arial"/>
                <w:sz w:val="14"/>
                <w:szCs w:val="14"/>
                <w:color w:val="auto"/>
              </w:rPr>
              <w:t>28,000</w:t>
            </w:r>
          </w:p>
        </w:tc>
        <w:tc>
          <w:tcPr>
            <w:tcW w:w="1200" w:type="dxa"/>
            <w:vAlign w:val="bottom"/>
            <w:tcBorders>
              <w:bottom w:val="single" w:sz="8" w:color="AFAFAF"/>
              <w:right w:val="single" w:sz="8" w:color="AFAFAF"/>
            </w:tcBorders>
          </w:tcPr>
          <w:p>
            <w:pPr>
              <w:jc w:val="right"/>
              <w:ind w:right="49"/>
              <w:spacing w:after="0"/>
              <w:rPr>
                <w:sz w:val="20"/>
                <w:szCs w:val="20"/>
                <w:color w:val="auto"/>
              </w:rPr>
            </w:pPr>
            <w:r>
              <w:rPr>
                <w:rFonts w:ascii="Arial" w:cs="Arial" w:eastAsia="Arial" w:hAnsi="Arial"/>
                <w:sz w:val="14"/>
                <w:szCs w:val="14"/>
                <w:color w:val="auto"/>
              </w:rPr>
              <w:t>30,895</w:t>
            </w:r>
          </w:p>
        </w:tc>
        <w:tc>
          <w:tcPr>
            <w:tcW w:w="1180" w:type="dxa"/>
            <w:vAlign w:val="bottom"/>
            <w:tcBorders>
              <w:bottom w:val="single" w:sz="8" w:color="AFAFAF"/>
            </w:tcBorders>
          </w:tcPr>
          <w:p>
            <w:pPr>
              <w:jc w:val="right"/>
              <w:ind w:right="28"/>
              <w:spacing w:after="0"/>
              <w:rPr>
                <w:sz w:val="20"/>
                <w:szCs w:val="20"/>
                <w:color w:val="auto"/>
              </w:rPr>
            </w:pPr>
            <w:r>
              <w:rPr>
                <w:rFonts w:ascii="Arial" w:cs="Arial" w:eastAsia="Arial" w:hAnsi="Arial"/>
                <w:sz w:val="14"/>
                <w:szCs w:val="14"/>
                <w:color w:val="auto"/>
              </w:rPr>
              <w:t>3,888,823</w:t>
            </w:r>
          </w:p>
        </w:tc>
        <w:tc>
          <w:tcPr>
            <w:tcW w:w="0" w:type="dxa"/>
            <w:vAlign w:val="bottom"/>
          </w:tcPr>
          <w:p>
            <w:pPr>
              <w:spacing w:after="0"/>
              <w:rPr>
                <w:sz w:val="1"/>
                <w:szCs w:val="1"/>
                <w:color w:val="auto"/>
              </w:rPr>
            </w:pPr>
          </w:p>
        </w:tc>
      </w:tr>
      <w:tr>
        <w:trPr>
          <w:trHeight w:val="155"/>
        </w:trPr>
        <w:tc>
          <w:tcPr>
            <w:tcW w:w="2700" w:type="dxa"/>
            <w:vAlign w:val="bottom"/>
            <w:tcBorders>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Michael Friedenberg</w:t>
            </w:r>
          </w:p>
        </w:tc>
        <w:tc>
          <w:tcPr>
            <w:tcW w:w="560" w:type="dxa"/>
            <w:vAlign w:val="bottom"/>
            <w:tcBorders>
              <w:bottom w:val="single" w:sz="8" w:color="auto"/>
              <w:right w:val="single" w:sz="8" w:color="AFAFAF"/>
            </w:tcBorders>
          </w:tcPr>
          <w:p>
            <w:pPr>
              <w:ind w:left="140"/>
              <w:spacing w:after="0" w:line="155"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right w:val="single" w:sz="8" w:color="AFAFAF"/>
            </w:tcBorders>
            <w:gridSpan w:val="2"/>
          </w:tcPr>
          <w:p>
            <w:pPr>
              <w:jc w:val="right"/>
              <w:ind w:right="55"/>
              <w:spacing w:after="0" w:line="155" w:lineRule="exact"/>
              <w:rPr>
                <w:sz w:val="20"/>
                <w:szCs w:val="20"/>
                <w:color w:val="auto"/>
              </w:rPr>
            </w:pPr>
            <w:r>
              <w:rPr>
                <w:rFonts w:ascii="Arial" w:cs="Arial" w:eastAsia="Arial" w:hAnsi="Arial"/>
                <w:sz w:val="14"/>
                <w:szCs w:val="14"/>
                <w:b w:val="1"/>
                <w:bCs w:val="1"/>
                <w:color w:val="auto"/>
              </w:rPr>
              <w:t>59,589</w:t>
            </w:r>
          </w:p>
        </w:tc>
        <w:tc>
          <w:tcPr>
            <w:tcW w:w="1040" w:type="dxa"/>
            <w:vAlign w:val="bottom"/>
            <w:tcBorders>
              <w:bottom w:val="single" w:sz="8" w:color="auto"/>
              <w:right w:val="single" w:sz="8" w:color="AFAFAF"/>
            </w:tcBorders>
            <w:gridSpan w:val="2"/>
          </w:tcPr>
          <w:p>
            <w:pPr>
              <w:jc w:val="right"/>
              <w:ind w:right="55"/>
              <w:spacing w:after="0" w:line="155" w:lineRule="exact"/>
              <w:rPr>
                <w:sz w:val="20"/>
                <w:szCs w:val="20"/>
                <w:color w:val="auto"/>
              </w:rPr>
            </w:pPr>
            <w:r>
              <w:rPr>
                <w:rFonts w:ascii="Arial" w:cs="Arial" w:eastAsia="Arial" w:hAnsi="Arial"/>
                <w:sz w:val="14"/>
                <w:szCs w:val="14"/>
                <w:b w:val="1"/>
                <w:bCs w:val="1"/>
                <w:color w:val="auto"/>
              </w:rPr>
              <w:t>5,000,025</w:t>
            </w:r>
          </w:p>
        </w:tc>
        <w:tc>
          <w:tcPr>
            <w:tcW w:w="1060" w:type="dxa"/>
            <w:vAlign w:val="bottom"/>
            <w:tcBorders>
              <w:bottom w:val="single" w:sz="8" w:color="auto"/>
              <w:right w:val="single" w:sz="8" w:color="AFAFAF"/>
            </w:tcBorders>
            <w:gridSpan w:val="2"/>
          </w:tcPr>
          <w:p>
            <w:pPr>
              <w:jc w:val="right"/>
              <w:ind w:right="91"/>
              <w:spacing w:after="0" w:line="155" w:lineRule="exact"/>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right w:val="single" w:sz="8" w:color="AFAFAF"/>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100,177</w:t>
            </w:r>
          </w:p>
        </w:tc>
        <w:tc>
          <w:tcPr>
            <w:tcW w:w="860" w:type="dxa"/>
            <w:vAlign w:val="bottom"/>
            <w:tcBorders>
              <w:bottom w:val="single" w:sz="8" w:color="auto"/>
              <w:right w:val="single" w:sz="8" w:color="AFAFA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right w:val="single" w:sz="8" w:color="AFAFA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500,569</w:t>
            </w:r>
          </w:p>
        </w:tc>
        <w:tc>
          <w:tcPr>
            <w:tcW w:w="1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5,660,360</w:t>
            </w:r>
          </w:p>
        </w:tc>
        <w:tc>
          <w:tcPr>
            <w:tcW w:w="0" w:type="dxa"/>
            <w:vAlign w:val="bottom"/>
          </w:tcPr>
          <w:p>
            <w:pPr>
              <w:spacing w:after="0"/>
              <w:rPr>
                <w:sz w:val="1"/>
                <w:szCs w:val="1"/>
                <w:color w:val="auto"/>
              </w:rPr>
            </w:pPr>
          </w:p>
        </w:tc>
      </w:tr>
      <w:tr>
        <w:trPr>
          <w:trHeight w:val="155"/>
        </w:trPr>
        <w:tc>
          <w:tcPr>
            <w:tcW w:w="2700" w:type="dxa"/>
            <w:vAlign w:val="bottom"/>
            <w:tcBorders>
              <w:right w:val="single" w:sz="8" w:color="AFAFAF"/>
            </w:tcBorders>
          </w:tcPr>
          <w:p>
            <w:pPr>
              <w:spacing w:after="0" w:line="155" w:lineRule="exact"/>
              <w:rPr>
                <w:sz w:val="20"/>
                <w:szCs w:val="20"/>
                <w:color w:val="auto"/>
              </w:rPr>
            </w:pPr>
            <w:r>
              <w:rPr>
                <w:rFonts w:ascii="Arial" w:cs="Arial" w:eastAsia="Arial" w:hAnsi="Arial"/>
                <w:sz w:val="14"/>
                <w:szCs w:val="14"/>
                <w:color w:val="auto"/>
              </w:rPr>
              <w:t>President, Reuters News</w:t>
            </w:r>
          </w:p>
        </w:tc>
        <w:tc>
          <w:tcPr>
            <w:tcW w:w="560" w:type="dxa"/>
            <w:vAlign w:val="bottom"/>
            <w:tcBorders>
              <w:bottom w:val="single" w:sz="8" w:color="auto"/>
              <w:right w:val="single" w:sz="8" w:color="AFAFAF"/>
            </w:tcBorders>
          </w:tcPr>
          <w:p>
            <w:pPr>
              <w:ind w:left="140"/>
              <w:spacing w:after="0" w:line="155" w:lineRule="exact"/>
              <w:rPr>
                <w:sz w:val="20"/>
                <w:szCs w:val="20"/>
                <w:color w:val="auto"/>
              </w:rPr>
            </w:pPr>
            <w:r>
              <w:rPr>
                <w:rFonts w:ascii="Arial" w:cs="Arial" w:eastAsia="Arial" w:hAnsi="Arial"/>
                <w:sz w:val="14"/>
                <w:szCs w:val="14"/>
                <w:color w:val="auto"/>
              </w:rPr>
              <w:t>2017</w:t>
            </w:r>
          </w:p>
        </w:tc>
        <w:tc>
          <w:tcPr>
            <w:tcW w:w="980" w:type="dxa"/>
            <w:vAlign w:val="bottom"/>
            <w:tcBorders>
              <w:bottom w:val="single" w:sz="8" w:color="auto"/>
              <w:right w:val="single" w:sz="8" w:color="AFAFAF"/>
            </w:tcBorders>
            <w:gridSpan w:val="2"/>
          </w:tcPr>
          <w:p>
            <w:pPr>
              <w:jc w:val="right"/>
              <w:ind w:right="55"/>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FAFAF"/>
            </w:tcBorders>
            <w:gridSpan w:val="2"/>
          </w:tcPr>
          <w:p>
            <w:pPr>
              <w:jc w:val="right"/>
              <w:ind w:right="55"/>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right w:val="single" w:sz="8" w:color="AFAFAF"/>
            </w:tcBorders>
            <w:gridSpan w:val="2"/>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right w:val="single" w:sz="8" w:color="AFAFAF"/>
            </w:tcBorders>
          </w:tcPr>
          <w:p>
            <w:pPr>
              <w:jc w:val="right"/>
              <w:ind w:right="71"/>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FAFAF"/>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right w:val="single" w:sz="8" w:color="AFAFAF"/>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700" w:type="dxa"/>
            <w:vAlign w:val="bottom"/>
            <w:tcBorders>
              <w:bottom w:val="single" w:sz="8" w:color="D95A3B"/>
              <w:right w:val="single" w:sz="8" w:color="AFAFAF"/>
            </w:tcBorders>
          </w:tcPr>
          <w:p>
            <w:pPr>
              <w:spacing w:after="0"/>
              <w:rPr>
                <w:sz w:val="13"/>
                <w:szCs w:val="13"/>
                <w:color w:val="auto"/>
              </w:rPr>
            </w:pPr>
          </w:p>
        </w:tc>
        <w:tc>
          <w:tcPr>
            <w:tcW w:w="560" w:type="dxa"/>
            <w:vAlign w:val="bottom"/>
            <w:tcBorders>
              <w:bottom w:val="single" w:sz="8" w:color="D95A3B"/>
              <w:right w:val="single" w:sz="8" w:color="AFAFAF"/>
            </w:tcBorders>
          </w:tcPr>
          <w:p>
            <w:pPr>
              <w:ind w:left="140"/>
              <w:spacing w:after="0" w:line="155" w:lineRule="exact"/>
              <w:rPr>
                <w:sz w:val="20"/>
                <w:szCs w:val="20"/>
                <w:color w:val="auto"/>
              </w:rPr>
            </w:pPr>
            <w:r>
              <w:rPr>
                <w:rFonts w:ascii="Arial" w:cs="Arial" w:eastAsia="Arial" w:hAnsi="Arial"/>
                <w:sz w:val="14"/>
                <w:szCs w:val="14"/>
                <w:color w:val="auto"/>
              </w:rPr>
              <w:t>2016</w:t>
            </w:r>
          </w:p>
        </w:tc>
        <w:tc>
          <w:tcPr>
            <w:tcW w:w="980" w:type="dxa"/>
            <w:vAlign w:val="bottom"/>
            <w:tcBorders>
              <w:bottom w:val="single" w:sz="8" w:color="D95A3B"/>
              <w:right w:val="single" w:sz="8" w:color="AFAFAF"/>
            </w:tcBorders>
            <w:gridSpan w:val="2"/>
          </w:tcPr>
          <w:p>
            <w:pPr>
              <w:jc w:val="right"/>
              <w:ind w:right="55"/>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D95A3B"/>
              <w:right w:val="single" w:sz="8" w:color="AFAFAF"/>
            </w:tcBorders>
            <w:gridSpan w:val="2"/>
          </w:tcPr>
          <w:p>
            <w:pPr>
              <w:jc w:val="right"/>
              <w:ind w:right="55"/>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D95A3B"/>
              <w:right w:val="single" w:sz="8" w:color="AFAFAF"/>
            </w:tcBorders>
            <w:gridSpan w:val="2"/>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D95A3B"/>
              <w:right w:val="single" w:sz="8" w:color="AFAFAF"/>
            </w:tcBorders>
          </w:tcPr>
          <w:p>
            <w:pPr>
              <w:jc w:val="right"/>
              <w:ind w:right="71"/>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D95A3B"/>
              <w:right w:val="single" w:sz="8" w:color="AFAFAF"/>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D95A3B"/>
              <w:right w:val="single" w:sz="8" w:color="AFAFAF"/>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D95A3B"/>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-2186940</wp:posOffset>
            </wp:positionV>
            <wp:extent cx="8255" cy="3333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33337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-2186940</wp:posOffset>
            </wp:positionV>
            <wp:extent cx="8255" cy="3333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33337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-2186940</wp:posOffset>
            </wp:positionV>
            <wp:extent cx="8255" cy="3333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33337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-2186940</wp:posOffset>
            </wp:positionV>
            <wp:extent cx="8255" cy="3333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333375"/>
                    </a:xfrm>
                    <a:prstGeom prst="rect">
                      <a:avLst/>
                    </a:prstGeom>
                    <a:noFill/>
                  </pic:spPr>
                </pic:pic>
              </a:graphicData>
            </a:graphic>
          </wp:anchor>
        </w:drawing>
        <w:drawing>
          <wp:anchor simplePos="0" relativeHeight="251657728" behindDoc="1" locked="0" layoutInCell="0" allowOverlap="1">
            <wp:simplePos x="0" y="0"/>
            <wp:positionH relativeFrom="column">
              <wp:posOffset>1842135</wp:posOffset>
            </wp:positionH>
            <wp:positionV relativeFrom="paragraph">
              <wp:posOffset>-2186940</wp:posOffset>
            </wp:positionV>
            <wp:extent cx="8255" cy="3333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333375"/>
                    </a:xfrm>
                    <a:prstGeom prst="rect">
                      <a:avLst/>
                    </a:prstGeom>
                    <a:noFill/>
                  </pic:spPr>
                </pic:pic>
              </a:graphicData>
            </a:graphic>
          </wp:anchor>
        </w:drawing>
      </w:r>
    </w:p>
    <w:p>
      <w:pPr>
        <w:spacing w:after="0" w:line="100" w:lineRule="exact"/>
        <w:rPr>
          <w:sz w:val="20"/>
          <w:szCs w:val="20"/>
          <w:color w:val="auto"/>
        </w:rPr>
      </w:pPr>
    </w:p>
    <w:p>
      <w:pPr>
        <w:ind w:left="540" w:right="220" w:hanging="176"/>
        <w:spacing w:after="0" w:line="244" w:lineRule="auto"/>
        <w:tabs>
          <w:tab w:leader="none" w:pos="5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Annual base salaries for Messrs. Peccarelli and Masterson were increased to $750,000 during 2018 in connection with their promotions to co-Chief Operating Officer. Their respective 2018 base salary information in this table reflects the combined amounts earned under their previous and current base salaries. Mr. Friedenberg has an annual base salary of $750,000. 2018 base salary information for Mr. Friedenberg in this table reflects amounts earned from his start date at our company (December 3, 2018) through year-end.</w:t>
      </w:r>
    </w:p>
    <w:p>
      <w:pPr>
        <w:spacing w:after="0" w:line="257" w:lineRule="exact"/>
        <w:rPr>
          <w:sz w:val="20"/>
          <w:szCs w:val="20"/>
          <w:color w:val="auto"/>
        </w:rPr>
      </w:pPr>
    </w:p>
    <w:p>
      <w:pPr>
        <w:ind w:left="540" w:right="120" w:hanging="176"/>
        <w:spacing w:after="0" w:line="242" w:lineRule="auto"/>
        <w:tabs>
          <w:tab w:leader="none" w:pos="5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Share-based awards reflect the grant date fair value of RSUs granted as long-term incentive awards in 2018, 2017 and 2016 for the three year periods that end on December 31, 2020, 2019 and 2018, respectively. In addition, these amounts include RSUs that were granted to some of our named executive officers as special awards (which are not part of typical annual compensation), as described in the “Compensation Discussion and Analysis” section of this circular. The grant date fair value of all 2018, 2017 and 2016 awards were based on the closing price of our common shares on the NYSE on the date prior to the grant date. Additional information about our long-term incentive awards and special RSU grants is provided in the “Compensation Discussion and Analysis”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3" w:lineRule="exact"/>
        <w:rPr>
          <w:sz w:val="20"/>
          <w:szCs w:val="20"/>
          <w:color w:val="auto"/>
        </w:rPr>
      </w:pPr>
    </w:p>
    <w:p>
      <w:pPr>
        <w:ind w:left="6100"/>
        <w:spacing w:after="0"/>
        <w:tabs>
          <w:tab w:leader="none" w:pos="106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71</w:t>
      </w:r>
    </w:p>
    <w:p>
      <w:pPr>
        <w:sectPr>
          <w:pgSz w:w="11900" w:h="16838" w:orient="portrait"/>
          <w:cols w:equalWidth="0" w:num="1">
            <w:col w:w="11200"/>
          </w:cols>
          <w:pgMar w:left="240" w:top="458"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sets forth the grant date fair value of each named executive officer’s annual long-term incentive award and special awards received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6346190</wp:posOffset>
            </wp:positionH>
            <wp:positionV relativeFrom="paragraph">
              <wp:posOffset>76200</wp:posOffset>
            </wp:positionV>
            <wp:extent cx="8255" cy="1282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76200</wp:posOffset>
            </wp:positionV>
            <wp:extent cx="8255" cy="1282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4218305</wp:posOffset>
            </wp:positionH>
            <wp:positionV relativeFrom="paragraph">
              <wp:posOffset>76200</wp:posOffset>
            </wp:positionV>
            <wp:extent cx="8255" cy="1282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128270"/>
                    </a:xfrm>
                    <a:prstGeom prst="rect">
                      <a:avLst/>
                    </a:prstGeom>
                    <a:noFill/>
                  </pic:spPr>
                </pic:pic>
              </a:graphicData>
            </a:graphic>
          </wp:anchor>
        </w:drawing>
      </w:r>
    </w:p>
    <w:p>
      <w:pPr>
        <w:spacing w:after="0" w:line="100"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644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Name</w:t>
            </w:r>
          </w:p>
        </w:tc>
        <w:tc>
          <w:tcPr>
            <w:tcW w:w="1620" w:type="dxa"/>
            <w:vAlign w:val="bottom"/>
            <w:tcBorders>
              <w:bottom w:val="single" w:sz="8" w:color="D95A3B"/>
              <w:right w:val="single" w:sz="8" w:color="CCCCCC"/>
            </w:tcBorders>
            <w:shd w:val="clear" w:color="auto" w:fill="CCCCCC"/>
          </w:tcPr>
          <w:p>
            <w:pPr>
              <w:jc w:val="right"/>
              <w:ind w:right="168"/>
              <w:spacing w:after="0"/>
              <w:rPr>
                <w:sz w:val="20"/>
                <w:szCs w:val="20"/>
                <w:color w:val="auto"/>
              </w:rPr>
            </w:pPr>
            <w:r>
              <w:rPr>
                <w:rFonts w:ascii="Arial" w:cs="Arial" w:eastAsia="Arial" w:hAnsi="Arial"/>
                <w:sz w:val="15"/>
                <w:szCs w:val="15"/>
                <w:b w:val="1"/>
                <w:bCs w:val="1"/>
                <w:color w:val="auto"/>
              </w:rPr>
              <w:t>Annual award ($)</w:t>
            </w:r>
          </w:p>
        </w:tc>
        <w:tc>
          <w:tcPr>
            <w:tcW w:w="1740" w:type="dxa"/>
            <w:vAlign w:val="bottom"/>
            <w:tcBorders>
              <w:bottom w:val="single" w:sz="8" w:color="D95A3B"/>
              <w:right w:val="single" w:sz="8" w:color="CCCCCC"/>
            </w:tcBorders>
            <w:shd w:val="clear" w:color="auto" w:fill="CCCCCC"/>
          </w:tcPr>
          <w:p>
            <w:pPr>
              <w:jc w:val="right"/>
              <w:ind w:right="168"/>
              <w:spacing w:after="0"/>
              <w:rPr>
                <w:sz w:val="20"/>
                <w:szCs w:val="20"/>
                <w:color w:val="auto"/>
              </w:rPr>
            </w:pPr>
            <w:r>
              <w:rPr>
                <w:rFonts w:ascii="Arial" w:cs="Arial" w:eastAsia="Arial" w:hAnsi="Arial"/>
                <w:sz w:val="15"/>
                <w:szCs w:val="15"/>
                <w:b w:val="1"/>
                <w:bCs w:val="1"/>
                <w:color w:val="auto"/>
              </w:rPr>
              <w:t>Special award ($)</w:t>
            </w:r>
          </w:p>
        </w:tc>
        <w:tc>
          <w:tcPr>
            <w:tcW w:w="1180" w:type="dxa"/>
            <w:vAlign w:val="bottom"/>
            <w:tcBorders>
              <w:bottom w:val="single" w:sz="8" w:color="D95A3B"/>
            </w:tcBorders>
            <w:shd w:val="clear" w:color="auto" w:fill="CCCCCC"/>
          </w:tcPr>
          <w:p>
            <w:pPr>
              <w:jc w:val="right"/>
              <w:ind w:right="148"/>
              <w:spacing w:after="0"/>
              <w:rPr>
                <w:sz w:val="20"/>
                <w:szCs w:val="20"/>
                <w:color w:val="auto"/>
              </w:rPr>
            </w:pPr>
            <w:r>
              <w:rPr>
                <w:rFonts w:ascii="Arial" w:cs="Arial" w:eastAsia="Arial" w:hAnsi="Arial"/>
                <w:sz w:val="15"/>
                <w:szCs w:val="15"/>
                <w:b w:val="1"/>
                <w:bCs w:val="1"/>
                <w:color w:val="auto"/>
              </w:rPr>
              <w:t>Total ($)</w:t>
            </w:r>
          </w:p>
        </w:tc>
      </w:tr>
      <w:tr>
        <w:trPr>
          <w:trHeight w:val="155"/>
        </w:trPr>
        <w:tc>
          <w:tcPr>
            <w:tcW w:w="64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James C. Smith</w:t>
            </w:r>
          </w:p>
        </w:tc>
        <w:tc>
          <w:tcPr>
            <w:tcW w:w="162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$4,400,015</w:t>
            </w:r>
          </w:p>
        </w:tc>
        <w:tc>
          <w:tcPr>
            <w:tcW w:w="174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FAFAF"/>
            </w:tcBorders>
          </w:tcPr>
          <w:p>
            <w:pPr>
              <w:jc w:val="right"/>
              <w:ind w:right="148"/>
              <w:spacing w:after="0" w:line="155" w:lineRule="exact"/>
              <w:rPr>
                <w:sz w:val="20"/>
                <w:szCs w:val="20"/>
                <w:color w:val="auto"/>
              </w:rPr>
            </w:pPr>
            <w:r>
              <w:rPr>
                <w:rFonts w:ascii="Arial" w:cs="Arial" w:eastAsia="Arial" w:hAnsi="Arial"/>
                <w:sz w:val="14"/>
                <w:szCs w:val="14"/>
                <w:color w:val="auto"/>
              </w:rPr>
              <w:t>$4,400,015</w:t>
            </w:r>
          </w:p>
        </w:tc>
      </w:tr>
      <w:tr>
        <w:trPr>
          <w:trHeight w:val="155"/>
        </w:trPr>
        <w:tc>
          <w:tcPr>
            <w:tcW w:w="64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Stephane Bello</w:t>
            </w:r>
          </w:p>
        </w:tc>
        <w:tc>
          <w:tcPr>
            <w:tcW w:w="162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$1,000,005</w:t>
            </w:r>
          </w:p>
        </w:tc>
        <w:tc>
          <w:tcPr>
            <w:tcW w:w="174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FAFAF"/>
            </w:tcBorders>
          </w:tcPr>
          <w:p>
            <w:pPr>
              <w:jc w:val="right"/>
              <w:ind w:right="148"/>
              <w:spacing w:after="0" w:line="155" w:lineRule="exact"/>
              <w:rPr>
                <w:sz w:val="20"/>
                <w:szCs w:val="20"/>
                <w:color w:val="auto"/>
              </w:rPr>
            </w:pPr>
            <w:r>
              <w:rPr>
                <w:rFonts w:ascii="Arial" w:cs="Arial" w:eastAsia="Arial" w:hAnsi="Arial"/>
                <w:sz w:val="14"/>
                <w:szCs w:val="14"/>
                <w:color w:val="auto"/>
              </w:rPr>
              <w:t>$1,000,005</w:t>
            </w:r>
          </w:p>
        </w:tc>
      </w:tr>
      <w:tr>
        <w:trPr>
          <w:trHeight w:val="155"/>
        </w:trPr>
        <w:tc>
          <w:tcPr>
            <w:tcW w:w="64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Brian Peccarelli</w:t>
            </w:r>
          </w:p>
        </w:tc>
        <w:tc>
          <w:tcPr>
            <w:tcW w:w="162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$562,535</w:t>
            </w:r>
          </w:p>
        </w:tc>
        <w:tc>
          <w:tcPr>
            <w:tcW w:w="174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$3,949,000</w:t>
            </w:r>
          </w:p>
        </w:tc>
        <w:tc>
          <w:tcPr>
            <w:tcW w:w="1180" w:type="dxa"/>
            <w:vAlign w:val="bottom"/>
            <w:tcBorders>
              <w:bottom w:val="single" w:sz="8" w:color="AFAFAF"/>
            </w:tcBorders>
          </w:tcPr>
          <w:p>
            <w:pPr>
              <w:jc w:val="right"/>
              <w:ind w:right="148"/>
              <w:spacing w:after="0" w:line="155" w:lineRule="exact"/>
              <w:rPr>
                <w:sz w:val="20"/>
                <w:szCs w:val="20"/>
                <w:color w:val="auto"/>
              </w:rPr>
            </w:pPr>
            <w:r>
              <w:rPr>
                <w:rFonts w:ascii="Arial" w:cs="Arial" w:eastAsia="Arial" w:hAnsi="Arial"/>
                <w:sz w:val="14"/>
                <w:szCs w:val="14"/>
                <w:color w:val="auto"/>
              </w:rPr>
              <w:t>$4,511,535</w:t>
            </w:r>
          </w:p>
        </w:tc>
      </w:tr>
      <w:tr>
        <w:trPr>
          <w:trHeight w:val="155"/>
        </w:trPr>
        <w:tc>
          <w:tcPr>
            <w:tcW w:w="644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Neil Masterson</w:t>
            </w:r>
          </w:p>
        </w:tc>
        <w:tc>
          <w:tcPr>
            <w:tcW w:w="162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$562,535</w:t>
            </w:r>
          </w:p>
        </w:tc>
        <w:tc>
          <w:tcPr>
            <w:tcW w:w="174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$3,949,000</w:t>
            </w:r>
          </w:p>
        </w:tc>
        <w:tc>
          <w:tcPr>
            <w:tcW w:w="1180" w:type="dxa"/>
            <w:vAlign w:val="bottom"/>
            <w:tcBorders>
              <w:bottom w:val="single" w:sz="8" w:color="AFAFAF"/>
            </w:tcBorders>
          </w:tcPr>
          <w:p>
            <w:pPr>
              <w:jc w:val="right"/>
              <w:ind w:right="148"/>
              <w:spacing w:after="0" w:line="155" w:lineRule="exact"/>
              <w:rPr>
                <w:sz w:val="20"/>
                <w:szCs w:val="20"/>
                <w:color w:val="auto"/>
              </w:rPr>
            </w:pPr>
            <w:r>
              <w:rPr>
                <w:rFonts w:ascii="Arial" w:cs="Arial" w:eastAsia="Arial" w:hAnsi="Arial"/>
                <w:sz w:val="14"/>
                <w:szCs w:val="14"/>
                <w:color w:val="auto"/>
              </w:rPr>
              <w:t>$4,511,535</w:t>
            </w:r>
          </w:p>
        </w:tc>
      </w:tr>
      <w:tr>
        <w:trPr>
          <w:trHeight w:val="155"/>
        </w:trPr>
        <w:tc>
          <w:tcPr>
            <w:tcW w:w="644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Michael Friedenberg</w:t>
            </w:r>
          </w:p>
        </w:tc>
        <w:tc>
          <w:tcPr>
            <w:tcW w:w="1620" w:type="dxa"/>
            <w:vAlign w:val="bottom"/>
            <w:tcBorders>
              <w:bottom w:val="single" w:sz="8" w:color="D95A3B"/>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D95A3B"/>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$5,000,025</w:t>
            </w:r>
          </w:p>
        </w:tc>
        <w:tc>
          <w:tcPr>
            <w:tcW w:w="1180" w:type="dxa"/>
            <w:vAlign w:val="bottom"/>
            <w:tcBorders>
              <w:bottom w:val="single" w:sz="8" w:color="D95A3B"/>
            </w:tcBorders>
          </w:tcPr>
          <w:p>
            <w:pPr>
              <w:jc w:val="right"/>
              <w:ind w:right="148"/>
              <w:spacing w:after="0" w:line="155" w:lineRule="exact"/>
              <w:rPr>
                <w:sz w:val="20"/>
                <w:szCs w:val="20"/>
                <w:color w:val="auto"/>
              </w:rPr>
            </w:pPr>
            <w:r>
              <w:rPr>
                <w:rFonts w:ascii="Arial" w:cs="Arial" w:eastAsia="Arial" w:hAnsi="Arial"/>
                <w:sz w:val="14"/>
                <w:szCs w:val="14"/>
                <w:color w:val="auto"/>
              </w:rPr>
              <w:t>$5,000,025</w:t>
            </w:r>
          </w:p>
        </w:tc>
      </w:tr>
    </w:tbl>
    <w:p>
      <w:pPr>
        <w:spacing w:after="0" w:line="120" w:lineRule="exact"/>
        <w:rPr>
          <w:sz w:val="20"/>
          <w:szCs w:val="20"/>
          <w:color w:val="auto"/>
        </w:rPr>
      </w:pPr>
    </w:p>
    <w:p>
      <w:pPr>
        <w:ind w:left="540" w:right="20" w:hanging="176"/>
        <w:spacing w:after="0" w:line="244" w:lineRule="auto"/>
        <w:tabs>
          <w:tab w:leader="none" w:pos="5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For options granted in 2018, 2017 and 2016, we calculated the grant date fair value based on the closing common share price on the date prior to the grant date and used a Black-Scholes valuation of this share price. The grant date fair value of stock options granted in 2018, 2017 and 2016 was the same as the accounting fair value of those stock options. Additional information is provided in note 26 of our 2018 annual consolidated financial statements, which are included in our 2018 annual report. The following table provides additional information about options granted to named executive officers in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5286375</wp:posOffset>
            </wp:positionH>
            <wp:positionV relativeFrom="paragraph">
              <wp:posOffset>67310</wp:posOffset>
            </wp:positionV>
            <wp:extent cx="8255" cy="3416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34163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67310</wp:posOffset>
            </wp:positionV>
            <wp:extent cx="8255" cy="3416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341630"/>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67310</wp:posOffset>
            </wp:positionV>
            <wp:extent cx="8255" cy="3416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341630"/>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67310</wp:posOffset>
            </wp:positionV>
            <wp:extent cx="8255" cy="3416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341630"/>
                    </a:xfrm>
                    <a:prstGeom prst="rect">
                      <a:avLst/>
                    </a:prstGeom>
                    <a:noFill/>
                  </pic:spPr>
                </pic:pic>
              </a:graphicData>
            </a:graphic>
          </wp:anchor>
        </w:drawing>
        <w:drawing>
          <wp:anchor simplePos="0" relativeHeight="251657728" behindDoc="1" locked="0" layoutInCell="0" allowOverlap="1">
            <wp:simplePos x="0" y="0"/>
            <wp:positionH relativeFrom="column">
              <wp:posOffset>1064260</wp:posOffset>
            </wp:positionH>
            <wp:positionV relativeFrom="paragraph">
              <wp:posOffset>67310</wp:posOffset>
            </wp:positionV>
            <wp:extent cx="8255" cy="3416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341630"/>
                    </a:xfrm>
                    <a:prstGeom prst="rect">
                      <a:avLst/>
                    </a:prstGeom>
                    <a:noFill/>
                  </pic:spPr>
                </pic:pic>
              </a:graphicData>
            </a:graphic>
          </wp:anchor>
        </w:drawing>
      </w:r>
    </w:p>
    <w:p>
      <w:pPr>
        <w:spacing w:after="0" w:line="81"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1480" w:type="dxa"/>
            <w:vAlign w:val="bottom"/>
            <w:tcBorders>
              <w:right w:val="single" w:sz="8" w:color="CCCCCC"/>
            </w:tcBorders>
            <w:shd w:val="clear" w:color="auto" w:fill="CCCCCC"/>
          </w:tcPr>
          <w:p>
            <w:pPr>
              <w:spacing w:after="0"/>
              <w:rPr>
                <w:sz w:val="14"/>
                <w:szCs w:val="14"/>
                <w:color w:val="auto"/>
              </w:rPr>
            </w:pPr>
          </w:p>
        </w:tc>
        <w:tc>
          <w:tcPr>
            <w:tcW w:w="420" w:type="dxa"/>
            <w:vAlign w:val="bottom"/>
            <w:shd w:val="clear" w:color="auto" w:fill="CCCCCC"/>
          </w:tcPr>
          <w:p>
            <w:pPr>
              <w:spacing w:after="0"/>
              <w:rPr>
                <w:sz w:val="14"/>
                <w:szCs w:val="14"/>
                <w:color w:val="auto"/>
              </w:rPr>
            </w:pPr>
          </w:p>
        </w:tc>
        <w:tc>
          <w:tcPr>
            <w:tcW w:w="1460" w:type="dxa"/>
            <w:vAlign w:val="bottom"/>
            <w:tcBorders>
              <w:right w:val="single" w:sz="8" w:color="CCCCCC"/>
            </w:tcBorders>
            <w:shd w:val="clear" w:color="auto" w:fill="CCCCCC"/>
          </w:tcPr>
          <w:p>
            <w:pPr>
              <w:spacing w:after="0"/>
              <w:rPr>
                <w:sz w:val="14"/>
                <w:szCs w:val="14"/>
                <w:color w:val="auto"/>
              </w:rPr>
            </w:pPr>
          </w:p>
        </w:tc>
        <w:tc>
          <w:tcPr>
            <w:tcW w:w="580" w:type="dxa"/>
            <w:vAlign w:val="bottom"/>
            <w:shd w:val="clear" w:color="auto" w:fill="CCCCCC"/>
          </w:tcPr>
          <w:p>
            <w:pPr>
              <w:spacing w:after="0"/>
              <w:rPr>
                <w:sz w:val="14"/>
                <w:szCs w:val="14"/>
                <w:color w:val="auto"/>
              </w:rPr>
            </w:pPr>
          </w:p>
        </w:tc>
        <w:tc>
          <w:tcPr>
            <w:tcW w:w="900" w:type="dxa"/>
            <w:vAlign w:val="bottom"/>
            <w:tcBorders>
              <w:right w:val="single" w:sz="8" w:color="CCCCCC"/>
            </w:tcBorders>
            <w:shd w:val="clear" w:color="auto" w:fill="CCCCCC"/>
          </w:tcPr>
          <w:p>
            <w:pPr>
              <w:spacing w:after="0"/>
              <w:rPr>
                <w:sz w:val="14"/>
                <w:szCs w:val="14"/>
                <w:color w:val="auto"/>
              </w:rPr>
            </w:pPr>
          </w:p>
        </w:tc>
        <w:tc>
          <w:tcPr>
            <w:tcW w:w="1400" w:type="dxa"/>
            <w:vAlign w:val="bottom"/>
            <w:tcBorders>
              <w:right w:val="single" w:sz="8" w:color="CCCCCC"/>
            </w:tcBorders>
            <w:shd w:val="clear" w:color="auto" w:fill="CCCCCC"/>
          </w:tcPr>
          <w:p>
            <w:pPr>
              <w:jc w:val="right"/>
              <w:ind w:right="346"/>
              <w:spacing w:after="0"/>
              <w:rPr>
                <w:sz w:val="20"/>
                <w:szCs w:val="20"/>
                <w:color w:val="auto"/>
              </w:rPr>
            </w:pPr>
            <w:r>
              <w:rPr>
                <w:rFonts w:ascii="Arial" w:cs="Arial" w:eastAsia="Arial" w:hAnsi="Arial"/>
                <w:sz w:val="15"/>
                <w:szCs w:val="15"/>
                <w:b w:val="1"/>
                <w:bCs w:val="1"/>
                <w:color w:val="auto"/>
              </w:rPr>
              <w:t>Black-</w:t>
            </w:r>
          </w:p>
        </w:tc>
        <w:tc>
          <w:tcPr>
            <w:tcW w:w="400" w:type="dxa"/>
            <w:vAlign w:val="bottom"/>
            <w:shd w:val="clear" w:color="auto" w:fill="CCCCCC"/>
          </w:tcPr>
          <w:p>
            <w:pPr>
              <w:spacing w:after="0"/>
              <w:rPr>
                <w:sz w:val="14"/>
                <w:szCs w:val="14"/>
                <w:color w:val="auto"/>
              </w:rPr>
            </w:pPr>
          </w:p>
        </w:tc>
        <w:tc>
          <w:tcPr>
            <w:tcW w:w="1480" w:type="dxa"/>
            <w:vAlign w:val="bottom"/>
            <w:tcBorders>
              <w:right w:val="single" w:sz="8" w:color="CCCCCC"/>
            </w:tcBorders>
            <w:shd w:val="clear" w:color="auto" w:fill="CCCCCC"/>
          </w:tcPr>
          <w:p>
            <w:pPr>
              <w:spacing w:after="0"/>
              <w:rPr>
                <w:sz w:val="14"/>
                <w:szCs w:val="14"/>
                <w:color w:val="auto"/>
              </w:rPr>
            </w:pPr>
          </w:p>
        </w:tc>
        <w:tc>
          <w:tcPr>
            <w:tcW w:w="2860" w:type="dxa"/>
            <w:vAlign w:val="bottom"/>
            <w:shd w:val="clear" w:color="auto" w:fill="CCCCCC"/>
          </w:tcPr>
          <w:p>
            <w:pPr>
              <w:jc w:val="right"/>
              <w:ind w:right="246"/>
              <w:spacing w:after="0"/>
              <w:rPr>
                <w:sz w:val="20"/>
                <w:szCs w:val="20"/>
                <w:color w:val="auto"/>
              </w:rPr>
            </w:pPr>
            <w:r>
              <w:rPr>
                <w:rFonts w:ascii="Arial" w:cs="Arial" w:eastAsia="Arial" w:hAnsi="Arial"/>
                <w:sz w:val="15"/>
                <w:szCs w:val="15"/>
                <w:b w:val="1"/>
                <w:bCs w:val="1"/>
                <w:color w:val="auto"/>
              </w:rPr>
              <w:t>Difference Between Grant Date</w:t>
            </w:r>
          </w:p>
        </w:tc>
        <w:tc>
          <w:tcPr>
            <w:tcW w:w="0" w:type="dxa"/>
            <w:vAlign w:val="bottom"/>
          </w:tcPr>
          <w:p>
            <w:pPr>
              <w:spacing w:after="0"/>
              <w:rPr>
                <w:sz w:val="1"/>
                <w:szCs w:val="1"/>
                <w:color w:val="auto"/>
              </w:rPr>
            </w:pPr>
          </w:p>
        </w:tc>
      </w:tr>
      <w:tr>
        <w:trPr>
          <w:trHeight w:val="169"/>
        </w:trPr>
        <w:tc>
          <w:tcPr>
            <w:tcW w:w="1480" w:type="dxa"/>
            <w:vAlign w:val="bottom"/>
            <w:tcBorders>
              <w:right w:val="single" w:sz="8" w:color="CCCCCC"/>
            </w:tcBorders>
            <w:vMerge w:val="restart"/>
            <w:shd w:val="clear" w:color="auto" w:fill="CCCCCC"/>
          </w:tcPr>
          <w:p>
            <w:pPr>
              <w:spacing w:after="0"/>
              <w:rPr>
                <w:sz w:val="20"/>
                <w:szCs w:val="20"/>
                <w:color w:val="auto"/>
              </w:rPr>
            </w:pPr>
            <w:r>
              <w:rPr>
                <w:rFonts w:ascii="Arial" w:cs="Arial" w:eastAsia="Arial" w:hAnsi="Arial"/>
                <w:sz w:val="15"/>
                <w:szCs w:val="15"/>
                <w:b w:val="1"/>
                <w:bCs w:val="1"/>
                <w:color w:val="auto"/>
              </w:rPr>
              <w:t>Grant Date</w:t>
            </w:r>
          </w:p>
        </w:tc>
        <w:tc>
          <w:tcPr>
            <w:tcW w:w="420" w:type="dxa"/>
            <w:vAlign w:val="bottom"/>
            <w:shd w:val="clear" w:color="auto" w:fill="CCCCCC"/>
          </w:tcPr>
          <w:p>
            <w:pPr>
              <w:spacing w:after="0"/>
              <w:rPr>
                <w:sz w:val="14"/>
                <w:szCs w:val="14"/>
                <w:color w:val="auto"/>
              </w:rPr>
            </w:pPr>
          </w:p>
        </w:tc>
        <w:tc>
          <w:tcPr>
            <w:tcW w:w="1460" w:type="dxa"/>
            <w:vAlign w:val="bottom"/>
            <w:tcBorders>
              <w:right w:val="single" w:sz="8" w:color="CCCCCC"/>
            </w:tcBorders>
            <w:shd w:val="clear" w:color="auto" w:fill="CCCCCC"/>
          </w:tcPr>
          <w:p>
            <w:pPr>
              <w:jc w:val="right"/>
              <w:ind w:right="227"/>
              <w:spacing w:after="0" w:line="169" w:lineRule="exact"/>
              <w:rPr>
                <w:sz w:val="20"/>
                <w:szCs w:val="20"/>
                <w:color w:val="auto"/>
              </w:rPr>
            </w:pPr>
            <w:r>
              <w:rPr>
                <w:rFonts w:ascii="Arial" w:cs="Arial" w:eastAsia="Arial" w:hAnsi="Arial"/>
                <w:sz w:val="15"/>
                <w:szCs w:val="15"/>
                <w:b w:val="1"/>
                <w:bCs w:val="1"/>
                <w:color w:val="auto"/>
              </w:rPr>
              <w:t>Grant Date Fair</w:t>
            </w:r>
          </w:p>
        </w:tc>
        <w:tc>
          <w:tcPr>
            <w:tcW w:w="1480" w:type="dxa"/>
            <w:vAlign w:val="bottom"/>
            <w:tcBorders>
              <w:right w:val="single" w:sz="8" w:color="CCCCCC"/>
            </w:tcBorders>
            <w:gridSpan w:val="2"/>
            <w:shd w:val="clear" w:color="auto" w:fill="CCCCCC"/>
          </w:tcPr>
          <w:p>
            <w:pPr>
              <w:jc w:val="right"/>
              <w:ind w:right="268"/>
              <w:spacing w:after="0" w:line="169" w:lineRule="exact"/>
              <w:rPr>
                <w:sz w:val="20"/>
                <w:szCs w:val="20"/>
                <w:color w:val="auto"/>
              </w:rPr>
            </w:pPr>
            <w:r>
              <w:rPr>
                <w:rFonts w:ascii="Arial" w:cs="Arial" w:eastAsia="Arial" w:hAnsi="Arial"/>
                <w:sz w:val="15"/>
                <w:szCs w:val="15"/>
                <w:b w:val="1"/>
                <w:bCs w:val="1"/>
                <w:color w:val="auto"/>
              </w:rPr>
              <w:t>Applicable</w:t>
            </w:r>
          </w:p>
        </w:tc>
        <w:tc>
          <w:tcPr>
            <w:tcW w:w="1400" w:type="dxa"/>
            <w:vAlign w:val="bottom"/>
            <w:tcBorders>
              <w:right w:val="single" w:sz="8" w:color="CCCCCC"/>
            </w:tcBorders>
            <w:shd w:val="clear" w:color="auto" w:fill="CCCCCC"/>
          </w:tcPr>
          <w:p>
            <w:pPr>
              <w:jc w:val="right"/>
              <w:ind w:right="346"/>
              <w:spacing w:after="0" w:line="169" w:lineRule="exact"/>
              <w:rPr>
                <w:sz w:val="20"/>
                <w:szCs w:val="20"/>
                <w:color w:val="auto"/>
              </w:rPr>
            </w:pPr>
            <w:r>
              <w:rPr>
                <w:rFonts w:ascii="Arial" w:cs="Arial" w:eastAsia="Arial" w:hAnsi="Arial"/>
                <w:sz w:val="15"/>
                <w:szCs w:val="15"/>
                <w:b w:val="1"/>
                <w:bCs w:val="1"/>
                <w:color w:val="auto"/>
              </w:rPr>
              <w:t>Scholes</w:t>
            </w:r>
          </w:p>
        </w:tc>
        <w:tc>
          <w:tcPr>
            <w:tcW w:w="400" w:type="dxa"/>
            <w:vAlign w:val="bottom"/>
            <w:shd w:val="clear" w:color="auto" w:fill="CCCCCC"/>
          </w:tcPr>
          <w:p>
            <w:pPr>
              <w:spacing w:after="0"/>
              <w:rPr>
                <w:sz w:val="14"/>
                <w:szCs w:val="14"/>
                <w:color w:val="auto"/>
              </w:rPr>
            </w:pPr>
          </w:p>
        </w:tc>
        <w:tc>
          <w:tcPr>
            <w:tcW w:w="1480" w:type="dxa"/>
            <w:vAlign w:val="bottom"/>
            <w:tcBorders>
              <w:right w:val="single" w:sz="8" w:color="CCCCCC"/>
            </w:tcBorders>
            <w:shd w:val="clear" w:color="auto" w:fill="CCCCCC"/>
          </w:tcPr>
          <w:p>
            <w:pPr>
              <w:jc w:val="right"/>
              <w:ind w:right="227"/>
              <w:spacing w:after="0" w:line="169" w:lineRule="exact"/>
              <w:rPr>
                <w:sz w:val="20"/>
                <w:szCs w:val="20"/>
                <w:color w:val="auto"/>
              </w:rPr>
            </w:pPr>
            <w:r>
              <w:rPr>
                <w:rFonts w:ascii="Arial" w:cs="Arial" w:eastAsia="Arial" w:hAnsi="Arial"/>
                <w:sz w:val="15"/>
                <w:szCs w:val="15"/>
                <w:b w:val="1"/>
                <w:bCs w:val="1"/>
                <w:color w:val="auto"/>
              </w:rPr>
              <w:t>Accounting Fair</w:t>
            </w:r>
          </w:p>
        </w:tc>
        <w:tc>
          <w:tcPr>
            <w:tcW w:w="2860" w:type="dxa"/>
            <w:vAlign w:val="bottom"/>
            <w:shd w:val="clear" w:color="auto" w:fill="CCCCCC"/>
          </w:tcPr>
          <w:p>
            <w:pPr>
              <w:jc w:val="right"/>
              <w:ind w:right="246"/>
              <w:spacing w:after="0" w:line="169" w:lineRule="exact"/>
              <w:rPr>
                <w:sz w:val="20"/>
                <w:szCs w:val="20"/>
                <w:color w:val="auto"/>
              </w:rPr>
            </w:pPr>
            <w:r>
              <w:rPr>
                <w:rFonts w:ascii="Arial" w:cs="Arial" w:eastAsia="Arial" w:hAnsi="Arial"/>
                <w:sz w:val="15"/>
                <w:szCs w:val="15"/>
                <w:b w:val="1"/>
                <w:bCs w:val="1"/>
                <w:color w:val="auto"/>
              </w:rPr>
              <w:t>Fair Value and Accounting Fair</w:t>
            </w:r>
          </w:p>
        </w:tc>
        <w:tc>
          <w:tcPr>
            <w:tcW w:w="0" w:type="dxa"/>
            <w:vAlign w:val="bottom"/>
          </w:tcPr>
          <w:p>
            <w:pPr>
              <w:spacing w:after="0"/>
              <w:rPr>
                <w:sz w:val="1"/>
                <w:szCs w:val="1"/>
                <w:color w:val="auto"/>
              </w:rPr>
            </w:pPr>
          </w:p>
        </w:tc>
      </w:tr>
      <w:tr>
        <w:trPr>
          <w:trHeight w:val="188"/>
        </w:trPr>
        <w:tc>
          <w:tcPr>
            <w:tcW w:w="1480" w:type="dxa"/>
            <w:vAlign w:val="bottom"/>
            <w:tcBorders>
              <w:bottom w:val="single" w:sz="8" w:color="D95A3B"/>
              <w:right w:val="single" w:sz="8" w:color="CCCCCC"/>
            </w:tcBorders>
            <w:vMerge w:val="continue"/>
            <w:shd w:val="clear" w:color="auto" w:fill="CCCCCC"/>
          </w:tcPr>
          <w:p>
            <w:pPr>
              <w:spacing w:after="0"/>
              <w:rPr>
                <w:sz w:val="16"/>
                <w:szCs w:val="16"/>
                <w:color w:val="auto"/>
              </w:rPr>
            </w:pPr>
          </w:p>
        </w:tc>
        <w:tc>
          <w:tcPr>
            <w:tcW w:w="1880" w:type="dxa"/>
            <w:vAlign w:val="bottom"/>
            <w:tcBorders>
              <w:bottom w:val="single" w:sz="8" w:color="D95A3B"/>
              <w:right w:val="single" w:sz="8" w:color="CCCCCC"/>
            </w:tcBorders>
            <w:gridSpan w:val="2"/>
            <w:shd w:val="clear" w:color="auto" w:fill="CCCCCC"/>
          </w:tcPr>
          <w:p>
            <w:pPr>
              <w:ind w:left="300"/>
              <w:spacing w:after="0"/>
              <w:rPr>
                <w:sz w:val="20"/>
                <w:szCs w:val="20"/>
                <w:color w:val="auto"/>
              </w:rPr>
            </w:pPr>
            <w:r>
              <w:rPr>
                <w:rFonts w:ascii="Arial" w:cs="Arial" w:eastAsia="Arial" w:hAnsi="Arial"/>
                <w:sz w:val="15"/>
                <w:szCs w:val="15"/>
                <w:b w:val="1"/>
                <w:bCs w:val="1"/>
                <w:color w:val="auto"/>
              </w:rPr>
              <w:t>Value (per option)</w:t>
            </w:r>
          </w:p>
        </w:tc>
        <w:tc>
          <w:tcPr>
            <w:tcW w:w="1480" w:type="dxa"/>
            <w:vAlign w:val="bottom"/>
            <w:tcBorders>
              <w:bottom w:val="single" w:sz="8" w:color="D95A3B"/>
              <w:right w:val="single" w:sz="8" w:color="CCCCCC"/>
            </w:tcBorders>
            <w:gridSpan w:val="2"/>
            <w:shd w:val="clear" w:color="auto" w:fill="CCCCCC"/>
          </w:tcPr>
          <w:p>
            <w:pPr>
              <w:jc w:val="right"/>
              <w:ind w:right="268"/>
              <w:spacing w:after="0"/>
              <w:rPr>
                <w:sz w:val="20"/>
                <w:szCs w:val="20"/>
                <w:color w:val="auto"/>
              </w:rPr>
            </w:pPr>
            <w:r>
              <w:rPr>
                <w:rFonts w:ascii="Arial" w:cs="Arial" w:eastAsia="Arial" w:hAnsi="Arial"/>
                <w:sz w:val="15"/>
                <w:szCs w:val="15"/>
                <w:b w:val="1"/>
                <w:bCs w:val="1"/>
                <w:color w:val="auto"/>
              </w:rPr>
              <w:t>Share Price</w:t>
            </w:r>
          </w:p>
        </w:tc>
        <w:tc>
          <w:tcPr>
            <w:tcW w:w="1400" w:type="dxa"/>
            <w:vAlign w:val="bottom"/>
            <w:tcBorders>
              <w:bottom w:val="single" w:sz="8" w:color="D95A3B"/>
              <w:right w:val="single" w:sz="8" w:color="CCCCCC"/>
            </w:tcBorders>
            <w:shd w:val="clear" w:color="auto" w:fill="CCCCCC"/>
          </w:tcPr>
          <w:p>
            <w:pPr>
              <w:jc w:val="right"/>
              <w:ind w:right="346"/>
              <w:spacing w:after="0"/>
              <w:rPr>
                <w:sz w:val="20"/>
                <w:szCs w:val="20"/>
                <w:color w:val="auto"/>
              </w:rPr>
            </w:pPr>
            <w:r>
              <w:rPr>
                <w:rFonts w:ascii="Arial" w:cs="Arial" w:eastAsia="Arial" w:hAnsi="Arial"/>
                <w:sz w:val="15"/>
                <w:szCs w:val="15"/>
                <w:b w:val="1"/>
                <w:bCs w:val="1"/>
                <w:color w:val="auto"/>
              </w:rPr>
              <w:t>Valuation</w:t>
            </w:r>
          </w:p>
        </w:tc>
        <w:tc>
          <w:tcPr>
            <w:tcW w:w="1880" w:type="dxa"/>
            <w:vAlign w:val="bottom"/>
            <w:tcBorders>
              <w:bottom w:val="single" w:sz="8" w:color="D95A3B"/>
              <w:right w:val="single" w:sz="8" w:color="CCCCCC"/>
            </w:tcBorders>
            <w:gridSpan w:val="2"/>
            <w:shd w:val="clear" w:color="auto" w:fill="CCCCCC"/>
          </w:tcPr>
          <w:p>
            <w:pPr>
              <w:ind w:left="300"/>
              <w:spacing w:after="0"/>
              <w:rPr>
                <w:sz w:val="20"/>
                <w:szCs w:val="20"/>
                <w:color w:val="auto"/>
              </w:rPr>
            </w:pPr>
            <w:r>
              <w:rPr>
                <w:rFonts w:ascii="Arial" w:cs="Arial" w:eastAsia="Arial" w:hAnsi="Arial"/>
                <w:sz w:val="15"/>
                <w:szCs w:val="15"/>
                <w:b w:val="1"/>
                <w:bCs w:val="1"/>
                <w:color w:val="auto"/>
              </w:rPr>
              <w:t>Value (per option)</w:t>
            </w:r>
          </w:p>
        </w:tc>
        <w:tc>
          <w:tcPr>
            <w:tcW w:w="2860" w:type="dxa"/>
            <w:vAlign w:val="bottom"/>
            <w:tcBorders>
              <w:bottom w:val="single" w:sz="8" w:color="D95A3B"/>
            </w:tcBorders>
            <w:shd w:val="clear" w:color="auto" w:fill="CCCCCC"/>
          </w:tcPr>
          <w:p>
            <w:pPr>
              <w:jc w:val="right"/>
              <w:ind w:right="246"/>
              <w:spacing w:after="0"/>
              <w:rPr>
                <w:sz w:val="20"/>
                <w:szCs w:val="20"/>
                <w:color w:val="auto"/>
              </w:rPr>
            </w:pPr>
            <w:r>
              <w:rPr>
                <w:rFonts w:ascii="Arial" w:cs="Arial" w:eastAsia="Arial" w:hAnsi="Arial"/>
                <w:sz w:val="15"/>
                <w:szCs w:val="15"/>
                <w:b w:val="1"/>
                <w:bCs w:val="1"/>
                <w:color w:val="auto"/>
              </w:rPr>
              <w:t>Value (per option)</w:t>
            </w:r>
          </w:p>
        </w:tc>
        <w:tc>
          <w:tcPr>
            <w:tcW w:w="0" w:type="dxa"/>
            <w:vAlign w:val="bottom"/>
          </w:tcPr>
          <w:p>
            <w:pPr>
              <w:spacing w:after="0"/>
              <w:rPr>
                <w:sz w:val="1"/>
                <w:szCs w:val="1"/>
                <w:color w:val="auto"/>
              </w:rPr>
            </w:pPr>
          </w:p>
        </w:tc>
      </w:tr>
      <w:tr>
        <w:trPr>
          <w:trHeight w:val="155"/>
        </w:trPr>
        <w:tc>
          <w:tcPr>
            <w:tcW w:w="14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June 6, 2018</w:t>
            </w:r>
          </w:p>
        </w:tc>
        <w:tc>
          <w:tcPr>
            <w:tcW w:w="420" w:type="dxa"/>
            <w:vAlign w:val="bottom"/>
            <w:tcBorders>
              <w:bottom w:val="single" w:sz="8" w:color="AFAFAF"/>
            </w:tcBorders>
          </w:tcPr>
          <w:p>
            <w:pPr>
              <w:ind w:left="280"/>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FAFAF"/>
              <w:right w:val="single" w:sz="8" w:color="AFAFAF"/>
            </w:tcBorders>
          </w:tcPr>
          <w:p>
            <w:pPr>
              <w:jc w:val="right"/>
              <w:ind w:right="227"/>
              <w:spacing w:after="0" w:line="155" w:lineRule="exact"/>
              <w:rPr>
                <w:sz w:val="20"/>
                <w:szCs w:val="20"/>
                <w:color w:val="auto"/>
              </w:rPr>
            </w:pPr>
            <w:r>
              <w:rPr>
                <w:rFonts w:ascii="Arial" w:cs="Arial" w:eastAsia="Arial" w:hAnsi="Arial"/>
                <w:sz w:val="14"/>
                <w:szCs w:val="14"/>
                <w:color w:val="auto"/>
              </w:rPr>
              <w:t>4.13</w:t>
            </w:r>
          </w:p>
        </w:tc>
        <w:tc>
          <w:tcPr>
            <w:tcW w:w="580" w:type="dxa"/>
            <w:vAlign w:val="bottom"/>
            <w:tcBorders>
              <w:bottom w:val="single" w:sz="8" w:color="AFAFAF"/>
            </w:tcBorders>
          </w:tcPr>
          <w:p>
            <w:pPr>
              <w:jc w:val="right"/>
              <w:ind w:right="126"/>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FAFAF"/>
              <w:right w:val="single" w:sz="8" w:color="AFAFAF"/>
            </w:tcBorders>
          </w:tcPr>
          <w:p>
            <w:pPr>
              <w:jc w:val="right"/>
              <w:ind w:right="268"/>
              <w:spacing w:after="0" w:line="155" w:lineRule="exact"/>
              <w:rPr>
                <w:sz w:val="20"/>
                <w:szCs w:val="20"/>
                <w:color w:val="auto"/>
              </w:rPr>
            </w:pPr>
            <w:r>
              <w:rPr>
                <w:rFonts w:ascii="Arial" w:cs="Arial" w:eastAsia="Arial" w:hAnsi="Arial"/>
                <w:sz w:val="14"/>
                <w:szCs w:val="14"/>
                <w:color w:val="auto"/>
              </w:rPr>
              <w:t>39.49</w:t>
            </w:r>
          </w:p>
        </w:tc>
        <w:tc>
          <w:tcPr>
            <w:tcW w:w="1400" w:type="dxa"/>
            <w:vAlign w:val="bottom"/>
            <w:tcBorders>
              <w:bottom w:val="single" w:sz="8" w:color="AFAFAF"/>
              <w:right w:val="single" w:sz="8" w:color="AFAFAF"/>
            </w:tcBorders>
          </w:tcPr>
          <w:p>
            <w:pPr>
              <w:jc w:val="right"/>
              <w:ind w:right="226"/>
              <w:spacing w:after="0" w:line="155" w:lineRule="exact"/>
              <w:rPr>
                <w:sz w:val="20"/>
                <w:szCs w:val="20"/>
                <w:color w:val="auto"/>
              </w:rPr>
            </w:pPr>
            <w:r>
              <w:rPr>
                <w:rFonts w:ascii="Arial" w:cs="Arial" w:eastAsia="Arial" w:hAnsi="Arial"/>
                <w:sz w:val="14"/>
                <w:szCs w:val="14"/>
                <w:color w:val="auto"/>
              </w:rPr>
              <w:t>10.46%</w:t>
            </w:r>
          </w:p>
        </w:tc>
        <w:tc>
          <w:tcPr>
            <w:tcW w:w="400" w:type="dxa"/>
            <w:vAlign w:val="bottom"/>
            <w:tcBorders>
              <w:bottom w:val="single" w:sz="8" w:color="AFAFAF"/>
            </w:tcBorders>
          </w:tcPr>
          <w:p>
            <w:pPr>
              <w:ind w:left="300"/>
              <w:spacing w:after="0" w:line="155"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FAFAF"/>
              <w:right w:val="single" w:sz="8" w:color="AFAFAF"/>
            </w:tcBorders>
          </w:tcPr>
          <w:p>
            <w:pPr>
              <w:jc w:val="right"/>
              <w:ind w:right="227"/>
              <w:spacing w:after="0" w:line="155" w:lineRule="exact"/>
              <w:rPr>
                <w:sz w:val="20"/>
                <w:szCs w:val="20"/>
                <w:color w:val="auto"/>
              </w:rPr>
            </w:pPr>
            <w:r>
              <w:rPr>
                <w:rFonts w:ascii="Arial" w:cs="Arial" w:eastAsia="Arial" w:hAnsi="Arial"/>
                <w:sz w:val="14"/>
                <w:szCs w:val="14"/>
                <w:color w:val="auto"/>
              </w:rPr>
              <w:t>4.13</w:t>
            </w:r>
          </w:p>
        </w:tc>
        <w:tc>
          <w:tcPr>
            <w:tcW w:w="2860" w:type="dxa"/>
            <w:vAlign w:val="bottom"/>
            <w:tcBorders>
              <w:bottom w:val="single" w:sz="8" w:color="AFAFAF"/>
            </w:tcBorders>
          </w:tcPr>
          <w:p>
            <w:pPr>
              <w:jc w:val="right"/>
              <w:ind w:right="966"/>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4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March 1, 2017</w:t>
            </w:r>
          </w:p>
        </w:tc>
        <w:tc>
          <w:tcPr>
            <w:tcW w:w="420" w:type="dxa"/>
            <w:vAlign w:val="bottom"/>
            <w:tcBorders>
              <w:bottom w:val="single" w:sz="8" w:color="AFAFAF"/>
            </w:tcBorders>
          </w:tcPr>
          <w:p>
            <w:pPr>
              <w:ind w:left="280"/>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FAFAF"/>
              <w:right w:val="single" w:sz="8" w:color="AFAFAF"/>
            </w:tcBorders>
          </w:tcPr>
          <w:p>
            <w:pPr>
              <w:jc w:val="right"/>
              <w:ind w:right="227"/>
              <w:spacing w:after="0" w:line="155" w:lineRule="exact"/>
              <w:rPr>
                <w:sz w:val="20"/>
                <w:szCs w:val="20"/>
                <w:color w:val="auto"/>
              </w:rPr>
            </w:pPr>
            <w:r>
              <w:rPr>
                <w:rFonts w:ascii="Arial" w:cs="Arial" w:eastAsia="Arial" w:hAnsi="Arial"/>
                <w:sz w:val="14"/>
                <w:szCs w:val="14"/>
                <w:color w:val="auto"/>
              </w:rPr>
              <w:t>3.73</w:t>
            </w:r>
          </w:p>
        </w:tc>
        <w:tc>
          <w:tcPr>
            <w:tcW w:w="580" w:type="dxa"/>
            <w:vAlign w:val="bottom"/>
            <w:tcBorders>
              <w:bottom w:val="single" w:sz="8" w:color="AFAFAF"/>
            </w:tcBorders>
          </w:tcPr>
          <w:p>
            <w:pPr>
              <w:jc w:val="right"/>
              <w:ind w:right="126"/>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FAFAF"/>
              <w:right w:val="single" w:sz="8" w:color="AFAFAF"/>
            </w:tcBorders>
          </w:tcPr>
          <w:p>
            <w:pPr>
              <w:jc w:val="right"/>
              <w:ind w:right="268"/>
              <w:spacing w:after="0" w:line="155" w:lineRule="exact"/>
              <w:rPr>
                <w:sz w:val="20"/>
                <w:szCs w:val="20"/>
                <w:color w:val="auto"/>
              </w:rPr>
            </w:pPr>
            <w:r>
              <w:rPr>
                <w:rFonts w:ascii="Arial" w:cs="Arial" w:eastAsia="Arial" w:hAnsi="Arial"/>
                <w:sz w:val="14"/>
                <w:szCs w:val="14"/>
                <w:color w:val="auto"/>
              </w:rPr>
              <w:t>42.30</w:t>
            </w:r>
          </w:p>
        </w:tc>
        <w:tc>
          <w:tcPr>
            <w:tcW w:w="1400" w:type="dxa"/>
            <w:vAlign w:val="bottom"/>
            <w:tcBorders>
              <w:bottom w:val="single" w:sz="8" w:color="AFAFAF"/>
              <w:right w:val="single" w:sz="8" w:color="AFAFAF"/>
            </w:tcBorders>
          </w:tcPr>
          <w:p>
            <w:pPr>
              <w:jc w:val="right"/>
              <w:ind w:right="226"/>
              <w:spacing w:after="0" w:line="155" w:lineRule="exact"/>
              <w:rPr>
                <w:sz w:val="20"/>
                <w:szCs w:val="20"/>
                <w:color w:val="auto"/>
              </w:rPr>
            </w:pPr>
            <w:r>
              <w:rPr>
                <w:rFonts w:ascii="Arial" w:cs="Arial" w:eastAsia="Arial" w:hAnsi="Arial"/>
                <w:sz w:val="14"/>
                <w:szCs w:val="14"/>
                <w:color w:val="auto"/>
              </w:rPr>
              <w:t>8.82%</w:t>
            </w:r>
          </w:p>
        </w:tc>
        <w:tc>
          <w:tcPr>
            <w:tcW w:w="400" w:type="dxa"/>
            <w:vAlign w:val="bottom"/>
            <w:tcBorders>
              <w:bottom w:val="single" w:sz="8" w:color="AFAFAF"/>
            </w:tcBorders>
          </w:tcPr>
          <w:p>
            <w:pPr>
              <w:ind w:left="300"/>
              <w:spacing w:after="0" w:line="155"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FAFAF"/>
              <w:right w:val="single" w:sz="8" w:color="AFAFAF"/>
            </w:tcBorders>
          </w:tcPr>
          <w:p>
            <w:pPr>
              <w:jc w:val="right"/>
              <w:ind w:right="227"/>
              <w:spacing w:after="0" w:line="155" w:lineRule="exact"/>
              <w:rPr>
                <w:sz w:val="20"/>
                <w:szCs w:val="20"/>
                <w:color w:val="auto"/>
              </w:rPr>
            </w:pPr>
            <w:r>
              <w:rPr>
                <w:rFonts w:ascii="Arial" w:cs="Arial" w:eastAsia="Arial" w:hAnsi="Arial"/>
                <w:sz w:val="14"/>
                <w:szCs w:val="14"/>
                <w:color w:val="auto"/>
              </w:rPr>
              <w:t>3.73</w:t>
            </w:r>
          </w:p>
        </w:tc>
        <w:tc>
          <w:tcPr>
            <w:tcW w:w="2860" w:type="dxa"/>
            <w:vAlign w:val="bottom"/>
            <w:tcBorders>
              <w:bottom w:val="single" w:sz="8" w:color="AFAFAF"/>
            </w:tcBorders>
          </w:tcPr>
          <w:p>
            <w:pPr>
              <w:jc w:val="right"/>
              <w:ind w:right="246"/>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48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March 3, 2016</w:t>
            </w:r>
          </w:p>
        </w:tc>
        <w:tc>
          <w:tcPr>
            <w:tcW w:w="420" w:type="dxa"/>
            <w:vAlign w:val="bottom"/>
            <w:tcBorders>
              <w:bottom w:val="single" w:sz="8" w:color="D95A3B"/>
            </w:tcBorders>
          </w:tcPr>
          <w:p>
            <w:pPr>
              <w:ind w:left="280"/>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D95A3B"/>
              <w:right w:val="single" w:sz="8" w:color="AFAFAF"/>
            </w:tcBorders>
          </w:tcPr>
          <w:p>
            <w:pPr>
              <w:jc w:val="right"/>
              <w:ind w:right="227"/>
              <w:spacing w:after="0" w:line="155" w:lineRule="exact"/>
              <w:rPr>
                <w:sz w:val="20"/>
                <w:szCs w:val="20"/>
                <w:color w:val="auto"/>
              </w:rPr>
            </w:pPr>
            <w:r>
              <w:rPr>
                <w:rFonts w:ascii="Arial" w:cs="Arial" w:eastAsia="Arial" w:hAnsi="Arial"/>
                <w:sz w:val="14"/>
                <w:szCs w:val="14"/>
                <w:color w:val="auto"/>
              </w:rPr>
              <w:t>3.44</w:t>
            </w:r>
          </w:p>
        </w:tc>
        <w:tc>
          <w:tcPr>
            <w:tcW w:w="580" w:type="dxa"/>
            <w:vAlign w:val="bottom"/>
            <w:tcBorders>
              <w:bottom w:val="single" w:sz="8" w:color="D95A3B"/>
            </w:tcBorders>
          </w:tcPr>
          <w:p>
            <w:pPr>
              <w:jc w:val="right"/>
              <w:ind w:right="126"/>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D95A3B"/>
              <w:right w:val="single" w:sz="8" w:color="AFAFAF"/>
            </w:tcBorders>
          </w:tcPr>
          <w:p>
            <w:pPr>
              <w:jc w:val="right"/>
              <w:ind w:right="268"/>
              <w:spacing w:after="0" w:line="155" w:lineRule="exact"/>
              <w:rPr>
                <w:sz w:val="20"/>
                <w:szCs w:val="20"/>
                <w:color w:val="auto"/>
              </w:rPr>
            </w:pPr>
            <w:r>
              <w:rPr>
                <w:rFonts w:ascii="Arial" w:cs="Arial" w:eastAsia="Arial" w:hAnsi="Arial"/>
                <w:sz w:val="14"/>
                <w:szCs w:val="14"/>
                <w:color w:val="auto"/>
              </w:rPr>
              <w:t>36.63</w:t>
            </w:r>
          </w:p>
        </w:tc>
        <w:tc>
          <w:tcPr>
            <w:tcW w:w="1400" w:type="dxa"/>
            <w:vAlign w:val="bottom"/>
            <w:tcBorders>
              <w:bottom w:val="single" w:sz="8" w:color="D95A3B"/>
              <w:right w:val="single" w:sz="8" w:color="AFAFAF"/>
            </w:tcBorders>
          </w:tcPr>
          <w:p>
            <w:pPr>
              <w:jc w:val="right"/>
              <w:ind w:right="226"/>
              <w:spacing w:after="0" w:line="155" w:lineRule="exact"/>
              <w:rPr>
                <w:sz w:val="20"/>
                <w:szCs w:val="20"/>
                <w:color w:val="auto"/>
              </w:rPr>
            </w:pPr>
            <w:r>
              <w:rPr>
                <w:rFonts w:ascii="Arial" w:cs="Arial" w:eastAsia="Arial" w:hAnsi="Arial"/>
                <w:sz w:val="14"/>
                <w:szCs w:val="14"/>
                <w:color w:val="auto"/>
              </w:rPr>
              <w:t>9.39%</w:t>
            </w:r>
          </w:p>
        </w:tc>
        <w:tc>
          <w:tcPr>
            <w:tcW w:w="400" w:type="dxa"/>
            <w:vAlign w:val="bottom"/>
            <w:tcBorders>
              <w:bottom w:val="single" w:sz="8" w:color="D95A3B"/>
            </w:tcBorders>
          </w:tcPr>
          <w:p>
            <w:pPr>
              <w:ind w:left="300"/>
              <w:spacing w:after="0" w:line="155"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D95A3B"/>
              <w:right w:val="single" w:sz="8" w:color="AFAFAF"/>
            </w:tcBorders>
          </w:tcPr>
          <w:p>
            <w:pPr>
              <w:jc w:val="right"/>
              <w:ind w:right="227"/>
              <w:spacing w:after="0" w:line="155" w:lineRule="exact"/>
              <w:rPr>
                <w:sz w:val="20"/>
                <w:szCs w:val="20"/>
                <w:color w:val="auto"/>
              </w:rPr>
            </w:pPr>
            <w:r>
              <w:rPr>
                <w:rFonts w:ascii="Arial" w:cs="Arial" w:eastAsia="Arial" w:hAnsi="Arial"/>
                <w:sz w:val="14"/>
                <w:szCs w:val="14"/>
                <w:color w:val="auto"/>
              </w:rPr>
              <w:t>3.44</w:t>
            </w:r>
          </w:p>
        </w:tc>
        <w:tc>
          <w:tcPr>
            <w:tcW w:w="2860" w:type="dxa"/>
            <w:vAlign w:val="bottom"/>
            <w:tcBorders>
              <w:bottom w:val="single" w:sz="8" w:color="D95A3B"/>
            </w:tcBorders>
          </w:tcPr>
          <w:p>
            <w:pPr>
              <w:jc w:val="right"/>
              <w:ind w:right="246"/>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spacing w:after="0" w:line="257" w:lineRule="auto"/>
        <w:rPr>
          <w:sz w:val="20"/>
          <w:szCs w:val="20"/>
          <w:color w:val="auto"/>
        </w:rPr>
      </w:pPr>
      <w:r>
        <w:rPr>
          <w:rFonts w:ascii="Arial" w:cs="Arial" w:eastAsia="Arial" w:hAnsi="Arial"/>
          <w:sz w:val="13"/>
          <w:szCs w:val="13"/>
          <w:color w:val="auto"/>
        </w:rPr>
        <w:t>The number of stock options granted to each named executive officer that were outstanding as of December 31, 2018 is set forth in the “Incentive Plan Awards” subsection that follows later in this circular.</w:t>
      </w:r>
    </w:p>
    <w:p>
      <w:pPr>
        <w:spacing w:after="0" w:line="97" w:lineRule="exact"/>
        <w:rPr>
          <w:sz w:val="20"/>
          <w:szCs w:val="20"/>
          <w:color w:val="auto"/>
        </w:rPr>
      </w:pPr>
    </w:p>
    <w:p>
      <w:pPr>
        <w:ind w:left="540" w:hanging="176"/>
        <w:spacing w:after="0" w:line="247"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Annual cash incentive payouts are with respect to performance during 2018, 2017 and 2016. Payouts were made in the first quarter of 2019, 2018 and 2017, respectively, following certification of the achievement of applicable performance goals. Mr. Friedenberg’s 2018 annual cash incentive payout reflects the pro-rated amount that he earned in December 2018. Additional information is provided in the “Compensation Discussion and Analysis” section of this circular.</w:t>
      </w:r>
    </w:p>
    <w:p>
      <w:pPr>
        <w:spacing w:after="0" w:line="104" w:lineRule="exact"/>
        <w:rPr>
          <w:sz w:val="20"/>
          <w:szCs w:val="20"/>
          <w:color w:val="auto"/>
        </w:rPr>
      </w:pPr>
    </w:p>
    <w:p>
      <w:pPr>
        <w:ind w:left="540" w:right="400" w:hanging="176"/>
        <w:spacing w:after="0" w:line="257" w:lineRule="auto"/>
        <w:tabs>
          <w:tab w:leader="none" w:pos="5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Pension value represents the compensatory portion of the change in the accrued pension obligation. Additional information is provided in the “Pension and Other Retirement Benefits” section of this circular.</w:t>
      </w:r>
    </w:p>
    <w:p>
      <w:pPr>
        <w:spacing w:after="0" w:line="97" w:lineRule="exact"/>
        <w:rPr>
          <w:sz w:val="20"/>
          <w:szCs w:val="20"/>
          <w:color w:val="auto"/>
        </w:rPr>
      </w:pPr>
    </w:p>
    <w:p>
      <w:pPr>
        <w:ind w:left="540" w:right="20" w:hanging="176"/>
        <w:spacing w:after="0" w:line="237" w:lineRule="auto"/>
        <w:tabs>
          <w:tab w:leader="none" w:pos="5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We provided Messrs. Smith and Bello with home sale assistance in connection with their relocations to Toronto in 2017. Messrs. Smith and Bello were unable to sell their homes in the United States after making reasonable efforts and they subsequently sold their homes to a third party relocation firm engaged by our company based on an independently appraised value. We also provided Messrs. Smith and Bello with home purchase assistance for applicable closing costs, commissions and related taxes in connection with each of them purchasing a residence in the Toronto area. The amounts reflected in this column for 2017 for these one-time benefits are $1,044,962 for Mr. Smith and $549,421 for</w:t>
      </w:r>
    </w:p>
    <w:p>
      <w:pPr>
        <w:spacing w:after="0" w:line="1" w:lineRule="exact"/>
        <w:rPr>
          <w:rFonts w:ascii="Arial" w:cs="Arial" w:eastAsia="Arial" w:hAnsi="Arial"/>
          <w:sz w:val="13"/>
          <w:szCs w:val="13"/>
          <w:color w:val="auto"/>
        </w:rPr>
      </w:pPr>
    </w:p>
    <w:p>
      <w:pPr>
        <w:ind w:left="540" w:right="460"/>
        <w:spacing w:after="0" w:line="257" w:lineRule="auto"/>
        <w:rPr>
          <w:rFonts w:ascii="Arial" w:cs="Arial" w:eastAsia="Arial" w:hAnsi="Arial"/>
          <w:sz w:val="13"/>
          <w:szCs w:val="13"/>
          <w:color w:val="auto"/>
        </w:rPr>
      </w:pPr>
      <w:r>
        <w:rPr>
          <w:rFonts w:ascii="Arial" w:cs="Arial" w:eastAsia="Arial" w:hAnsi="Arial"/>
          <w:sz w:val="13"/>
          <w:szCs w:val="13"/>
          <w:color w:val="auto"/>
        </w:rPr>
        <w:t>Mr. Bello and include associated gross-ups. These amounts for Messrs. Smith and Bello include the difference between the relocation firm’s purchase price and the amount received from the subsequent sale of their homes at a loss, net of all applicable costs and expenses.</w:t>
      </w:r>
    </w:p>
    <w:p>
      <w:pPr>
        <w:spacing w:after="0" w:line="56" w:lineRule="exact"/>
        <w:rPr>
          <w:rFonts w:ascii="Arial" w:cs="Arial" w:eastAsia="Arial" w:hAnsi="Arial"/>
          <w:sz w:val="13"/>
          <w:szCs w:val="13"/>
          <w:color w:val="auto"/>
        </w:rPr>
      </w:pPr>
    </w:p>
    <w:p>
      <w:pPr>
        <w:ind w:left="560"/>
        <w:spacing w:after="0"/>
        <w:rPr>
          <w:rFonts w:ascii="Arial" w:cs="Arial" w:eastAsia="Arial" w:hAnsi="Arial"/>
          <w:sz w:val="13"/>
          <w:szCs w:val="13"/>
          <w:color w:val="auto"/>
        </w:rPr>
      </w:pPr>
      <w:r>
        <w:rPr>
          <w:rFonts w:ascii="Arial" w:cs="Arial" w:eastAsia="Arial" w:hAnsi="Arial"/>
          <w:sz w:val="13"/>
          <w:szCs w:val="13"/>
          <w:color w:val="auto"/>
        </w:rPr>
        <w:t>All other compensation for 2018 for our named executive officers also includes the following perquisites:</w:t>
      </w:r>
    </w:p>
    <w:p>
      <w:pPr>
        <w:spacing w:after="0" w:line="118" w:lineRule="exact"/>
        <w:rPr>
          <w:rFonts w:ascii="Arial" w:cs="Arial" w:eastAsia="Arial" w:hAnsi="Arial"/>
          <w:sz w:val="13"/>
          <w:szCs w:val="13"/>
          <w:color w:val="auto"/>
        </w:rPr>
      </w:pPr>
    </w:p>
    <w:p>
      <w:pPr>
        <w:ind w:left="760" w:hanging="214"/>
        <w:spacing w:after="0"/>
        <w:tabs>
          <w:tab w:leader="none" w:pos="760" w:val="left"/>
        </w:tabs>
        <w:numPr>
          <w:ilvl w:val="1"/>
          <w:numId w:val="48"/>
        </w:numPr>
        <w:rPr>
          <w:rFonts w:ascii="Arial" w:cs="Arial" w:eastAsia="Arial" w:hAnsi="Arial"/>
          <w:sz w:val="11"/>
          <w:szCs w:val="11"/>
          <w:color w:val="auto"/>
        </w:rPr>
      </w:pPr>
      <w:r>
        <w:rPr>
          <w:rFonts w:ascii="Arial" w:cs="Arial" w:eastAsia="Arial" w:hAnsi="Arial"/>
          <w:sz w:val="13"/>
          <w:szCs w:val="13"/>
          <w:color w:val="auto"/>
        </w:rPr>
        <w:t>For Mr. Smith, tax and financial planning advice of $20,605;</w:t>
      </w:r>
    </w:p>
    <w:p>
      <w:pPr>
        <w:ind w:left="760" w:hanging="214"/>
        <w:spacing w:after="0" w:line="237" w:lineRule="auto"/>
        <w:tabs>
          <w:tab w:leader="none" w:pos="760" w:val="left"/>
        </w:tabs>
        <w:numPr>
          <w:ilvl w:val="1"/>
          <w:numId w:val="48"/>
        </w:numPr>
        <w:rPr>
          <w:rFonts w:ascii="Arial" w:cs="Arial" w:eastAsia="Arial" w:hAnsi="Arial"/>
          <w:sz w:val="11"/>
          <w:szCs w:val="11"/>
          <w:color w:val="auto"/>
        </w:rPr>
      </w:pPr>
      <w:r>
        <w:rPr>
          <w:rFonts w:ascii="Arial" w:cs="Arial" w:eastAsia="Arial" w:hAnsi="Arial"/>
          <w:sz w:val="13"/>
          <w:szCs w:val="13"/>
          <w:color w:val="auto"/>
        </w:rPr>
        <w:t>For Mr. Bello, executive physicals of $10,133 and tax and financial planning advice of $17,605;</w:t>
      </w:r>
    </w:p>
    <w:p>
      <w:pPr>
        <w:ind w:left="760" w:hanging="214"/>
        <w:spacing w:after="0" w:line="237" w:lineRule="auto"/>
        <w:tabs>
          <w:tab w:leader="none" w:pos="760" w:val="left"/>
        </w:tabs>
        <w:numPr>
          <w:ilvl w:val="1"/>
          <w:numId w:val="48"/>
        </w:numPr>
        <w:rPr>
          <w:rFonts w:ascii="Arial" w:cs="Arial" w:eastAsia="Arial" w:hAnsi="Arial"/>
          <w:sz w:val="11"/>
          <w:szCs w:val="11"/>
          <w:color w:val="auto"/>
        </w:rPr>
      </w:pPr>
      <w:r>
        <w:rPr>
          <w:rFonts w:ascii="Arial" w:cs="Arial" w:eastAsia="Arial" w:hAnsi="Arial"/>
          <w:sz w:val="13"/>
          <w:szCs w:val="13"/>
          <w:color w:val="auto"/>
        </w:rPr>
        <w:t>For Mr. Peccarelli, tax and financial planning advice of $21,105; and</w:t>
      </w:r>
    </w:p>
    <w:p>
      <w:pPr>
        <w:ind w:left="760" w:hanging="214"/>
        <w:spacing w:after="0"/>
        <w:tabs>
          <w:tab w:leader="none" w:pos="760" w:val="left"/>
        </w:tabs>
        <w:numPr>
          <w:ilvl w:val="1"/>
          <w:numId w:val="48"/>
        </w:numPr>
        <w:rPr>
          <w:rFonts w:ascii="Arial" w:cs="Arial" w:eastAsia="Arial" w:hAnsi="Arial"/>
          <w:sz w:val="11"/>
          <w:szCs w:val="11"/>
          <w:color w:val="auto"/>
        </w:rPr>
      </w:pPr>
      <w:r>
        <w:rPr>
          <w:rFonts w:ascii="Arial" w:cs="Arial" w:eastAsia="Arial" w:hAnsi="Arial"/>
          <w:sz w:val="13"/>
          <w:szCs w:val="13"/>
          <w:color w:val="auto"/>
        </w:rPr>
        <w:t>For Mr. Masterson, tax and financial planning advice of $26,335.</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Mr. Friedenberg’s amount includes a special cash sign-on bonus of $500,000 in connection with joining our company in December 2018.</w:t>
      </w:r>
    </w:p>
    <w:p>
      <w:pPr>
        <w:spacing w:after="0" w:line="66" w:lineRule="exact"/>
        <w:rPr>
          <w:sz w:val="20"/>
          <w:szCs w:val="20"/>
          <w:color w:val="auto"/>
        </w:rPr>
      </w:pPr>
    </w:p>
    <w:p>
      <w:pPr>
        <w:ind w:left="340" w:right="360"/>
        <w:spacing w:after="0" w:line="257" w:lineRule="auto"/>
        <w:rPr>
          <w:sz w:val="20"/>
          <w:szCs w:val="20"/>
          <w:color w:val="auto"/>
        </w:rPr>
      </w:pPr>
      <w:r>
        <w:rPr>
          <w:rFonts w:ascii="Arial" w:cs="Arial" w:eastAsia="Arial" w:hAnsi="Arial"/>
          <w:sz w:val="13"/>
          <w:szCs w:val="13"/>
          <w:color w:val="auto"/>
        </w:rPr>
        <w:t>All other compensation for 2016 for Messrs. Smith and Bello also includes company matching contributions under the U.S. employees’ 401(k) retirement savings plan. Additional information is provided in the “Pension and other Retirement Benefits” section of this circular.</w:t>
      </w:r>
    </w:p>
    <w:p>
      <w:pPr>
        <w:spacing w:after="0" w:line="57" w:lineRule="exact"/>
        <w:rPr>
          <w:sz w:val="20"/>
          <w:szCs w:val="20"/>
          <w:color w:val="auto"/>
        </w:rPr>
      </w:pPr>
    </w:p>
    <w:p>
      <w:pPr>
        <w:ind w:left="340" w:right="40"/>
        <w:spacing w:after="0" w:line="257" w:lineRule="auto"/>
        <w:rPr>
          <w:sz w:val="20"/>
          <w:szCs w:val="20"/>
          <w:color w:val="auto"/>
        </w:rPr>
      </w:pPr>
      <w:r>
        <w:rPr>
          <w:rFonts w:ascii="Arial" w:cs="Arial" w:eastAsia="Arial" w:hAnsi="Arial"/>
          <w:sz w:val="13"/>
          <w:szCs w:val="13"/>
          <w:color w:val="auto"/>
        </w:rPr>
        <w:t>The value of DSU and RSU dividend equivalents credited or paid to named executive officers is not included within “All other compensation” as the right to receive dividends has been factored into the reported grant date fair value of the awards.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Mr. Smith does not receive additional compensation for serving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127635</wp:posOffset>
            </wp:positionV>
            <wp:extent cx="697357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2"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72</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Incentive Plan Awards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Outstanding Share-Based Awards and Option-Based Awards</w:t>
      </w:r>
    </w:p>
    <w:p>
      <w:pPr>
        <w:spacing w:after="0" w:line="35" w:lineRule="exact"/>
        <w:rPr>
          <w:sz w:val="20"/>
          <w:szCs w:val="20"/>
          <w:color w:val="auto"/>
        </w:rPr>
      </w:pPr>
    </w:p>
    <w:p>
      <w:pPr>
        <w:ind w:left="220" w:right="80"/>
        <w:spacing w:after="0" w:line="236" w:lineRule="auto"/>
        <w:rPr>
          <w:sz w:val="20"/>
          <w:szCs w:val="20"/>
          <w:color w:val="auto"/>
        </w:rPr>
      </w:pPr>
      <w:r>
        <w:rPr>
          <w:rFonts w:ascii="Arial" w:cs="Arial" w:eastAsia="Arial" w:hAnsi="Arial"/>
          <w:sz w:val="18"/>
          <w:szCs w:val="18"/>
          <w:color w:val="auto"/>
        </w:rPr>
        <w:t>The following table sets forth certain information regarding outstanding stock option and RSU awards granted to our named executive officers as of December 31, 2018. The value of unexercised in-the-money options is based on the difference between the closing price of our common shares on the NYSE on December 31, 2018 and the exercise price of the applicable option. The market or payout value of share-based awards that have not vested is based on the total of TRSUs and the target amount of PRSUs granted for long-term incentive awards, using the closing price of our common shares on the NYSE on December 31, 2018. PRSU awards may or may not pay out, depending on our company’s performance against targets. For more information regarding these awards, please see the “Compensation Discussion and Analysis”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69850</wp:posOffset>
            </wp:positionV>
            <wp:extent cx="8255" cy="8718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71855"/>
                    </a:xfrm>
                    <a:prstGeom prst="rect">
                      <a:avLst/>
                    </a:prstGeom>
                    <a:noFill/>
                  </pic:spPr>
                </pic:pic>
              </a:graphicData>
            </a:graphic>
          </wp:anchor>
        </w:drawing>
      </w:r>
    </w:p>
    <w:p>
      <w:pPr>
        <w:spacing w:after="0" w:line="90"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1700" w:type="dxa"/>
            <w:vAlign w:val="bottom"/>
          </w:tcPr>
          <w:p>
            <w:pPr>
              <w:spacing w:after="0"/>
              <w:rPr>
                <w:sz w:val="16"/>
                <w:szCs w:val="16"/>
                <w:color w:val="auto"/>
              </w:rPr>
            </w:pPr>
          </w:p>
        </w:tc>
        <w:tc>
          <w:tcPr>
            <w:tcW w:w="1160" w:type="dxa"/>
            <w:vAlign w:val="bottom"/>
            <w:tcBorders>
              <w:right w:val="single" w:sz="8" w:color="E5E5E5"/>
            </w:tcBorders>
            <w:shd w:val="clear" w:color="auto" w:fill="E5E5E5"/>
          </w:tcPr>
          <w:p>
            <w:pPr>
              <w:spacing w:after="0"/>
              <w:rPr>
                <w:sz w:val="16"/>
                <w:szCs w:val="16"/>
                <w:color w:val="auto"/>
              </w:rPr>
            </w:pPr>
          </w:p>
        </w:tc>
        <w:tc>
          <w:tcPr>
            <w:tcW w:w="2760" w:type="dxa"/>
            <w:vAlign w:val="bottom"/>
            <w:tcBorders>
              <w:right w:val="single" w:sz="8" w:color="E5E5E5"/>
            </w:tcBorders>
            <w:gridSpan w:val="2"/>
            <w:shd w:val="clear" w:color="auto" w:fill="E5E5E5"/>
          </w:tcPr>
          <w:p>
            <w:pPr>
              <w:jc w:val="right"/>
              <w:ind w:right="488"/>
              <w:spacing w:after="0"/>
              <w:rPr>
                <w:sz w:val="20"/>
                <w:szCs w:val="20"/>
                <w:color w:val="auto"/>
              </w:rPr>
            </w:pPr>
            <w:r>
              <w:rPr>
                <w:rFonts w:ascii="Arial" w:cs="Arial" w:eastAsia="Arial" w:hAnsi="Arial"/>
                <w:sz w:val="15"/>
                <w:szCs w:val="15"/>
                <w:b w:val="1"/>
                <w:bCs w:val="1"/>
                <w:color w:val="auto"/>
              </w:rPr>
              <w:t>Option-Based Awards</w:t>
            </w:r>
          </w:p>
        </w:tc>
        <w:tc>
          <w:tcPr>
            <w:tcW w:w="1240" w:type="dxa"/>
            <w:vAlign w:val="bottom"/>
            <w:tcBorders>
              <w:right w:val="single" w:sz="8" w:color="D8D8D8"/>
            </w:tcBorders>
            <w:shd w:val="clear" w:color="auto" w:fill="E5E5E5"/>
          </w:tcPr>
          <w:p>
            <w:pPr>
              <w:spacing w:after="0"/>
              <w:rPr>
                <w:sz w:val="16"/>
                <w:szCs w:val="16"/>
                <w:color w:val="auto"/>
              </w:rPr>
            </w:pPr>
          </w:p>
        </w:tc>
        <w:tc>
          <w:tcPr>
            <w:tcW w:w="1240" w:type="dxa"/>
            <w:vAlign w:val="bottom"/>
            <w:shd w:val="clear" w:color="auto" w:fill="E5E5E5"/>
          </w:tcPr>
          <w:p>
            <w:pPr>
              <w:spacing w:after="0"/>
              <w:rPr>
                <w:sz w:val="16"/>
                <w:szCs w:val="16"/>
                <w:color w:val="auto"/>
              </w:rPr>
            </w:pPr>
          </w:p>
        </w:tc>
        <w:tc>
          <w:tcPr>
            <w:tcW w:w="1580" w:type="dxa"/>
            <w:vAlign w:val="bottom"/>
            <w:gridSpan w:val="3"/>
            <w:shd w:val="clear" w:color="auto" w:fill="E5E5E5"/>
          </w:tcPr>
          <w:p>
            <w:pPr>
              <w:ind w:left="40"/>
              <w:spacing w:after="0"/>
              <w:rPr>
                <w:sz w:val="20"/>
                <w:szCs w:val="20"/>
                <w:color w:val="auto"/>
              </w:rPr>
            </w:pPr>
            <w:r>
              <w:rPr>
                <w:rFonts w:ascii="Arial" w:cs="Arial" w:eastAsia="Arial" w:hAnsi="Arial"/>
                <w:sz w:val="15"/>
                <w:szCs w:val="15"/>
                <w:b w:val="1"/>
                <w:bCs w:val="1"/>
                <w:color w:val="auto"/>
              </w:rPr>
              <w:t>Share-Based Awards</w:t>
            </w:r>
          </w:p>
        </w:tc>
        <w:tc>
          <w:tcPr>
            <w:tcW w:w="13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CCCC"/>
          </w:tcPr>
          <w:p>
            <w:pPr>
              <w:spacing w:after="0"/>
              <w:rPr>
                <w:sz w:val="14"/>
                <w:szCs w:val="14"/>
                <w:color w:val="auto"/>
              </w:rPr>
            </w:pPr>
          </w:p>
        </w:tc>
        <w:tc>
          <w:tcPr>
            <w:tcW w:w="1160" w:type="dxa"/>
            <w:vAlign w:val="bottom"/>
            <w:tcBorders>
              <w:right w:val="single" w:sz="8" w:color="CCCCCC"/>
            </w:tcBorders>
            <w:shd w:val="clear" w:color="auto" w:fill="CCCCCC"/>
          </w:tcPr>
          <w:p>
            <w:pPr>
              <w:spacing w:after="0"/>
              <w:rPr>
                <w:sz w:val="14"/>
                <w:szCs w:val="14"/>
                <w:color w:val="auto"/>
              </w:rPr>
            </w:pPr>
          </w:p>
        </w:tc>
        <w:tc>
          <w:tcPr>
            <w:tcW w:w="1400" w:type="dxa"/>
            <w:vAlign w:val="bottom"/>
            <w:tcBorders>
              <w:right w:val="single" w:sz="8" w:color="CCCCCC"/>
            </w:tcBorders>
            <w:shd w:val="clear" w:color="auto" w:fill="CCCCCC"/>
          </w:tcPr>
          <w:p>
            <w:pPr>
              <w:spacing w:after="0"/>
              <w:rPr>
                <w:sz w:val="14"/>
                <w:szCs w:val="14"/>
                <w:color w:val="auto"/>
              </w:rPr>
            </w:pPr>
          </w:p>
        </w:tc>
        <w:tc>
          <w:tcPr>
            <w:tcW w:w="1360" w:type="dxa"/>
            <w:vAlign w:val="bottom"/>
            <w:tcBorders>
              <w:right w:val="single" w:sz="8" w:color="CCCCCC"/>
            </w:tcBorders>
            <w:shd w:val="clear" w:color="auto" w:fill="CCCCCC"/>
          </w:tcPr>
          <w:p>
            <w:pPr>
              <w:spacing w:after="0"/>
              <w:rPr>
                <w:sz w:val="14"/>
                <w:szCs w:val="14"/>
                <w:color w:val="auto"/>
              </w:rPr>
            </w:pPr>
          </w:p>
        </w:tc>
        <w:tc>
          <w:tcPr>
            <w:tcW w:w="1240" w:type="dxa"/>
            <w:vAlign w:val="bottom"/>
            <w:tcBorders>
              <w:right w:val="single" w:sz="8" w:color="D8D8D8"/>
            </w:tcBorders>
            <w:shd w:val="clear" w:color="auto" w:fill="CCCCCC"/>
          </w:tcPr>
          <w:p>
            <w:pPr>
              <w:spacing w:after="0"/>
              <w:rPr>
                <w:sz w:val="14"/>
                <w:szCs w:val="14"/>
                <w:color w:val="auto"/>
              </w:rPr>
            </w:pPr>
          </w:p>
        </w:tc>
        <w:tc>
          <w:tcPr>
            <w:tcW w:w="1240" w:type="dxa"/>
            <w:vAlign w:val="bottom"/>
            <w:shd w:val="clear" w:color="auto" w:fill="CCCCCC"/>
          </w:tcPr>
          <w:p>
            <w:pPr>
              <w:spacing w:after="0"/>
              <w:rPr>
                <w:sz w:val="14"/>
                <w:szCs w:val="14"/>
                <w:color w:val="auto"/>
              </w:rPr>
            </w:pPr>
          </w:p>
        </w:tc>
        <w:tc>
          <w:tcPr>
            <w:tcW w:w="140" w:type="dxa"/>
            <w:vAlign w:val="bottom"/>
            <w:tcBorders>
              <w:right w:val="single" w:sz="8" w:color="CCCCCC"/>
            </w:tcBorders>
            <w:shd w:val="clear" w:color="auto" w:fill="CCCCCC"/>
          </w:tcPr>
          <w:p>
            <w:pPr>
              <w:spacing w:after="0"/>
              <w:rPr>
                <w:sz w:val="14"/>
                <w:szCs w:val="14"/>
                <w:color w:val="auto"/>
              </w:rPr>
            </w:pPr>
          </w:p>
        </w:tc>
        <w:tc>
          <w:tcPr>
            <w:tcW w:w="1380" w:type="dxa"/>
            <w:vAlign w:val="bottom"/>
            <w:tcBorders>
              <w:right w:val="single" w:sz="8" w:color="CCCCCC"/>
            </w:tcBorders>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1300" w:type="dxa"/>
            <w:vAlign w:val="bottom"/>
            <w:shd w:val="clear" w:color="auto" w:fill="CCCCCC"/>
          </w:tcPr>
          <w:p>
            <w:pPr>
              <w:jc w:val="right"/>
              <w:ind w:right="46"/>
              <w:spacing w:after="0" w:line="167" w:lineRule="exact"/>
              <w:rPr>
                <w:sz w:val="20"/>
                <w:szCs w:val="20"/>
                <w:color w:val="auto"/>
              </w:rPr>
            </w:pPr>
            <w:r>
              <w:rPr>
                <w:rFonts w:ascii="Arial" w:cs="Arial" w:eastAsia="Arial" w:hAnsi="Arial"/>
                <w:sz w:val="15"/>
                <w:szCs w:val="15"/>
                <w:b w:val="1"/>
                <w:bCs w:val="1"/>
                <w:color w:val="auto"/>
              </w:rPr>
              <w:t>Market or</w:t>
            </w:r>
          </w:p>
        </w:tc>
        <w:tc>
          <w:tcPr>
            <w:tcW w:w="0" w:type="dxa"/>
            <w:vAlign w:val="bottom"/>
          </w:tcPr>
          <w:p>
            <w:pPr>
              <w:spacing w:after="0"/>
              <w:rPr>
                <w:sz w:val="1"/>
                <w:szCs w:val="1"/>
                <w:color w:val="auto"/>
              </w:rPr>
            </w:pPr>
          </w:p>
        </w:tc>
      </w:tr>
      <w:tr>
        <w:trPr>
          <w:trHeight w:val="169"/>
        </w:trPr>
        <w:tc>
          <w:tcPr>
            <w:tcW w:w="1700" w:type="dxa"/>
            <w:vAlign w:val="bottom"/>
            <w:shd w:val="clear" w:color="auto" w:fill="CCCCCC"/>
          </w:tcPr>
          <w:p>
            <w:pPr>
              <w:spacing w:after="0"/>
              <w:rPr>
                <w:sz w:val="14"/>
                <w:szCs w:val="14"/>
                <w:color w:val="auto"/>
              </w:rPr>
            </w:pPr>
          </w:p>
        </w:tc>
        <w:tc>
          <w:tcPr>
            <w:tcW w:w="1160" w:type="dxa"/>
            <w:vAlign w:val="bottom"/>
            <w:tcBorders>
              <w:right w:val="single" w:sz="8" w:color="CCCCCC"/>
            </w:tcBorders>
            <w:vMerge w:val="restart"/>
            <w:shd w:val="clear" w:color="auto" w:fill="CCCCCC"/>
          </w:tcPr>
          <w:p>
            <w:pPr>
              <w:jc w:val="right"/>
              <w:ind w:right="67"/>
              <w:spacing w:after="0"/>
              <w:rPr>
                <w:sz w:val="20"/>
                <w:szCs w:val="20"/>
                <w:color w:val="auto"/>
              </w:rPr>
            </w:pPr>
            <w:r>
              <w:rPr>
                <w:rFonts w:ascii="Arial" w:cs="Arial" w:eastAsia="Arial" w:hAnsi="Arial"/>
                <w:sz w:val="15"/>
                <w:szCs w:val="15"/>
                <w:b w:val="1"/>
                <w:bCs w:val="1"/>
                <w:color w:val="auto"/>
              </w:rPr>
              <w:t>Number of</w:t>
            </w:r>
          </w:p>
        </w:tc>
        <w:tc>
          <w:tcPr>
            <w:tcW w:w="1400" w:type="dxa"/>
            <w:vAlign w:val="bottom"/>
            <w:tcBorders>
              <w:right w:val="single" w:sz="8" w:color="CCCCCC"/>
            </w:tcBorders>
            <w:shd w:val="clear" w:color="auto" w:fill="CCCCCC"/>
          </w:tcPr>
          <w:p>
            <w:pPr>
              <w:spacing w:after="0"/>
              <w:rPr>
                <w:sz w:val="14"/>
                <w:szCs w:val="14"/>
                <w:color w:val="auto"/>
              </w:rPr>
            </w:pPr>
          </w:p>
        </w:tc>
        <w:tc>
          <w:tcPr>
            <w:tcW w:w="1360" w:type="dxa"/>
            <w:vAlign w:val="bottom"/>
            <w:tcBorders>
              <w:right w:val="single" w:sz="8" w:color="CCCCCC"/>
            </w:tcBorders>
            <w:shd w:val="clear" w:color="auto" w:fill="CCCCCC"/>
          </w:tcPr>
          <w:p>
            <w:pPr>
              <w:spacing w:after="0"/>
              <w:rPr>
                <w:sz w:val="14"/>
                <w:szCs w:val="14"/>
                <w:color w:val="auto"/>
              </w:rPr>
            </w:pPr>
          </w:p>
        </w:tc>
        <w:tc>
          <w:tcPr>
            <w:tcW w:w="1240" w:type="dxa"/>
            <w:vAlign w:val="bottom"/>
            <w:tcBorders>
              <w:right w:val="single" w:sz="8" w:color="D8D8D8"/>
            </w:tcBorders>
            <w:shd w:val="clear" w:color="auto" w:fill="CCCCCC"/>
          </w:tcPr>
          <w:p>
            <w:pPr>
              <w:spacing w:after="0"/>
              <w:rPr>
                <w:sz w:val="14"/>
                <w:szCs w:val="14"/>
                <w:color w:val="auto"/>
              </w:rPr>
            </w:pPr>
          </w:p>
        </w:tc>
        <w:tc>
          <w:tcPr>
            <w:tcW w:w="1240" w:type="dxa"/>
            <w:vAlign w:val="bottom"/>
            <w:vMerge w:val="restart"/>
            <w:shd w:val="clear" w:color="auto" w:fill="CCCCCC"/>
          </w:tcPr>
          <w:p>
            <w:pPr>
              <w:jc w:val="right"/>
              <w:spacing w:after="0"/>
              <w:rPr>
                <w:sz w:val="20"/>
                <w:szCs w:val="20"/>
                <w:color w:val="auto"/>
              </w:rPr>
            </w:pPr>
            <w:r>
              <w:rPr>
                <w:rFonts w:ascii="Arial" w:cs="Arial" w:eastAsia="Arial" w:hAnsi="Arial"/>
                <w:sz w:val="15"/>
                <w:szCs w:val="15"/>
                <w:b w:val="1"/>
                <w:bCs w:val="1"/>
                <w:color w:val="auto"/>
              </w:rPr>
              <w:t>Number of</w:t>
            </w:r>
          </w:p>
        </w:tc>
        <w:tc>
          <w:tcPr>
            <w:tcW w:w="140" w:type="dxa"/>
            <w:vAlign w:val="bottom"/>
            <w:tcBorders>
              <w:right w:val="single" w:sz="8" w:color="CCCCCC"/>
            </w:tcBorders>
            <w:shd w:val="clear" w:color="auto" w:fill="CCCCCC"/>
          </w:tcPr>
          <w:p>
            <w:pPr>
              <w:spacing w:after="0"/>
              <w:rPr>
                <w:sz w:val="14"/>
                <w:szCs w:val="14"/>
                <w:color w:val="auto"/>
              </w:rPr>
            </w:pPr>
          </w:p>
        </w:tc>
        <w:tc>
          <w:tcPr>
            <w:tcW w:w="1440" w:type="dxa"/>
            <w:vAlign w:val="bottom"/>
            <w:gridSpan w:val="2"/>
            <w:shd w:val="clear" w:color="auto" w:fill="CCCCCC"/>
          </w:tcPr>
          <w:p>
            <w:pPr>
              <w:jc w:val="right"/>
              <w:ind w:right="220"/>
              <w:spacing w:after="0" w:line="169" w:lineRule="exact"/>
              <w:rPr>
                <w:sz w:val="20"/>
                <w:szCs w:val="20"/>
                <w:color w:val="auto"/>
              </w:rPr>
            </w:pPr>
            <w:r>
              <w:rPr>
                <w:rFonts w:ascii="Arial" w:cs="Arial" w:eastAsia="Arial" w:hAnsi="Arial"/>
                <w:sz w:val="15"/>
                <w:szCs w:val="15"/>
                <w:b w:val="1"/>
                <w:bCs w:val="1"/>
                <w:color w:val="auto"/>
              </w:rPr>
              <w:t>Market or</w:t>
            </w:r>
          </w:p>
        </w:tc>
        <w:tc>
          <w:tcPr>
            <w:tcW w:w="1300" w:type="dxa"/>
            <w:vAlign w:val="bottom"/>
            <w:shd w:val="clear" w:color="auto" w:fill="CCCCCC"/>
          </w:tcPr>
          <w:p>
            <w:pPr>
              <w:jc w:val="right"/>
              <w:ind w:right="46"/>
              <w:spacing w:after="0" w:line="169" w:lineRule="exact"/>
              <w:rPr>
                <w:sz w:val="20"/>
                <w:szCs w:val="20"/>
                <w:color w:val="auto"/>
              </w:rPr>
            </w:pPr>
            <w:r>
              <w:rPr>
                <w:rFonts w:ascii="Arial" w:cs="Arial" w:eastAsia="Arial" w:hAnsi="Arial"/>
                <w:sz w:val="15"/>
                <w:szCs w:val="15"/>
                <w:b w:val="1"/>
                <w:bCs w:val="1"/>
                <w:color w:val="auto"/>
              </w:rPr>
              <w:t>Payout Value of</w:t>
            </w:r>
          </w:p>
        </w:tc>
        <w:tc>
          <w:tcPr>
            <w:tcW w:w="0" w:type="dxa"/>
            <w:vAlign w:val="bottom"/>
          </w:tcPr>
          <w:p>
            <w:pPr>
              <w:spacing w:after="0"/>
              <w:rPr>
                <w:sz w:val="1"/>
                <w:szCs w:val="1"/>
                <w:color w:val="auto"/>
              </w:rPr>
            </w:pPr>
          </w:p>
        </w:tc>
      </w:tr>
      <w:tr>
        <w:trPr>
          <w:trHeight w:val="162"/>
        </w:trPr>
        <w:tc>
          <w:tcPr>
            <w:tcW w:w="1700" w:type="dxa"/>
            <w:vAlign w:val="bottom"/>
            <w:shd w:val="clear" w:color="auto" w:fill="CCCCCC"/>
          </w:tcPr>
          <w:p>
            <w:pPr>
              <w:spacing w:after="0"/>
              <w:rPr>
                <w:sz w:val="14"/>
                <w:szCs w:val="14"/>
                <w:color w:val="auto"/>
              </w:rPr>
            </w:pPr>
          </w:p>
        </w:tc>
        <w:tc>
          <w:tcPr>
            <w:tcW w:w="1160" w:type="dxa"/>
            <w:vAlign w:val="bottom"/>
            <w:tcBorders>
              <w:right w:val="single" w:sz="8" w:color="CCCCCC"/>
            </w:tcBorders>
            <w:vMerge w:val="continue"/>
            <w:shd w:val="clear" w:color="auto" w:fill="CCCCCC"/>
          </w:tcPr>
          <w:p>
            <w:pPr>
              <w:spacing w:after="0"/>
              <w:rPr>
                <w:sz w:val="14"/>
                <w:szCs w:val="14"/>
                <w:color w:val="auto"/>
              </w:rPr>
            </w:pPr>
          </w:p>
        </w:tc>
        <w:tc>
          <w:tcPr>
            <w:tcW w:w="1400" w:type="dxa"/>
            <w:vAlign w:val="bottom"/>
            <w:tcBorders>
              <w:right w:val="single" w:sz="8" w:color="CCCCCC"/>
            </w:tcBorders>
            <w:shd w:val="clear" w:color="auto" w:fill="CCCCCC"/>
          </w:tcPr>
          <w:p>
            <w:pPr>
              <w:spacing w:after="0"/>
              <w:rPr>
                <w:sz w:val="14"/>
                <w:szCs w:val="14"/>
                <w:color w:val="auto"/>
              </w:rPr>
            </w:pPr>
          </w:p>
        </w:tc>
        <w:tc>
          <w:tcPr>
            <w:tcW w:w="1360" w:type="dxa"/>
            <w:vAlign w:val="bottom"/>
            <w:tcBorders>
              <w:right w:val="single" w:sz="8" w:color="CCCCCC"/>
            </w:tcBorders>
            <w:shd w:val="clear" w:color="auto" w:fill="CCCCCC"/>
          </w:tcPr>
          <w:p>
            <w:pPr>
              <w:spacing w:after="0"/>
              <w:rPr>
                <w:sz w:val="14"/>
                <w:szCs w:val="14"/>
                <w:color w:val="auto"/>
              </w:rPr>
            </w:pPr>
          </w:p>
        </w:tc>
        <w:tc>
          <w:tcPr>
            <w:tcW w:w="1240" w:type="dxa"/>
            <w:vAlign w:val="bottom"/>
            <w:tcBorders>
              <w:right w:val="single" w:sz="8" w:color="D8D8D8"/>
            </w:tcBorders>
            <w:vMerge w:val="restart"/>
            <w:shd w:val="clear" w:color="auto" w:fill="CCCCCC"/>
          </w:tcPr>
          <w:p>
            <w:pPr>
              <w:jc w:val="right"/>
              <w:ind w:right="88"/>
              <w:spacing w:after="0"/>
              <w:rPr>
                <w:sz w:val="20"/>
                <w:szCs w:val="20"/>
                <w:color w:val="auto"/>
              </w:rPr>
            </w:pPr>
            <w:r>
              <w:rPr>
                <w:rFonts w:ascii="Arial" w:cs="Arial" w:eastAsia="Arial" w:hAnsi="Arial"/>
                <w:sz w:val="15"/>
                <w:szCs w:val="15"/>
                <w:b w:val="1"/>
                <w:bCs w:val="1"/>
                <w:color w:val="auto"/>
              </w:rPr>
              <w:t>Value of</w:t>
            </w:r>
          </w:p>
        </w:tc>
        <w:tc>
          <w:tcPr>
            <w:tcW w:w="1240" w:type="dxa"/>
            <w:vAlign w:val="bottom"/>
            <w:vMerge w:val="continue"/>
            <w:shd w:val="clear" w:color="auto" w:fill="CCCCCC"/>
          </w:tcPr>
          <w:p>
            <w:pPr>
              <w:spacing w:after="0"/>
              <w:rPr>
                <w:sz w:val="14"/>
                <w:szCs w:val="14"/>
                <w:color w:val="auto"/>
              </w:rPr>
            </w:pPr>
          </w:p>
        </w:tc>
        <w:tc>
          <w:tcPr>
            <w:tcW w:w="140" w:type="dxa"/>
            <w:vAlign w:val="bottom"/>
            <w:tcBorders>
              <w:right w:val="single" w:sz="8" w:color="CCCCCC"/>
            </w:tcBorders>
            <w:shd w:val="clear" w:color="auto" w:fill="CCCCCC"/>
          </w:tcPr>
          <w:p>
            <w:pPr>
              <w:spacing w:after="0"/>
              <w:rPr>
                <w:sz w:val="14"/>
                <w:szCs w:val="14"/>
                <w:color w:val="auto"/>
              </w:rPr>
            </w:pPr>
          </w:p>
        </w:tc>
        <w:tc>
          <w:tcPr>
            <w:tcW w:w="1440" w:type="dxa"/>
            <w:vAlign w:val="bottom"/>
            <w:gridSpan w:val="2"/>
            <w:shd w:val="clear" w:color="auto" w:fill="CCCCCC"/>
          </w:tcPr>
          <w:p>
            <w:pPr>
              <w:jc w:val="right"/>
              <w:ind w:right="220"/>
              <w:spacing w:after="0" w:line="161" w:lineRule="exact"/>
              <w:rPr>
                <w:sz w:val="20"/>
                <w:szCs w:val="20"/>
                <w:color w:val="auto"/>
              </w:rPr>
            </w:pPr>
            <w:r>
              <w:rPr>
                <w:rFonts w:ascii="Arial" w:cs="Arial" w:eastAsia="Arial" w:hAnsi="Arial"/>
                <w:sz w:val="15"/>
                <w:szCs w:val="15"/>
                <w:b w:val="1"/>
                <w:bCs w:val="1"/>
                <w:color w:val="auto"/>
              </w:rPr>
              <w:t>Payout Value of</w:t>
            </w:r>
          </w:p>
        </w:tc>
        <w:tc>
          <w:tcPr>
            <w:tcW w:w="1300" w:type="dxa"/>
            <w:vAlign w:val="bottom"/>
            <w:shd w:val="clear" w:color="auto" w:fill="CCCCCC"/>
          </w:tcPr>
          <w:p>
            <w:pPr>
              <w:jc w:val="right"/>
              <w:ind w:right="46"/>
              <w:spacing w:after="0" w:line="161" w:lineRule="exact"/>
              <w:rPr>
                <w:sz w:val="20"/>
                <w:szCs w:val="20"/>
                <w:color w:val="auto"/>
              </w:rPr>
            </w:pPr>
            <w:r>
              <w:rPr>
                <w:rFonts w:ascii="Arial" w:cs="Arial" w:eastAsia="Arial" w:hAnsi="Arial"/>
                <w:sz w:val="15"/>
                <w:szCs w:val="15"/>
                <w:b w:val="1"/>
                <w:bCs w:val="1"/>
                <w:color w:val="auto"/>
              </w:rPr>
              <w:t>Vested Share-</w:t>
            </w:r>
          </w:p>
        </w:tc>
        <w:tc>
          <w:tcPr>
            <w:tcW w:w="0" w:type="dxa"/>
            <w:vAlign w:val="bottom"/>
          </w:tcPr>
          <w:p>
            <w:pPr>
              <w:spacing w:after="0"/>
              <w:rPr>
                <w:sz w:val="1"/>
                <w:szCs w:val="1"/>
                <w:color w:val="auto"/>
              </w:rPr>
            </w:pPr>
          </w:p>
        </w:tc>
      </w:tr>
      <w:tr>
        <w:trPr>
          <w:trHeight w:val="161"/>
        </w:trPr>
        <w:tc>
          <w:tcPr>
            <w:tcW w:w="1700" w:type="dxa"/>
            <w:vAlign w:val="bottom"/>
            <w:shd w:val="clear" w:color="auto" w:fill="CCCCCC"/>
          </w:tcPr>
          <w:p>
            <w:pPr>
              <w:spacing w:after="0"/>
              <w:rPr>
                <w:sz w:val="14"/>
                <w:szCs w:val="14"/>
                <w:color w:val="auto"/>
              </w:rPr>
            </w:pPr>
          </w:p>
        </w:tc>
        <w:tc>
          <w:tcPr>
            <w:tcW w:w="1160" w:type="dxa"/>
            <w:vAlign w:val="bottom"/>
            <w:tcBorders>
              <w:right w:val="single" w:sz="8" w:color="CCCCCC"/>
            </w:tcBorders>
            <w:shd w:val="clear" w:color="auto" w:fill="CCCCCC"/>
          </w:tcPr>
          <w:p>
            <w:pPr>
              <w:jc w:val="right"/>
              <w:ind w:right="67"/>
              <w:spacing w:after="0" w:line="161" w:lineRule="exact"/>
              <w:rPr>
                <w:sz w:val="20"/>
                <w:szCs w:val="20"/>
                <w:color w:val="auto"/>
              </w:rPr>
            </w:pPr>
            <w:r>
              <w:rPr>
                <w:rFonts w:ascii="Arial" w:cs="Arial" w:eastAsia="Arial" w:hAnsi="Arial"/>
                <w:sz w:val="15"/>
                <w:szCs w:val="15"/>
                <w:b w:val="1"/>
                <w:bCs w:val="1"/>
                <w:color w:val="auto"/>
              </w:rPr>
              <w:t>Securities</w:t>
            </w:r>
          </w:p>
        </w:tc>
        <w:tc>
          <w:tcPr>
            <w:tcW w:w="1400" w:type="dxa"/>
            <w:vAlign w:val="bottom"/>
            <w:tcBorders>
              <w:right w:val="single" w:sz="8" w:color="CCCCCC"/>
            </w:tcBorders>
            <w:shd w:val="clear" w:color="auto" w:fill="CCCCCC"/>
          </w:tcPr>
          <w:p>
            <w:pPr>
              <w:spacing w:after="0"/>
              <w:rPr>
                <w:sz w:val="14"/>
                <w:szCs w:val="14"/>
                <w:color w:val="auto"/>
              </w:rPr>
            </w:pPr>
          </w:p>
        </w:tc>
        <w:tc>
          <w:tcPr>
            <w:tcW w:w="1360" w:type="dxa"/>
            <w:vAlign w:val="bottom"/>
            <w:tcBorders>
              <w:right w:val="single" w:sz="8" w:color="CCCCCC"/>
            </w:tcBorders>
            <w:shd w:val="clear" w:color="auto" w:fill="CCCCCC"/>
          </w:tcPr>
          <w:p>
            <w:pPr>
              <w:spacing w:after="0"/>
              <w:rPr>
                <w:sz w:val="14"/>
                <w:szCs w:val="14"/>
                <w:color w:val="auto"/>
              </w:rPr>
            </w:pPr>
          </w:p>
        </w:tc>
        <w:tc>
          <w:tcPr>
            <w:tcW w:w="1240" w:type="dxa"/>
            <w:vAlign w:val="bottom"/>
            <w:tcBorders>
              <w:right w:val="single" w:sz="8" w:color="D8D8D8"/>
            </w:tcBorders>
            <w:vMerge w:val="continue"/>
            <w:shd w:val="clear" w:color="auto" w:fill="CCCCCC"/>
          </w:tcPr>
          <w:p>
            <w:pPr>
              <w:spacing w:after="0"/>
              <w:rPr>
                <w:sz w:val="14"/>
                <w:szCs w:val="14"/>
                <w:color w:val="auto"/>
              </w:rPr>
            </w:pPr>
          </w:p>
        </w:tc>
        <w:tc>
          <w:tcPr>
            <w:tcW w:w="1240" w:type="dxa"/>
            <w:vAlign w:val="bottom"/>
            <w:shd w:val="clear" w:color="auto" w:fill="CCCCCC"/>
          </w:tcPr>
          <w:p>
            <w:pPr>
              <w:jc w:val="right"/>
              <w:spacing w:after="0" w:line="161" w:lineRule="exact"/>
              <w:rPr>
                <w:sz w:val="20"/>
                <w:szCs w:val="20"/>
                <w:color w:val="auto"/>
              </w:rPr>
            </w:pPr>
            <w:r>
              <w:rPr>
                <w:rFonts w:ascii="Arial" w:cs="Arial" w:eastAsia="Arial" w:hAnsi="Arial"/>
                <w:sz w:val="15"/>
                <w:szCs w:val="15"/>
                <w:b w:val="1"/>
                <w:bCs w:val="1"/>
                <w:color w:val="auto"/>
              </w:rPr>
              <w:t>Shares or Units</w:t>
            </w:r>
          </w:p>
        </w:tc>
        <w:tc>
          <w:tcPr>
            <w:tcW w:w="140" w:type="dxa"/>
            <w:vAlign w:val="bottom"/>
            <w:tcBorders>
              <w:right w:val="single" w:sz="8" w:color="CCCCCC"/>
            </w:tcBorders>
            <w:shd w:val="clear" w:color="auto" w:fill="CCCCCC"/>
          </w:tcPr>
          <w:p>
            <w:pPr>
              <w:spacing w:after="0"/>
              <w:rPr>
                <w:sz w:val="14"/>
                <w:szCs w:val="14"/>
                <w:color w:val="auto"/>
              </w:rPr>
            </w:pPr>
          </w:p>
        </w:tc>
        <w:tc>
          <w:tcPr>
            <w:tcW w:w="1440" w:type="dxa"/>
            <w:vAlign w:val="bottom"/>
            <w:gridSpan w:val="2"/>
            <w:shd w:val="clear" w:color="auto" w:fill="CCCCCC"/>
          </w:tcPr>
          <w:p>
            <w:pPr>
              <w:jc w:val="right"/>
              <w:ind w:right="220"/>
              <w:spacing w:after="0" w:line="161" w:lineRule="exact"/>
              <w:rPr>
                <w:sz w:val="20"/>
                <w:szCs w:val="20"/>
                <w:color w:val="auto"/>
              </w:rPr>
            </w:pPr>
            <w:r>
              <w:rPr>
                <w:rFonts w:ascii="Arial" w:cs="Arial" w:eastAsia="Arial" w:hAnsi="Arial"/>
                <w:sz w:val="15"/>
                <w:szCs w:val="15"/>
                <w:b w:val="1"/>
                <w:bCs w:val="1"/>
                <w:color w:val="auto"/>
              </w:rPr>
              <w:t>Share-Based</w:t>
            </w:r>
          </w:p>
        </w:tc>
        <w:tc>
          <w:tcPr>
            <w:tcW w:w="1300" w:type="dxa"/>
            <w:vAlign w:val="bottom"/>
            <w:shd w:val="clear" w:color="auto" w:fill="CCCCCC"/>
          </w:tcPr>
          <w:p>
            <w:pPr>
              <w:jc w:val="right"/>
              <w:ind w:right="46"/>
              <w:spacing w:after="0" w:line="161" w:lineRule="exact"/>
              <w:rPr>
                <w:sz w:val="20"/>
                <w:szCs w:val="20"/>
                <w:color w:val="auto"/>
              </w:rPr>
            </w:pPr>
            <w:r>
              <w:rPr>
                <w:rFonts w:ascii="Arial" w:cs="Arial" w:eastAsia="Arial" w:hAnsi="Arial"/>
                <w:sz w:val="15"/>
                <w:szCs w:val="15"/>
                <w:b w:val="1"/>
                <w:bCs w:val="1"/>
                <w:color w:val="auto"/>
              </w:rPr>
              <w:t>Based</w:t>
            </w:r>
          </w:p>
        </w:tc>
        <w:tc>
          <w:tcPr>
            <w:tcW w:w="0" w:type="dxa"/>
            <w:vAlign w:val="bottom"/>
          </w:tcPr>
          <w:p>
            <w:pPr>
              <w:spacing w:after="0"/>
              <w:rPr>
                <w:sz w:val="1"/>
                <w:szCs w:val="1"/>
                <w:color w:val="auto"/>
              </w:rPr>
            </w:pPr>
          </w:p>
        </w:tc>
      </w:tr>
      <w:tr>
        <w:trPr>
          <w:trHeight w:val="162"/>
        </w:trPr>
        <w:tc>
          <w:tcPr>
            <w:tcW w:w="1700" w:type="dxa"/>
            <w:vAlign w:val="bottom"/>
            <w:shd w:val="clear" w:color="auto" w:fill="CCCCCC"/>
          </w:tcPr>
          <w:p>
            <w:pPr>
              <w:spacing w:after="0"/>
              <w:rPr>
                <w:sz w:val="14"/>
                <w:szCs w:val="14"/>
                <w:color w:val="auto"/>
              </w:rPr>
            </w:pPr>
          </w:p>
        </w:tc>
        <w:tc>
          <w:tcPr>
            <w:tcW w:w="1160" w:type="dxa"/>
            <w:vAlign w:val="bottom"/>
            <w:tcBorders>
              <w:right w:val="single" w:sz="8" w:color="CCCCCC"/>
            </w:tcBorders>
            <w:shd w:val="clear" w:color="auto" w:fill="CCCCCC"/>
          </w:tcPr>
          <w:p>
            <w:pPr>
              <w:jc w:val="right"/>
              <w:ind w:right="67"/>
              <w:spacing w:after="0" w:line="161" w:lineRule="exact"/>
              <w:rPr>
                <w:sz w:val="20"/>
                <w:szCs w:val="20"/>
                <w:color w:val="auto"/>
              </w:rPr>
            </w:pPr>
            <w:r>
              <w:rPr>
                <w:rFonts w:ascii="Arial" w:cs="Arial" w:eastAsia="Arial" w:hAnsi="Arial"/>
                <w:sz w:val="15"/>
                <w:szCs w:val="15"/>
                <w:b w:val="1"/>
                <w:bCs w:val="1"/>
                <w:color w:val="auto"/>
              </w:rPr>
              <w:t>Underlying</w:t>
            </w:r>
          </w:p>
        </w:tc>
        <w:tc>
          <w:tcPr>
            <w:tcW w:w="1400" w:type="dxa"/>
            <w:vAlign w:val="bottom"/>
            <w:tcBorders>
              <w:right w:val="single" w:sz="8" w:color="CCCCCC"/>
            </w:tcBorders>
            <w:vMerge w:val="restart"/>
            <w:shd w:val="clear" w:color="auto" w:fill="CCCCCC"/>
          </w:tcPr>
          <w:p>
            <w:pPr>
              <w:jc w:val="right"/>
              <w:ind w:right="68"/>
              <w:spacing w:after="0"/>
              <w:rPr>
                <w:sz w:val="20"/>
                <w:szCs w:val="20"/>
                <w:color w:val="auto"/>
              </w:rPr>
            </w:pPr>
            <w:r>
              <w:rPr>
                <w:rFonts w:ascii="Arial" w:cs="Arial" w:eastAsia="Arial" w:hAnsi="Arial"/>
                <w:sz w:val="15"/>
                <w:szCs w:val="15"/>
                <w:b w:val="1"/>
                <w:bCs w:val="1"/>
                <w:color w:val="auto"/>
              </w:rPr>
              <w:t>Option Exercise</w:t>
            </w:r>
          </w:p>
        </w:tc>
        <w:tc>
          <w:tcPr>
            <w:tcW w:w="1360" w:type="dxa"/>
            <w:vAlign w:val="bottom"/>
            <w:tcBorders>
              <w:right w:val="single" w:sz="8" w:color="CCCCCC"/>
            </w:tcBorders>
            <w:vMerge w:val="restart"/>
            <w:shd w:val="clear" w:color="auto" w:fill="CCCCCC"/>
          </w:tcPr>
          <w:p>
            <w:pPr>
              <w:jc w:val="right"/>
              <w:ind w:right="68"/>
              <w:spacing w:after="0"/>
              <w:rPr>
                <w:sz w:val="20"/>
                <w:szCs w:val="20"/>
                <w:color w:val="auto"/>
              </w:rPr>
            </w:pPr>
            <w:r>
              <w:rPr>
                <w:rFonts w:ascii="Arial" w:cs="Arial" w:eastAsia="Arial" w:hAnsi="Arial"/>
                <w:sz w:val="15"/>
                <w:szCs w:val="15"/>
                <w:b w:val="1"/>
                <w:bCs w:val="1"/>
                <w:color w:val="auto"/>
              </w:rPr>
              <w:t>Option</w:t>
            </w:r>
          </w:p>
        </w:tc>
        <w:tc>
          <w:tcPr>
            <w:tcW w:w="1240" w:type="dxa"/>
            <w:vAlign w:val="bottom"/>
            <w:tcBorders>
              <w:right w:val="single" w:sz="8" w:color="D8D8D8"/>
            </w:tcBorders>
            <w:shd w:val="clear" w:color="auto" w:fill="CCCCCC"/>
          </w:tcPr>
          <w:p>
            <w:pPr>
              <w:jc w:val="right"/>
              <w:ind w:right="88"/>
              <w:spacing w:after="0" w:line="161" w:lineRule="exact"/>
              <w:rPr>
                <w:sz w:val="20"/>
                <w:szCs w:val="20"/>
                <w:color w:val="auto"/>
              </w:rPr>
            </w:pPr>
            <w:r>
              <w:rPr>
                <w:rFonts w:ascii="Arial" w:cs="Arial" w:eastAsia="Arial" w:hAnsi="Arial"/>
                <w:sz w:val="15"/>
                <w:szCs w:val="15"/>
                <w:b w:val="1"/>
                <w:bCs w:val="1"/>
                <w:color w:val="auto"/>
              </w:rPr>
              <w:t>Unexercised</w:t>
            </w:r>
          </w:p>
        </w:tc>
        <w:tc>
          <w:tcPr>
            <w:tcW w:w="1240" w:type="dxa"/>
            <w:vAlign w:val="bottom"/>
            <w:shd w:val="clear" w:color="auto" w:fill="CCCCCC"/>
          </w:tcPr>
          <w:p>
            <w:pPr>
              <w:jc w:val="right"/>
              <w:spacing w:after="0" w:line="161" w:lineRule="exact"/>
              <w:rPr>
                <w:sz w:val="20"/>
                <w:szCs w:val="20"/>
                <w:color w:val="auto"/>
              </w:rPr>
            </w:pPr>
            <w:r>
              <w:rPr>
                <w:rFonts w:ascii="Arial" w:cs="Arial" w:eastAsia="Arial" w:hAnsi="Arial"/>
                <w:sz w:val="15"/>
                <w:szCs w:val="15"/>
                <w:b w:val="1"/>
                <w:bCs w:val="1"/>
                <w:color w:val="auto"/>
              </w:rPr>
              <w:t>of Shares That</w:t>
            </w:r>
          </w:p>
        </w:tc>
        <w:tc>
          <w:tcPr>
            <w:tcW w:w="140" w:type="dxa"/>
            <w:vAlign w:val="bottom"/>
            <w:tcBorders>
              <w:right w:val="single" w:sz="8" w:color="CCCCCC"/>
            </w:tcBorders>
            <w:shd w:val="clear" w:color="auto" w:fill="CCCCCC"/>
          </w:tcPr>
          <w:p>
            <w:pPr>
              <w:spacing w:after="0"/>
              <w:rPr>
                <w:sz w:val="14"/>
                <w:szCs w:val="14"/>
                <w:color w:val="auto"/>
              </w:rPr>
            </w:pPr>
          </w:p>
        </w:tc>
        <w:tc>
          <w:tcPr>
            <w:tcW w:w="1440" w:type="dxa"/>
            <w:vAlign w:val="bottom"/>
            <w:gridSpan w:val="2"/>
            <w:shd w:val="clear" w:color="auto" w:fill="CCCCCC"/>
          </w:tcPr>
          <w:p>
            <w:pPr>
              <w:jc w:val="right"/>
              <w:ind w:right="220"/>
              <w:spacing w:after="0" w:line="161" w:lineRule="exact"/>
              <w:rPr>
                <w:sz w:val="20"/>
                <w:szCs w:val="20"/>
                <w:color w:val="auto"/>
              </w:rPr>
            </w:pPr>
            <w:r>
              <w:rPr>
                <w:rFonts w:ascii="Arial" w:cs="Arial" w:eastAsia="Arial" w:hAnsi="Arial"/>
                <w:sz w:val="15"/>
                <w:szCs w:val="15"/>
                <w:b w:val="1"/>
                <w:bCs w:val="1"/>
                <w:color w:val="auto"/>
              </w:rPr>
              <w:t>Awards That</w:t>
            </w:r>
          </w:p>
        </w:tc>
        <w:tc>
          <w:tcPr>
            <w:tcW w:w="1300" w:type="dxa"/>
            <w:vAlign w:val="bottom"/>
            <w:shd w:val="clear" w:color="auto" w:fill="CCCCCC"/>
          </w:tcPr>
          <w:p>
            <w:pPr>
              <w:jc w:val="right"/>
              <w:ind w:right="46"/>
              <w:spacing w:after="0" w:line="161" w:lineRule="exact"/>
              <w:rPr>
                <w:sz w:val="20"/>
                <w:szCs w:val="20"/>
                <w:color w:val="auto"/>
              </w:rPr>
            </w:pPr>
            <w:r>
              <w:rPr>
                <w:rFonts w:ascii="Arial" w:cs="Arial" w:eastAsia="Arial" w:hAnsi="Arial"/>
                <w:sz w:val="15"/>
                <w:szCs w:val="15"/>
                <w:b w:val="1"/>
                <w:bCs w:val="1"/>
                <w:color w:val="auto"/>
              </w:rPr>
              <w:t>Awards Not</w:t>
            </w:r>
          </w:p>
        </w:tc>
        <w:tc>
          <w:tcPr>
            <w:tcW w:w="0" w:type="dxa"/>
            <w:vAlign w:val="bottom"/>
          </w:tcPr>
          <w:p>
            <w:pPr>
              <w:spacing w:after="0"/>
              <w:rPr>
                <w:sz w:val="1"/>
                <w:szCs w:val="1"/>
                <w:color w:val="auto"/>
              </w:rPr>
            </w:pPr>
          </w:p>
        </w:tc>
      </w:tr>
      <w:tr>
        <w:trPr>
          <w:trHeight w:val="162"/>
        </w:trPr>
        <w:tc>
          <w:tcPr>
            <w:tcW w:w="1700" w:type="dxa"/>
            <w:vAlign w:val="bottom"/>
            <w:vMerge w:val="restart"/>
            <w:shd w:val="clear" w:color="auto" w:fill="CCCCCC"/>
          </w:tcPr>
          <w:p>
            <w:pPr>
              <w:spacing w:after="0"/>
              <w:rPr>
                <w:sz w:val="20"/>
                <w:szCs w:val="20"/>
                <w:color w:val="auto"/>
              </w:rPr>
            </w:pPr>
            <w:r>
              <w:rPr>
                <w:rFonts w:ascii="Arial" w:cs="Arial" w:eastAsia="Arial" w:hAnsi="Arial"/>
                <w:sz w:val="15"/>
                <w:szCs w:val="15"/>
                <w:b w:val="1"/>
                <w:bCs w:val="1"/>
                <w:color w:val="auto"/>
              </w:rPr>
              <w:t>Name</w:t>
            </w:r>
          </w:p>
        </w:tc>
        <w:tc>
          <w:tcPr>
            <w:tcW w:w="1160" w:type="dxa"/>
            <w:vAlign w:val="bottom"/>
            <w:tcBorders>
              <w:right w:val="single" w:sz="8" w:color="CCCCCC"/>
            </w:tcBorders>
            <w:shd w:val="clear" w:color="auto" w:fill="CCCCCC"/>
          </w:tcPr>
          <w:p>
            <w:pPr>
              <w:jc w:val="right"/>
              <w:ind w:right="67"/>
              <w:spacing w:after="0" w:line="161" w:lineRule="exact"/>
              <w:rPr>
                <w:sz w:val="20"/>
                <w:szCs w:val="20"/>
                <w:color w:val="auto"/>
              </w:rPr>
            </w:pPr>
            <w:r>
              <w:rPr>
                <w:rFonts w:ascii="Arial" w:cs="Arial" w:eastAsia="Arial" w:hAnsi="Arial"/>
                <w:sz w:val="15"/>
                <w:szCs w:val="15"/>
                <w:b w:val="1"/>
                <w:bCs w:val="1"/>
                <w:color w:val="auto"/>
              </w:rPr>
              <w:t>Unexercised</w:t>
            </w:r>
          </w:p>
        </w:tc>
        <w:tc>
          <w:tcPr>
            <w:tcW w:w="1400" w:type="dxa"/>
            <w:vAlign w:val="bottom"/>
            <w:tcBorders>
              <w:right w:val="single" w:sz="8" w:color="CCCCCC"/>
            </w:tcBorders>
            <w:vMerge w:val="continue"/>
            <w:shd w:val="clear" w:color="auto" w:fill="CCCCCC"/>
          </w:tcPr>
          <w:p>
            <w:pPr>
              <w:spacing w:after="0"/>
              <w:rPr>
                <w:sz w:val="14"/>
                <w:szCs w:val="14"/>
                <w:color w:val="auto"/>
              </w:rPr>
            </w:pPr>
          </w:p>
        </w:tc>
        <w:tc>
          <w:tcPr>
            <w:tcW w:w="1360" w:type="dxa"/>
            <w:vAlign w:val="bottom"/>
            <w:tcBorders>
              <w:right w:val="single" w:sz="8" w:color="CCCCCC"/>
            </w:tcBorders>
            <w:vMerge w:val="continue"/>
            <w:shd w:val="clear" w:color="auto" w:fill="CCCCCC"/>
          </w:tcPr>
          <w:p>
            <w:pPr>
              <w:spacing w:after="0"/>
              <w:rPr>
                <w:sz w:val="14"/>
                <w:szCs w:val="14"/>
                <w:color w:val="auto"/>
              </w:rPr>
            </w:pPr>
          </w:p>
        </w:tc>
        <w:tc>
          <w:tcPr>
            <w:tcW w:w="1240" w:type="dxa"/>
            <w:vAlign w:val="bottom"/>
            <w:tcBorders>
              <w:right w:val="single" w:sz="8" w:color="D8D8D8"/>
            </w:tcBorders>
            <w:shd w:val="clear" w:color="auto" w:fill="CCCCCC"/>
          </w:tcPr>
          <w:p>
            <w:pPr>
              <w:jc w:val="right"/>
              <w:ind w:right="88"/>
              <w:spacing w:after="0" w:line="161" w:lineRule="exact"/>
              <w:rPr>
                <w:sz w:val="20"/>
                <w:szCs w:val="20"/>
                <w:color w:val="auto"/>
              </w:rPr>
            </w:pPr>
            <w:r>
              <w:rPr>
                <w:rFonts w:ascii="Arial" w:cs="Arial" w:eastAsia="Arial" w:hAnsi="Arial"/>
                <w:sz w:val="15"/>
                <w:szCs w:val="15"/>
                <w:b w:val="1"/>
                <w:bCs w:val="1"/>
                <w:color w:val="auto"/>
              </w:rPr>
              <w:t>In-The-Money</w:t>
            </w:r>
          </w:p>
        </w:tc>
        <w:tc>
          <w:tcPr>
            <w:tcW w:w="1240" w:type="dxa"/>
            <w:vAlign w:val="bottom"/>
            <w:shd w:val="clear" w:color="auto" w:fill="CCCCCC"/>
          </w:tcPr>
          <w:p>
            <w:pPr>
              <w:jc w:val="right"/>
              <w:spacing w:after="0" w:line="161" w:lineRule="exact"/>
              <w:rPr>
                <w:sz w:val="20"/>
                <w:szCs w:val="20"/>
                <w:color w:val="auto"/>
              </w:rPr>
            </w:pPr>
            <w:r>
              <w:rPr>
                <w:rFonts w:ascii="Arial" w:cs="Arial" w:eastAsia="Arial" w:hAnsi="Arial"/>
                <w:sz w:val="15"/>
                <w:szCs w:val="15"/>
                <w:b w:val="1"/>
                <w:bCs w:val="1"/>
                <w:color w:val="auto"/>
              </w:rPr>
              <w:t>Have Not</w:t>
            </w:r>
          </w:p>
        </w:tc>
        <w:tc>
          <w:tcPr>
            <w:tcW w:w="140" w:type="dxa"/>
            <w:vAlign w:val="bottom"/>
            <w:tcBorders>
              <w:right w:val="single" w:sz="8" w:color="CCCCCC"/>
            </w:tcBorders>
            <w:shd w:val="clear" w:color="auto" w:fill="CCCCCC"/>
          </w:tcPr>
          <w:p>
            <w:pPr>
              <w:spacing w:after="0"/>
              <w:rPr>
                <w:sz w:val="14"/>
                <w:szCs w:val="14"/>
                <w:color w:val="auto"/>
              </w:rPr>
            </w:pPr>
          </w:p>
        </w:tc>
        <w:tc>
          <w:tcPr>
            <w:tcW w:w="1440" w:type="dxa"/>
            <w:vAlign w:val="bottom"/>
            <w:gridSpan w:val="2"/>
            <w:shd w:val="clear" w:color="auto" w:fill="CCCCCC"/>
          </w:tcPr>
          <w:p>
            <w:pPr>
              <w:jc w:val="right"/>
              <w:ind w:right="220"/>
              <w:spacing w:after="0" w:line="161" w:lineRule="exact"/>
              <w:rPr>
                <w:sz w:val="20"/>
                <w:szCs w:val="20"/>
                <w:color w:val="auto"/>
              </w:rPr>
            </w:pPr>
            <w:r>
              <w:rPr>
                <w:rFonts w:ascii="Arial" w:cs="Arial" w:eastAsia="Arial" w:hAnsi="Arial"/>
                <w:sz w:val="15"/>
                <w:szCs w:val="15"/>
                <w:b w:val="1"/>
                <w:bCs w:val="1"/>
                <w:color w:val="auto"/>
              </w:rPr>
              <w:t>Have Not</w:t>
            </w:r>
          </w:p>
        </w:tc>
        <w:tc>
          <w:tcPr>
            <w:tcW w:w="1300" w:type="dxa"/>
            <w:vAlign w:val="bottom"/>
            <w:shd w:val="clear" w:color="auto" w:fill="CCCCCC"/>
          </w:tcPr>
          <w:p>
            <w:pPr>
              <w:jc w:val="right"/>
              <w:ind w:right="46"/>
              <w:spacing w:after="0" w:line="161" w:lineRule="exact"/>
              <w:rPr>
                <w:sz w:val="20"/>
                <w:szCs w:val="20"/>
                <w:color w:val="auto"/>
              </w:rPr>
            </w:pPr>
            <w:r>
              <w:rPr>
                <w:rFonts w:ascii="Arial" w:cs="Arial" w:eastAsia="Arial" w:hAnsi="Arial"/>
                <w:sz w:val="15"/>
                <w:szCs w:val="15"/>
                <w:b w:val="1"/>
                <w:bCs w:val="1"/>
                <w:color w:val="auto"/>
              </w:rPr>
              <w:t>Paid Out or</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D95A3B"/>
            </w:tcBorders>
            <w:vMerge w:val="continue"/>
            <w:shd w:val="clear" w:color="auto" w:fill="CCCCCC"/>
          </w:tcPr>
          <w:p>
            <w:pPr>
              <w:spacing w:after="0"/>
              <w:rPr>
                <w:sz w:val="16"/>
                <w:szCs w:val="16"/>
                <w:color w:val="auto"/>
              </w:rPr>
            </w:pPr>
          </w:p>
        </w:tc>
        <w:tc>
          <w:tcPr>
            <w:tcW w:w="1160" w:type="dxa"/>
            <w:vAlign w:val="bottom"/>
            <w:tcBorders>
              <w:bottom w:val="single" w:sz="8" w:color="D95A3B"/>
              <w:right w:val="single" w:sz="8" w:color="CCCCCC"/>
            </w:tcBorders>
            <w:shd w:val="clear" w:color="auto" w:fill="CCCCCC"/>
          </w:tcPr>
          <w:p>
            <w:pPr>
              <w:jc w:val="right"/>
              <w:ind w:right="67"/>
              <w:spacing w:after="0"/>
              <w:rPr>
                <w:sz w:val="20"/>
                <w:szCs w:val="20"/>
                <w:color w:val="auto"/>
              </w:rPr>
            </w:pPr>
            <w:r>
              <w:rPr>
                <w:rFonts w:ascii="Arial" w:cs="Arial" w:eastAsia="Arial" w:hAnsi="Arial"/>
                <w:sz w:val="15"/>
                <w:szCs w:val="15"/>
                <w:b w:val="1"/>
                <w:bCs w:val="1"/>
                <w:color w:val="auto"/>
              </w:rPr>
              <w:t>Options (#)</w:t>
            </w:r>
          </w:p>
        </w:tc>
        <w:tc>
          <w:tcPr>
            <w:tcW w:w="1400" w:type="dxa"/>
            <w:vAlign w:val="bottom"/>
            <w:tcBorders>
              <w:bottom w:val="single" w:sz="8" w:color="D95A3B"/>
              <w:right w:val="single" w:sz="8" w:color="CCCCCC"/>
            </w:tcBorders>
            <w:shd w:val="clear" w:color="auto" w:fill="CCCCCC"/>
          </w:tcPr>
          <w:p>
            <w:pPr>
              <w:jc w:val="right"/>
              <w:ind w:right="68"/>
              <w:spacing w:after="0"/>
              <w:rPr>
                <w:sz w:val="20"/>
                <w:szCs w:val="20"/>
                <w:color w:val="auto"/>
              </w:rPr>
            </w:pPr>
            <w:r>
              <w:rPr>
                <w:rFonts w:ascii="Arial" w:cs="Arial" w:eastAsia="Arial" w:hAnsi="Arial"/>
                <w:sz w:val="15"/>
                <w:szCs w:val="15"/>
                <w:b w:val="1"/>
                <w:bCs w:val="1"/>
                <w:color w:val="auto"/>
              </w:rPr>
              <w:t>Price ($)</w:t>
            </w:r>
          </w:p>
        </w:tc>
        <w:tc>
          <w:tcPr>
            <w:tcW w:w="1360" w:type="dxa"/>
            <w:vAlign w:val="bottom"/>
            <w:tcBorders>
              <w:bottom w:val="single" w:sz="8" w:color="D95A3B"/>
              <w:right w:val="single" w:sz="8" w:color="CCCCCC"/>
            </w:tcBorders>
            <w:shd w:val="clear" w:color="auto" w:fill="CCCCCC"/>
          </w:tcPr>
          <w:p>
            <w:pPr>
              <w:jc w:val="right"/>
              <w:ind w:right="68"/>
              <w:spacing w:after="0"/>
              <w:rPr>
                <w:sz w:val="20"/>
                <w:szCs w:val="20"/>
                <w:color w:val="auto"/>
              </w:rPr>
            </w:pPr>
            <w:r>
              <w:rPr>
                <w:rFonts w:ascii="Arial" w:cs="Arial" w:eastAsia="Arial" w:hAnsi="Arial"/>
                <w:sz w:val="15"/>
                <w:szCs w:val="15"/>
                <w:b w:val="1"/>
                <w:bCs w:val="1"/>
                <w:color w:val="auto"/>
              </w:rPr>
              <w:t>Expiration Date</w:t>
            </w:r>
          </w:p>
        </w:tc>
        <w:tc>
          <w:tcPr>
            <w:tcW w:w="1240" w:type="dxa"/>
            <w:vAlign w:val="bottom"/>
            <w:tcBorders>
              <w:bottom w:val="single" w:sz="8" w:color="D95A3B"/>
              <w:right w:val="single" w:sz="8" w:color="D8D8D8"/>
            </w:tcBorders>
            <w:shd w:val="clear" w:color="auto" w:fill="CCCCCC"/>
          </w:tcPr>
          <w:p>
            <w:pPr>
              <w:jc w:val="right"/>
              <w:ind w:right="88"/>
              <w:spacing w:after="0"/>
              <w:rPr>
                <w:sz w:val="20"/>
                <w:szCs w:val="20"/>
                <w:color w:val="auto"/>
              </w:rPr>
            </w:pPr>
            <w:r>
              <w:rPr>
                <w:rFonts w:ascii="Arial" w:cs="Arial" w:eastAsia="Arial" w:hAnsi="Arial"/>
                <w:sz w:val="15"/>
                <w:szCs w:val="15"/>
                <w:b w:val="1"/>
                <w:bCs w:val="1"/>
                <w:color w:val="auto"/>
              </w:rPr>
              <w:t>Options ($)</w:t>
            </w:r>
          </w:p>
        </w:tc>
        <w:tc>
          <w:tcPr>
            <w:tcW w:w="1240" w:type="dxa"/>
            <w:vAlign w:val="bottom"/>
            <w:tcBorders>
              <w:bottom w:val="single" w:sz="8" w:color="D95A3B"/>
            </w:tcBorders>
            <w:shd w:val="clear" w:color="auto" w:fill="CCCCCC"/>
          </w:tcPr>
          <w:p>
            <w:pPr>
              <w:jc w:val="right"/>
              <w:spacing w:after="0"/>
              <w:rPr>
                <w:sz w:val="20"/>
                <w:szCs w:val="20"/>
                <w:color w:val="auto"/>
              </w:rPr>
            </w:pPr>
            <w:r>
              <w:rPr>
                <w:rFonts w:ascii="Arial" w:cs="Arial" w:eastAsia="Arial" w:hAnsi="Arial"/>
                <w:sz w:val="15"/>
                <w:szCs w:val="15"/>
                <w:b w:val="1"/>
                <w:bCs w:val="1"/>
                <w:color w:val="auto"/>
              </w:rPr>
              <w:t>Vested (#)</w:t>
            </w:r>
          </w:p>
        </w:tc>
        <w:tc>
          <w:tcPr>
            <w:tcW w:w="140" w:type="dxa"/>
            <w:vAlign w:val="bottom"/>
            <w:tcBorders>
              <w:bottom w:val="single" w:sz="8" w:color="D95A3B"/>
              <w:right w:val="single" w:sz="8" w:color="CCCCCC"/>
            </w:tcBorders>
            <w:shd w:val="clear" w:color="auto" w:fill="CCCCCC"/>
          </w:tcPr>
          <w:p>
            <w:pPr>
              <w:spacing w:after="0"/>
              <w:rPr>
                <w:sz w:val="16"/>
                <w:szCs w:val="16"/>
                <w:color w:val="auto"/>
              </w:rPr>
            </w:pPr>
          </w:p>
        </w:tc>
        <w:tc>
          <w:tcPr>
            <w:tcW w:w="1440" w:type="dxa"/>
            <w:vAlign w:val="bottom"/>
            <w:tcBorders>
              <w:bottom w:val="single" w:sz="8" w:color="D95A3B"/>
            </w:tcBorders>
            <w:gridSpan w:val="2"/>
            <w:shd w:val="clear" w:color="auto" w:fill="CCCCCC"/>
          </w:tcPr>
          <w:p>
            <w:pPr>
              <w:jc w:val="right"/>
              <w:ind w:right="220"/>
              <w:spacing w:after="0"/>
              <w:rPr>
                <w:sz w:val="20"/>
                <w:szCs w:val="20"/>
                <w:color w:val="auto"/>
              </w:rPr>
            </w:pPr>
            <w:r>
              <w:rPr>
                <w:rFonts w:ascii="Arial" w:cs="Arial" w:eastAsia="Arial" w:hAnsi="Arial"/>
                <w:sz w:val="15"/>
                <w:szCs w:val="15"/>
                <w:b w:val="1"/>
                <w:bCs w:val="1"/>
                <w:color w:val="auto"/>
              </w:rPr>
              <w:t>Vested($)</w:t>
            </w:r>
          </w:p>
        </w:tc>
        <w:tc>
          <w:tcPr>
            <w:tcW w:w="1300" w:type="dxa"/>
            <w:vAlign w:val="bottom"/>
            <w:tcBorders>
              <w:bottom w:val="single" w:sz="8" w:color="D95A3B"/>
            </w:tcBorders>
            <w:shd w:val="clear" w:color="auto" w:fill="CCCCCC"/>
          </w:tcPr>
          <w:p>
            <w:pPr>
              <w:jc w:val="right"/>
              <w:ind w:right="46"/>
              <w:spacing w:after="0"/>
              <w:rPr>
                <w:sz w:val="20"/>
                <w:szCs w:val="20"/>
                <w:color w:val="auto"/>
              </w:rPr>
            </w:pPr>
            <w:r>
              <w:rPr>
                <w:rFonts w:ascii="Arial" w:cs="Arial" w:eastAsia="Arial" w:hAnsi="Arial"/>
                <w:sz w:val="15"/>
                <w:szCs w:val="15"/>
                <w:b w:val="1"/>
                <w:bCs w:val="1"/>
                <w:color w:val="auto"/>
              </w:rPr>
              <w:t>Distributed($)</w:t>
            </w:r>
          </w:p>
        </w:tc>
        <w:tc>
          <w:tcPr>
            <w:tcW w:w="0" w:type="dxa"/>
            <w:vAlign w:val="bottom"/>
          </w:tcPr>
          <w:p>
            <w:pPr>
              <w:spacing w:after="0"/>
              <w:rPr>
                <w:sz w:val="1"/>
                <w:szCs w:val="1"/>
                <w:color w:val="auto"/>
              </w:rPr>
            </w:pPr>
          </w:p>
        </w:tc>
      </w:tr>
      <w:tr>
        <w:trPr>
          <w:trHeight w:val="155"/>
        </w:trPr>
        <w:tc>
          <w:tcPr>
            <w:tcW w:w="1700" w:type="dxa"/>
            <w:vAlign w:val="bottom"/>
          </w:tcPr>
          <w:p>
            <w:pPr>
              <w:spacing w:after="0" w:line="155" w:lineRule="exact"/>
              <w:rPr>
                <w:sz w:val="20"/>
                <w:szCs w:val="20"/>
                <w:color w:val="auto"/>
              </w:rPr>
            </w:pPr>
            <w:r>
              <w:rPr>
                <w:rFonts w:ascii="Arial" w:cs="Arial" w:eastAsia="Arial" w:hAnsi="Arial"/>
                <w:sz w:val="14"/>
                <w:szCs w:val="14"/>
                <w:b w:val="1"/>
                <w:bCs w:val="1"/>
                <w:color w:val="auto"/>
              </w:rPr>
              <w:t>James C. Smith</w:t>
            </w: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130,900</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$38.98</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3/2/2021</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$1,221,297</w:t>
            </w: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353,822</w:t>
            </w: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jc w:val="right"/>
              <w:ind w:right="86"/>
              <w:spacing w:after="0" w:line="155" w:lineRule="exact"/>
              <w:rPr>
                <w:sz w:val="20"/>
                <w:szCs w:val="20"/>
                <w:color w:val="auto"/>
              </w:rPr>
            </w:pPr>
            <w:r>
              <w:rPr>
                <w:rFonts w:ascii="Arial" w:cs="Arial" w:eastAsia="Arial" w:hAnsi="Arial"/>
                <w:sz w:val="14"/>
                <w:szCs w:val="14"/>
                <w:color w:val="auto"/>
              </w:rPr>
              <w:t>$17,093,141</w:t>
            </w:r>
          </w:p>
        </w:tc>
        <w:tc>
          <w:tcPr>
            <w:tcW w:w="60" w:type="dxa"/>
            <w:vAlign w:val="bottom"/>
          </w:tcPr>
          <w:p>
            <w:pPr>
              <w:spacing w:after="0"/>
              <w:rPr>
                <w:sz w:val="13"/>
                <w:szCs w:val="13"/>
                <w:color w:val="auto"/>
              </w:rPr>
            </w:pPr>
          </w:p>
        </w:tc>
        <w:tc>
          <w:tcPr>
            <w:tcW w:w="1300" w:type="dxa"/>
            <w:vAlign w:val="bottom"/>
          </w:tcPr>
          <w:p>
            <w:pPr>
              <w:jc w:val="right"/>
              <w:ind w:right="406"/>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838,000</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$39.50</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3/4/2025</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$7,382,780</w:t>
            </w:r>
          </w:p>
        </w:tc>
        <w:tc>
          <w:tcPr>
            <w:tcW w:w="1240" w:type="dxa"/>
            <w:vAlign w:val="bottom"/>
          </w:tcPr>
          <w:p>
            <w:pPr>
              <w:spacing w:after="0"/>
              <w:rPr>
                <w:sz w:val="13"/>
                <w:szCs w:val="13"/>
                <w:color w:val="auto"/>
              </w:rPr>
            </w:pP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1,279,070</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$36.63</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3/3/2026</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$14,939,538</w:t>
            </w:r>
          </w:p>
        </w:tc>
        <w:tc>
          <w:tcPr>
            <w:tcW w:w="1240" w:type="dxa"/>
            <w:vAlign w:val="bottom"/>
          </w:tcPr>
          <w:p>
            <w:pPr>
              <w:spacing w:after="0"/>
              <w:rPr>
                <w:sz w:val="13"/>
                <w:szCs w:val="13"/>
                <w:color w:val="auto"/>
              </w:rPr>
            </w:pP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1,179,625</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$42.30</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3/1/2027</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$7,089,546</w:t>
            </w:r>
          </w:p>
        </w:tc>
        <w:tc>
          <w:tcPr>
            <w:tcW w:w="1240" w:type="dxa"/>
            <w:vAlign w:val="bottom"/>
          </w:tcPr>
          <w:p>
            <w:pPr>
              <w:spacing w:after="0"/>
              <w:rPr>
                <w:sz w:val="13"/>
                <w:szCs w:val="13"/>
                <w:color w:val="auto"/>
              </w:rPr>
            </w:pP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Borders>
              <w:bottom w:val="single" w:sz="8" w:color="D95A3B"/>
            </w:tcBorders>
          </w:tcPr>
          <w:p>
            <w:pPr>
              <w:spacing w:after="0"/>
              <w:rPr>
                <w:sz w:val="13"/>
                <w:szCs w:val="13"/>
                <w:color w:val="auto"/>
              </w:rPr>
            </w:pPr>
          </w:p>
        </w:tc>
        <w:tc>
          <w:tcPr>
            <w:tcW w:w="1160" w:type="dxa"/>
            <w:vAlign w:val="bottom"/>
            <w:tcBorders>
              <w:bottom w:val="single" w:sz="8" w:color="D95A3B"/>
            </w:tcBorders>
          </w:tcPr>
          <w:p>
            <w:pPr>
              <w:jc w:val="right"/>
              <w:ind w:right="67"/>
              <w:spacing w:after="0" w:line="155" w:lineRule="exact"/>
              <w:rPr>
                <w:sz w:val="20"/>
                <w:szCs w:val="20"/>
                <w:color w:val="auto"/>
              </w:rPr>
            </w:pPr>
            <w:r>
              <w:rPr>
                <w:rFonts w:ascii="Arial" w:cs="Arial" w:eastAsia="Arial" w:hAnsi="Arial"/>
                <w:sz w:val="14"/>
                <w:szCs w:val="14"/>
                <w:color w:val="auto"/>
              </w:rPr>
              <w:t>1,065,376</w:t>
            </w:r>
          </w:p>
        </w:tc>
        <w:tc>
          <w:tcPr>
            <w:tcW w:w="1400" w:type="dxa"/>
            <w:vAlign w:val="bottom"/>
            <w:tcBorders>
              <w:bottom w:val="single" w:sz="8" w:color="D95A3B"/>
            </w:tcBorders>
          </w:tcPr>
          <w:p>
            <w:pPr>
              <w:jc w:val="right"/>
              <w:ind w:right="68"/>
              <w:spacing w:after="0" w:line="155" w:lineRule="exact"/>
              <w:rPr>
                <w:sz w:val="20"/>
                <w:szCs w:val="20"/>
                <w:color w:val="auto"/>
              </w:rPr>
            </w:pPr>
            <w:r>
              <w:rPr>
                <w:rFonts w:ascii="Arial" w:cs="Arial" w:eastAsia="Arial" w:hAnsi="Arial"/>
                <w:sz w:val="14"/>
                <w:szCs w:val="14"/>
                <w:color w:val="auto"/>
              </w:rPr>
              <w:t>$39.49</w:t>
            </w:r>
          </w:p>
        </w:tc>
        <w:tc>
          <w:tcPr>
            <w:tcW w:w="1360" w:type="dxa"/>
            <w:vAlign w:val="bottom"/>
            <w:tcBorders>
              <w:bottom w:val="single" w:sz="8" w:color="D95A3B"/>
            </w:tcBorders>
          </w:tcPr>
          <w:p>
            <w:pPr>
              <w:jc w:val="right"/>
              <w:ind w:right="68"/>
              <w:spacing w:after="0" w:line="155" w:lineRule="exact"/>
              <w:rPr>
                <w:sz w:val="20"/>
                <w:szCs w:val="20"/>
                <w:color w:val="auto"/>
              </w:rPr>
            </w:pPr>
            <w:r>
              <w:rPr>
                <w:rFonts w:ascii="Arial" w:cs="Arial" w:eastAsia="Arial" w:hAnsi="Arial"/>
                <w:sz w:val="14"/>
                <w:szCs w:val="14"/>
                <w:color w:val="auto"/>
              </w:rPr>
              <w:t>6/6/2028</w:t>
            </w:r>
          </w:p>
        </w:tc>
        <w:tc>
          <w:tcPr>
            <w:tcW w:w="1240" w:type="dxa"/>
            <w:vAlign w:val="bottom"/>
            <w:tcBorders>
              <w:bottom w:val="single" w:sz="8" w:color="D95A3B"/>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$9,396,616</w:t>
            </w:r>
          </w:p>
        </w:tc>
        <w:tc>
          <w:tcPr>
            <w:tcW w:w="1240" w:type="dxa"/>
            <w:vAlign w:val="bottom"/>
            <w:tcBorders>
              <w:bottom w:val="single" w:sz="8" w:color="D95A3B"/>
            </w:tcBorders>
          </w:tcPr>
          <w:p>
            <w:pPr>
              <w:spacing w:after="0"/>
              <w:rPr>
                <w:sz w:val="13"/>
                <w:szCs w:val="13"/>
                <w:color w:val="auto"/>
              </w:rPr>
            </w:pPr>
          </w:p>
        </w:tc>
        <w:tc>
          <w:tcPr>
            <w:tcW w:w="140" w:type="dxa"/>
            <w:vAlign w:val="bottom"/>
            <w:tcBorders>
              <w:bottom w:val="single" w:sz="8" w:color="D95A3B"/>
              <w:right w:val="single" w:sz="8" w:color="D8D8D8"/>
            </w:tcBorders>
          </w:tcPr>
          <w:p>
            <w:pPr>
              <w:spacing w:after="0"/>
              <w:rPr>
                <w:sz w:val="13"/>
                <w:szCs w:val="13"/>
                <w:color w:val="auto"/>
              </w:rPr>
            </w:pPr>
          </w:p>
        </w:tc>
        <w:tc>
          <w:tcPr>
            <w:tcW w:w="1380" w:type="dxa"/>
            <w:vAlign w:val="bottom"/>
            <w:tcBorders>
              <w:bottom w:val="single" w:sz="8" w:color="D95A3B"/>
              <w:right w:val="single" w:sz="8" w:color="D8D8D8"/>
            </w:tcBorders>
          </w:tcPr>
          <w:p>
            <w:pPr>
              <w:spacing w:after="0"/>
              <w:rPr>
                <w:sz w:val="13"/>
                <w:szCs w:val="13"/>
                <w:color w:val="auto"/>
              </w:rPr>
            </w:pPr>
          </w:p>
        </w:tc>
        <w:tc>
          <w:tcPr>
            <w:tcW w:w="60" w:type="dxa"/>
            <w:vAlign w:val="bottom"/>
            <w:tcBorders>
              <w:bottom w:val="single" w:sz="8" w:color="D95A3B"/>
            </w:tcBorders>
          </w:tcPr>
          <w:p>
            <w:pPr>
              <w:spacing w:after="0"/>
              <w:rPr>
                <w:sz w:val="13"/>
                <w:szCs w:val="13"/>
                <w:color w:val="auto"/>
              </w:rPr>
            </w:pPr>
          </w:p>
        </w:tc>
        <w:tc>
          <w:tcPr>
            <w:tcW w:w="1300" w:type="dxa"/>
            <w:vAlign w:val="bottom"/>
            <w:tcBorders>
              <w:bottom w:val="single" w:sz="8" w:color="D95A3B"/>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line="155" w:lineRule="exact"/>
              <w:rPr>
                <w:sz w:val="20"/>
                <w:szCs w:val="20"/>
                <w:color w:val="auto"/>
              </w:rPr>
            </w:pPr>
            <w:r>
              <w:rPr>
                <w:rFonts w:ascii="Arial" w:cs="Arial" w:eastAsia="Arial" w:hAnsi="Arial"/>
                <w:sz w:val="14"/>
                <w:szCs w:val="14"/>
                <w:b w:val="1"/>
                <w:bCs w:val="1"/>
                <w:color w:val="auto"/>
              </w:rPr>
              <w:t>Stephane Bello</w:t>
            </w: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36,380</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$38.98</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3/2/2021</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$339,425</w:t>
            </w: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125,057</w:t>
            </w: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jc w:val="right"/>
              <w:ind w:right="86"/>
              <w:spacing w:after="0" w:line="155" w:lineRule="exact"/>
              <w:rPr>
                <w:sz w:val="20"/>
                <w:szCs w:val="20"/>
                <w:color w:val="auto"/>
              </w:rPr>
            </w:pPr>
            <w:r>
              <w:rPr>
                <w:rFonts w:ascii="Arial" w:cs="Arial" w:eastAsia="Arial" w:hAnsi="Arial"/>
                <w:sz w:val="14"/>
                <w:szCs w:val="14"/>
                <w:color w:val="auto"/>
              </w:rPr>
              <w:t>$6,041,504</w:t>
            </w:r>
          </w:p>
        </w:tc>
        <w:tc>
          <w:tcPr>
            <w:tcW w:w="60" w:type="dxa"/>
            <w:vAlign w:val="bottom"/>
          </w:tcPr>
          <w:p>
            <w:pPr>
              <w:spacing w:after="0"/>
              <w:rPr>
                <w:sz w:val="13"/>
                <w:szCs w:val="13"/>
                <w:color w:val="auto"/>
              </w:rPr>
            </w:pPr>
          </w:p>
        </w:tc>
        <w:tc>
          <w:tcPr>
            <w:tcW w:w="1300" w:type="dxa"/>
            <w:vAlign w:val="bottom"/>
          </w:tcPr>
          <w:p>
            <w:pPr>
              <w:jc w:val="right"/>
              <w:ind w:right="406"/>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47,538</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$34.15</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3/5/2024</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$673,138</w:t>
            </w:r>
          </w:p>
        </w:tc>
        <w:tc>
          <w:tcPr>
            <w:tcW w:w="1240" w:type="dxa"/>
            <w:vAlign w:val="bottom"/>
          </w:tcPr>
          <w:p>
            <w:pPr>
              <w:spacing w:after="0"/>
              <w:rPr>
                <w:sz w:val="13"/>
                <w:szCs w:val="13"/>
                <w:color w:val="auto"/>
              </w:rPr>
            </w:pP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266,720</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$39.50</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3/4/2025</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$2,349,803</w:t>
            </w:r>
          </w:p>
        </w:tc>
        <w:tc>
          <w:tcPr>
            <w:tcW w:w="1240" w:type="dxa"/>
            <w:vAlign w:val="bottom"/>
          </w:tcPr>
          <w:p>
            <w:pPr>
              <w:spacing w:after="0"/>
              <w:rPr>
                <w:sz w:val="13"/>
                <w:szCs w:val="13"/>
                <w:color w:val="auto"/>
              </w:rPr>
            </w:pP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218,024</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$36.63</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3/3/2026</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$2,546,520</w:t>
            </w:r>
          </w:p>
        </w:tc>
        <w:tc>
          <w:tcPr>
            <w:tcW w:w="1240" w:type="dxa"/>
            <w:vAlign w:val="bottom"/>
          </w:tcPr>
          <w:p>
            <w:pPr>
              <w:spacing w:after="0"/>
              <w:rPr>
                <w:sz w:val="13"/>
                <w:szCs w:val="13"/>
                <w:color w:val="auto"/>
              </w:rPr>
            </w:pP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268,097</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$42.30</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3/1/2027</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$1,611,263</w:t>
            </w:r>
          </w:p>
        </w:tc>
        <w:tc>
          <w:tcPr>
            <w:tcW w:w="1240" w:type="dxa"/>
            <w:vAlign w:val="bottom"/>
          </w:tcPr>
          <w:p>
            <w:pPr>
              <w:spacing w:after="0"/>
              <w:rPr>
                <w:sz w:val="13"/>
                <w:szCs w:val="13"/>
                <w:color w:val="auto"/>
              </w:rPr>
            </w:pP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Borders>
              <w:bottom w:val="single" w:sz="8" w:color="D95A3B"/>
            </w:tcBorders>
          </w:tcPr>
          <w:p>
            <w:pPr>
              <w:spacing w:after="0"/>
              <w:rPr>
                <w:sz w:val="13"/>
                <w:szCs w:val="13"/>
                <w:color w:val="auto"/>
              </w:rPr>
            </w:pPr>
          </w:p>
        </w:tc>
        <w:tc>
          <w:tcPr>
            <w:tcW w:w="1160" w:type="dxa"/>
            <w:vAlign w:val="bottom"/>
            <w:tcBorders>
              <w:bottom w:val="single" w:sz="8" w:color="D95A3B"/>
            </w:tcBorders>
          </w:tcPr>
          <w:p>
            <w:pPr>
              <w:jc w:val="right"/>
              <w:ind w:right="67"/>
              <w:spacing w:after="0" w:line="155" w:lineRule="exact"/>
              <w:rPr>
                <w:sz w:val="20"/>
                <w:szCs w:val="20"/>
                <w:color w:val="auto"/>
              </w:rPr>
            </w:pPr>
            <w:r>
              <w:rPr>
                <w:rFonts w:ascii="Arial" w:cs="Arial" w:eastAsia="Arial" w:hAnsi="Arial"/>
                <w:sz w:val="14"/>
                <w:szCs w:val="14"/>
                <w:color w:val="auto"/>
              </w:rPr>
              <w:t>242,131</w:t>
            </w:r>
          </w:p>
        </w:tc>
        <w:tc>
          <w:tcPr>
            <w:tcW w:w="1400" w:type="dxa"/>
            <w:vAlign w:val="bottom"/>
            <w:tcBorders>
              <w:bottom w:val="single" w:sz="8" w:color="D95A3B"/>
            </w:tcBorders>
          </w:tcPr>
          <w:p>
            <w:pPr>
              <w:jc w:val="right"/>
              <w:ind w:right="68"/>
              <w:spacing w:after="0" w:line="155" w:lineRule="exact"/>
              <w:rPr>
                <w:sz w:val="20"/>
                <w:szCs w:val="20"/>
                <w:color w:val="auto"/>
              </w:rPr>
            </w:pPr>
            <w:r>
              <w:rPr>
                <w:rFonts w:ascii="Arial" w:cs="Arial" w:eastAsia="Arial" w:hAnsi="Arial"/>
                <w:sz w:val="14"/>
                <w:szCs w:val="14"/>
                <w:color w:val="auto"/>
              </w:rPr>
              <w:t>$39.49</w:t>
            </w:r>
          </w:p>
        </w:tc>
        <w:tc>
          <w:tcPr>
            <w:tcW w:w="1360" w:type="dxa"/>
            <w:vAlign w:val="bottom"/>
            <w:tcBorders>
              <w:bottom w:val="single" w:sz="8" w:color="D95A3B"/>
            </w:tcBorders>
          </w:tcPr>
          <w:p>
            <w:pPr>
              <w:jc w:val="right"/>
              <w:ind w:right="68"/>
              <w:spacing w:after="0" w:line="155" w:lineRule="exact"/>
              <w:rPr>
                <w:sz w:val="20"/>
                <w:szCs w:val="20"/>
                <w:color w:val="auto"/>
              </w:rPr>
            </w:pPr>
            <w:r>
              <w:rPr>
                <w:rFonts w:ascii="Arial" w:cs="Arial" w:eastAsia="Arial" w:hAnsi="Arial"/>
                <w:sz w:val="14"/>
                <w:szCs w:val="14"/>
                <w:color w:val="auto"/>
              </w:rPr>
              <w:t>6/6/2028</w:t>
            </w:r>
          </w:p>
        </w:tc>
        <w:tc>
          <w:tcPr>
            <w:tcW w:w="1240" w:type="dxa"/>
            <w:vAlign w:val="bottom"/>
            <w:tcBorders>
              <w:bottom w:val="single" w:sz="8" w:color="D95A3B"/>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$2,135,595</w:t>
            </w:r>
          </w:p>
        </w:tc>
        <w:tc>
          <w:tcPr>
            <w:tcW w:w="1240" w:type="dxa"/>
            <w:vAlign w:val="bottom"/>
            <w:tcBorders>
              <w:bottom w:val="single" w:sz="8" w:color="D95A3B"/>
            </w:tcBorders>
          </w:tcPr>
          <w:p>
            <w:pPr>
              <w:spacing w:after="0"/>
              <w:rPr>
                <w:sz w:val="13"/>
                <w:szCs w:val="13"/>
                <w:color w:val="auto"/>
              </w:rPr>
            </w:pPr>
          </w:p>
        </w:tc>
        <w:tc>
          <w:tcPr>
            <w:tcW w:w="140" w:type="dxa"/>
            <w:vAlign w:val="bottom"/>
            <w:tcBorders>
              <w:bottom w:val="single" w:sz="8" w:color="D95A3B"/>
              <w:right w:val="single" w:sz="8" w:color="D8D8D8"/>
            </w:tcBorders>
          </w:tcPr>
          <w:p>
            <w:pPr>
              <w:spacing w:after="0"/>
              <w:rPr>
                <w:sz w:val="13"/>
                <w:szCs w:val="13"/>
                <w:color w:val="auto"/>
              </w:rPr>
            </w:pPr>
          </w:p>
        </w:tc>
        <w:tc>
          <w:tcPr>
            <w:tcW w:w="1380" w:type="dxa"/>
            <w:vAlign w:val="bottom"/>
            <w:tcBorders>
              <w:bottom w:val="single" w:sz="8" w:color="D95A3B"/>
              <w:right w:val="single" w:sz="8" w:color="D8D8D8"/>
            </w:tcBorders>
          </w:tcPr>
          <w:p>
            <w:pPr>
              <w:spacing w:after="0"/>
              <w:rPr>
                <w:sz w:val="13"/>
                <w:szCs w:val="13"/>
                <w:color w:val="auto"/>
              </w:rPr>
            </w:pPr>
          </w:p>
        </w:tc>
        <w:tc>
          <w:tcPr>
            <w:tcW w:w="60" w:type="dxa"/>
            <w:vAlign w:val="bottom"/>
            <w:tcBorders>
              <w:bottom w:val="single" w:sz="8" w:color="D95A3B"/>
            </w:tcBorders>
          </w:tcPr>
          <w:p>
            <w:pPr>
              <w:spacing w:after="0"/>
              <w:rPr>
                <w:sz w:val="13"/>
                <w:szCs w:val="13"/>
                <w:color w:val="auto"/>
              </w:rPr>
            </w:pPr>
          </w:p>
        </w:tc>
        <w:tc>
          <w:tcPr>
            <w:tcW w:w="1300" w:type="dxa"/>
            <w:vAlign w:val="bottom"/>
            <w:tcBorders>
              <w:bottom w:val="single" w:sz="8" w:color="D95A3B"/>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line="155" w:lineRule="exact"/>
              <w:rPr>
                <w:sz w:val="20"/>
                <w:szCs w:val="20"/>
                <w:color w:val="auto"/>
              </w:rPr>
            </w:pPr>
            <w:r>
              <w:rPr>
                <w:rFonts w:ascii="Arial" w:cs="Arial" w:eastAsia="Arial" w:hAnsi="Arial"/>
                <w:sz w:val="14"/>
                <w:szCs w:val="14"/>
                <w:b w:val="1"/>
                <w:bCs w:val="1"/>
                <w:color w:val="auto"/>
              </w:rPr>
              <w:t>Brian Peccarelli</w:t>
            </w: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21,628</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$39.50</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3/4/2025</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$190,543</w:t>
            </w: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167,927</w:t>
            </w: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jc w:val="right"/>
              <w:ind w:right="86"/>
              <w:spacing w:after="0" w:line="155" w:lineRule="exact"/>
              <w:rPr>
                <w:sz w:val="20"/>
                <w:szCs w:val="20"/>
                <w:color w:val="auto"/>
              </w:rPr>
            </w:pPr>
            <w:r>
              <w:rPr>
                <w:rFonts w:ascii="Arial" w:cs="Arial" w:eastAsia="Arial" w:hAnsi="Arial"/>
                <w:sz w:val="14"/>
                <w:szCs w:val="14"/>
                <w:color w:val="auto"/>
              </w:rPr>
              <w:t>$8,112,553</w:t>
            </w:r>
          </w:p>
        </w:tc>
        <w:tc>
          <w:tcPr>
            <w:tcW w:w="60" w:type="dxa"/>
            <w:vAlign w:val="bottom"/>
          </w:tcPr>
          <w:p>
            <w:pPr>
              <w:spacing w:after="0"/>
              <w:rPr>
                <w:sz w:val="13"/>
                <w:szCs w:val="13"/>
                <w:color w:val="auto"/>
              </w:rPr>
            </w:pPr>
          </w:p>
        </w:tc>
        <w:tc>
          <w:tcPr>
            <w:tcW w:w="1300" w:type="dxa"/>
            <w:vAlign w:val="bottom"/>
          </w:tcPr>
          <w:p>
            <w:pPr>
              <w:jc w:val="right"/>
              <w:ind w:right="406"/>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88,954</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$36.63</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3/3/2026</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$1,038,983</w:t>
            </w:r>
          </w:p>
        </w:tc>
        <w:tc>
          <w:tcPr>
            <w:tcW w:w="1240" w:type="dxa"/>
            <w:vAlign w:val="bottom"/>
          </w:tcPr>
          <w:p>
            <w:pPr>
              <w:spacing w:after="0"/>
              <w:rPr>
                <w:sz w:val="13"/>
                <w:szCs w:val="13"/>
                <w:color w:val="auto"/>
              </w:rPr>
            </w:pP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84,451</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$42.30</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3/1/2027</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$507,551</w:t>
            </w:r>
          </w:p>
        </w:tc>
        <w:tc>
          <w:tcPr>
            <w:tcW w:w="1240" w:type="dxa"/>
            <w:vAlign w:val="bottom"/>
          </w:tcPr>
          <w:p>
            <w:pPr>
              <w:spacing w:after="0"/>
              <w:rPr>
                <w:sz w:val="13"/>
                <w:szCs w:val="13"/>
                <w:color w:val="auto"/>
              </w:rPr>
            </w:pP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Borders>
              <w:bottom w:val="single" w:sz="8" w:color="D95A3B"/>
            </w:tcBorders>
          </w:tcPr>
          <w:p>
            <w:pPr>
              <w:spacing w:after="0"/>
              <w:rPr>
                <w:sz w:val="13"/>
                <w:szCs w:val="13"/>
                <w:color w:val="auto"/>
              </w:rPr>
            </w:pPr>
          </w:p>
        </w:tc>
        <w:tc>
          <w:tcPr>
            <w:tcW w:w="1160" w:type="dxa"/>
            <w:vAlign w:val="bottom"/>
            <w:tcBorders>
              <w:bottom w:val="single" w:sz="8" w:color="D95A3B"/>
            </w:tcBorders>
          </w:tcPr>
          <w:p>
            <w:pPr>
              <w:jc w:val="right"/>
              <w:ind w:right="67"/>
              <w:spacing w:after="0" w:line="155" w:lineRule="exact"/>
              <w:rPr>
                <w:sz w:val="20"/>
                <w:szCs w:val="20"/>
                <w:color w:val="auto"/>
              </w:rPr>
            </w:pPr>
            <w:r>
              <w:rPr>
                <w:rFonts w:ascii="Arial" w:cs="Arial" w:eastAsia="Arial" w:hAnsi="Arial"/>
                <w:sz w:val="14"/>
                <w:szCs w:val="14"/>
                <w:color w:val="auto"/>
              </w:rPr>
              <w:t>136,199</w:t>
            </w:r>
          </w:p>
        </w:tc>
        <w:tc>
          <w:tcPr>
            <w:tcW w:w="1400" w:type="dxa"/>
            <w:vAlign w:val="bottom"/>
            <w:tcBorders>
              <w:bottom w:val="single" w:sz="8" w:color="D95A3B"/>
            </w:tcBorders>
          </w:tcPr>
          <w:p>
            <w:pPr>
              <w:jc w:val="right"/>
              <w:ind w:right="68"/>
              <w:spacing w:after="0" w:line="155" w:lineRule="exact"/>
              <w:rPr>
                <w:sz w:val="20"/>
                <w:szCs w:val="20"/>
                <w:color w:val="auto"/>
              </w:rPr>
            </w:pPr>
            <w:r>
              <w:rPr>
                <w:rFonts w:ascii="Arial" w:cs="Arial" w:eastAsia="Arial" w:hAnsi="Arial"/>
                <w:sz w:val="14"/>
                <w:szCs w:val="14"/>
                <w:color w:val="auto"/>
              </w:rPr>
              <w:t>$39.49</w:t>
            </w:r>
          </w:p>
        </w:tc>
        <w:tc>
          <w:tcPr>
            <w:tcW w:w="1360" w:type="dxa"/>
            <w:vAlign w:val="bottom"/>
            <w:tcBorders>
              <w:bottom w:val="single" w:sz="8" w:color="D95A3B"/>
            </w:tcBorders>
          </w:tcPr>
          <w:p>
            <w:pPr>
              <w:jc w:val="right"/>
              <w:ind w:right="68"/>
              <w:spacing w:after="0" w:line="155" w:lineRule="exact"/>
              <w:rPr>
                <w:sz w:val="20"/>
                <w:szCs w:val="20"/>
                <w:color w:val="auto"/>
              </w:rPr>
            </w:pPr>
            <w:r>
              <w:rPr>
                <w:rFonts w:ascii="Arial" w:cs="Arial" w:eastAsia="Arial" w:hAnsi="Arial"/>
                <w:sz w:val="14"/>
                <w:szCs w:val="14"/>
                <w:color w:val="auto"/>
              </w:rPr>
              <w:t>6/6/2028</w:t>
            </w:r>
          </w:p>
        </w:tc>
        <w:tc>
          <w:tcPr>
            <w:tcW w:w="1240" w:type="dxa"/>
            <w:vAlign w:val="bottom"/>
            <w:tcBorders>
              <w:bottom w:val="single" w:sz="8" w:color="D95A3B"/>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$1,201,275</w:t>
            </w:r>
          </w:p>
        </w:tc>
        <w:tc>
          <w:tcPr>
            <w:tcW w:w="1240" w:type="dxa"/>
            <w:vAlign w:val="bottom"/>
            <w:tcBorders>
              <w:bottom w:val="single" w:sz="8" w:color="D95A3B"/>
            </w:tcBorders>
          </w:tcPr>
          <w:p>
            <w:pPr>
              <w:spacing w:after="0"/>
              <w:rPr>
                <w:sz w:val="13"/>
                <w:szCs w:val="13"/>
                <w:color w:val="auto"/>
              </w:rPr>
            </w:pPr>
          </w:p>
        </w:tc>
        <w:tc>
          <w:tcPr>
            <w:tcW w:w="140" w:type="dxa"/>
            <w:vAlign w:val="bottom"/>
            <w:tcBorders>
              <w:bottom w:val="single" w:sz="8" w:color="D95A3B"/>
              <w:right w:val="single" w:sz="8" w:color="D8D8D8"/>
            </w:tcBorders>
          </w:tcPr>
          <w:p>
            <w:pPr>
              <w:spacing w:after="0"/>
              <w:rPr>
                <w:sz w:val="13"/>
                <w:szCs w:val="13"/>
                <w:color w:val="auto"/>
              </w:rPr>
            </w:pPr>
          </w:p>
        </w:tc>
        <w:tc>
          <w:tcPr>
            <w:tcW w:w="1380" w:type="dxa"/>
            <w:vAlign w:val="bottom"/>
            <w:tcBorders>
              <w:bottom w:val="single" w:sz="8" w:color="D95A3B"/>
              <w:right w:val="single" w:sz="8" w:color="D8D8D8"/>
            </w:tcBorders>
          </w:tcPr>
          <w:p>
            <w:pPr>
              <w:spacing w:after="0"/>
              <w:rPr>
                <w:sz w:val="13"/>
                <w:szCs w:val="13"/>
                <w:color w:val="auto"/>
              </w:rPr>
            </w:pPr>
          </w:p>
        </w:tc>
        <w:tc>
          <w:tcPr>
            <w:tcW w:w="60" w:type="dxa"/>
            <w:vAlign w:val="bottom"/>
            <w:tcBorders>
              <w:bottom w:val="single" w:sz="8" w:color="D95A3B"/>
            </w:tcBorders>
          </w:tcPr>
          <w:p>
            <w:pPr>
              <w:spacing w:after="0"/>
              <w:rPr>
                <w:sz w:val="13"/>
                <w:szCs w:val="13"/>
                <w:color w:val="auto"/>
              </w:rPr>
            </w:pPr>
          </w:p>
        </w:tc>
        <w:tc>
          <w:tcPr>
            <w:tcW w:w="1300" w:type="dxa"/>
            <w:vAlign w:val="bottom"/>
            <w:tcBorders>
              <w:bottom w:val="single" w:sz="8" w:color="D95A3B"/>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line="155" w:lineRule="exact"/>
              <w:rPr>
                <w:sz w:val="20"/>
                <w:szCs w:val="20"/>
                <w:color w:val="auto"/>
              </w:rPr>
            </w:pPr>
            <w:r>
              <w:rPr>
                <w:rFonts w:ascii="Arial" w:cs="Arial" w:eastAsia="Arial" w:hAnsi="Arial"/>
                <w:sz w:val="14"/>
                <w:szCs w:val="14"/>
                <w:b w:val="1"/>
                <w:bCs w:val="1"/>
                <w:color w:val="auto"/>
              </w:rPr>
              <w:t>Neil Masterson</w:t>
            </w: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21,178</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$34.15</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3/5/2024</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$299,880</w:t>
            </w: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210,883</w:t>
            </w: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jc w:val="right"/>
              <w:ind w:right="86"/>
              <w:spacing w:after="0" w:line="155" w:lineRule="exact"/>
              <w:rPr>
                <w:sz w:val="20"/>
                <w:szCs w:val="20"/>
                <w:color w:val="auto"/>
              </w:rPr>
            </w:pPr>
            <w:r>
              <w:rPr>
                <w:rFonts w:ascii="Arial" w:cs="Arial" w:eastAsia="Arial" w:hAnsi="Arial"/>
                <w:sz w:val="14"/>
                <w:szCs w:val="14"/>
                <w:color w:val="auto"/>
              </w:rPr>
              <w:t>$10,187,758</w:t>
            </w:r>
          </w:p>
        </w:tc>
        <w:tc>
          <w:tcPr>
            <w:tcW w:w="60" w:type="dxa"/>
            <w:vAlign w:val="bottom"/>
          </w:tcPr>
          <w:p>
            <w:pPr>
              <w:spacing w:after="0"/>
              <w:rPr>
                <w:sz w:val="13"/>
                <w:szCs w:val="13"/>
                <w:color w:val="auto"/>
              </w:rPr>
            </w:pPr>
          </w:p>
        </w:tc>
        <w:tc>
          <w:tcPr>
            <w:tcW w:w="1300" w:type="dxa"/>
            <w:vAlign w:val="bottom"/>
          </w:tcPr>
          <w:p>
            <w:pPr>
              <w:jc w:val="right"/>
              <w:ind w:right="406"/>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72,090</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$39.50</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3/4/2025</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$635,113</w:t>
            </w:r>
          </w:p>
        </w:tc>
        <w:tc>
          <w:tcPr>
            <w:tcW w:w="1240" w:type="dxa"/>
            <w:vAlign w:val="bottom"/>
          </w:tcPr>
          <w:p>
            <w:pPr>
              <w:spacing w:after="0"/>
              <w:rPr>
                <w:sz w:val="13"/>
                <w:szCs w:val="13"/>
                <w:color w:val="auto"/>
              </w:rPr>
            </w:pP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90,844</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$36.63</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3/3/2026</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$1,061,058</w:t>
            </w:r>
          </w:p>
        </w:tc>
        <w:tc>
          <w:tcPr>
            <w:tcW w:w="1240" w:type="dxa"/>
            <w:vAlign w:val="bottom"/>
          </w:tcPr>
          <w:p>
            <w:pPr>
              <w:spacing w:after="0"/>
              <w:rPr>
                <w:sz w:val="13"/>
                <w:szCs w:val="13"/>
                <w:color w:val="auto"/>
              </w:rPr>
            </w:pP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160" w:type="dxa"/>
            <w:vAlign w:val="bottom"/>
            <w:tcBorders>
              <w:bottom w:val="single" w:sz="8" w:color="AFAFAF"/>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83,781</w:t>
            </w:r>
          </w:p>
        </w:tc>
        <w:tc>
          <w:tcPr>
            <w:tcW w:w="140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$42.30</w:t>
            </w:r>
          </w:p>
        </w:tc>
        <w:tc>
          <w:tcPr>
            <w:tcW w:w="1360" w:type="dxa"/>
            <w:vAlign w:val="bottom"/>
            <w:tcBorders>
              <w:bottom w:val="single" w:sz="8" w:color="AFAFAF"/>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3/1/2027</w:t>
            </w:r>
          </w:p>
        </w:tc>
        <w:tc>
          <w:tcPr>
            <w:tcW w:w="1240" w:type="dxa"/>
            <w:vAlign w:val="bottom"/>
            <w:tcBorders>
              <w:bottom w:val="single" w:sz="8" w:color="AFAFAF"/>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$503,524</w:t>
            </w:r>
          </w:p>
        </w:tc>
        <w:tc>
          <w:tcPr>
            <w:tcW w:w="1240" w:type="dxa"/>
            <w:vAlign w:val="bottom"/>
          </w:tcPr>
          <w:p>
            <w:pPr>
              <w:spacing w:after="0"/>
              <w:rPr>
                <w:sz w:val="13"/>
                <w:szCs w:val="13"/>
                <w:color w:val="auto"/>
              </w:rPr>
            </w:pPr>
          </w:p>
        </w:tc>
        <w:tc>
          <w:tcPr>
            <w:tcW w:w="140" w:type="dxa"/>
            <w:vAlign w:val="bottom"/>
            <w:tcBorders>
              <w:right w:val="single" w:sz="8" w:color="D8D8D8"/>
            </w:tcBorders>
          </w:tcPr>
          <w:p>
            <w:pPr>
              <w:spacing w:after="0"/>
              <w:rPr>
                <w:sz w:val="13"/>
                <w:szCs w:val="13"/>
                <w:color w:val="auto"/>
              </w:rPr>
            </w:pPr>
          </w:p>
        </w:tc>
        <w:tc>
          <w:tcPr>
            <w:tcW w:w="1380" w:type="dxa"/>
            <w:vAlign w:val="bottom"/>
            <w:tcBorders>
              <w:right w:val="single" w:sz="8" w:color="D8D8D8"/>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Borders>
              <w:bottom w:val="single" w:sz="8" w:color="D95A3B"/>
            </w:tcBorders>
          </w:tcPr>
          <w:p>
            <w:pPr>
              <w:spacing w:after="0"/>
              <w:rPr>
                <w:sz w:val="13"/>
                <w:szCs w:val="13"/>
                <w:color w:val="auto"/>
              </w:rPr>
            </w:pPr>
          </w:p>
        </w:tc>
        <w:tc>
          <w:tcPr>
            <w:tcW w:w="1160" w:type="dxa"/>
            <w:vAlign w:val="bottom"/>
            <w:tcBorders>
              <w:bottom w:val="single" w:sz="8" w:color="D95A3B"/>
            </w:tcBorders>
          </w:tcPr>
          <w:p>
            <w:pPr>
              <w:jc w:val="right"/>
              <w:ind w:right="67"/>
              <w:spacing w:after="0" w:line="155" w:lineRule="exact"/>
              <w:rPr>
                <w:sz w:val="20"/>
                <w:szCs w:val="20"/>
                <w:color w:val="auto"/>
              </w:rPr>
            </w:pPr>
            <w:r>
              <w:rPr>
                <w:rFonts w:ascii="Arial" w:cs="Arial" w:eastAsia="Arial" w:hAnsi="Arial"/>
                <w:sz w:val="14"/>
                <w:szCs w:val="14"/>
                <w:color w:val="auto"/>
              </w:rPr>
              <w:t>136,199</w:t>
            </w:r>
          </w:p>
        </w:tc>
        <w:tc>
          <w:tcPr>
            <w:tcW w:w="1400" w:type="dxa"/>
            <w:vAlign w:val="bottom"/>
            <w:tcBorders>
              <w:bottom w:val="single" w:sz="8" w:color="D95A3B"/>
            </w:tcBorders>
          </w:tcPr>
          <w:p>
            <w:pPr>
              <w:jc w:val="right"/>
              <w:ind w:right="68"/>
              <w:spacing w:after="0" w:line="155" w:lineRule="exact"/>
              <w:rPr>
                <w:sz w:val="20"/>
                <w:szCs w:val="20"/>
                <w:color w:val="auto"/>
              </w:rPr>
            </w:pPr>
            <w:r>
              <w:rPr>
                <w:rFonts w:ascii="Arial" w:cs="Arial" w:eastAsia="Arial" w:hAnsi="Arial"/>
                <w:sz w:val="14"/>
                <w:szCs w:val="14"/>
                <w:color w:val="auto"/>
              </w:rPr>
              <w:t>$39.49</w:t>
            </w:r>
          </w:p>
        </w:tc>
        <w:tc>
          <w:tcPr>
            <w:tcW w:w="1360" w:type="dxa"/>
            <w:vAlign w:val="bottom"/>
            <w:tcBorders>
              <w:bottom w:val="single" w:sz="8" w:color="D95A3B"/>
            </w:tcBorders>
          </w:tcPr>
          <w:p>
            <w:pPr>
              <w:jc w:val="right"/>
              <w:ind w:right="68"/>
              <w:spacing w:after="0" w:line="155" w:lineRule="exact"/>
              <w:rPr>
                <w:sz w:val="20"/>
                <w:szCs w:val="20"/>
                <w:color w:val="auto"/>
              </w:rPr>
            </w:pPr>
            <w:r>
              <w:rPr>
                <w:rFonts w:ascii="Arial" w:cs="Arial" w:eastAsia="Arial" w:hAnsi="Arial"/>
                <w:sz w:val="14"/>
                <w:szCs w:val="14"/>
                <w:color w:val="auto"/>
              </w:rPr>
              <w:t>6/6/2028</w:t>
            </w:r>
          </w:p>
        </w:tc>
        <w:tc>
          <w:tcPr>
            <w:tcW w:w="1240" w:type="dxa"/>
            <w:vAlign w:val="bottom"/>
            <w:tcBorders>
              <w:bottom w:val="single" w:sz="8" w:color="D95A3B"/>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$1,201,275</w:t>
            </w:r>
          </w:p>
        </w:tc>
        <w:tc>
          <w:tcPr>
            <w:tcW w:w="1240" w:type="dxa"/>
            <w:vAlign w:val="bottom"/>
            <w:tcBorders>
              <w:bottom w:val="single" w:sz="8" w:color="D95A3B"/>
            </w:tcBorders>
          </w:tcPr>
          <w:p>
            <w:pPr>
              <w:spacing w:after="0"/>
              <w:rPr>
                <w:sz w:val="13"/>
                <w:szCs w:val="13"/>
                <w:color w:val="auto"/>
              </w:rPr>
            </w:pPr>
          </w:p>
        </w:tc>
        <w:tc>
          <w:tcPr>
            <w:tcW w:w="140" w:type="dxa"/>
            <w:vAlign w:val="bottom"/>
            <w:tcBorders>
              <w:bottom w:val="single" w:sz="8" w:color="D95A3B"/>
              <w:right w:val="single" w:sz="8" w:color="D8D8D8"/>
            </w:tcBorders>
          </w:tcPr>
          <w:p>
            <w:pPr>
              <w:spacing w:after="0"/>
              <w:rPr>
                <w:sz w:val="13"/>
                <w:szCs w:val="13"/>
                <w:color w:val="auto"/>
              </w:rPr>
            </w:pPr>
          </w:p>
        </w:tc>
        <w:tc>
          <w:tcPr>
            <w:tcW w:w="1380" w:type="dxa"/>
            <w:vAlign w:val="bottom"/>
            <w:tcBorders>
              <w:bottom w:val="single" w:sz="8" w:color="D95A3B"/>
              <w:right w:val="single" w:sz="8" w:color="D8D8D8"/>
            </w:tcBorders>
          </w:tcPr>
          <w:p>
            <w:pPr>
              <w:spacing w:after="0"/>
              <w:rPr>
                <w:sz w:val="13"/>
                <w:szCs w:val="13"/>
                <w:color w:val="auto"/>
              </w:rPr>
            </w:pPr>
          </w:p>
        </w:tc>
        <w:tc>
          <w:tcPr>
            <w:tcW w:w="60" w:type="dxa"/>
            <w:vAlign w:val="bottom"/>
            <w:tcBorders>
              <w:bottom w:val="single" w:sz="8" w:color="D95A3B"/>
            </w:tcBorders>
          </w:tcPr>
          <w:p>
            <w:pPr>
              <w:spacing w:after="0"/>
              <w:rPr>
                <w:sz w:val="13"/>
                <w:szCs w:val="13"/>
                <w:color w:val="auto"/>
              </w:rPr>
            </w:pPr>
          </w:p>
        </w:tc>
        <w:tc>
          <w:tcPr>
            <w:tcW w:w="1300" w:type="dxa"/>
            <w:vAlign w:val="bottom"/>
            <w:tcBorders>
              <w:bottom w:val="single" w:sz="8" w:color="D95A3B"/>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Borders>
              <w:bottom w:val="single" w:sz="8" w:color="D95A3B"/>
            </w:tcBorders>
          </w:tcPr>
          <w:p>
            <w:pPr>
              <w:spacing w:after="0" w:line="155" w:lineRule="exact"/>
              <w:rPr>
                <w:sz w:val="20"/>
                <w:szCs w:val="20"/>
                <w:color w:val="auto"/>
              </w:rPr>
            </w:pPr>
            <w:r>
              <w:rPr>
                <w:rFonts w:ascii="Arial" w:cs="Arial" w:eastAsia="Arial" w:hAnsi="Arial"/>
                <w:sz w:val="14"/>
                <w:szCs w:val="14"/>
                <w:b w:val="1"/>
                <w:bCs w:val="1"/>
                <w:color w:val="auto"/>
              </w:rPr>
              <w:t>Michael Friedenberg</w:t>
            </w:r>
          </w:p>
        </w:tc>
        <w:tc>
          <w:tcPr>
            <w:tcW w:w="1160" w:type="dxa"/>
            <w:vAlign w:val="bottom"/>
            <w:tcBorders>
              <w:bottom w:val="single" w:sz="8" w:color="D95A3B"/>
              <w:right w:val="single" w:sz="8" w:color="D8D8D8"/>
            </w:tcBorders>
          </w:tcPr>
          <w:p>
            <w:pPr>
              <w:jc w:val="right"/>
              <w:ind w:right="67"/>
              <w:spacing w:after="0" w:line="155"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D95A3B"/>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D95A3B"/>
              <w:right w:val="single" w:sz="8" w:color="D8D8D8"/>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D95A3B"/>
              <w:right w:val="single" w:sz="8" w:color="D8D8D8"/>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D95A3B"/>
            </w:tcBorders>
          </w:tcPr>
          <w:p>
            <w:pPr>
              <w:jc w:val="right"/>
              <w:spacing w:after="0" w:line="155" w:lineRule="exact"/>
              <w:rPr>
                <w:sz w:val="20"/>
                <w:szCs w:val="20"/>
                <w:color w:val="auto"/>
              </w:rPr>
            </w:pPr>
            <w:r>
              <w:rPr>
                <w:rFonts w:ascii="Arial" w:cs="Arial" w:eastAsia="Arial" w:hAnsi="Arial"/>
                <w:sz w:val="14"/>
                <w:szCs w:val="14"/>
                <w:color w:val="auto"/>
              </w:rPr>
              <w:t>99,030</w:t>
            </w:r>
          </w:p>
        </w:tc>
        <w:tc>
          <w:tcPr>
            <w:tcW w:w="140" w:type="dxa"/>
            <w:vAlign w:val="bottom"/>
            <w:tcBorders>
              <w:bottom w:val="single" w:sz="8" w:color="D95A3B"/>
              <w:right w:val="single" w:sz="8" w:color="D8D8D8"/>
            </w:tcBorders>
          </w:tcPr>
          <w:p>
            <w:pPr>
              <w:spacing w:after="0"/>
              <w:rPr>
                <w:sz w:val="13"/>
                <w:szCs w:val="13"/>
                <w:color w:val="auto"/>
              </w:rPr>
            </w:pPr>
          </w:p>
        </w:tc>
        <w:tc>
          <w:tcPr>
            <w:tcW w:w="1380" w:type="dxa"/>
            <w:vAlign w:val="bottom"/>
            <w:tcBorders>
              <w:bottom w:val="single" w:sz="8" w:color="D95A3B"/>
              <w:right w:val="single" w:sz="8" w:color="D8D8D8"/>
            </w:tcBorders>
          </w:tcPr>
          <w:p>
            <w:pPr>
              <w:jc w:val="right"/>
              <w:ind w:right="86"/>
              <w:spacing w:after="0" w:line="155" w:lineRule="exact"/>
              <w:rPr>
                <w:sz w:val="20"/>
                <w:szCs w:val="20"/>
                <w:color w:val="auto"/>
              </w:rPr>
            </w:pPr>
            <w:r>
              <w:rPr>
                <w:rFonts w:ascii="Arial" w:cs="Arial" w:eastAsia="Arial" w:hAnsi="Arial"/>
                <w:sz w:val="14"/>
                <w:szCs w:val="14"/>
                <w:color w:val="auto"/>
              </w:rPr>
              <w:t>$4,784,139</w:t>
            </w:r>
          </w:p>
        </w:tc>
        <w:tc>
          <w:tcPr>
            <w:tcW w:w="60" w:type="dxa"/>
            <w:vAlign w:val="bottom"/>
            <w:tcBorders>
              <w:bottom w:val="single" w:sz="8" w:color="D95A3B"/>
            </w:tcBorders>
          </w:tcPr>
          <w:p>
            <w:pPr>
              <w:spacing w:after="0"/>
              <w:rPr>
                <w:sz w:val="13"/>
                <w:szCs w:val="13"/>
                <w:color w:val="auto"/>
              </w:rPr>
            </w:pPr>
          </w:p>
        </w:tc>
        <w:tc>
          <w:tcPr>
            <w:tcW w:w="1300" w:type="dxa"/>
            <w:vAlign w:val="bottom"/>
            <w:tcBorders>
              <w:bottom w:val="single" w:sz="8" w:color="D95A3B"/>
            </w:tcBorders>
          </w:tcPr>
          <w:p>
            <w:pPr>
              <w:jc w:val="right"/>
              <w:ind w:right="46"/>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6235065</wp:posOffset>
            </wp:positionH>
            <wp:positionV relativeFrom="paragraph">
              <wp:posOffset>-3084195</wp:posOffset>
            </wp:positionV>
            <wp:extent cx="8255" cy="7518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751840"/>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-3084195</wp:posOffset>
            </wp:positionV>
            <wp:extent cx="8255" cy="7518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751840"/>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-3084195</wp:posOffset>
            </wp:positionV>
            <wp:extent cx="8255" cy="7518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75184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-3084195</wp:posOffset>
            </wp:positionV>
            <wp:extent cx="8255" cy="7518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75184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-3084195</wp:posOffset>
            </wp:positionV>
            <wp:extent cx="8255" cy="7518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751840"/>
                    </a:xfrm>
                    <a:prstGeom prst="rect">
                      <a:avLst/>
                    </a:prstGeom>
                    <a:noFill/>
                  </pic:spPr>
                </pic:pic>
              </a:graphicData>
            </a:graphic>
          </wp:anchor>
        </w:drawing>
      </w:r>
    </w:p>
    <w:p>
      <w:pPr>
        <w:spacing w:after="0" w:line="87" w:lineRule="exact"/>
        <w:rPr>
          <w:sz w:val="20"/>
          <w:szCs w:val="20"/>
          <w:color w:val="auto"/>
        </w:rPr>
      </w:pPr>
    </w:p>
    <w:p>
      <w:pPr>
        <w:ind w:left="220" w:right="240"/>
        <w:spacing w:after="0" w:line="244" w:lineRule="auto"/>
        <w:rPr>
          <w:sz w:val="20"/>
          <w:szCs w:val="20"/>
          <w:color w:val="auto"/>
        </w:rPr>
      </w:pPr>
      <w:r>
        <w:rPr>
          <w:rFonts w:ascii="Arial" w:cs="Arial" w:eastAsia="Arial" w:hAnsi="Arial"/>
          <w:sz w:val="18"/>
          <w:szCs w:val="18"/>
          <w:color w:val="auto"/>
        </w:rPr>
        <w:t>The closing price of our common shares on December 31, 2018 on the NYSE was $48.31. During 2018, the high and low closing prices for our common shares on the NYSE were $51.38 and $37.64, respectively.</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Restricted Share Units – Aggregate Number and Value</w:t>
      </w:r>
    </w:p>
    <w:p>
      <w:pPr>
        <w:spacing w:after="0" w:line="35" w:lineRule="exact"/>
        <w:rPr>
          <w:sz w:val="20"/>
          <w:szCs w:val="20"/>
          <w:color w:val="auto"/>
        </w:rPr>
      </w:pPr>
    </w:p>
    <w:p>
      <w:pPr>
        <w:ind w:left="220" w:right="220"/>
        <w:spacing w:after="0" w:line="238" w:lineRule="auto"/>
        <w:rPr>
          <w:sz w:val="20"/>
          <w:szCs w:val="20"/>
          <w:color w:val="auto"/>
        </w:rPr>
      </w:pPr>
      <w:r>
        <w:rPr>
          <w:rFonts w:ascii="Arial" w:cs="Arial" w:eastAsia="Arial" w:hAnsi="Arial"/>
          <w:sz w:val="18"/>
          <w:szCs w:val="18"/>
          <w:color w:val="auto"/>
        </w:rPr>
        <w:t>The following table sets forth the aggregate number and the value of RSUs held by our named executive officers as of December 31, 2018, based on the closing price of our common shares on the NYSE on that day. RSU amounts below include additional units received from notional dividend equivalents. In 2018, we granted the following additional units from notional dividend equivalents to our named executive officers: Mr. Smith – 9,103; Mr. Bello – 3,969; Mr. Peccarelli – 3,587; Mr. Masterson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0" w:lineRule="exact"/>
        <w:rPr>
          <w:sz w:val="20"/>
          <w:szCs w:val="20"/>
          <w:color w:val="auto"/>
        </w:rPr>
      </w:pPr>
    </w:p>
    <w:p>
      <w:pPr>
        <w:ind w:left="6100"/>
        <w:spacing w:after="0"/>
        <w:tabs>
          <w:tab w:leader="none" w:pos="106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73</w:t>
      </w:r>
    </w:p>
    <w:p>
      <w:pPr>
        <w:sectPr>
          <w:pgSz w:w="11900" w:h="16838" w:orient="portrait"/>
          <w:cols w:equalWidth="0" w:num="1">
            <w:col w:w="11200"/>
          </w:cols>
          <w:pgMar w:left="240" w:top="458"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right="360"/>
        <w:spacing w:after="0" w:line="244" w:lineRule="auto"/>
        <w:rPr>
          <w:sz w:val="20"/>
          <w:szCs w:val="20"/>
          <w:color w:val="auto"/>
        </w:rPr>
      </w:pPr>
      <w:r>
        <w:rPr>
          <w:rFonts w:ascii="Arial" w:cs="Arial" w:eastAsia="Arial" w:hAnsi="Arial"/>
          <w:sz w:val="18"/>
          <w:szCs w:val="18"/>
          <w:color w:val="auto"/>
        </w:rPr>
        <w:t>4,614; and Mr. Friedenberg – 0. Those additional units do not vest until the underlying RSUs vest. For additional information about our RSUs, please see the “Compensation Discussion and Analysis”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6363335</wp:posOffset>
            </wp:positionH>
            <wp:positionV relativeFrom="paragraph">
              <wp:posOffset>66675</wp:posOffset>
            </wp:positionV>
            <wp:extent cx="8255" cy="1282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66675</wp:posOffset>
            </wp:positionV>
            <wp:extent cx="8255" cy="1282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4705350</wp:posOffset>
            </wp:positionH>
            <wp:positionV relativeFrom="paragraph">
              <wp:posOffset>66675</wp:posOffset>
            </wp:positionV>
            <wp:extent cx="8255" cy="1282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66675</wp:posOffset>
            </wp:positionV>
            <wp:extent cx="8255" cy="1282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128270"/>
                    </a:xfrm>
                    <a:prstGeom prst="rect">
                      <a:avLst/>
                    </a:prstGeom>
                    <a:noFill/>
                  </pic:spPr>
                </pic:pic>
              </a:graphicData>
            </a:graphic>
          </wp:anchor>
        </w:drawing>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620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Name</w:t>
            </w:r>
          </w:p>
        </w:tc>
        <w:tc>
          <w:tcPr>
            <w:tcW w:w="1000" w:type="dxa"/>
            <w:vAlign w:val="bottom"/>
            <w:tcBorders>
              <w:bottom w:val="single" w:sz="8" w:color="D95A3B"/>
              <w:right w:val="single" w:sz="8" w:color="CCCCCC"/>
            </w:tcBorders>
            <w:shd w:val="clear" w:color="auto" w:fill="CCCCCC"/>
          </w:tcPr>
          <w:p>
            <w:pPr>
              <w:jc w:val="right"/>
              <w:ind w:right="48"/>
              <w:spacing w:after="0"/>
              <w:rPr>
                <w:sz w:val="20"/>
                <w:szCs w:val="20"/>
                <w:color w:val="auto"/>
              </w:rPr>
            </w:pPr>
            <w:r>
              <w:rPr>
                <w:rFonts w:ascii="Arial" w:cs="Arial" w:eastAsia="Arial" w:hAnsi="Arial"/>
                <w:sz w:val="15"/>
                <w:szCs w:val="15"/>
                <w:b w:val="1"/>
                <w:bCs w:val="1"/>
                <w:color w:val="auto"/>
              </w:rPr>
              <w:t>TRSUs (#)</w:t>
            </w:r>
          </w:p>
        </w:tc>
        <w:tc>
          <w:tcPr>
            <w:tcW w:w="1200" w:type="dxa"/>
            <w:vAlign w:val="bottom"/>
            <w:tcBorders>
              <w:bottom w:val="single" w:sz="8" w:color="D95A3B"/>
              <w:right w:val="single" w:sz="8" w:color="CCCCCC"/>
            </w:tcBorders>
            <w:shd w:val="clear" w:color="auto" w:fill="CCCCCC"/>
          </w:tcPr>
          <w:p>
            <w:pPr>
              <w:jc w:val="right"/>
              <w:ind w:right="168"/>
              <w:spacing w:after="0"/>
              <w:rPr>
                <w:sz w:val="20"/>
                <w:szCs w:val="20"/>
                <w:color w:val="auto"/>
              </w:rPr>
            </w:pPr>
            <w:r>
              <w:rPr>
                <w:rFonts w:ascii="Arial" w:cs="Arial" w:eastAsia="Arial" w:hAnsi="Arial"/>
                <w:sz w:val="15"/>
                <w:szCs w:val="15"/>
                <w:b w:val="1"/>
                <w:bCs w:val="1"/>
                <w:color w:val="auto"/>
              </w:rPr>
              <w:t>PRSUs (#)*</w:t>
            </w:r>
          </w:p>
        </w:tc>
        <w:tc>
          <w:tcPr>
            <w:tcW w:w="1420" w:type="dxa"/>
            <w:vAlign w:val="bottom"/>
            <w:tcBorders>
              <w:bottom w:val="single" w:sz="8" w:color="D95A3B"/>
              <w:right w:val="single" w:sz="8" w:color="CCCCCC"/>
            </w:tcBorders>
            <w:shd w:val="clear" w:color="auto" w:fill="CCCCCC"/>
          </w:tcPr>
          <w:p>
            <w:pPr>
              <w:jc w:val="right"/>
              <w:ind w:right="168"/>
              <w:spacing w:after="0"/>
              <w:rPr>
                <w:sz w:val="20"/>
                <w:szCs w:val="20"/>
                <w:color w:val="auto"/>
              </w:rPr>
            </w:pPr>
            <w:r>
              <w:rPr>
                <w:rFonts w:ascii="Arial" w:cs="Arial" w:eastAsia="Arial" w:hAnsi="Arial"/>
                <w:sz w:val="15"/>
                <w:szCs w:val="15"/>
                <w:b w:val="1"/>
                <w:bCs w:val="1"/>
                <w:color w:val="auto"/>
              </w:rPr>
              <w:t>Total RSUs(#)*</w:t>
            </w:r>
          </w:p>
        </w:tc>
        <w:tc>
          <w:tcPr>
            <w:tcW w:w="1160" w:type="dxa"/>
            <w:vAlign w:val="bottom"/>
            <w:tcBorders>
              <w:bottom w:val="single" w:sz="8" w:color="D95A3B"/>
            </w:tcBorders>
            <w:shd w:val="clear" w:color="auto" w:fill="CCCCCC"/>
          </w:tcPr>
          <w:p>
            <w:pPr>
              <w:jc w:val="right"/>
              <w:ind w:right="148"/>
              <w:spacing w:after="0"/>
              <w:rPr>
                <w:sz w:val="20"/>
                <w:szCs w:val="20"/>
                <w:color w:val="auto"/>
              </w:rPr>
            </w:pPr>
            <w:r>
              <w:rPr>
                <w:rFonts w:ascii="Arial" w:cs="Arial" w:eastAsia="Arial" w:hAnsi="Arial"/>
                <w:sz w:val="15"/>
                <w:szCs w:val="15"/>
                <w:b w:val="1"/>
                <w:bCs w:val="1"/>
                <w:color w:val="auto"/>
              </w:rPr>
              <w:t>Value ($)*</w:t>
            </w:r>
          </w:p>
        </w:tc>
      </w:tr>
      <w:tr>
        <w:trPr>
          <w:trHeight w:val="155"/>
        </w:trPr>
        <w:tc>
          <w:tcPr>
            <w:tcW w:w="62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James C. Smith</w:t>
            </w:r>
          </w:p>
        </w:tc>
        <w:tc>
          <w:tcPr>
            <w:tcW w:w="1000" w:type="dxa"/>
            <w:vAlign w:val="bottom"/>
            <w:tcBorders>
              <w:bottom w:val="single" w:sz="8" w:color="AFAFAF"/>
              <w:right w:val="single" w:sz="8" w:color="AFAFAF"/>
            </w:tcBorders>
          </w:tcPr>
          <w:p>
            <w:pPr>
              <w:jc w:val="right"/>
              <w:ind w:right="48"/>
              <w:spacing w:after="0" w:line="155" w:lineRule="exact"/>
              <w:rPr>
                <w:sz w:val="20"/>
                <w:szCs w:val="20"/>
                <w:color w:val="auto"/>
              </w:rPr>
            </w:pPr>
            <w:r>
              <w:rPr>
                <w:rFonts w:ascii="Arial" w:cs="Arial" w:eastAsia="Arial" w:hAnsi="Arial"/>
                <w:sz w:val="14"/>
                <w:szCs w:val="14"/>
                <w:color w:val="auto"/>
              </w:rPr>
              <w:t>113,045</w:t>
            </w:r>
          </w:p>
        </w:tc>
        <w:tc>
          <w:tcPr>
            <w:tcW w:w="120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240,777</w:t>
            </w:r>
          </w:p>
        </w:tc>
        <w:tc>
          <w:tcPr>
            <w:tcW w:w="142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353,822</w:t>
            </w:r>
          </w:p>
        </w:tc>
        <w:tc>
          <w:tcPr>
            <w:tcW w:w="1160" w:type="dxa"/>
            <w:vAlign w:val="bottom"/>
            <w:tcBorders>
              <w:bottom w:val="single" w:sz="8" w:color="AFAFAF"/>
            </w:tcBorders>
          </w:tcPr>
          <w:p>
            <w:pPr>
              <w:jc w:val="right"/>
              <w:ind w:right="148"/>
              <w:spacing w:after="0" w:line="155" w:lineRule="exact"/>
              <w:rPr>
                <w:sz w:val="20"/>
                <w:szCs w:val="20"/>
                <w:color w:val="auto"/>
              </w:rPr>
            </w:pPr>
            <w:r>
              <w:rPr>
                <w:rFonts w:ascii="Arial" w:cs="Arial" w:eastAsia="Arial" w:hAnsi="Arial"/>
                <w:sz w:val="14"/>
                <w:szCs w:val="14"/>
                <w:color w:val="auto"/>
              </w:rPr>
              <w:t>$17,093,141</w:t>
            </w:r>
          </w:p>
        </w:tc>
      </w:tr>
      <w:tr>
        <w:trPr>
          <w:trHeight w:val="155"/>
        </w:trPr>
        <w:tc>
          <w:tcPr>
            <w:tcW w:w="62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Stephane Bello</w:t>
            </w:r>
          </w:p>
        </w:tc>
        <w:tc>
          <w:tcPr>
            <w:tcW w:w="1000" w:type="dxa"/>
            <w:vAlign w:val="bottom"/>
            <w:tcBorders>
              <w:bottom w:val="single" w:sz="8" w:color="AFAFAF"/>
              <w:right w:val="single" w:sz="8" w:color="AFAFAF"/>
            </w:tcBorders>
          </w:tcPr>
          <w:p>
            <w:pPr>
              <w:jc w:val="right"/>
              <w:ind w:right="48"/>
              <w:spacing w:after="0" w:line="155" w:lineRule="exact"/>
              <w:rPr>
                <w:sz w:val="20"/>
                <w:szCs w:val="20"/>
                <w:color w:val="auto"/>
              </w:rPr>
            </w:pPr>
            <w:r>
              <w:rPr>
                <w:rFonts w:ascii="Arial" w:cs="Arial" w:eastAsia="Arial" w:hAnsi="Arial"/>
                <w:sz w:val="14"/>
                <w:szCs w:val="14"/>
                <w:color w:val="auto"/>
              </w:rPr>
              <w:t>25,692</w:t>
            </w:r>
          </w:p>
        </w:tc>
        <w:tc>
          <w:tcPr>
            <w:tcW w:w="120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99,365</w:t>
            </w:r>
          </w:p>
        </w:tc>
        <w:tc>
          <w:tcPr>
            <w:tcW w:w="142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125,057</w:t>
            </w:r>
          </w:p>
        </w:tc>
        <w:tc>
          <w:tcPr>
            <w:tcW w:w="1160" w:type="dxa"/>
            <w:vAlign w:val="bottom"/>
            <w:tcBorders>
              <w:bottom w:val="single" w:sz="8" w:color="AFAFAF"/>
            </w:tcBorders>
          </w:tcPr>
          <w:p>
            <w:pPr>
              <w:jc w:val="right"/>
              <w:ind w:right="148"/>
              <w:spacing w:after="0" w:line="155" w:lineRule="exact"/>
              <w:rPr>
                <w:sz w:val="20"/>
                <w:szCs w:val="20"/>
                <w:color w:val="auto"/>
              </w:rPr>
            </w:pPr>
            <w:r>
              <w:rPr>
                <w:rFonts w:ascii="Arial" w:cs="Arial" w:eastAsia="Arial" w:hAnsi="Arial"/>
                <w:sz w:val="14"/>
                <w:szCs w:val="14"/>
                <w:color w:val="auto"/>
              </w:rPr>
              <w:t>$6,041,504</w:t>
            </w:r>
          </w:p>
        </w:tc>
      </w:tr>
      <w:tr>
        <w:trPr>
          <w:trHeight w:val="155"/>
        </w:trPr>
        <w:tc>
          <w:tcPr>
            <w:tcW w:w="62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Brian Peccarelli</w:t>
            </w:r>
          </w:p>
        </w:tc>
        <w:tc>
          <w:tcPr>
            <w:tcW w:w="1000" w:type="dxa"/>
            <w:vAlign w:val="bottom"/>
            <w:tcBorders>
              <w:bottom w:val="single" w:sz="8" w:color="AFAFAF"/>
              <w:right w:val="single" w:sz="8" w:color="AFAFAF"/>
            </w:tcBorders>
          </w:tcPr>
          <w:p>
            <w:pPr>
              <w:jc w:val="right"/>
              <w:ind w:right="48"/>
              <w:spacing w:after="0" w:line="155" w:lineRule="exact"/>
              <w:rPr>
                <w:sz w:val="20"/>
                <w:szCs w:val="20"/>
                <w:color w:val="auto"/>
              </w:rPr>
            </w:pPr>
            <w:r>
              <w:rPr>
                <w:rFonts w:ascii="Arial" w:cs="Arial" w:eastAsia="Arial" w:hAnsi="Arial"/>
                <w:sz w:val="14"/>
                <w:szCs w:val="14"/>
                <w:color w:val="auto"/>
              </w:rPr>
              <w:t>150,958</w:t>
            </w:r>
          </w:p>
        </w:tc>
        <w:tc>
          <w:tcPr>
            <w:tcW w:w="120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16,969</w:t>
            </w:r>
          </w:p>
        </w:tc>
        <w:tc>
          <w:tcPr>
            <w:tcW w:w="142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167,927</w:t>
            </w:r>
          </w:p>
        </w:tc>
        <w:tc>
          <w:tcPr>
            <w:tcW w:w="1160" w:type="dxa"/>
            <w:vAlign w:val="bottom"/>
            <w:tcBorders>
              <w:bottom w:val="single" w:sz="8" w:color="AFAFAF"/>
            </w:tcBorders>
          </w:tcPr>
          <w:p>
            <w:pPr>
              <w:jc w:val="right"/>
              <w:ind w:right="148"/>
              <w:spacing w:after="0" w:line="155" w:lineRule="exact"/>
              <w:rPr>
                <w:sz w:val="20"/>
                <w:szCs w:val="20"/>
                <w:color w:val="auto"/>
              </w:rPr>
            </w:pPr>
            <w:r>
              <w:rPr>
                <w:rFonts w:ascii="Arial" w:cs="Arial" w:eastAsia="Arial" w:hAnsi="Arial"/>
                <w:sz w:val="14"/>
                <w:szCs w:val="14"/>
                <w:color w:val="auto"/>
              </w:rPr>
              <w:t>$8,112,553</w:t>
            </w:r>
          </w:p>
        </w:tc>
      </w:tr>
      <w:tr>
        <w:trPr>
          <w:trHeight w:val="155"/>
        </w:trPr>
        <w:tc>
          <w:tcPr>
            <w:tcW w:w="62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Neil Masterson</w:t>
            </w:r>
          </w:p>
        </w:tc>
        <w:tc>
          <w:tcPr>
            <w:tcW w:w="1000" w:type="dxa"/>
            <w:vAlign w:val="bottom"/>
            <w:tcBorders>
              <w:bottom w:val="single" w:sz="8" w:color="AFAFAF"/>
              <w:right w:val="single" w:sz="8" w:color="AFAFAF"/>
            </w:tcBorders>
          </w:tcPr>
          <w:p>
            <w:pPr>
              <w:jc w:val="right"/>
              <w:ind w:right="48"/>
              <w:spacing w:after="0" w:line="155" w:lineRule="exact"/>
              <w:rPr>
                <w:sz w:val="20"/>
                <w:szCs w:val="20"/>
                <w:color w:val="auto"/>
              </w:rPr>
            </w:pPr>
            <w:r>
              <w:rPr>
                <w:rFonts w:ascii="Arial" w:cs="Arial" w:eastAsia="Arial" w:hAnsi="Arial"/>
                <w:sz w:val="14"/>
                <w:szCs w:val="14"/>
                <w:color w:val="auto"/>
              </w:rPr>
              <w:t>139,275</w:t>
            </w:r>
          </w:p>
        </w:tc>
        <w:tc>
          <w:tcPr>
            <w:tcW w:w="120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71,608</w:t>
            </w:r>
          </w:p>
        </w:tc>
        <w:tc>
          <w:tcPr>
            <w:tcW w:w="1420" w:type="dxa"/>
            <w:vAlign w:val="bottom"/>
            <w:tcBorders>
              <w:bottom w:val="single" w:sz="8" w:color="AFAFAF"/>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210,883</w:t>
            </w:r>
          </w:p>
        </w:tc>
        <w:tc>
          <w:tcPr>
            <w:tcW w:w="1160" w:type="dxa"/>
            <w:vAlign w:val="bottom"/>
            <w:tcBorders>
              <w:bottom w:val="single" w:sz="8" w:color="AFAFAF"/>
            </w:tcBorders>
          </w:tcPr>
          <w:p>
            <w:pPr>
              <w:jc w:val="right"/>
              <w:ind w:right="148"/>
              <w:spacing w:after="0" w:line="155" w:lineRule="exact"/>
              <w:rPr>
                <w:sz w:val="20"/>
                <w:szCs w:val="20"/>
                <w:color w:val="auto"/>
              </w:rPr>
            </w:pPr>
            <w:r>
              <w:rPr>
                <w:rFonts w:ascii="Arial" w:cs="Arial" w:eastAsia="Arial" w:hAnsi="Arial"/>
                <w:sz w:val="14"/>
                <w:szCs w:val="14"/>
                <w:color w:val="auto"/>
              </w:rPr>
              <w:t>$10,187,758</w:t>
            </w:r>
          </w:p>
        </w:tc>
      </w:tr>
      <w:tr>
        <w:trPr>
          <w:trHeight w:val="155"/>
        </w:trPr>
        <w:tc>
          <w:tcPr>
            <w:tcW w:w="62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Michael Friedenberg</w:t>
            </w:r>
          </w:p>
        </w:tc>
        <w:tc>
          <w:tcPr>
            <w:tcW w:w="1000" w:type="dxa"/>
            <w:vAlign w:val="bottom"/>
            <w:tcBorders>
              <w:bottom w:val="single" w:sz="8" w:color="D95A3B"/>
              <w:right w:val="single" w:sz="8" w:color="AFAFAF"/>
            </w:tcBorders>
          </w:tcPr>
          <w:p>
            <w:pPr>
              <w:jc w:val="right"/>
              <w:ind w:right="48"/>
              <w:spacing w:after="0" w:line="155" w:lineRule="exact"/>
              <w:rPr>
                <w:sz w:val="20"/>
                <w:szCs w:val="20"/>
                <w:color w:val="auto"/>
              </w:rPr>
            </w:pPr>
            <w:r>
              <w:rPr>
                <w:rFonts w:ascii="Arial" w:cs="Arial" w:eastAsia="Arial" w:hAnsi="Arial"/>
                <w:sz w:val="14"/>
                <w:szCs w:val="14"/>
                <w:color w:val="auto"/>
              </w:rPr>
              <w:t>99,030</w:t>
            </w:r>
          </w:p>
        </w:tc>
        <w:tc>
          <w:tcPr>
            <w:tcW w:w="1200" w:type="dxa"/>
            <w:vAlign w:val="bottom"/>
            <w:tcBorders>
              <w:bottom w:val="single" w:sz="8" w:color="D95A3B"/>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D95A3B"/>
              <w:right w:val="single" w:sz="8" w:color="AFAFAF"/>
            </w:tcBorders>
          </w:tcPr>
          <w:p>
            <w:pPr>
              <w:jc w:val="right"/>
              <w:ind w:right="168"/>
              <w:spacing w:after="0" w:line="155" w:lineRule="exact"/>
              <w:rPr>
                <w:sz w:val="20"/>
                <w:szCs w:val="20"/>
                <w:color w:val="auto"/>
              </w:rPr>
            </w:pPr>
            <w:r>
              <w:rPr>
                <w:rFonts w:ascii="Arial" w:cs="Arial" w:eastAsia="Arial" w:hAnsi="Arial"/>
                <w:sz w:val="14"/>
                <w:szCs w:val="14"/>
                <w:color w:val="auto"/>
              </w:rPr>
              <w:t>99,030</w:t>
            </w:r>
          </w:p>
        </w:tc>
        <w:tc>
          <w:tcPr>
            <w:tcW w:w="1160" w:type="dxa"/>
            <w:vAlign w:val="bottom"/>
            <w:tcBorders>
              <w:bottom w:val="single" w:sz="8" w:color="D95A3B"/>
            </w:tcBorders>
          </w:tcPr>
          <w:p>
            <w:pPr>
              <w:jc w:val="right"/>
              <w:ind w:right="148"/>
              <w:spacing w:after="0" w:line="155" w:lineRule="exact"/>
              <w:rPr>
                <w:sz w:val="20"/>
                <w:szCs w:val="20"/>
                <w:color w:val="auto"/>
              </w:rPr>
            </w:pPr>
            <w:r>
              <w:rPr>
                <w:rFonts w:ascii="Arial" w:cs="Arial" w:eastAsia="Arial" w:hAnsi="Arial"/>
                <w:sz w:val="14"/>
                <w:szCs w:val="14"/>
                <w:color w:val="auto"/>
              </w:rPr>
              <w:t>$4,784,139</w:t>
            </w:r>
          </w:p>
        </w:tc>
      </w:tr>
    </w:tbl>
    <w:p>
      <w:pPr>
        <w:spacing w:after="0" w:line="11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Assumes vesting of PRSUs at the target amount (100%).</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Incentive Plan Awards – Value Vested or Earned in 2018</w:t>
      </w:r>
    </w:p>
    <w:p>
      <w:pPr>
        <w:spacing w:after="0" w:line="35" w:lineRule="exact"/>
        <w:rPr>
          <w:sz w:val="20"/>
          <w:szCs w:val="20"/>
          <w:color w:val="auto"/>
        </w:rPr>
      </w:pPr>
    </w:p>
    <w:p>
      <w:pPr>
        <w:ind w:left="220" w:right="20"/>
        <w:spacing w:after="0" w:line="238" w:lineRule="auto"/>
        <w:rPr>
          <w:sz w:val="20"/>
          <w:szCs w:val="20"/>
          <w:color w:val="auto"/>
        </w:rPr>
      </w:pPr>
      <w:r>
        <w:rPr>
          <w:rFonts w:ascii="Arial" w:cs="Arial" w:eastAsia="Arial" w:hAnsi="Arial"/>
          <w:sz w:val="18"/>
          <w:szCs w:val="18"/>
          <w:color w:val="auto"/>
        </w:rPr>
        <w:t>The following table sets forth information regarding incentive plan awards that vested or were earned in 2018. The dollar value of share-based awards (PRSUs and TRSUs) reflects the number of units vested multiplied by the closing price of our common shares on the NYSE on the vesting date. Non-equity incentive plan compensation reflects the value of annual cash incentive awards earned for 2018. For more information regarding these awards, please see the “Compensation Discussion and Analysis”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68580</wp:posOffset>
            </wp:positionV>
            <wp:extent cx="8255" cy="4445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444500"/>
                    </a:xfrm>
                    <a:prstGeom prst="rect">
                      <a:avLst/>
                    </a:prstGeom>
                    <a:noFill/>
                  </pic:spPr>
                </pic:pic>
              </a:graphicData>
            </a:graphic>
          </wp:anchor>
        </w:drawing>
        <w:drawing>
          <wp:anchor simplePos="0" relativeHeight="251657728" behindDoc="1" locked="0" layoutInCell="0" allowOverlap="1">
            <wp:simplePos x="0" y="0"/>
            <wp:positionH relativeFrom="column">
              <wp:posOffset>3021330</wp:posOffset>
            </wp:positionH>
            <wp:positionV relativeFrom="paragraph">
              <wp:posOffset>68580</wp:posOffset>
            </wp:positionV>
            <wp:extent cx="8255" cy="4445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444500"/>
                    </a:xfrm>
                    <a:prstGeom prst="rect">
                      <a:avLst/>
                    </a:prstGeom>
                    <a:noFill/>
                  </pic:spPr>
                </pic:pic>
              </a:graphicData>
            </a:graphic>
          </wp:anchor>
        </w:drawing>
        <w:drawing>
          <wp:anchor simplePos="0" relativeHeight="251657728" behindDoc="1" locked="0" layoutInCell="0" allowOverlap="1">
            <wp:simplePos x="0" y="0"/>
            <wp:positionH relativeFrom="column">
              <wp:posOffset>1081405</wp:posOffset>
            </wp:positionH>
            <wp:positionV relativeFrom="paragraph">
              <wp:posOffset>68580</wp:posOffset>
            </wp:positionV>
            <wp:extent cx="8255" cy="4445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444500"/>
                    </a:xfrm>
                    <a:prstGeom prst="rect">
                      <a:avLst/>
                    </a:prstGeom>
                    <a:noFill/>
                  </pic:spPr>
                </pic:pic>
              </a:graphicData>
            </a:graphic>
          </wp:anchor>
        </w:drawing>
      </w:r>
    </w:p>
    <w:p>
      <w:pPr>
        <w:spacing w:after="0" w:line="83"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1500" w:type="dxa"/>
            <w:vAlign w:val="bottom"/>
            <w:tcBorders>
              <w:right w:val="single" w:sz="8" w:color="CCCCCC"/>
            </w:tcBorders>
            <w:shd w:val="clear" w:color="auto" w:fill="CCCCCC"/>
          </w:tcPr>
          <w:p>
            <w:pPr>
              <w:spacing w:after="0"/>
              <w:rPr>
                <w:sz w:val="14"/>
                <w:szCs w:val="14"/>
                <w:color w:val="auto"/>
              </w:rPr>
            </w:pPr>
          </w:p>
        </w:tc>
        <w:tc>
          <w:tcPr>
            <w:tcW w:w="3060" w:type="dxa"/>
            <w:vAlign w:val="bottom"/>
            <w:tcBorders>
              <w:right w:val="single" w:sz="8" w:color="CCCCCC"/>
            </w:tcBorders>
            <w:shd w:val="clear" w:color="auto" w:fill="CCCCCC"/>
          </w:tcPr>
          <w:p>
            <w:pPr>
              <w:spacing w:after="0"/>
              <w:rPr>
                <w:sz w:val="14"/>
                <w:szCs w:val="14"/>
                <w:color w:val="auto"/>
              </w:rPr>
            </w:pPr>
          </w:p>
        </w:tc>
        <w:tc>
          <w:tcPr>
            <w:tcW w:w="3580" w:type="dxa"/>
            <w:vAlign w:val="bottom"/>
            <w:tcBorders>
              <w:right w:val="single" w:sz="8" w:color="CCCCCC"/>
            </w:tcBorders>
            <w:shd w:val="clear" w:color="auto" w:fill="CCCCCC"/>
          </w:tcPr>
          <w:p>
            <w:pPr>
              <w:spacing w:after="0"/>
              <w:rPr>
                <w:sz w:val="14"/>
                <w:szCs w:val="14"/>
                <w:color w:val="auto"/>
              </w:rPr>
            </w:pPr>
          </w:p>
        </w:tc>
        <w:tc>
          <w:tcPr>
            <w:tcW w:w="2840" w:type="dxa"/>
            <w:vAlign w:val="bottom"/>
            <w:shd w:val="clear" w:color="auto" w:fill="CCCCCC"/>
          </w:tcPr>
          <w:p>
            <w:pPr>
              <w:jc w:val="right"/>
              <w:ind w:right="426"/>
              <w:spacing w:after="0"/>
              <w:rPr>
                <w:sz w:val="20"/>
                <w:szCs w:val="20"/>
                <w:color w:val="auto"/>
              </w:rPr>
            </w:pPr>
            <w:r>
              <w:rPr>
                <w:rFonts w:ascii="Arial" w:cs="Arial" w:eastAsia="Arial" w:hAnsi="Arial"/>
                <w:sz w:val="15"/>
                <w:szCs w:val="15"/>
                <w:b w:val="1"/>
                <w:bCs w:val="1"/>
                <w:color w:val="auto"/>
              </w:rPr>
              <w:t>Non-equity incentive plan</w:t>
            </w:r>
          </w:p>
        </w:tc>
        <w:tc>
          <w:tcPr>
            <w:tcW w:w="0" w:type="dxa"/>
            <w:vAlign w:val="bottom"/>
          </w:tcPr>
          <w:p>
            <w:pPr>
              <w:spacing w:after="0"/>
              <w:rPr>
                <w:sz w:val="1"/>
                <w:szCs w:val="1"/>
                <w:color w:val="auto"/>
              </w:rPr>
            </w:pPr>
          </w:p>
        </w:tc>
      </w:tr>
      <w:tr>
        <w:trPr>
          <w:trHeight w:val="162"/>
        </w:trPr>
        <w:tc>
          <w:tcPr>
            <w:tcW w:w="1500" w:type="dxa"/>
            <w:vAlign w:val="bottom"/>
            <w:tcBorders>
              <w:right w:val="single" w:sz="8" w:color="CCCCCC"/>
            </w:tcBorders>
            <w:shd w:val="clear" w:color="auto" w:fill="CCCCCC"/>
          </w:tcPr>
          <w:p>
            <w:pPr>
              <w:spacing w:after="0"/>
              <w:rPr>
                <w:sz w:val="14"/>
                <w:szCs w:val="14"/>
                <w:color w:val="auto"/>
              </w:rPr>
            </w:pPr>
          </w:p>
        </w:tc>
        <w:tc>
          <w:tcPr>
            <w:tcW w:w="3060" w:type="dxa"/>
            <w:vAlign w:val="bottom"/>
            <w:tcBorders>
              <w:right w:val="single" w:sz="8" w:color="CCCCCC"/>
            </w:tcBorders>
            <w:vMerge w:val="restart"/>
            <w:shd w:val="clear" w:color="auto" w:fill="CCCCCC"/>
          </w:tcPr>
          <w:p>
            <w:pPr>
              <w:jc w:val="right"/>
              <w:ind w:right="407"/>
              <w:spacing w:after="0"/>
              <w:rPr>
                <w:sz w:val="20"/>
                <w:szCs w:val="20"/>
                <w:color w:val="auto"/>
              </w:rPr>
            </w:pPr>
            <w:r>
              <w:rPr>
                <w:rFonts w:ascii="Arial" w:cs="Arial" w:eastAsia="Arial" w:hAnsi="Arial"/>
                <w:sz w:val="15"/>
                <w:szCs w:val="15"/>
                <w:b w:val="1"/>
                <w:bCs w:val="1"/>
                <w:color w:val="auto"/>
              </w:rPr>
              <w:t>Option-based awards – value</w:t>
            </w:r>
          </w:p>
        </w:tc>
        <w:tc>
          <w:tcPr>
            <w:tcW w:w="3580" w:type="dxa"/>
            <w:vAlign w:val="bottom"/>
            <w:tcBorders>
              <w:right w:val="single" w:sz="8" w:color="CCCCCC"/>
            </w:tcBorders>
            <w:vMerge w:val="restart"/>
            <w:shd w:val="clear" w:color="auto" w:fill="CCCCCC"/>
          </w:tcPr>
          <w:p>
            <w:pPr>
              <w:jc w:val="right"/>
              <w:ind w:right="467"/>
              <w:spacing w:after="0"/>
              <w:rPr>
                <w:sz w:val="20"/>
                <w:szCs w:val="20"/>
                <w:color w:val="auto"/>
              </w:rPr>
            </w:pPr>
            <w:r>
              <w:rPr>
                <w:rFonts w:ascii="Arial" w:cs="Arial" w:eastAsia="Arial" w:hAnsi="Arial"/>
                <w:sz w:val="15"/>
                <w:szCs w:val="15"/>
                <w:b w:val="1"/>
                <w:bCs w:val="1"/>
                <w:color w:val="auto"/>
              </w:rPr>
              <w:t>Share-based awards – value vested</w:t>
            </w:r>
          </w:p>
        </w:tc>
        <w:tc>
          <w:tcPr>
            <w:tcW w:w="2840" w:type="dxa"/>
            <w:vAlign w:val="bottom"/>
            <w:shd w:val="clear" w:color="auto" w:fill="CCCCCC"/>
          </w:tcPr>
          <w:p>
            <w:pPr>
              <w:jc w:val="right"/>
              <w:ind w:right="426"/>
              <w:spacing w:after="0" w:line="161" w:lineRule="exact"/>
              <w:rPr>
                <w:sz w:val="20"/>
                <w:szCs w:val="20"/>
                <w:color w:val="auto"/>
              </w:rPr>
            </w:pPr>
            <w:r>
              <w:rPr>
                <w:rFonts w:ascii="Arial" w:cs="Arial" w:eastAsia="Arial" w:hAnsi="Arial"/>
                <w:sz w:val="15"/>
                <w:szCs w:val="15"/>
                <w:b w:val="1"/>
                <w:bCs w:val="1"/>
                <w:color w:val="auto"/>
              </w:rPr>
              <w:t>compensation –</w:t>
            </w:r>
          </w:p>
        </w:tc>
        <w:tc>
          <w:tcPr>
            <w:tcW w:w="0" w:type="dxa"/>
            <w:vAlign w:val="bottom"/>
          </w:tcPr>
          <w:p>
            <w:pPr>
              <w:spacing w:after="0"/>
              <w:rPr>
                <w:sz w:val="1"/>
                <w:szCs w:val="1"/>
                <w:color w:val="auto"/>
              </w:rPr>
            </w:pPr>
          </w:p>
        </w:tc>
      </w:tr>
      <w:tr>
        <w:trPr>
          <w:trHeight w:val="162"/>
        </w:trPr>
        <w:tc>
          <w:tcPr>
            <w:tcW w:w="1500" w:type="dxa"/>
            <w:vAlign w:val="bottom"/>
            <w:tcBorders>
              <w:right w:val="single" w:sz="8" w:color="CCCCCC"/>
            </w:tcBorders>
            <w:shd w:val="clear" w:color="auto" w:fill="CCCCCC"/>
          </w:tcPr>
          <w:p>
            <w:pPr>
              <w:spacing w:after="0"/>
              <w:rPr>
                <w:sz w:val="14"/>
                <w:szCs w:val="14"/>
                <w:color w:val="auto"/>
              </w:rPr>
            </w:pPr>
          </w:p>
        </w:tc>
        <w:tc>
          <w:tcPr>
            <w:tcW w:w="3060" w:type="dxa"/>
            <w:vAlign w:val="bottom"/>
            <w:tcBorders>
              <w:right w:val="single" w:sz="8" w:color="CCCCCC"/>
            </w:tcBorders>
            <w:vMerge w:val="continue"/>
            <w:shd w:val="clear" w:color="auto" w:fill="CCCCCC"/>
          </w:tcPr>
          <w:p>
            <w:pPr>
              <w:spacing w:after="0"/>
              <w:rPr>
                <w:sz w:val="14"/>
                <w:szCs w:val="14"/>
                <w:color w:val="auto"/>
              </w:rPr>
            </w:pPr>
          </w:p>
        </w:tc>
        <w:tc>
          <w:tcPr>
            <w:tcW w:w="3580" w:type="dxa"/>
            <w:vAlign w:val="bottom"/>
            <w:tcBorders>
              <w:right w:val="single" w:sz="8" w:color="CCCCCC"/>
            </w:tcBorders>
            <w:vMerge w:val="continue"/>
            <w:shd w:val="clear" w:color="auto" w:fill="CCCCCC"/>
          </w:tcPr>
          <w:p>
            <w:pPr>
              <w:spacing w:after="0"/>
              <w:rPr>
                <w:sz w:val="14"/>
                <w:szCs w:val="14"/>
                <w:color w:val="auto"/>
              </w:rPr>
            </w:pPr>
          </w:p>
        </w:tc>
        <w:tc>
          <w:tcPr>
            <w:tcW w:w="2840" w:type="dxa"/>
            <w:vAlign w:val="bottom"/>
            <w:shd w:val="clear" w:color="auto" w:fill="CCCCCC"/>
          </w:tcPr>
          <w:p>
            <w:pPr>
              <w:jc w:val="right"/>
              <w:ind w:right="426"/>
              <w:spacing w:after="0" w:line="161" w:lineRule="exact"/>
              <w:rPr>
                <w:sz w:val="20"/>
                <w:szCs w:val="20"/>
                <w:color w:val="auto"/>
              </w:rPr>
            </w:pPr>
            <w:r>
              <w:rPr>
                <w:rFonts w:ascii="Arial" w:cs="Arial" w:eastAsia="Arial" w:hAnsi="Arial"/>
                <w:sz w:val="15"/>
                <w:szCs w:val="15"/>
                <w:b w:val="1"/>
                <w:bCs w:val="1"/>
                <w:color w:val="auto"/>
              </w:rPr>
              <w:t>value earned during</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Name</w:t>
            </w:r>
          </w:p>
        </w:tc>
        <w:tc>
          <w:tcPr>
            <w:tcW w:w="3060" w:type="dxa"/>
            <w:vAlign w:val="bottom"/>
            <w:tcBorders>
              <w:bottom w:val="single" w:sz="8" w:color="D95A3B"/>
              <w:right w:val="single" w:sz="8" w:color="CCCCCC"/>
            </w:tcBorders>
            <w:shd w:val="clear" w:color="auto" w:fill="CCCCCC"/>
          </w:tcPr>
          <w:p>
            <w:pPr>
              <w:jc w:val="right"/>
              <w:ind w:right="407"/>
              <w:spacing w:after="0"/>
              <w:rPr>
                <w:sz w:val="20"/>
                <w:szCs w:val="20"/>
                <w:color w:val="auto"/>
              </w:rPr>
            </w:pPr>
            <w:r>
              <w:rPr>
                <w:rFonts w:ascii="Arial" w:cs="Arial" w:eastAsia="Arial" w:hAnsi="Arial"/>
                <w:sz w:val="15"/>
                <w:szCs w:val="15"/>
                <w:b w:val="1"/>
                <w:bCs w:val="1"/>
                <w:color w:val="auto"/>
              </w:rPr>
              <w:t>vested during the year ($)</w:t>
            </w:r>
          </w:p>
        </w:tc>
        <w:tc>
          <w:tcPr>
            <w:tcW w:w="3580" w:type="dxa"/>
            <w:vAlign w:val="bottom"/>
            <w:tcBorders>
              <w:bottom w:val="single" w:sz="8" w:color="D95A3B"/>
              <w:right w:val="single" w:sz="8" w:color="CCCCCC"/>
            </w:tcBorders>
            <w:shd w:val="clear" w:color="auto" w:fill="CCCCCC"/>
          </w:tcPr>
          <w:p>
            <w:pPr>
              <w:jc w:val="right"/>
              <w:ind w:right="467"/>
              <w:spacing w:after="0"/>
              <w:rPr>
                <w:sz w:val="20"/>
                <w:szCs w:val="20"/>
                <w:color w:val="auto"/>
              </w:rPr>
            </w:pPr>
            <w:r>
              <w:rPr>
                <w:rFonts w:ascii="Arial" w:cs="Arial" w:eastAsia="Arial" w:hAnsi="Arial"/>
                <w:sz w:val="15"/>
                <w:szCs w:val="15"/>
                <w:b w:val="1"/>
                <w:bCs w:val="1"/>
                <w:color w:val="auto"/>
              </w:rPr>
              <w:t>during the year ($)</w:t>
            </w:r>
          </w:p>
        </w:tc>
        <w:tc>
          <w:tcPr>
            <w:tcW w:w="2840" w:type="dxa"/>
            <w:vAlign w:val="bottom"/>
            <w:tcBorders>
              <w:bottom w:val="single" w:sz="8" w:color="D95A3B"/>
            </w:tcBorders>
            <w:shd w:val="clear" w:color="auto" w:fill="CCCCCC"/>
          </w:tcPr>
          <w:p>
            <w:pPr>
              <w:jc w:val="right"/>
              <w:ind w:right="426"/>
              <w:spacing w:after="0"/>
              <w:rPr>
                <w:sz w:val="20"/>
                <w:szCs w:val="20"/>
                <w:color w:val="auto"/>
              </w:rPr>
            </w:pPr>
            <w:r>
              <w:rPr>
                <w:rFonts w:ascii="Arial" w:cs="Arial" w:eastAsia="Arial" w:hAnsi="Arial"/>
                <w:sz w:val="15"/>
                <w:szCs w:val="15"/>
                <w:b w:val="1"/>
                <w:bCs w:val="1"/>
                <w:color w:val="auto"/>
              </w:rPr>
              <w:t>the year ($)</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James C. Smith</w:t>
            </w:r>
          </w:p>
        </w:tc>
        <w:tc>
          <w:tcPr>
            <w:tcW w:w="3060" w:type="dxa"/>
            <w:vAlign w:val="bottom"/>
            <w:tcBorders>
              <w:bottom w:val="single" w:sz="8" w:color="AFAFAF"/>
              <w:right w:val="single" w:sz="8" w:color="AFAFAF"/>
            </w:tcBorders>
          </w:tcPr>
          <w:p>
            <w:pPr>
              <w:jc w:val="right"/>
              <w:ind w:right="407"/>
              <w:spacing w:after="0" w:line="155" w:lineRule="exact"/>
              <w:rPr>
                <w:sz w:val="20"/>
                <w:szCs w:val="20"/>
                <w:color w:val="auto"/>
              </w:rPr>
            </w:pPr>
            <w:r>
              <w:rPr>
                <w:rFonts w:ascii="Arial" w:cs="Arial" w:eastAsia="Arial" w:hAnsi="Arial"/>
                <w:sz w:val="14"/>
                <w:szCs w:val="14"/>
                <w:color w:val="auto"/>
              </w:rPr>
              <w:t>1,631,649</w:t>
            </w:r>
          </w:p>
        </w:tc>
        <w:tc>
          <w:tcPr>
            <w:tcW w:w="3580" w:type="dxa"/>
            <w:vAlign w:val="bottom"/>
            <w:tcBorders>
              <w:bottom w:val="single" w:sz="8" w:color="AFAFAF"/>
              <w:right w:val="single" w:sz="8" w:color="AFAFAF"/>
            </w:tcBorders>
          </w:tcPr>
          <w:p>
            <w:pPr>
              <w:jc w:val="right"/>
              <w:ind w:right="467"/>
              <w:spacing w:after="0" w:line="155" w:lineRule="exact"/>
              <w:rPr>
                <w:sz w:val="20"/>
                <w:szCs w:val="20"/>
                <w:color w:val="auto"/>
              </w:rPr>
            </w:pPr>
            <w:r>
              <w:rPr>
                <w:rFonts w:ascii="Arial" w:cs="Arial" w:eastAsia="Arial" w:hAnsi="Arial"/>
                <w:sz w:val="14"/>
                <w:szCs w:val="14"/>
                <w:color w:val="auto"/>
              </w:rPr>
              <w:t>4,722,558</w:t>
            </w:r>
          </w:p>
        </w:tc>
        <w:tc>
          <w:tcPr>
            <w:tcW w:w="2840" w:type="dxa"/>
            <w:vAlign w:val="bottom"/>
            <w:tcBorders>
              <w:bottom w:val="single" w:sz="8" w:color="AFAFAF"/>
            </w:tcBorders>
          </w:tcPr>
          <w:p>
            <w:pPr>
              <w:jc w:val="right"/>
              <w:ind w:right="426"/>
              <w:spacing w:after="0" w:line="155" w:lineRule="exact"/>
              <w:rPr>
                <w:sz w:val="20"/>
                <w:szCs w:val="20"/>
                <w:color w:val="auto"/>
              </w:rPr>
            </w:pPr>
            <w:r>
              <w:rPr>
                <w:rFonts w:ascii="Arial" w:cs="Arial" w:eastAsia="Arial" w:hAnsi="Arial"/>
                <w:sz w:val="14"/>
                <w:szCs w:val="14"/>
                <w:color w:val="auto"/>
              </w:rPr>
              <w:t>4,139,520</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Stephane Bello</w:t>
            </w:r>
          </w:p>
        </w:tc>
        <w:tc>
          <w:tcPr>
            <w:tcW w:w="3060" w:type="dxa"/>
            <w:vAlign w:val="bottom"/>
            <w:tcBorders>
              <w:bottom w:val="single" w:sz="8" w:color="AFAFAF"/>
              <w:right w:val="single" w:sz="8" w:color="AFAFAF"/>
            </w:tcBorders>
          </w:tcPr>
          <w:p>
            <w:pPr>
              <w:jc w:val="right"/>
              <w:ind w:right="407"/>
              <w:spacing w:after="0" w:line="155" w:lineRule="exact"/>
              <w:rPr>
                <w:sz w:val="20"/>
                <w:szCs w:val="20"/>
                <w:color w:val="auto"/>
              </w:rPr>
            </w:pPr>
            <w:r>
              <w:rPr>
                <w:rFonts w:ascii="Arial" w:cs="Arial" w:eastAsia="Arial" w:hAnsi="Arial"/>
                <w:sz w:val="14"/>
                <w:szCs w:val="14"/>
                <w:color w:val="auto"/>
              </w:rPr>
              <w:t>450,802</w:t>
            </w:r>
          </w:p>
        </w:tc>
        <w:tc>
          <w:tcPr>
            <w:tcW w:w="3580" w:type="dxa"/>
            <w:vAlign w:val="bottom"/>
            <w:tcBorders>
              <w:bottom w:val="single" w:sz="8" w:color="AFAFAF"/>
              <w:right w:val="single" w:sz="8" w:color="AFAFAF"/>
            </w:tcBorders>
          </w:tcPr>
          <w:p>
            <w:pPr>
              <w:jc w:val="right"/>
              <w:ind w:right="467"/>
              <w:spacing w:after="0" w:line="155" w:lineRule="exact"/>
              <w:rPr>
                <w:sz w:val="20"/>
                <w:szCs w:val="20"/>
                <w:color w:val="auto"/>
              </w:rPr>
            </w:pPr>
            <w:r>
              <w:rPr>
                <w:rFonts w:ascii="Arial" w:cs="Arial" w:eastAsia="Arial" w:hAnsi="Arial"/>
                <w:sz w:val="14"/>
                <w:szCs w:val="14"/>
                <w:color w:val="auto"/>
              </w:rPr>
              <w:t>3,851,360</w:t>
            </w:r>
          </w:p>
        </w:tc>
        <w:tc>
          <w:tcPr>
            <w:tcW w:w="2840" w:type="dxa"/>
            <w:vAlign w:val="bottom"/>
            <w:tcBorders>
              <w:bottom w:val="single" w:sz="8" w:color="AFAFAF"/>
            </w:tcBorders>
          </w:tcPr>
          <w:p>
            <w:pPr>
              <w:jc w:val="right"/>
              <w:ind w:right="426"/>
              <w:spacing w:after="0" w:line="155" w:lineRule="exact"/>
              <w:rPr>
                <w:sz w:val="20"/>
                <w:szCs w:val="20"/>
                <w:color w:val="auto"/>
              </w:rPr>
            </w:pPr>
            <w:r>
              <w:rPr>
                <w:rFonts w:ascii="Arial" w:cs="Arial" w:eastAsia="Arial" w:hAnsi="Arial"/>
                <w:sz w:val="14"/>
                <w:szCs w:val="14"/>
                <w:color w:val="auto"/>
              </w:rPr>
              <w:t>1,697,850</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Brian Peccarelli</w:t>
            </w:r>
          </w:p>
        </w:tc>
        <w:tc>
          <w:tcPr>
            <w:tcW w:w="3060" w:type="dxa"/>
            <w:vAlign w:val="bottom"/>
            <w:tcBorders>
              <w:bottom w:val="single" w:sz="8" w:color="AFAFAF"/>
              <w:right w:val="single" w:sz="8" w:color="AFAFAF"/>
            </w:tcBorders>
          </w:tcPr>
          <w:p>
            <w:pPr>
              <w:jc w:val="right"/>
              <w:ind w:right="407"/>
              <w:spacing w:after="0" w:line="155" w:lineRule="exact"/>
              <w:rPr>
                <w:sz w:val="20"/>
                <w:szCs w:val="20"/>
                <w:color w:val="auto"/>
              </w:rPr>
            </w:pPr>
            <w:r>
              <w:rPr>
                <w:rFonts w:ascii="Arial" w:cs="Arial" w:eastAsia="Arial" w:hAnsi="Arial"/>
                <w:sz w:val="14"/>
                <w:szCs w:val="14"/>
                <w:color w:val="auto"/>
              </w:rPr>
              <w:t>134,307</w:t>
            </w:r>
          </w:p>
        </w:tc>
        <w:tc>
          <w:tcPr>
            <w:tcW w:w="3580" w:type="dxa"/>
            <w:vAlign w:val="bottom"/>
            <w:tcBorders>
              <w:bottom w:val="single" w:sz="8" w:color="AFAFAF"/>
              <w:right w:val="single" w:sz="8" w:color="AFAFAF"/>
            </w:tcBorders>
          </w:tcPr>
          <w:p>
            <w:pPr>
              <w:jc w:val="right"/>
              <w:ind w:right="467"/>
              <w:spacing w:after="0" w:line="155" w:lineRule="exact"/>
              <w:rPr>
                <w:sz w:val="20"/>
                <w:szCs w:val="20"/>
                <w:color w:val="auto"/>
              </w:rPr>
            </w:pPr>
            <w:r>
              <w:rPr>
                <w:rFonts w:ascii="Arial" w:cs="Arial" w:eastAsia="Arial" w:hAnsi="Arial"/>
                <w:sz w:val="14"/>
                <w:szCs w:val="14"/>
                <w:color w:val="auto"/>
              </w:rPr>
              <w:t>1,896,676</w:t>
            </w:r>
          </w:p>
        </w:tc>
        <w:tc>
          <w:tcPr>
            <w:tcW w:w="2840" w:type="dxa"/>
            <w:vAlign w:val="bottom"/>
            <w:tcBorders>
              <w:bottom w:val="single" w:sz="8" w:color="AFAFAF"/>
            </w:tcBorders>
          </w:tcPr>
          <w:p>
            <w:pPr>
              <w:jc w:val="right"/>
              <w:ind w:right="426"/>
              <w:spacing w:after="0" w:line="155" w:lineRule="exact"/>
              <w:rPr>
                <w:sz w:val="20"/>
                <w:szCs w:val="20"/>
                <w:color w:val="auto"/>
              </w:rPr>
            </w:pPr>
            <w:r>
              <w:rPr>
                <w:rFonts w:ascii="Arial" w:cs="Arial" w:eastAsia="Arial" w:hAnsi="Arial"/>
                <w:sz w:val="14"/>
                <w:szCs w:val="14"/>
                <w:color w:val="auto"/>
              </w:rPr>
              <w:t>1,236,256</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Neil Masterson</w:t>
            </w:r>
          </w:p>
        </w:tc>
        <w:tc>
          <w:tcPr>
            <w:tcW w:w="3060" w:type="dxa"/>
            <w:vAlign w:val="bottom"/>
            <w:tcBorders>
              <w:bottom w:val="single" w:sz="8" w:color="AFAFAF"/>
              <w:right w:val="single" w:sz="8" w:color="AFAFAF"/>
            </w:tcBorders>
          </w:tcPr>
          <w:p>
            <w:pPr>
              <w:jc w:val="right"/>
              <w:ind w:right="407"/>
              <w:spacing w:after="0" w:line="155" w:lineRule="exact"/>
              <w:rPr>
                <w:sz w:val="20"/>
                <w:szCs w:val="20"/>
                <w:color w:val="auto"/>
              </w:rPr>
            </w:pPr>
            <w:r>
              <w:rPr>
                <w:rFonts w:ascii="Arial" w:cs="Arial" w:eastAsia="Arial" w:hAnsi="Arial"/>
                <w:sz w:val="14"/>
                <w:szCs w:val="14"/>
                <w:color w:val="auto"/>
              </w:rPr>
              <w:t>132,062</w:t>
            </w:r>
          </w:p>
        </w:tc>
        <w:tc>
          <w:tcPr>
            <w:tcW w:w="3580" w:type="dxa"/>
            <w:vAlign w:val="bottom"/>
            <w:tcBorders>
              <w:bottom w:val="single" w:sz="8" w:color="AFAFAF"/>
              <w:right w:val="single" w:sz="8" w:color="AFAFAF"/>
            </w:tcBorders>
          </w:tcPr>
          <w:p>
            <w:pPr>
              <w:jc w:val="right"/>
              <w:ind w:right="467"/>
              <w:spacing w:after="0" w:line="155" w:lineRule="exact"/>
              <w:rPr>
                <w:sz w:val="20"/>
                <w:szCs w:val="20"/>
                <w:color w:val="auto"/>
              </w:rPr>
            </w:pPr>
            <w:r>
              <w:rPr>
                <w:rFonts w:ascii="Arial" w:cs="Arial" w:eastAsia="Arial" w:hAnsi="Arial"/>
                <w:sz w:val="14"/>
                <w:szCs w:val="14"/>
                <w:color w:val="auto"/>
              </w:rPr>
              <w:t>406,303</w:t>
            </w:r>
          </w:p>
        </w:tc>
        <w:tc>
          <w:tcPr>
            <w:tcW w:w="2840" w:type="dxa"/>
            <w:vAlign w:val="bottom"/>
            <w:tcBorders>
              <w:bottom w:val="single" w:sz="8" w:color="AFAFAF"/>
            </w:tcBorders>
          </w:tcPr>
          <w:p>
            <w:pPr>
              <w:jc w:val="right"/>
              <w:ind w:right="426"/>
              <w:spacing w:after="0" w:line="155" w:lineRule="exact"/>
              <w:rPr>
                <w:sz w:val="20"/>
                <w:szCs w:val="20"/>
                <w:color w:val="auto"/>
              </w:rPr>
            </w:pPr>
            <w:r>
              <w:rPr>
                <w:rFonts w:ascii="Arial" w:cs="Arial" w:eastAsia="Arial" w:hAnsi="Arial"/>
                <w:sz w:val="14"/>
                <w:szCs w:val="14"/>
                <w:color w:val="auto"/>
              </w:rPr>
              <w:t>1,185,588</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Michael Friedenberg</w:t>
            </w:r>
          </w:p>
        </w:tc>
        <w:tc>
          <w:tcPr>
            <w:tcW w:w="3060" w:type="dxa"/>
            <w:vAlign w:val="bottom"/>
            <w:tcBorders>
              <w:bottom w:val="single" w:sz="8" w:color="D95A3B"/>
              <w:right w:val="single" w:sz="8" w:color="AFAFAF"/>
            </w:tcBorders>
          </w:tcPr>
          <w:p>
            <w:pPr>
              <w:jc w:val="right"/>
              <w:ind w:right="407"/>
              <w:spacing w:after="0" w:line="155" w:lineRule="exact"/>
              <w:rPr>
                <w:sz w:val="20"/>
                <w:szCs w:val="20"/>
                <w:color w:val="auto"/>
              </w:rPr>
            </w:pPr>
            <w:r>
              <w:rPr>
                <w:rFonts w:ascii="Arial" w:cs="Arial" w:eastAsia="Arial" w:hAnsi="Arial"/>
                <w:sz w:val="14"/>
                <w:szCs w:val="14"/>
                <w:color w:val="auto"/>
              </w:rPr>
              <w:t>–</w:t>
            </w:r>
          </w:p>
        </w:tc>
        <w:tc>
          <w:tcPr>
            <w:tcW w:w="3580" w:type="dxa"/>
            <w:vAlign w:val="bottom"/>
            <w:tcBorders>
              <w:bottom w:val="single" w:sz="8" w:color="D95A3B"/>
              <w:right w:val="single" w:sz="8" w:color="AFAFAF"/>
            </w:tcBorders>
          </w:tcPr>
          <w:p>
            <w:pPr>
              <w:jc w:val="right"/>
              <w:ind w:right="467"/>
              <w:spacing w:after="0" w:line="155" w:lineRule="exact"/>
              <w:rPr>
                <w:sz w:val="20"/>
                <w:szCs w:val="20"/>
                <w:color w:val="auto"/>
              </w:rPr>
            </w:pPr>
            <w:r>
              <w:rPr>
                <w:rFonts w:ascii="Arial" w:cs="Arial" w:eastAsia="Arial" w:hAnsi="Arial"/>
                <w:sz w:val="14"/>
                <w:szCs w:val="14"/>
                <w:color w:val="auto"/>
              </w:rPr>
              <w:t>–</w:t>
            </w:r>
          </w:p>
        </w:tc>
        <w:tc>
          <w:tcPr>
            <w:tcW w:w="2840" w:type="dxa"/>
            <w:vAlign w:val="bottom"/>
            <w:tcBorders>
              <w:bottom w:val="single" w:sz="8" w:color="D95A3B"/>
            </w:tcBorders>
          </w:tcPr>
          <w:p>
            <w:pPr>
              <w:jc w:val="right"/>
              <w:ind w:right="426"/>
              <w:spacing w:after="0" w:line="155" w:lineRule="exact"/>
              <w:rPr>
                <w:sz w:val="20"/>
                <w:szCs w:val="20"/>
                <w:color w:val="auto"/>
              </w:rPr>
            </w:pPr>
            <w:r>
              <w:rPr>
                <w:rFonts w:ascii="Arial" w:cs="Arial" w:eastAsia="Arial" w:hAnsi="Arial"/>
                <w:sz w:val="14"/>
                <w:szCs w:val="14"/>
                <w:color w:val="auto"/>
              </w:rPr>
              <w:t>100,177</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Equity Compensation Plan Information</w:t>
      </w:r>
    </w:p>
    <w:p>
      <w:pPr>
        <w:spacing w:after="0" w:line="35"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The following table provides information as of December 31, 2018 regarding our common shares that may be issued under our stock incentive plan. In November 2018, we completed a return of capital transaction that included a consolidation of our outstanding common shares (or reverse stock split) at a ratio of 1 pre-consolidated share for 0.9079 post-consolidated shares. We subsequently consolidated the number of shares issuable under our stock incentive plan and other plans by the applicable ratio. For more information about our stock incentive plan and other plans under which we may issue common shares, please see the “Description of Equity Compensation and Other Plans” section below and Appendix A to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4970145</wp:posOffset>
            </wp:positionH>
            <wp:positionV relativeFrom="paragraph">
              <wp:posOffset>147955</wp:posOffset>
            </wp:positionV>
            <wp:extent cx="8255" cy="5384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538480"/>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147955</wp:posOffset>
            </wp:positionV>
            <wp:extent cx="8255" cy="5384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538480"/>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147955</wp:posOffset>
            </wp:positionV>
            <wp:extent cx="8255" cy="5384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538480"/>
                    </a:xfrm>
                    <a:prstGeom prst="rect">
                      <a:avLst/>
                    </a:prstGeom>
                    <a:noFill/>
                  </pic:spPr>
                </pic:pic>
              </a:graphicData>
            </a:graphic>
          </wp:anchor>
        </w:drawing>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1840" w:type="dxa"/>
            <w:vAlign w:val="bottom"/>
            <w:tcBorders>
              <w:right w:val="single" w:sz="8" w:color="CCCCCC"/>
            </w:tcBorders>
            <w:shd w:val="clear" w:color="auto" w:fill="CCCCCC"/>
          </w:tcPr>
          <w:p>
            <w:pPr>
              <w:spacing w:after="0"/>
              <w:rPr>
                <w:sz w:val="15"/>
                <w:szCs w:val="15"/>
                <w:color w:val="auto"/>
              </w:rPr>
            </w:pPr>
          </w:p>
        </w:tc>
        <w:tc>
          <w:tcPr>
            <w:tcW w:w="3040" w:type="dxa"/>
            <w:vAlign w:val="bottom"/>
            <w:tcBorders>
              <w:right w:val="single" w:sz="8" w:color="CCCCCC"/>
            </w:tcBorders>
            <w:vMerge w:val="restart"/>
            <w:shd w:val="clear" w:color="auto" w:fill="CCCCCC"/>
          </w:tcPr>
          <w:p>
            <w:pPr>
              <w:jc w:val="right"/>
              <w:ind w:right="246"/>
              <w:spacing w:after="0"/>
              <w:rPr>
                <w:sz w:val="20"/>
                <w:szCs w:val="20"/>
                <w:color w:val="auto"/>
              </w:rPr>
            </w:pPr>
            <w:r>
              <w:rPr>
                <w:rFonts w:ascii="Arial" w:cs="Arial" w:eastAsia="Arial" w:hAnsi="Arial"/>
                <w:sz w:val="15"/>
                <w:szCs w:val="15"/>
                <w:b w:val="1"/>
                <w:bCs w:val="1"/>
                <w:color w:val="auto"/>
              </w:rPr>
              <w:t>(a)</w:t>
            </w:r>
          </w:p>
        </w:tc>
        <w:tc>
          <w:tcPr>
            <w:tcW w:w="380" w:type="dxa"/>
            <w:vAlign w:val="bottom"/>
            <w:shd w:val="clear" w:color="auto" w:fill="CCCCCC"/>
          </w:tcPr>
          <w:p>
            <w:pPr>
              <w:spacing w:after="0"/>
              <w:rPr>
                <w:sz w:val="15"/>
                <w:szCs w:val="15"/>
                <w:color w:val="auto"/>
              </w:rPr>
            </w:pPr>
          </w:p>
        </w:tc>
        <w:tc>
          <w:tcPr>
            <w:tcW w:w="2360" w:type="dxa"/>
            <w:vAlign w:val="bottom"/>
            <w:tcBorders>
              <w:right w:val="single" w:sz="8" w:color="CCCCCC"/>
            </w:tcBorders>
            <w:vMerge w:val="restart"/>
            <w:shd w:val="clear" w:color="auto" w:fill="CCCCCC"/>
          </w:tcPr>
          <w:p>
            <w:pPr>
              <w:jc w:val="right"/>
              <w:ind w:right="291"/>
              <w:spacing w:after="0"/>
              <w:rPr>
                <w:sz w:val="20"/>
                <w:szCs w:val="20"/>
                <w:color w:val="auto"/>
              </w:rPr>
            </w:pPr>
            <w:r>
              <w:rPr>
                <w:rFonts w:ascii="Arial" w:cs="Arial" w:eastAsia="Arial" w:hAnsi="Arial"/>
                <w:sz w:val="15"/>
                <w:szCs w:val="15"/>
                <w:b w:val="1"/>
                <w:bCs w:val="1"/>
                <w:color w:val="auto"/>
              </w:rPr>
              <w:t>(b)</w:t>
            </w:r>
          </w:p>
        </w:tc>
        <w:tc>
          <w:tcPr>
            <w:tcW w:w="3360" w:type="dxa"/>
            <w:vAlign w:val="bottom"/>
            <w:shd w:val="clear" w:color="auto" w:fill="CCCCCC"/>
          </w:tcPr>
          <w:p>
            <w:pPr>
              <w:jc w:val="right"/>
              <w:ind w:right="226"/>
              <w:spacing w:after="0"/>
              <w:rPr>
                <w:sz w:val="20"/>
                <w:szCs w:val="20"/>
                <w:color w:val="auto"/>
              </w:rPr>
            </w:pPr>
            <w:r>
              <w:rPr>
                <w:rFonts w:ascii="Arial" w:cs="Arial" w:eastAsia="Arial" w:hAnsi="Arial"/>
                <w:sz w:val="15"/>
                <w:szCs w:val="15"/>
                <w:b w:val="1"/>
                <w:bCs w:val="1"/>
                <w:color w:val="auto"/>
              </w:rPr>
              <w:t>(c)</w:t>
            </w:r>
          </w:p>
        </w:tc>
        <w:tc>
          <w:tcPr>
            <w:tcW w:w="0" w:type="dxa"/>
            <w:vAlign w:val="bottom"/>
          </w:tcPr>
          <w:p>
            <w:pPr>
              <w:spacing w:after="0"/>
              <w:rPr>
                <w:sz w:val="1"/>
                <w:szCs w:val="1"/>
                <w:color w:val="auto"/>
              </w:rPr>
            </w:pPr>
          </w:p>
        </w:tc>
      </w:tr>
      <w:tr>
        <w:trPr>
          <w:trHeight w:val="156"/>
        </w:trPr>
        <w:tc>
          <w:tcPr>
            <w:tcW w:w="1840" w:type="dxa"/>
            <w:vAlign w:val="bottom"/>
            <w:tcBorders>
              <w:right w:val="single" w:sz="8" w:color="CCCCCC"/>
            </w:tcBorders>
            <w:shd w:val="clear" w:color="auto" w:fill="CCCCCC"/>
          </w:tcPr>
          <w:p>
            <w:pPr>
              <w:spacing w:after="0"/>
              <w:rPr>
                <w:sz w:val="13"/>
                <w:szCs w:val="13"/>
                <w:color w:val="auto"/>
              </w:rPr>
            </w:pPr>
          </w:p>
        </w:tc>
        <w:tc>
          <w:tcPr>
            <w:tcW w:w="3040" w:type="dxa"/>
            <w:vAlign w:val="bottom"/>
            <w:tcBorders>
              <w:right w:val="single" w:sz="8" w:color="CCCCCC"/>
            </w:tcBorders>
            <w:vMerge w:val="continue"/>
            <w:shd w:val="clear" w:color="auto" w:fill="CCCCCC"/>
          </w:tcPr>
          <w:p>
            <w:pPr>
              <w:spacing w:after="0"/>
              <w:rPr>
                <w:sz w:val="13"/>
                <w:szCs w:val="13"/>
                <w:color w:val="auto"/>
              </w:rPr>
            </w:pPr>
          </w:p>
        </w:tc>
        <w:tc>
          <w:tcPr>
            <w:tcW w:w="380" w:type="dxa"/>
            <w:vAlign w:val="bottom"/>
            <w:shd w:val="clear" w:color="auto" w:fill="CCCCCC"/>
          </w:tcPr>
          <w:p>
            <w:pPr>
              <w:spacing w:after="0"/>
              <w:rPr>
                <w:sz w:val="13"/>
                <w:szCs w:val="13"/>
                <w:color w:val="auto"/>
              </w:rPr>
            </w:pPr>
          </w:p>
        </w:tc>
        <w:tc>
          <w:tcPr>
            <w:tcW w:w="2360" w:type="dxa"/>
            <w:vAlign w:val="bottom"/>
            <w:tcBorders>
              <w:right w:val="single" w:sz="8" w:color="CCCCCC"/>
            </w:tcBorders>
            <w:vMerge w:val="continue"/>
            <w:shd w:val="clear" w:color="auto" w:fill="CCCCCC"/>
          </w:tcPr>
          <w:p>
            <w:pPr>
              <w:spacing w:after="0"/>
              <w:rPr>
                <w:sz w:val="13"/>
                <w:szCs w:val="13"/>
                <w:color w:val="auto"/>
              </w:rPr>
            </w:pPr>
          </w:p>
        </w:tc>
        <w:tc>
          <w:tcPr>
            <w:tcW w:w="3360" w:type="dxa"/>
            <w:vAlign w:val="bottom"/>
            <w:shd w:val="clear" w:color="auto" w:fill="CCCCCC"/>
          </w:tcPr>
          <w:p>
            <w:pPr>
              <w:jc w:val="right"/>
              <w:ind w:right="226"/>
              <w:spacing w:after="0" w:line="156" w:lineRule="exact"/>
              <w:rPr>
                <w:sz w:val="20"/>
                <w:szCs w:val="20"/>
                <w:color w:val="auto"/>
              </w:rPr>
            </w:pPr>
            <w:r>
              <w:rPr>
                <w:rFonts w:ascii="Arial" w:cs="Arial" w:eastAsia="Arial" w:hAnsi="Arial"/>
                <w:sz w:val="15"/>
                <w:szCs w:val="15"/>
                <w:b w:val="1"/>
                <w:bCs w:val="1"/>
                <w:color w:val="auto"/>
              </w:rPr>
              <w:t>Number of securities remaining</w:t>
            </w:r>
          </w:p>
        </w:tc>
        <w:tc>
          <w:tcPr>
            <w:tcW w:w="0" w:type="dxa"/>
            <w:vAlign w:val="bottom"/>
          </w:tcPr>
          <w:p>
            <w:pPr>
              <w:spacing w:after="0"/>
              <w:rPr>
                <w:sz w:val="1"/>
                <w:szCs w:val="1"/>
                <w:color w:val="auto"/>
              </w:rPr>
            </w:pPr>
          </w:p>
        </w:tc>
      </w:tr>
      <w:tr>
        <w:trPr>
          <w:trHeight w:val="161"/>
        </w:trPr>
        <w:tc>
          <w:tcPr>
            <w:tcW w:w="1840" w:type="dxa"/>
            <w:vAlign w:val="bottom"/>
            <w:tcBorders>
              <w:right w:val="single" w:sz="8" w:color="CCCCCC"/>
            </w:tcBorders>
            <w:shd w:val="clear" w:color="auto" w:fill="CCCCCC"/>
          </w:tcPr>
          <w:p>
            <w:pPr>
              <w:spacing w:after="0"/>
              <w:rPr>
                <w:sz w:val="14"/>
                <w:szCs w:val="14"/>
                <w:color w:val="auto"/>
              </w:rPr>
            </w:pPr>
          </w:p>
        </w:tc>
        <w:tc>
          <w:tcPr>
            <w:tcW w:w="3040" w:type="dxa"/>
            <w:vAlign w:val="bottom"/>
            <w:tcBorders>
              <w:right w:val="single" w:sz="8" w:color="CCCCCC"/>
            </w:tcBorders>
            <w:shd w:val="clear" w:color="auto" w:fill="CCCCCC"/>
          </w:tcPr>
          <w:p>
            <w:pPr>
              <w:jc w:val="right"/>
              <w:ind w:right="246"/>
              <w:spacing w:after="0" w:line="161" w:lineRule="exact"/>
              <w:rPr>
                <w:sz w:val="20"/>
                <w:szCs w:val="20"/>
                <w:color w:val="auto"/>
              </w:rPr>
            </w:pPr>
            <w:r>
              <w:rPr>
                <w:rFonts w:ascii="Arial" w:cs="Arial" w:eastAsia="Arial" w:hAnsi="Arial"/>
                <w:sz w:val="15"/>
                <w:szCs w:val="15"/>
                <w:b w:val="1"/>
                <w:bCs w:val="1"/>
                <w:color w:val="auto"/>
              </w:rPr>
              <w:t>Number of securities to be issued</w:t>
            </w:r>
          </w:p>
        </w:tc>
        <w:tc>
          <w:tcPr>
            <w:tcW w:w="380" w:type="dxa"/>
            <w:vAlign w:val="bottom"/>
            <w:shd w:val="clear" w:color="auto" w:fill="CCCCCC"/>
          </w:tcPr>
          <w:p>
            <w:pPr>
              <w:spacing w:after="0"/>
              <w:rPr>
                <w:sz w:val="14"/>
                <w:szCs w:val="14"/>
                <w:color w:val="auto"/>
              </w:rPr>
            </w:pPr>
          </w:p>
        </w:tc>
        <w:tc>
          <w:tcPr>
            <w:tcW w:w="2360" w:type="dxa"/>
            <w:vAlign w:val="bottom"/>
            <w:tcBorders>
              <w:right w:val="single" w:sz="8" w:color="CCCCCC"/>
            </w:tcBorders>
            <w:shd w:val="clear" w:color="auto" w:fill="CCCCCC"/>
          </w:tcPr>
          <w:p>
            <w:pPr>
              <w:jc w:val="right"/>
              <w:ind w:right="291"/>
              <w:spacing w:after="0" w:line="161" w:lineRule="exact"/>
              <w:rPr>
                <w:sz w:val="20"/>
                <w:szCs w:val="20"/>
                <w:color w:val="auto"/>
              </w:rPr>
            </w:pPr>
            <w:r>
              <w:rPr>
                <w:rFonts w:ascii="Arial" w:cs="Arial" w:eastAsia="Arial" w:hAnsi="Arial"/>
                <w:sz w:val="15"/>
                <w:szCs w:val="15"/>
                <w:b w:val="1"/>
                <w:bCs w:val="1"/>
                <w:color w:val="auto"/>
              </w:rPr>
              <w:t>Weighted average exercise</w:t>
            </w:r>
          </w:p>
        </w:tc>
        <w:tc>
          <w:tcPr>
            <w:tcW w:w="3360" w:type="dxa"/>
            <w:vAlign w:val="bottom"/>
            <w:shd w:val="clear" w:color="auto" w:fill="CCCCCC"/>
          </w:tcPr>
          <w:p>
            <w:pPr>
              <w:jc w:val="right"/>
              <w:ind w:right="226"/>
              <w:spacing w:after="0" w:line="161" w:lineRule="exact"/>
              <w:rPr>
                <w:sz w:val="20"/>
                <w:szCs w:val="20"/>
                <w:color w:val="auto"/>
              </w:rPr>
            </w:pPr>
            <w:r>
              <w:rPr>
                <w:rFonts w:ascii="Arial" w:cs="Arial" w:eastAsia="Arial" w:hAnsi="Arial"/>
                <w:sz w:val="15"/>
                <w:szCs w:val="15"/>
                <w:b w:val="1"/>
                <w:bCs w:val="1"/>
                <w:color w:val="auto"/>
              </w:rPr>
              <w:t>available for future issuance under</w:t>
            </w:r>
          </w:p>
        </w:tc>
        <w:tc>
          <w:tcPr>
            <w:tcW w:w="0" w:type="dxa"/>
            <w:vAlign w:val="bottom"/>
          </w:tcPr>
          <w:p>
            <w:pPr>
              <w:spacing w:after="0"/>
              <w:rPr>
                <w:sz w:val="1"/>
                <w:szCs w:val="1"/>
                <w:color w:val="auto"/>
              </w:rPr>
            </w:pPr>
          </w:p>
        </w:tc>
      </w:tr>
      <w:tr>
        <w:trPr>
          <w:trHeight w:val="162"/>
        </w:trPr>
        <w:tc>
          <w:tcPr>
            <w:tcW w:w="1840" w:type="dxa"/>
            <w:vAlign w:val="bottom"/>
            <w:tcBorders>
              <w:right w:val="single" w:sz="8" w:color="CCCCCC"/>
            </w:tcBorders>
            <w:vMerge w:val="restart"/>
            <w:shd w:val="clear" w:color="auto" w:fill="CCCCCC"/>
          </w:tcPr>
          <w:p>
            <w:pPr>
              <w:spacing w:after="0"/>
              <w:rPr>
                <w:sz w:val="20"/>
                <w:szCs w:val="20"/>
                <w:color w:val="auto"/>
              </w:rPr>
            </w:pPr>
            <w:r>
              <w:rPr>
                <w:rFonts w:ascii="Arial" w:cs="Arial" w:eastAsia="Arial" w:hAnsi="Arial"/>
                <w:sz w:val="15"/>
                <w:szCs w:val="15"/>
                <w:b w:val="1"/>
                <w:bCs w:val="1"/>
                <w:color w:val="auto"/>
              </w:rPr>
              <w:t>Plan category</w:t>
            </w:r>
          </w:p>
        </w:tc>
        <w:tc>
          <w:tcPr>
            <w:tcW w:w="3040" w:type="dxa"/>
            <w:vAlign w:val="bottom"/>
            <w:tcBorders>
              <w:right w:val="single" w:sz="8" w:color="CCCCCC"/>
            </w:tcBorders>
            <w:shd w:val="clear" w:color="auto" w:fill="CCCCCC"/>
          </w:tcPr>
          <w:p>
            <w:pPr>
              <w:jc w:val="right"/>
              <w:ind w:right="246"/>
              <w:spacing w:after="0" w:line="161" w:lineRule="exact"/>
              <w:rPr>
                <w:sz w:val="20"/>
                <w:szCs w:val="20"/>
                <w:color w:val="auto"/>
              </w:rPr>
            </w:pPr>
            <w:r>
              <w:rPr>
                <w:rFonts w:ascii="Arial" w:cs="Arial" w:eastAsia="Arial" w:hAnsi="Arial"/>
                <w:sz w:val="15"/>
                <w:szCs w:val="15"/>
                <w:b w:val="1"/>
                <w:bCs w:val="1"/>
                <w:color w:val="auto"/>
              </w:rPr>
              <w:t>upon exercise of outstanding</w:t>
            </w:r>
          </w:p>
        </w:tc>
        <w:tc>
          <w:tcPr>
            <w:tcW w:w="2740" w:type="dxa"/>
            <w:vAlign w:val="bottom"/>
            <w:tcBorders>
              <w:right w:val="single" w:sz="8" w:color="CCCCCC"/>
            </w:tcBorders>
            <w:gridSpan w:val="2"/>
            <w:shd w:val="clear" w:color="auto" w:fill="CCCCCC"/>
          </w:tcPr>
          <w:p>
            <w:pPr>
              <w:jc w:val="right"/>
              <w:ind w:right="291"/>
              <w:spacing w:after="0" w:line="161" w:lineRule="exact"/>
              <w:rPr>
                <w:sz w:val="20"/>
                <w:szCs w:val="20"/>
                <w:color w:val="auto"/>
              </w:rPr>
            </w:pPr>
            <w:r>
              <w:rPr>
                <w:rFonts w:ascii="Arial" w:cs="Arial" w:eastAsia="Arial" w:hAnsi="Arial"/>
                <w:sz w:val="15"/>
                <w:szCs w:val="15"/>
                <w:b w:val="1"/>
                <w:bCs w:val="1"/>
                <w:color w:val="auto"/>
              </w:rPr>
              <w:t>price of outstanding options,</w:t>
            </w:r>
          </w:p>
        </w:tc>
        <w:tc>
          <w:tcPr>
            <w:tcW w:w="3360" w:type="dxa"/>
            <w:vAlign w:val="bottom"/>
            <w:shd w:val="clear" w:color="auto" w:fill="CCCCCC"/>
          </w:tcPr>
          <w:p>
            <w:pPr>
              <w:jc w:val="right"/>
              <w:ind w:right="226"/>
              <w:spacing w:after="0" w:line="161" w:lineRule="exact"/>
              <w:rPr>
                <w:sz w:val="20"/>
                <w:szCs w:val="20"/>
                <w:color w:val="auto"/>
              </w:rPr>
            </w:pPr>
            <w:r>
              <w:rPr>
                <w:rFonts w:ascii="Arial" w:cs="Arial" w:eastAsia="Arial" w:hAnsi="Arial"/>
                <w:sz w:val="15"/>
                <w:szCs w:val="15"/>
                <w:b w:val="1"/>
                <w:bCs w:val="1"/>
                <w:color w:val="auto"/>
              </w:rPr>
              <w:t>equity compensation plans (excluding</w:t>
            </w:r>
          </w:p>
        </w:tc>
        <w:tc>
          <w:tcPr>
            <w:tcW w:w="0" w:type="dxa"/>
            <w:vAlign w:val="bottom"/>
          </w:tcPr>
          <w:p>
            <w:pPr>
              <w:spacing w:after="0"/>
              <w:rPr>
                <w:sz w:val="1"/>
                <w:szCs w:val="1"/>
                <w:color w:val="auto"/>
              </w:rPr>
            </w:pPr>
          </w:p>
        </w:tc>
      </w:tr>
      <w:tr>
        <w:trPr>
          <w:trHeight w:val="188"/>
        </w:trPr>
        <w:tc>
          <w:tcPr>
            <w:tcW w:w="1840" w:type="dxa"/>
            <w:vAlign w:val="bottom"/>
            <w:tcBorders>
              <w:bottom w:val="single" w:sz="8" w:color="D95A3B"/>
              <w:right w:val="single" w:sz="8" w:color="CCCCCC"/>
            </w:tcBorders>
            <w:vMerge w:val="continue"/>
            <w:shd w:val="clear" w:color="auto" w:fill="CCCCCC"/>
          </w:tcPr>
          <w:p>
            <w:pPr>
              <w:spacing w:after="0"/>
              <w:rPr>
                <w:sz w:val="16"/>
                <w:szCs w:val="16"/>
                <w:color w:val="auto"/>
              </w:rPr>
            </w:pPr>
          </w:p>
        </w:tc>
        <w:tc>
          <w:tcPr>
            <w:tcW w:w="3040" w:type="dxa"/>
            <w:vAlign w:val="bottom"/>
            <w:tcBorders>
              <w:bottom w:val="single" w:sz="8" w:color="D95A3B"/>
              <w:right w:val="single" w:sz="8" w:color="CCCCCC"/>
            </w:tcBorders>
            <w:shd w:val="clear" w:color="auto" w:fill="CCCCCC"/>
          </w:tcPr>
          <w:p>
            <w:pPr>
              <w:jc w:val="right"/>
              <w:ind w:right="246"/>
              <w:spacing w:after="0"/>
              <w:rPr>
                <w:sz w:val="20"/>
                <w:szCs w:val="20"/>
                <w:color w:val="auto"/>
              </w:rPr>
            </w:pPr>
            <w:r>
              <w:rPr>
                <w:rFonts w:ascii="Arial" w:cs="Arial" w:eastAsia="Arial" w:hAnsi="Arial"/>
                <w:sz w:val="15"/>
                <w:szCs w:val="15"/>
                <w:b w:val="1"/>
                <w:bCs w:val="1"/>
                <w:color w:val="auto"/>
              </w:rPr>
              <w:t>options, warrants and rights</w:t>
            </w:r>
          </w:p>
        </w:tc>
        <w:tc>
          <w:tcPr>
            <w:tcW w:w="380" w:type="dxa"/>
            <w:vAlign w:val="bottom"/>
            <w:tcBorders>
              <w:bottom w:val="single" w:sz="8" w:color="D95A3B"/>
            </w:tcBorders>
            <w:shd w:val="clear" w:color="auto" w:fill="CCCCCC"/>
          </w:tcPr>
          <w:p>
            <w:pPr>
              <w:spacing w:after="0"/>
              <w:rPr>
                <w:sz w:val="16"/>
                <w:szCs w:val="16"/>
                <w:color w:val="auto"/>
              </w:rPr>
            </w:pPr>
          </w:p>
        </w:tc>
        <w:tc>
          <w:tcPr>
            <w:tcW w:w="2360" w:type="dxa"/>
            <w:vAlign w:val="bottom"/>
            <w:tcBorders>
              <w:bottom w:val="single" w:sz="8" w:color="D95A3B"/>
              <w:right w:val="single" w:sz="8" w:color="CCCCCC"/>
            </w:tcBorders>
            <w:shd w:val="clear" w:color="auto" w:fill="CCCCCC"/>
          </w:tcPr>
          <w:p>
            <w:pPr>
              <w:jc w:val="right"/>
              <w:ind w:right="291"/>
              <w:spacing w:after="0"/>
              <w:rPr>
                <w:sz w:val="20"/>
                <w:szCs w:val="20"/>
                <w:color w:val="auto"/>
              </w:rPr>
            </w:pPr>
            <w:r>
              <w:rPr>
                <w:rFonts w:ascii="Arial" w:cs="Arial" w:eastAsia="Arial" w:hAnsi="Arial"/>
                <w:sz w:val="15"/>
                <w:szCs w:val="15"/>
                <w:b w:val="1"/>
                <w:bCs w:val="1"/>
                <w:color w:val="auto"/>
              </w:rPr>
              <w:t>warrants and rights</w:t>
            </w:r>
          </w:p>
        </w:tc>
        <w:tc>
          <w:tcPr>
            <w:tcW w:w="3360" w:type="dxa"/>
            <w:vAlign w:val="bottom"/>
            <w:tcBorders>
              <w:bottom w:val="single" w:sz="8" w:color="D95A3B"/>
            </w:tcBorders>
            <w:shd w:val="clear" w:color="auto" w:fill="CCCCCC"/>
          </w:tcPr>
          <w:p>
            <w:pPr>
              <w:jc w:val="right"/>
              <w:ind w:right="226"/>
              <w:spacing w:after="0"/>
              <w:rPr>
                <w:sz w:val="20"/>
                <w:szCs w:val="20"/>
                <w:color w:val="auto"/>
              </w:rPr>
            </w:pPr>
            <w:r>
              <w:rPr>
                <w:rFonts w:ascii="Arial" w:cs="Arial" w:eastAsia="Arial" w:hAnsi="Arial"/>
                <w:sz w:val="15"/>
                <w:szCs w:val="15"/>
                <w:b w:val="1"/>
                <w:bCs w:val="1"/>
                <w:color w:val="auto"/>
              </w:rPr>
              <w:t>securities reflected in column (a))</w:t>
            </w:r>
          </w:p>
        </w:tc>
        <w:tc>
          <w:tcPr>
            <w:tcW w:w="0" w:type="dxa"/>
            <w:vAlign w:val="bottom"/>
          </w:tcPr>
          <w:p>
            <w:pPr>
              <w:spacing w:after="0"/>
              <w:rPr>
                <w:sz w:val="1"/>
                <w:szCs w:val="1"/>
                <w:color w:val="auto"/>
              </w:rPr>
            </w:pPr>
          </w:p>
        </w:tc>
      </w:tr>
      <w:tr>
        <w:trPr>
          <w:trHeight w:val="142"/>
        </w:trPr>
        <w:tc>
          <w:tcPr>
            <w:tcW w:w="184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Equity compensation</w:t>
            </w:r>
          </w:p>
        </w:tc>
        <w:tc>
          <w:tcPr>
            <w:tcW w:w="3040" w:type="dxa"/>
            <w:vAlign w:val="bottom"/>
            <w:tcBorders>
              <w:right w:val="single" w:sz="8" w:color="AFAFAF"/>
            </w:tcBorders>
          </w:tcPr>
          <w:p>
            <w:pPr>
              <w:spacing w:after="0"/>
              <w:rPr>
                <w:sz w:val="12"/>
                <w:szCs w:val="12"/>
                <w:color w:val="auto"/>
              </w:rPr>
            </w:pPr>
          </w:p>
        </w:tc>
        <w:tc>
          <w:tcPr>
            <w:tcW w:w="380" w:type="dxa"/>
            <w:vAlign w:val="bottom"/>
          </w:tcPr>
          <w:p>
            <w:pPr>
              <w:spacing w:after="0"/>
              <w:rPr>
                <w:sz w:val="12"/>
                <w:szCs w:val="12"/>
                <w:color w:val="auto"/>
              </w:rPr>
            </w:pPr>
          </w:p>
        </w:tc>
        <w:tc>
          <w:tcPr>
            <w:tcW w:w="2360" w:type="dxa"/>
            <w:vAlign w:val="bottom"/>
            <w:tcBorders>
              <w:right w:val="single" w:sz="8" w:color="AFAFAF"/>
            </w:tcBorders>
          </w:tcPr>
          <w:p>
            <w:pPr>
              <w:spacing w:after="0"/>
              <w:rPr>
                <w:sz w:val="12"/>
                <w:szCs w:val="12"/>
                <w:color w:val="auto"/>
              </w:rPr>
            </w:pP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4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plans</w:t>
            </w:r>
          </w:p>
        </w:tc>
        <w:tc>
          <w:tcPr>
            <w:tcW w:w="3040" w:type="dxa"/>
            <w:vAlign w:val="bottom"/>
            <w:tcBorders>
              <w:right w:val="single" w:sz="8" w:color="AFAFAF"/>
            </w:tcBorders>
          </w:tcPr>
          <w:p>
            <w:pPr>
              <w:spacing w:after="0"/>
              <w:rPr>
                <w:sz w:val="14"/>
                <w:szCs w:val="14"/>
                <w:color w:val="auto"/>
              </w:rPr>
            </w:pPr>
          </w:p>
        </w:tc>
        <w:tc>
          <w:tcPr>
            <w:tcW w:w="380" w:type="dxa"/>
            <w:vAlign w:val="bottom"/>
          </w:tcPr>
          <w:p>
            <w:pPr>
              <w:spacing w:after="0"/>
              <w:rPr>
                <w:sz w:val="14"/>
                <w:szCs w:val="14"/>
                <w:color w:val="auto"/>
              </w:rPr>
            </w:pPr>
          </w:p>
        </w:tc>
        <w:tc>
          <w:tcPr>
            <w:tcW w:w="2360" w:type="dxa"/>
            <w:vAlign w:val="bottom"/>
            <w:tcBorders>
              <w:right w:val="single" w:sz="8" w:color="AFAFAF"/>
            </w:tcBorders>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approved by security</w:t>
            </w:r>
          </w:p>
        </w:tc>
        <w:tc>
          <w:tcPr>
            <w:tcW w:w="3040" w:type="dxa"/>
            <w:vAlign w:val="bottom"/>
            <w:tcBorders>
              <w:right w:val="single" w:sz="8" w:color="AFAFAF"/>
            </w:tcBorders>
          </w:tcPr>
          <w:p>
            <w:pPr>
              <w:spacing w:after="0"/>
              <w:rPr>
                <w:sz w:val="14"/>
                <w:szCs w:val="14"/>
                <w:color w:val="auto"/>
              </w:rPr>
            </w:pPr>
          </w:p>
        </w:tc>
        <w:tc>
          <w:tcPr>
            <w:tcW w:w="380" w:type="dxa"/>
            <w:vAlign w:val="bottom"/>
          </w:tcPr>
          <w:p>
            <w:pPr>
              <w:spacing w:after="0"/>
              <w:rPr>
                <w:sz w:val="14"/>
                <w:szCs w:val="14"/>
                <w:color w:val="auto"/>
              </w:rPr>
            </w:pPr>
          </w:p>
        </w:tc>
        <w:tc>
          <w:tcPr>
            <w:tcW w:w="2360" w:type="dxa"/>
            <w:vAlign w:val="bottom"/>
            <w:tcBorders>
              <w:right w:val="single" w:sz="8" w:color="AFAFAF"/>
            </w:tcBorders>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4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holders:</w:t>
            </w:r>
          </w:p>
        </w:tc>
        <w:tc>
          <w:tcPr>
            <w:tcW w:w="3040" w:type="dxa"/>
            <w:vAlign w:val="bottom"/>
            <w:tcBorders>
              <w:bottom w:val="single" w:sz="8" w:color="AFAFAF"/>
              <w:right w:val="single" w:sz="8" w:color="AFAFAF"/>
            </w:tcBorders>
          </w:tcPr>
          <w:p>
            <w:pPr>
              <w:spacing w:after="0"/>
              <w:rPr>
                <w:sz w:val="15"/>
                <w:szCs w:val="15"/>
                <w:color w:val="auto"/>
              </w:rPr>
            </w:pPr>
          </w:p>
        </w:tc>
        <w:tc>
          <w:tcPr>
            <w:tcW w:w="380" w:type="dxa"/>
            <w:vAlign w:val="bottom"/>
            <w:tcBorders>
              <w:bottom w:val="single" w:sz="8" w:color="AFAFAF"/>
            </w:tcBorders>
          </w:tcPr>
          <w:p>
            <w:pPr>
              <w:spacing w:after="0"/>
              <w:rPr>
                <w:sz w:val="15"/>
                <w:szCs w:val="15"/>
                <w:color w:val="auto"/>
              </w:rPr>
            </w:pPr>
          </w:p>
        </w:tc>
        <w:tc>
          <w:tcPr>
            <w:tcW w:w="2360" w:type="dxa"/>
            <w:vAlign w:val="bottom"/>
            <w:tcBorders>
              <w:bottom w:val="single" w:sz="8" w:color="AFAFAF"/>
              <w:right w:val="single" w:sz="8" w:color="AFAFAF"/>
            </w:tcBorders>
          </w:tcPr>
          <w:p>
            <w:pPr>
              <w:spacing w:after="0"/>
              <w:rPr>
                <w:sz w:val="15"/>
                <w:szCs w:val="15"/>
                <w:color w:val="auto"/>
              </w:rPr>
            </w:pPr>
          </w:p>
        </w:tc>
        <w:tc>
          <w:tcPr>
            <w:tcW w:w="3360" w:type="dxa"/>
            <w:vAlign w:val="bottom"/>
            <w:tcBorders>
              <w:bottom w:val="single" w:sz="8" w:color="AFAFAF"/>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40" w:type="dxa"/>
            <w:vAlign w:val="bottom"/>
            <w:tcBorders>
              <w:bottom w:val="single" w:sz="8" w:color="AFAFAF"/>
              <w:right w:val="single" w:sz="8" w:color="AFAFAF"/>
            </w:tcBorders>
          </w:tcPr>
          <w:p>
            <w:pPr>
              <w:ind w:left="140"/>
              <w:spacing w:after="0" w:line="155" w:lineRule="exact"/>
              <w:rPr>
                <w:sz w:val="20"/>
                <w:szCs w:val="20"/>
                <w:color w:val="auto"/>
              </w:rPr>
            </w:pPr>
            <w:r>
              <w:rPr>
                <w:rFonts w:ascii="Arial" w:cs="Arial" w:eastAsia="Arial" w:hAnsi="Arial"/>
                <w:sz w:val="14"/>
                <w:szCs w:val="14"/>
                <w:b w:val="1"/>
                <w:bCs w:val="1"/>
                <w:color w:val="auto"/>
              </w:rPr>
              <w:t>Stock options</w:t>
            </w:r>
          </w:p>
        </w:tc>
        <w:tc>
          <w:tcPr>
            <w:tcW w:w="3040" w:type="dxa"/>
            <w:vAlign w:val="bottom"/>
            <w:tcBorders>
              <w:bottom w:val="single" w:sz="8" w:color="AFAFAF"/>
              <w:right w:val="single" w:sz="8" w:color="AFAFAF"/>
            </w:tcBorders>
          </w:tcPr>
          <w:p>
            <w:pPr>
              <w:jc w:val="right"/>
              <w:ind w:right="246"/>
              <w:spacing w:after="0" w:line="155" w:lineRule="exact"/>
              <w:rPr>
                <w:sz w:val="20"/>
                <w:szCs w:val="20"/>
                <w:color w:val="auto"/>
              </w:rPr>
            </w:pPr>
            <w:r>
              <w:rPr>
                <w:rFonts w:ascii="Arial" w:cs="Arial" w:eastAsia="Arial" w:hAnsi="Arial"/>
                <w:sz w:val="14"/>
                <w:szCs w:val="14"/>
                <w:color w:val="auto"/>
              </w:rPr>
              <w:t>8,459,177</w:t>
            </w:r>
          </w:p>
        </w:tc>
        <w:tc>
          <w:tcPr>
            <w:tcW w:w="380" w:type="dxa"/>
            <w:vAlign w:val="bottom"/>
            <w:tcBorders>
              <w:bottom w:val="single" w:sz="8" w:color="AFAFAF"/>
            </w:tcBorders>
          </w:tcPr>
          <w:p>
            <w:pPr>
              <w:jc w:val="right"/>
              <w:spacing w:after="0" w:line="155" w:lineRule="exact"/>
              <w:rPr>
                <w:sz w:val="20"/>
                <w:szCs w:val="20"/>
                <w:color w:val="auto"/>
              </w:rPr>
            </w:pPr>
            <w:r>
              <w:rPr>
                <w:rFonts w:ascii="Arial" w:cs="Arial" w:eastAsia="Arial" w:hAnsi="Arial"/>
                <w:sz w:val="14"/>
                <w:szCs w:val="14"/>
                <w:color w:val="auto"/>
              </w:rPr>
              <w:t>$</w:t>
            </w:r>
          </w:p>
        </w:tc>
        <w:tc>
          <w:tcPr>
            <w:tcW w:w="2360" w:type="dxa"/>
            <w:vAlign w:val="bottom"/>
            <w:tcBorders>
              <w:bottom w:val="single" w:sz="8" w:color="AFAFAF"/>
              <w:right w:val="single" w:sz="8" w:color="AFAFAF"/>
            </w:tcBorders>
          </w:tcPr>
          <w:p>
            <w:pPr>
              <w:jc w:val="right"/>
              <w:ind w:right="291"/>
              <w:spacing w:after="0" w:line="155" w:lineRule="exact"/>
              <w:rPr>
                <w:sz w:val="20"/>
                <w:szCs w:val="20"/>
                <w:color w:val="auto"/>
              </w:rPr>
            </w:pPr>
            <w:r>
              <w:rPr>
                <w:rFonts w:ascii="Arial" w:cs="Arial" w:eastAsia="Arial" w:hAnsi="Arial"/>
                <w:sz w:val="14"/>
                <w:szCs w:val="14"/>
                <w:color w:val="auto"/>
              </w:rPr>
              <w:t>39.11</w:t>
            </w:r>
          </w:p>
        </w:tc>
        <w:tc>
          <w:tcPr>
            <w:tcW w:w="3360" w:type="dxa"/>
            <w:vAlign w:val="bottom"/>
            <w:tcBorders>
              <w:bottom w:val="single" w:sz="8" w:color="AFAFAF"/>
            </w:tcBorders>
          </w:tcPr>
          <w:p>
            <w:pPr>
              <w:jc w:val="right"/>
              <w:ind w:right="226"/>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840" w:type="dxa"/>
            <w:vAlign w:val="bottom"/>
            <w:tcBorders>
              <w:bottom w:val="single" w:sz="8" w:color="AFAFAF"/>
              <w:right w:val="single" w:sz="8" w:color="AFAFAF"/>
            </w:tcBorders>
          </w:tcPr>
          <w:p>
            <w:pPr>
              <w:ind w:left="140"/>
              <w:spacing w:after="0" w:line="155" w:lineRule="exact"/>
              <w:rPr>
                <w:sz w:val="20"/>
                <w:szCs w:val="20"/>
                <w:color w:val="auto"/>
              </w:rPr>
            </w:pPr>
            <w:r>
              <w:rPr>
                <w:rFonts w:ascii="Arial" w:cs="Arial" w:eastAsia="Arial" w:hAnsi="Arial"/>
                <w:sz w:val="14"/>
                <w:szCs w:val="14"/>
                <w:b w:val="1"/>
                <w:bCs w:val="1"/>
                <w:color w:val="auto"/>
              </w:rPr>
              <w:t>TRSUs</w:t>
            </w:r>
          </w:p>
        </w:tc>
        <w:tc>
          <w:tcPr>
            <w:tcW w:w="3040" w:type="dxa"/>
            <w:vAlign w:val="bottom"/>
            <w:tcBorders>
              <w:bottom w:val="single" w:sz="8" w:color="AFAFAF"/>
              <w:right w:val="single" w:sz="8" w:color="AFAFAF"/>
            </w:tcBorders>
          </w:tcPr>
          <w:p>
            <w:pPr>
              <w:jc w:val="right"/>
              <w:ind w:right="246"/>
              <w:spacing w:after="0" w:line="155" w:lineRule="exact"/>
              <w:rPr>
                <w:sz w:val="20"/>
                <w:szCs w:val="20"/>
                <w:color w:val="auto"/>
              </w:rPr>
            </w:pPr>
            <w:r>
              <w:rPr>
                <w:rFonts w:ascii="Arial" w:cs="Arial" w:eastAsia="Arial" w:hAnsi="Arial"/>
                <w:sz w:val="14"/>
                <w:szCs w:val="14"/>
                <w:color w:val="auto"/>
              </w:rPr>
              <w:t>2,356,747</w:t>
            </w:r>
          </w:p>
        </w:tc>
        <w:tc>
          <w:tcPr>
            <w:tcW w:w="380" w:type="dxa"/>
            <w:vAlign w:val="bottom"/>
            <w:tcBorders>
              <w:bottom w:val="single" w:sz="8" w:color="AFAFAF"/>
            </w:tcBorders>
          </w:tcPr>
          <w:p>
            <w:pPr>
              <w:spacing w:after="0"/>
              <w:rPr>
                <w:sz w:val="13"/>
                <w:szCs w:val="13"/>
                <w:color w:val="auto"/>
              </w:rPr>
            </w:pPr>
          </w:p>
        </w:tc>
        <w:tc>
          <w:tcPr>
            <w:tcW w:w="2360" w:type="dxa"/>
            <w:vAlign w:val="bottom"/>
            <w:tcBorders>
              <w:bottom w:val="single" w:sz="8" w:color="AFAFAF"/>
              <w:right w:val="single" w:sz="8" w:color="AFAFAF"/>
            </w:tcBorders>
          </w:tcPr>
          <w:p>
            <w:pPr>
              <w:jc w:val="right"/>
              <w:ind w:right="231"/>
              <w:spacing w:after="0" w:line="155" w:lineRule="exact"/>
              <w:rPr>
                <w:sz w:val="20"/>
                <w:szCs w:val="20"/>
                <w:color w:val="auto"/>
              </w:rPr>
            </w:pPr>
            <w:r>
              <w:rPr>
                <w:rFonts w:ascii="Arial" w:cs="Arial" w:eastAsia="Arial" w:hAnsi="Arial"/>
                <w:sz w:val="11"/>
                <w:szCs w:val="11"/>
                <w:color w:val="auto"/>
              </w:rPr>
              <w:t>N/A</w:t>
            </w:r>
            <w:r>
              <w:rPr>
                <w:rFonts w:ascii="Arial" w:cs="Arial" w:eastAsia="Arial" w:hAnsi="Arial"/>
                <w:sz w:val="17"/>
                <w:szCs w:val="17"/>
                <w:color w:val="auto"/>
                <w:vertAlign w:val="superscript"/>
              </w:rPr>
              <w:t>1</w:t>
            </w:r>
          </w:p>
        </w:tc>
        <w:tc>
          <w:tcPr>
            <w:tcW w:w="3360" w:type="dxa"/>
            <w:vAlign w:val="bottom"/>
            <w:tcBorders>
              <w:bottom w:val="single" w:sz="8" w:color="AFAFAF"/>
            </w:tcBorders>
          </w:tcPr>
          <w:p>
            <w:pPr>
              <w:jc w:val="right"/>
              <w:ind w:right="226"/>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840" w:type="dxa"/>
            <w:vAlign w:val="bottom"/>
            <w:tcBorders>
              <w:bottom w:val="single" w:sz="8" w:color="D95A3B"/>
              <w:right w:val="single" w:sz="8" w:color="AFAFAF"/>
            </w:tcBorders>
          </w:tcPr>
          <w:p>
            <w:pPr>
              <w:ind w:left="140"/>
              <w:spacing w:after="0" w:line="155" w:lineRule="exact"/>
              <w:rPr>
                <w:sz w:val="20"/>
                <w:szCs w:val="20"/>
                <w:color w:val="auto"/>
              </w:rPr>
            </w:pPr>
            <w:r>
              <w:rPr>
                <w:rFonts w:ascii="Arial" w:cs="Arial" w:eastAsia="Arial" w:hAnsi="Arial"/>
                <w:sz w:val="14"/>
                <w:szCs w:val="14"/>
                <w:b w:val="1"/>
                <w:bCs w:val="1"/>
                <w:color w:val="auto"/>
              </w:rPr>
              <w:t>PRSUs</w:t>
            </w:r>
          </w:p>
        </w:tc>
        <w:tc>
          <w:tcPr>
            <w:tcW w:w="3040" w:type="dxa"/>
            <w:vAlign w:val="bottom"/>
            <w:tcBorders>
              <w:bottom w:val="single" w:sz="8" w:color="D95A3B"/>
              <w:right w:val="single" w:sz="8" w:color="AFAFAF"/>
            </w:tcBorders>
          </w:tcPr>
          <w:p>
            <w:pPr>
              <w:jc w:val="right"/>
              <w:ind w:right="246"/>
              <w:spacing w:after="0" w:line="155" w:lineRule="exact"/>
              <w:rPr>
                <w:sz w:val="20"/>
                <w:szCs w:val="20"/>
                <w:color w:val="auto"/>
              </w:rPr>
            </w:pPr>
            <w:r>
              <w:rPr>
                <w:rFonts w:ascii="Arial" w:cs="Arial" w:eastAsia="Arial" w:hAnsi="Arial"/>
                <w:sz w:val="14"/>
                <w:szCs w:val="14"/>
                <w:color w:val="auto"/>
              </w:rPr>
              <w:t>1,575,759</w:t>
            </w:r>
          </w:p>
        </w:tc>
        <w:tc>
          <w:tcPr>
            <w:tcW w:w="380" w:type="dxa"/>
            <w:vAlign w:val="bottom"/>
            <w:tcBorders>
              <w:bottom w:val="single" w:sz="8" w:color="D95A3B"/>
            </w:tcBorders>
          </w:tcPr>
          <w:p>
            <w:pPr>
              <w:spacing w:after="0"/>
              <w:rPr>
                <w:sz w:val="13"/>
                <w:szCs w:val="13"/>
                <w:color w:val="auto"/>
              </w:rPr>
            </w:pPr>
          </w:p>
        </w:tc>
        <w:tc>
          <w:tcPr>
            <w:tcW w:w="2360" w:type="dxa"/>
            <w:vAlign w:val="bottom"/>
            <w:tcBorders>
              <w:bottom w:val="single" w:sz="8" w:color="D95A3B"/>
              <w:right w:val="single" w:sz="8" w:color="AFAFAF"/>
            </w:tcBorders>
          </w:tcPr>
          <w:p>
            <w:pPr>
              <w:jc w:val="right"/>
              <w:ind w:right="231"/>
              <w:spacing w:after="0" w:line="155" w:lineRule="exact"/>
              <w:rPr>
                <w:sz w:val="20"/>
                <w:szCs w:val="20"/>
                <w:color w:val="auto"/>
              </w:rPr>
            </w:pPr>
            <w:r>
              <w:rPr>
                <w:rFonts w:ascii="Arial" w:cs="Arial" w:eastAsia="Arial" w:hAnsi="Arial"/>
                <w:sz w:val="11"/>
                <w:szCs w:val="11"/>
                <w:color w:val="auto"/>
              </w:rPr>
              <w:t>N/A</w:t>
            </w:r>
            <w:r>
              <w:rPr>
                <w:rFonts w:ascii="Arial" w:cs="Arial" w:eastAsia="Arial" w:hAnsi="Arial"/>
                <w:sz w:val="17"/>
                <w:szCs w:val="17"/>
                <w:color w:val="auto"/>
                <w:vertAlign w:val="superscript"/>
              </w:rPr>
              <w:t>1</w:t>
            </w:r>
          </w:p>
        </w:tc>
        <w:tc>
          <w:tcPr>
            <w:tcW w:w="3360" w:type="dxa"/>
            <w:vAlign w:val="bottom"/>
            <w:tcBorders>
              <w:bottom w:val="single" w:sz="8" w:color="D95A3B"/>
            </w:tcBorders>
          </w:tcPr>
          <w:p>
            <w:pPr>
              <w:jc w:val="right"/>
              <w:ind w:right="226"/>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84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3040" w:type="dxa"/>
            <w:vAlign w:val="bottom"/>
            <w:tcBorders>
              <w:bottom w:val="single" w:sz="8" w:color="D95A3B"/>
              <w:right w:val="single" w:sz="8" w:color="AFAFAF"/>
            </w:tcBorders>
          </w:tcPr>
          <w:p>
            <w:pPr>
              <w:jc w:val="right"/>
              <w:ind w:right="246"/>
              <w:spacing w:after="0" w:line="155" w:lineRule="exact"/>
              <w:rPr>
                <w:sz w:val="20"/>
                <w:szCs w:val="20"/>
                <w:color w:val="auto"/>
              </w:rPr>
            </w:pPr>
            <w:r>
              <w:rPr>
                <w:rFonts w:ascii="Arial" w:cs="Arial" w:eastAsia="Arial" w:hAnsi="Arial"/>
                <w:sz w:val="14"/>
                <w:szCs w:val="14"/>
                <w:color w:val="auto"/>
              </w:rPr>
              <w:t>12,391,683</w:t>
            </w:r>
          </w:p>
        </w:tc>
        <w:tc>
          <w:tcPr>
            <w:tcW w:w="380" w:type="dxa"/>
            <w:vAlign w:val="bottom"/>
            <w:tcBorders>
              <w:bottom w:val="single" w:sz="8" w:color="D95A3B"/>
            </w:tcBorders>
          </w:tcPr>
          <w:p>
            <w:pPr>
              <w:spacing w:after="0"/>
              <w:rPr>
                <w:sz w:val="13"/>
                <w:szCs w:val="13"/>
                <w:color w:val="auto"/>
              </w:rPr>
            </w:pPr>
          </w:p>
        </w:tc>
        <w:tc>
          <w:tcPr>
            <w:tcW w:w="2360" w:type="dxa"/>
            <w:vAlign w:val="bottom"/>
            <w:tcBorders>
              <w:bottom w:val="single" w:sz="8" w:color="D95A3B"/>
              <w:right w:val="single" w:sz="8" w:color="AFAFAF"/>
            </w:tcBorders>
          </w:tcPr>
          <w:p>
            <w:pPr>
              <w:jc w:val="right"/>
              <w:ind w:right="291"/>
              <w:spacing w:after="0" w:line="155" w:lineRule="exact"/>
              <w:rPr>
                <w:sz w:val="20"/>
                <w:szCs w:val="20"/>
                <w:color w:val="auto"/>
              </w:rPr>
            </w:pPr>
            <w:r>
              <w:rPr>
                <w:rFonts w:ascii="Arial" w:cs="Arial" w:eastAsia="Arial" w:hAnsi="Arial"/>
                <w:sz w:val="14"/>
                <w:szCs w:val="14"/>
                <w:color w:val="auto"/>
              </w:rPr>
              <w:t>–</w:t>
            </w:r>
          </w:p>
        </w:tc>
        <w:tc>
          <w:tcPr>
            <w:tcW w:w="3360" w:type="dxa"/>
            <w:vAlign w:val="bottom"/>
            <w:tcBorders>
              <w:bottom w:val="single" w:sz="8" w:color="D95A3B"/>
            </w:tcBorders>
          </w:tcPr>
          <w:p>
            <w:pPr>
              <w:jc w:val="right"/>
              <w:ind w:right="226"/>
              <w:spacing w:after="0" w:line="155" w:lineRule="exact"/>
              <w:rPr>
                <w:sz w:val="20"/>
                <w:szCs w:val="20"/>
                <w:color w:val="auto"/>
              </w:rPr>
            </w:pPr>
            <w:r>
              <w:rPr>
                <w:rFonts w:ascii="Arial" w:cs="Arial" w:eastAsia="Arial" w:hAnsi="Arial"/>
                <w:sz w:val="14"/>
                <w:szCs w:val="14"/>
                <w:color w:val="auto"/>
              </w:rPr>
              <w:t>14,201,797</w:t>
            </w:r>
          </w:p>
        </w:tc>
        <w:tc>
          <w:tcPr>
            <w:tcW w:w="0" w:type="dxa"/>
            <w:vAlign w:val="bottom"/>
          </w:tcPr>
          <w:p>
            <w:pPr>
              <w:spacing w:after="0"/>
              <w:rPr>
                <w:sz w:val="1"/>
                <w:szCs w:val="1"/>
                <w:color w:val="auto"/>
              </w:rPr>
            </w:pPr>
          </w:p>
        </w:tc>
      </w:tr>
      <w:tr>
        <w:trPr>
          <w:trHeight w:val="142"/>
        </w:trPr>
        <w:tc>
          <w:tcPr>
            <w:tcW w:w="184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Equity compensation</w:t>
            </w:r>
          </w:p>
        </w:tc>
        <w:tc>
          <w:tcPr>
            <w:tcW w:w="3040" w:type="dxa"/>
            <w:vAlign w:val="bottom"/>
            <w:tcBorders>
              <w:right w:val="single" w:sz="8" w:color="AFAFAF"/>
            </w:tcBorders>
          </w:tcPr>
          <w:p>
            <w:pPr>
              <w:spacing w:after="0"/>
              <w:rPr>
                <w:sz w:val="12"/>
                <w:szCs w:val="12"/>
                <w:color w:val="auto"/>
              </w:rPr>
            </w:pPr>
          </w:p>
        </w:tc>
        <w:tc>
          <w:tcPr>
            <w:tcW w:w="380" w:type="dxa"/>
            <w:vAlign w:val="bottom"/>
          </w:tcPr>
          <w:p>
            <w:pPr>
              <w:spacing w:after="0"/>
              <w:rPr>
                <w:sz w:val="12"/>
                <w:szCs w:val="12"/>
                <w:color w:val="auto"/>
              </w:rPr>
            </w:pPr>
          </w:p>
        </w:tc>
        <w:tc>
          <w:tcPr>
            <w:tcW w:w="2360" w:type="dxa"/>
            <w:vAlign w:val="bottom"/>
            <w:tcBorders>
              <w:right w:val="single" w:sz="8" w:color="AFAFAF"/>
            </w:tcBorders>
          </w:tcPr>
          <w:p>
            <w:pPr>
              <w:spacing w:after="0"/>
              <w:rPr>
                <w:sz w:val="12"/>
                <w:szCs w:val="12"/>
                <w:color w:val="auto"/>
              </w:rPr>
            </w:pP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40" w:type="dxa"/>
            <w:vAlign w:val="bottom"/>
            <w:tcBorders>
              <w:right w:val="single" w:sz="8" w:color="AFAFAF"/>
            </w:tcBorders>
          </w:tcPr>
          <w:p>
            <w:pPr>
              <w:ind w:left="140"/>
              <w:spacing w:after="0"/>
              <w:rPr>
                <w:sz w:val="20"/>
                <w:szCs w:val="20"/>
                <w:color w:val="auto"/>
              </w:rPr>
            </w:pPr>
            <w:r>
              <w:rPr>
                <w:rFonts w:ascii="Arial" w:cs="Arial" w:eastAsia="Arial" w:hAnsi="Arial"/>
                <w:sz w:val="14"/>
                <w:szCs w:val="14"/>
                <w:b w:val="1"/>
                <w:bCs w:val="1"/>
                <w:color w:val="auto"/>
              </w:rPr>
              <w:t>plans not</w:t>
            </w:r>
          </w:p>
        </w:tc>
        <w:tc>
          <w:tcPr>
            <w:tcW w:w="3040" w:type="dxa"/>
            <w:vAlign w:val="bottom"/>
            <w:tcBorders>
              <w:right w:val="single" w:sz="8" w:color="AFAFAF"/>
            </w:tcBorders>
          </w:tcPr>
          <w:p>
            <w:pPr>
              <w:spacing w:after="0"/>
              <w:rPr>
                <w:sz w:val="14"/>
                <w:szCs w:val="14"/>
                <w:color w:val="auto"/>
              </w:rPr>
            </w:pPr>
          </w:p>
        </w:tc>
        <w:tc>
          <w:tcPr>
            <w:tcW w:w="380" w:type="dxa"/>
            <w:vAlign w:val="bottom"/>
          </w:tcPr>
          <w:p>
            <w:pPr>
              <w:spacing w:after="0"/>
              <w:rPr>
                <w:sz w:val="14"/>
                <w:szCs w:val="14"/>
                <w:color w:val="auto"/>
              </w:rPr>
            </w:pPr>
          </w:p>
        </w:tc>
        <w:tc>
          <w:tcPr>
            <w:tcW w:w="2360" w:type="dxa"/>
            <w:vAlign w:val="bottom"/>
            <w:tcBorders>
              <w:right w:val="single" w:sz="8" w:color="AFAFAF"/>
            </w:tcBorders>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approved by security</w:t>
            </w:r>
          </w:p>
        </w:tc>
        <w:tc>
          <w:tcPr>
            <w:tcW w:w="3040" w:type="dxa"/>
            <w:vAlign w:val="bottom"/>
            <w:tcBorders>
              <w:right w:val="single" w:sz="8" w:color="AFAFAF"/>
            </w:tcBorders>
          </w:tcPr>
          <w:p>
            <w:pPr>
              <w:spacing w:after="0"/>
              <w:rPr>
                <w:sz w:val="14"/>
                <w:szCs w:val="14"/>
                <w:color w:val="auto"/>
              </w:rPr>
            </w:pPr>
          </w:p>
        </w:tc>
        <w:tc>
          <w:tcPr>
            <w:tcW w:w="380" w:type="dxa"/>
            <w:vAlign w:val="bottom"/>
          </w:tcPr>
          <w:p>
            <w:pPr>
              <w:spacing w:after="0"/>
              <w:rPr>
                <w:sz w:val="14"/>
                <w:szCs w:val="14"/>
                <w:color w:val="auto"/>
              </w:rPr>
            </w:pPr>
          </w:p>
        </w:tc>
        <w:tc>
          <w:tcPr>
            <w:tcW w:w="2360" w:type="dxa"/>
            <w:vAlign w:val="bottom"/>
            <w:tcBorders>
              <w:right w:val="single" w:sz="8" w:color="AFAFAF"/>
            </w:tcBorders>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40" w:type="dxa"/>
            <w:vAlign w:val="bottom"/>
            <w:tcBorders>
              <w:bottom w:val="single" w:sz="8" w:color="D95A3B"/>
              <w:right w:val="single" w:sz="8" w:color="AFAFAF"/>
            </w:tcBorders>
          </w:tcPr>
          <w:p>
            <w:pPr>
              <w:ind w:left="140"/>
              <w:spacing w:after="0"/>
              <w:rPr>
                <w:sz w:val="20"/>
                <w:szCs w:val="20"/>
                <w:color w:val="auto"/>
              </w:rPr>
            </w:pPr>
            <w:r>
              <w:rPr>
                <w:rFonts w:ascii="Arial" w:cs="Arial" w:eastAsia="Arial" w:hAnsi="Arial"/>
                <w:sz w:val="14"/>
                <w:szCs w:val="14"/>
                <w:b w:val="1"/>
                <w:bCs w:val="1"/>
                <w:color w:val="auto"/>
              </w:rPr>
              <w:t>holders</w:t>
            </w:r>
          </w:p>
        </w:tc>
        <w:tc>
          <w:tcPr>
            <w:tcW w:w="3040" w:type="dxa"/>
            <w:vAlign w:val="bottom"/>
            <w:tcBorders>
              <w:bottom w:val="single" w:sz="8" w:color="D95A3B"/>
              <w:right w:val="single" w:sz="8" w:color="AFAFAF"/>
            </w:tcBorders>
          </w:tcPr>
          <w:p>
            <w:pPr>
              <w:jc w:val="right"/>
              <w:ind w:right="246"/>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95A3B"/>
            </w:tcBorders>
          </w:tcPr>
          <w:p>
            <w:pPr>
              <w:spacing w:after="0"/>
              <w:rPr>
                <w:sz w:val="16"/>
                <w:szCs w:val="16"/>
                <w:color w:val="auto"/>
              </w:rPr>
            </w:pPr>
          </w:p>
        </w:tc>
        <w:tc>
          <w:tcPr>
            <w:tcW w:w="2360" w:type="dxa"/>
            <w:vAlign w:val="bottom"/>
            <w:tcBorders>
              <w:bottom w:val="single" w:sz="8" w:color="D95A3B"/>
              <w:right w:val="single" w:sz="8" w:color="AFAFAF"/>
            </w:tcBorders>
          </w:tcPr>
          <w:p>
            <w:pPr>
              <w:jc w:val="right"/>
              <w:ind w:right="291"/>
              <w:spacing w:after="0"/>
              <w:rPr>
                <w:sz w:val="20"/>
                <w:szCs w:val="20"/>
                <w:color w:val="auto"/>
              </w:rPr>
            </w:pPr>
            <w:r>
              <w:rPr>
                <w:rFonts w:ascii="Arial" w:cs="Arial" w:eastAsia="Arial" w:hAnsi="Arial"/>
                <w:sz w:val="14"/>
                <w:szCs w:val="14"/>
                <w:color w:val="auto"/>
              </w:rPr>
              <w:t>–</w:t>
            </w:r>
          </w:p>
        </w:tc>
        <w:tc>
          <w:tcPr>
            <w:tcW w:w="3360" w:type="dxa"/>
            <w:vAlign w:val="bottom"/>
            <w:tcBorders>
              <w:bottom w:val="single" w:sz="8" w:color="D95A3B"/>
            </w:tcBorders>
          </w:tcPr>
          <w:p>
            <w:pPr>
              <w:jc w:val="right"/>
              <w:ind w:right="2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84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3040" w:type="dxa"/>
            <w:vAlign w:val="bottom"/>
            <w:tcBorders>
              <w:bottom w:val="single" w:sz="8" w:color="D95A3B"/>
              <w:right w:val="single" w:sz="8" w:color="AFAFAF"/>
            </w:tcBorders>
          </w:tcPr>
          <w:p>
            <w:pPr>
              <w:jc w:val="right"/>
              <w:ind w:right="246"/>
              <w:spacing w:after="0" w:line="155" w:lineRule="exact"/>
              <w:rPr>
                <w:sz w:val="20"/>
                <w:szCs w:val="20"/>
                <w:color w:val="auto"/>
              </w:rPr>
            </w:pPr>
            <w:r>
              <w:rPr>
                <w:rFonts w:ascii="Arial" w:cs="Arial" w:eastAsia="Arial" w:hAnsi="Arial"/>
                <w:sz w:val="14"/>
                <w:szCs w:val="14"/>
                <w:color w:val="auto"/>
              </w:rPr>
              <w:t>12,391,683</w:t>
            </w:r>
          </w:p>
        </w:tc>
        <w:tc>
          <w:tcPr>
            <w:tcW w:w="380" w:type="dxa"/>
            <w:vAlign w:val="bottom"/>
            <w:tcBorders>
              <w:bottom w:val="single" w:sz="8" w:color="D95A3B"/>
            </w:tcBorders>
          </w:tcPr>
          <w:p>
            <w:pPr>
              <w:spacing w:after="0"/>
              <w:rPr>
                <w:sz w:val="13"/>
                <w:szCs w:val="13"/>
                <w:color w:val="auto"/>
              </w:rPr>
            </w:pPr>
          </w:p>
        </w:tc>
        <w:tc>
          <w:tcPr>
            <w:tcW w:w="2360" w:type="dxa"/>
            <w:vAlign w:val="bottom"/>
            <w:tcBorders>
              <w:bottom w:val="single" w:sz="8" w:color="D95A3B"/>
              <w:right w:val="single" w:sz="8" w:color="AFAFAF"/>
            </w:tcBorders>
          </w:tcPr>
          <w:p>
            <w:pPr>
              <w:jc w:val="right"/>
              <w:ind w:right="291"/>
              <w:spacing w:after="0" w:line="155" w:lineRule="exact"/>
              <w:rPr>
                <w:sz w:val="20"/>
                <w:szCs w:val="20"/>
                <w:color w:val="auto"/>
              </w:rPr>
            </w:pPr>
            <w:r>
              <w:rPr>
                <w:rFonts w:ascii="Arial" w:cs="Arial" w:eastAsia="Arial" w:hAnsi="Arial"/>
                <w:sz w:val="14"/>
                <w:szCs w:val="14"/>
                <w:color w:val="auto"/>
              </w:rPr>
              <w:t>–</w:t>
            </w:r>
          </w:p>
        </w:tc>
        <w:tc>
          <w:tcPr>
            <w:tcW w:w="3360" w:type="dxa"/>
            <w:vAlign w:val="bottom"/>
            <w:tcBorders>
              <w:bottom w:val="single" w:sz="8" w:color="D95A3B"/>
            </w:tcBorders>
          </w:tcPr>
          <w:p>
            <w:pPr>
              <w:jc w:val="right"/>
              <w:ind w:right="226"/>
              <w:spacing w:after="0" w:line="155" w:lineRule="exact"/>
              <w:rPr>
                <w:sz w:val="20"/>
                <w:szCs w:val="20"/>
                <w:color w:val="auto"/>
              </w:rPr>
            </w:pPr>
            <w:r>
              <w:rPr>
                <w:rFonts w:ascii="Arial" w:cs="Arial" w:eastAsia="Arial" w:hAnsi="Arial"/>
                <w:sz w:val="14"/>
                <w:szCs w:val="14"/>
                <w:color w:val="auto"/>
              </w:rPr>
              <w:t>14,201,797</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1  Unlike stock options, RSUs do not have an applicable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136525</wp:posOffset>
            </wp:positionV>
            <wp:extent cx="697357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55"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74</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Description of Equity Compensation and Other Plans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are authorized to issue common shares under the following plans:</w:t>
      </w:r>
    </w:p>
    <w:p>
      <w:pPr>
        <w:sectPr>
          <w:pgSz w:w="11900" w:h="16838" w:orient="portrait"/>
          <w:cols w:equalWidth="0" w:num="1">
            <w:col w:w="11200"/>
          </w:cols>
          <w:pgMar w:left="240" w:top="458" w:right="459" w:bottom="1440" w:gutter="0" w:footer="0" w:header="0"/>
        </w:sectPr>
      </w:pPr>
    </w:p>
    <w:p>
      <w:pPr>
        <w:spacing w:after="0" w:line="120"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Stock incentive plan;</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Deferred compensation plan; and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plans.</w:t>
      </w:r>
    </w:p>
    <w:p>
      <w:pPr>
        <w:spacing w:after="0" w:line="116"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ind w:left="220"/>
        <w:spacing w:after="0"/>
        <w:rPr>
          <w:sz w:val="20"/>
          <w:szCs w:val="20"/>
          <w:color w:val="auto"/>
        </w:rPr>
      </w:pPr>
      <w:r>
        <w:rPr>
          <w:rFonts w:ascii="Arial" w:cs="Arial" w:eastAsia="Arial" w:hAnsi="Arial"/>
          <w:sz w:val="18"/>
          <w:szCs w:val="18"/>
          <w:color w:val="auto"/>
        </w:rPr>
        <w:t>In 2017, our shareholders approved adding 22 million shares to the stock incentive plan.</w:t>
      </w:r>
    </w:p>
    <w:p>
      <w:pPr>
        <w:spacing w:after="0" w:line="103" w:lineRule="exact"/>
        <w:rPr>
          <w:sz w:val="20"/>
          <w:szCs w:val="20"/>
          <w:color w:val="auto"/>
        </w:rPr>
      </w:pPr>
    </w:p>
    <w:p>
      <w:pPr>
        <w:ind w:left="220" w:right="440"/>
        <w:spacing w:after="0" w:line="244" w:lineRule="auto"/>
        <w:rPr>
          <w:sz w:val="20"/>
          <w:szCs w:val="20"/>
          <w:color w:val="auto"/>
        </w:rPr>
      </w:pPr>
      <w:r>
        <w:rPr>
          <w:rFonts w:ascii="Arial" w:cs="Arial" w:eastAsia="Arial" w:hAnsi="Arial"/>
          <w:sz w:val="18"/>
          <w:szCs w:val="18"/>
          <w:color w:val="auto"/>
        </w:rPr>
        <w:t>We also maintain a share plan for our non-employee directors but any shares needed to satisfy our obligations under those plans are purchased in the open market, so there is no dilutive effect. We also grant cash-based awards under our phantom stock plan.</w:t>
      </w:r>
    </w:p>
    <w:p>
      <w:pPr>
        <w:spacing w:after="0" w:line="91" w:lineRule="exact"/>
        <w:rPr>
          <w:sz w:val="20"/>
          <w:szCs w:val="20"/>
          <w:color w:val="auto"/>
        </w:rPr>
      </w:pPr>
    </w:p>
    <w:p>
      <w:pPr>
        <w:ind w:left="220"/>
        <w:spacing w:after="0" w:line="239" w:lineRule="auto"/>
        <w:rPr>
          <w:sz w:val="20"/>
          <w:szCs w:val="20"/>
          <w:color w:val="auto"/>
        </w:rPr>
      </w:pPr>
      <w:r>
        <w:rPr>
          <w:rFonts w:ascii="Arial" w:cs="Arial" w:eastAsia="Arial" w:hAnsi="Arial"/>
          <w:sz w:val="18"/>
          <w:szCs w:val="18"/>
          <w:color w:val="auto"/>
        </w:rPr>
        <w:t>Copies of our stock incentive plan, deferred compensation plan and employee stock purchase plans are available to any shareholder upon request by writing to: Thomson Reuters, Attention: Associate General Counsel, Corporate, Metro Center, One Station Place, Stamford, Connecticut 06902, United States.</w:t>
      </w:r>
    </w:p>
    <w:p>
      <w:pPr>
        <w:spacing w:after="0" w:line="95" w:lineRule="exact"/>
        <w:rPr>
          <w:sz w:val="20"/>
          <w:szCs w:val="20"/>
          <w:color w:val="auto"/>
        </w:rPr>
      </w:pPr>
    </w:p>
    <w:p>
      <w:pPr>
        <w:ind w:left="220" w:right="160"/>
        <w:spacing w:after="0" w:line="239" w:lineRule="auto"/>
        <w:rPr>
          <w:sz w:val="20"/>
          <w:szCs w:val="20"/>
          <w:color w:val="auto"/>
        </w:rPr>
      </w:pPr>
      <w:r>
        <w:rPr>
          <w:rFonts w:ascii="Arial" w:cs="Arial" w:eastAsia="Arial" w:hAnsi="Arial"/>
          <w:sz w:val="18"/>
          <w:szCs w:val="18"/>
          <w:color w:val="auto"/>
        </w:rPr>
        <w:t>The tables set forth in Appendix A to this circular provide information regarding the key features of our plans and reflect the impact of the share consolidation (reverse stock split) described above. Our director compensation plan is described in the “About Our Directors – Director Compensation and Share Ownership” section of this circular.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Pension and Other Retirement Benefits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describes pension and other retirement benefits provided to our named executive officers.</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Defined Benefit Pension Plans</w:t>
      </w:r>
    </w:p>
    <w:p>
      <w:pPr>
        <w:spacing w:after="0" w:line="35" w:lineRule="exact"/>
        <w:rPr>
          <w:sz w:val="20"/>
          <w:szCs w:val="20"/>
          <w:color w:val="auto"/>
        </w:rPr>
      </w:pPr>
    </w:p>
    <w:p>
      <w:pPr>
        <w:jc w:val="both"/>
        <w:ind w:left="220" w:right="160"/>
        <w:spacing w:after="0" w:line="247" w:lineRule="auto"/>
        <w:rPr>
          <w:sz w:val="20"/>
          <w:szCs w:val="20"/>
          <w:color w:val="auto"/>
        </w:rPr>
      </w:pPr>
      <w:r>
        <w:rPr>
          <w:rFonts w:ascii="Arial" w:cs="Arial" w:eastAsia="Arial" w:hAnsi="Arial"/>
          <w:sz w:val="17"/>
          <w:szCs w:val="17"/>
          <w:color w:val="auto"/>
        </w:rPr>
        <w:t>Messrs. Smith, Bello, Peccarelli and Masterson participate in a broad based, U.S. defined benefit pension plan which has been closed to new participants since 2006. The plan is funded by one of our wholly-owned U.S. subsidiaries and is qualified under U.S. federal income tax laws. Benefits under the plan are subject to a maximum annual benefit based on eligible compensation limits set forth by the U.S.</w:t>
      </w:r>
    </w:p>
    <w:p>
      <w:pPr>
        <w:spacing w:after="0" w:line="2" w:lineRule="exact"/>
        <w:rPr>
          <w:sz w:val="20"/>
          <w:szCs w:val="20"/>
          <w:color w:val="auto"/>
        </w:rPr>
      </w:pPr>
    </w:p>
    <w:p>
      <w:pPr>
        <w:ind w:left="220" w:right="260"/>
        <w:spacing w:after="0" w:line="244" w:lineRule="auto"/>
        <w:rPr>
          <w:sz w:val="20"/>
          <w:szCs w:val="20"/>
          <w:color w:val="auto"/>
        </w:rPr>
      </w:pPr>
      <w:r>
        <w:rPr>
          <w:rFonts w:ascii="Arial" w:cs="Arial" w:eastAsia="Arial" w:hAnsi="Arial"/>
          <w:sz w:val="18"/>
          <w:szCs w:val="18"/>
          <w:color w:val="auto"/>
        </w:rPr>
        <w:t>Internal Revenue Code. In 2018, the eligible compensation limit was $275,000 and the maximum annual benefit limit under the pension plan was $220,000.</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Defined Contribution Plans</w:t>
      </w:r>
    </w:p>
    <w:p>
      <w:pPr>
        <w:spacing w:after="0" w:line="22" w:lineRule="exact"/>
        <w:rPr>
          <w:sz w:val="20"/>
          <w:szCs w:val="20"/>
          <w:color w:val="auto"/>
        </w:rPr>
      </w:pPr>
    </w:p>
    <w:p>
      <w:pPr>
        <w:ind w:left="220" w:right="40"/>
        <w:spacing w:after="0" w:line="252" w:lineRule="auto"/>
        <w:rPr>
          <w:sz w:val="20"/>
          <w:szCs w:val="20"/>
          <w:color w:val="auto"/>
        </w:rPr>
      </w:pPr>
      <w:r>
        <w:rPr>
          <w:rFonts w:ascii="Arial" w:cs="Arial" w:eastAsia="Arial" w:hAnsi="Arial"/>
          <w:sz w:val="17"/>
          <w:szCs w:val="17"/>
          <w:color w:val="auto"/>
        </w:rPr>
        <w:t>Each of our named executive officers participates in a 401(k) retirement savings plan, which provides for company matching contributions to amounts contributed by each of them to the plan. Participating employees can contribute up to 50% of their eligible compensation on a combined before-tax or after-tax basis. For participants in a U.S. defined benefit pension plan (Messrs. Smith, Bello, Peccarelli and Masterson), the amount of company matching contributions is 50% of the first 6% of eligible compensation that is contributed by the participant. Employees who do not participate in a U.S. defined benefit pension plan (such as Mr. Friedenberg) receive company matching contributions equal to 100% of the first 4% of eligible compensation that they contributed. The maximum before-tax and/or Roth 401(k) contribution that could be made by each of them in 2018 was $18,500 per year (or $24,500 per year for participants age 50 and over).</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Retirement Plus Plans</w:t>
      </w:r>
    </w:p>
    <w:p>
      <w:pPr>
        <w:spacing w:after="0" w:line="35" w:lineRule="exact"/>
        <w:rPr>
          <w:sz w:val="20"/>
          <w:szCs w:val="20"/>
          <w:color w:val="auto"/>
        </w:rPr>
      </w:pPr>
    </w:p>
    <w:p>
      <w:pPr>
        <w:ind w:left="220" w:right="360"/>
        <w:spacing w:after="0" w:line="236" w:lineRule="auto"/>
        <w:rPr>
          <w:sz w:val="20"/>
          <w:szCs w:val="20"/>
          <w:color w:val="auto"/>
        </w:rPr>
      </w:pPr>
      <w:r>
        <w:rPr>
          <w:rFonts w:ascii="Arial" w:cs="Arial" w:eastAsia="Arial" w:hAnsi="Arial"/>
          <w:sz w:val="18"/>
          <w:szCs w:val="18"/>
          <w:color w:val="auto"/>
        </w:rPr>
        <w:t>We provide a supplemental benefit to Messrs. Smith, Bello, Peccarelli and Masterson through a “retirement plus” plan which is an unfunded, non-qualified defined benefit plan. Messrs. Smith, Bello, Peccarelli and Masterson receive allocations with respect to compensation above the eligible compensation limits imposed by the U.S. Internal Revenue Service (IRS) and subject to a maximum eligible “retirement plus” plan compensation limit of $300,000. In 2018, the IRS compensation limit was $275,000. As a result, Messrs. Smith, Bello, Peccarelli and Masterson received allocations of $1,952, $1,663, $1,944 and $751, respectively, in 2018 under this plan. Amounts under this plan are paid from our general assets.</w:t>
      </w:r>
    </w:p>
    <w:p>
      <w:pPr>
        <w:spacing w:after="0" w:line="98" w:lineRule="exact"/>
        <w:rPr>
          <w:sz w:val="20"/>
          <w:szCs w:val="20"/>
          <w:color w:val="auto"/>
        </w:rPr>
      </w:pPr>
    </w:p>
    <w:p>
      <w:pPr>
        <w:ind w:left="220" w:right="400"/>
        <w:spacing w:after="0" w:line="247" w:lineRule="auto"/>
        <w:rPr>
          <w:sz w:val="20"/>
          <w:szCs w:val="20"/>
          <w:color w:val="auto"/>
        </w:rPr>
      </w:pPr>
      <w:r>
        <w:rPr>
          <w:rFonts w:ascii="Arial" w:cs="Arial" w:eastAsia="Arial" w:hAnsi="Arial"/>
          <w:sz w:val="17"/>
          <w:szCs w:val="17"/>
          <w:color w:val="auto"/>
        </w:rPr>
        <w:t>We provide a supplemental benefit to Mr. Friedenberg through a separate “retirement plus” plan which is an unfunded, non-qualified defined contribution plan. Mr. Friedenberg receives a 4% allocation of his base salary over the IRS eligible compensation limit. Due to Mr. Friedenberg’s hire date and earnings in 2018, there were no allocations to him during the 2018 plan year. There is no maximum annual “retirement plus” plan compensation limit for this plan. Amounts under this plan are also paid from our general assets.</w:t>
      </w:r>
    </w:p>
    <w:p>
      <w:pPr>
        <w:spacing w:after="0" w:line="3" w:lineRule="exact"/>
        <w:rPr>
          <w:sz w:val="20"/>
          <w:szCs w:val="20"/>
          <w:color w:val="auto"/>
        </w:rPr>
      </w:pPr>
    </w:p>
    <w:p>
      <w:pPr>
        <w:ind w:left="220" w:right="660"/>
        <w:spacing w:after="0" w:line="244" w:lineRule="auto"/>
        <w:rPr>
          <w:sz w:val="20"/>
          <w:szCs w:val="20"/>
          <w:color w:val="auto"/>
        </w:rPr>
      </w:pPr>
      <w:r>
        <w:rPr>
          <w:rFonts w:ascii="Arial" w:cs="Arial" w:eastAsia="Arial" w:hAnsi="Arial"/>
          <w:sz w:val="18"/>
          <w:szCs w:val="18"/>
          <w:color w:val="auto"/>
        </w:rPr>
        <w:t>Mr. Masterson previously participated in this plan when he was employed by our former Financial business. Mr. Masterson ceased participating in that plan at the end of 2005 and has not received allocations to that plan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118110</wp:posOffset>
            </wp:positionV>
            <wp:extent cx="697357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26"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75</w:t>
      </w:r>
    </w:p>
    <w:p>
      <w:pPr>
        <w:sectPr>
          <w:pgSz w:w="11900" w:h="16838" w:orient="portrait"/>
          <w:cols w:equalWidth="0" w:num="1">
            <w:col w:w="11200"/>
          </w:cols>
          <w:pgMar w:left="240" w:top="458" w:right="45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SERPs</w:t>
      </w:r>
    </w:p>
    <w:p>
      <w:pPr>
        <w:spacing w:after="0" w:line="35"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As an important retention tool, we also provide Messrs. Smith and Bello with a supplemental executive retirement plan (SERP). SERPs require participants to achieve certain years of service with our company and meet specified age requirements in order to receive benefits. Messrs. Smith’s and Bello’s SERPs are unfunded, non-qualified defined benefit pension plans under which benefits are paid from our general assets. SERP benefits supplement amounts received by Messrs. Smith and Bello under our other defined benefit plans (i.e., the pension plan and retirement plus plan) and our defined contribution plans, which are funded by company contributions and earnings attributable to such contributions. Messrs. Smith and Bello are currently vested in their SERP benefits.</w:t>
      </w:r>
    </w:p>
    <w:p>
      <w:pPr>
        <w:spacing w:after="0" w:line="98"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The combined annual benefit under the pension plan, retirement plus plan and SERP for Messrs. Smith and Bello is a pension equal to a percentage of their final base salary, following vesting and commencing upon retirement or termination of employment. This percentage of final base salary is 60% for Mr. Smith and 50% for Mr. Bello. For Messrs. Smith and Bello, the benefit amount will be reduced by 5% for each year by which retirement precedes age 62. In certain circumstances, each of Messrs. Smith and Bello will be entitled to a pension upon disability. The annual benefit is payable for life, with a spousal survivor pension of 50% of the officer’s pension. Annual benefit amounts are not subject to reductions for social security benefits.</w:t>
      </w:r>
    </w:p>
    <w:p>
      <w:pPr>
        <w:spacing w:after="0" w:line="98"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In April 2019, we established a grantor trust, commonly referred to as a “rabbi trust”, with an independent trustee for the purpose of funding SERP benefits in the event of a payment failure. Various former senior executives who currently have SERP arrangements are covered by this new rabbi trust along with Messrs. Smith and Bello. Some of our other former senior executives with SERPs have had rabbi trusts for some time. Messrs. Smith, Bello and other beneficiaries have no rights to any assets held by the new rabbi trust, except as general creditors. The grantor trust arrangement was approved by the HR Committee.</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Defined Benefit Plans Table</w:t>
      </w:r>
    </w:p>
    <w:p>
      <w:pPr>
        <w:spacing w:after="0" w:line="35" w:lineRule="exact"/>
        <w:rPr>
          <w:sz w:val="20"/>
          <w:szCs w:val="20"/>
          <w:color w:val="auto"/>
        </w:rPr>
      </w:pPr>
    </w:p>
    <w:p>
      <w:pPr>
        <w:ind w:left="220" w:right="20"/>
        <w:spacing w:after="0" w:line="244" w:lineRule="auto"/>
        <w:rPr>
          <w:sz w:val="20"/>
          <w:szCs w:val="20"/>
          <w:color w:val="auto"/>
        </w:rPr>
      </w:pPr>
      <w:r>
        <w:rPr>
          <w:rFonts w:ascii="Arial" w:cs="Arial" w:eastAsia="Arial" w:hAnsi="Arial"/>
          <w:sz w:val="18"/>
          <w:szCs w:val="18"/>
          <w:color w:val="auto"/>
        </w:rPr>
        <w:t>The following table sets forth defined benefit plan information related to our named executive officers. Mr. Friedenberg does not participate in a defined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2200910</wp:posOffset>
            </wp:positionH>
            <wp:positionV relativeFrom="paragraph">
              <wp:posOffset>66675</wp:posOffset>
            </wp:positionV>
            <wp:extent cx="1307465" cy="2305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07465" cy="230505"/>
                    </a:xfrm>
                    <a:prstGeom prst="rect">
                      <a:avLst/>
                    </a:prstGeom>
                    <a:noFill/>
                  </pic:spPr>
                </pic:pic>
              </a:graphicData>
            </a:graphic>
          </wp:anchor>
        </w:drawing>
      </w:r>
    </w:p>
    <w:p>
      <w:pPr>
        <w:spacing w:after="0" w:line="90"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Annual benefits</w:t>
      </w:r>
    </w:p>
    <w:p>
      <w:pPr>
        <w:spacing w:after="0" w:line="3" w:lineRule="exact"/>
        <w:rPr>
          <w:sz w:val="20"/>
          <w:szCs w:val="20"/>
          <w:color w:val="auto"/>
        </w:rPr>
      </w:pPr>
    </w:p>
    <w:tbl>
      <w:tblPr>
        <w:tblLayout w:type="fixed"/>
        <w:tblInd w:w="220" w:type="dxa"/>
        <w:tblCellMar>
          <w:top w:w="0" w:type="dxa"/>
          <w:left w:w="0" w:type="dxa"/>
          <w:bottom w:w="0" w:type="dxa"/>
          <w:right w:w="0" w:type="dxa"/>
        </w:tblCellMar>
      </w:tblPr>
      <w:tr>
        <w:trPr>
          <w:trHeight w:val="11"/>
        </w:trPr>
        <w:tc>
          <w:tcPr>
            <w:tcW w:w="1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60" w:type="dxa"/>
            <w:vAlign w:val="bottom"/>
            <w:gridSpan w:val="2"/>
          </w:tcPr>
          <w:p>
            <w:pPr>
              <w:jc w:val="right"/>
              <w:ind w:right="689"/>
              <w:spacing w:after="0"/>
              <w:rPr>
                <w:sz w:val="20"/>
                <w:szCs w:val="20"/>
                <w:color w:val="auto"/>
              </w:rPr>
            </w:pPr>
            <w:r>
              <w:rPr>
                <w:rFonts w:ascii="Arial" w:cs="Arial" w:eastAsia="Arial" w:hAnsi="Arial"/>
                <w:sz w:val="1"/>
                <w:szCs w:val="1"/>
                <w:b w:val="1"/>
                <w:bCs w:val="1"/>
                <w:color w:val="auto"/>
              </w:rPr>
              <w:t>payable ($)</w:t>
            </w: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jc w:val="right"/>
              <w:ind w:right="469"/>
              <w:spacing w:after="0"/>
              <w:rPr>
                <w:sz w:val="20"/>
                <w:szCs w:val="20"/>
                <w:color w:val="auto"/>
              </w:rPr>
            </w:pPr>
            <w:r>
              <w:rPr>
                <w:rFonts w:ascii="Arial" w:cs="Arial" w:eastAsia="Arial" w:hAnsi="Arial"/>
                <w:sz w:val="13"/>
                <w:szCs w:val="13"/>
                <w:b w:val="1"/>
                <w:bCs w:val="1"/>
                <w:color w:val="auto"/>
              </w:rPr>
              <w:t>1, 2</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80" w:type="dxa"/>
            <w:vAlign w:val="bottom"/>
            <w:tcBorders>
              <w:right w:val="single" w:sz="8" w:color="CCCCCC"/>
            </w:tcBorders>
            <w:shd w:val="clear" w:color="auto" w:fill="CCCCCC"/>
          </w:tcPr>
          <w:p>
            <w:pPr>
              <w:spacing w:after="0"/>
              <w:rPr>
                <w:sz w:val="14"/>
                <w:szCs w:val="14"/>
                <w:color w:val="auto"/>
              </w:rPr>
            </w:pPr>
          </w:p>
        </w:tc>
        <w:tc>
          <w:tcPr>
            <w:tcW w:w="1480" w:type="dxa"/>
            <w:vAlign w:val="bottom"/>
            <w:tcBorders>
              <w:right w:val="single" w:sz="8" w:color="CCCCCC"/>
            </w:tcBorders>
            <w:vMerge w:val="restart"/>
            <w:shd w:val="clear" w:color="auto" w:fill="CCCCCC"/>
          </w:tcPr>
          <w:p>
            <w:pPr>
              <w:jc w:val="right"/>
              <w:ind w:right="76"/>
              <w:spacing w:after="0"/>
              <w:rPr>
                <w:sz w:val="20"/>
                <w:szCs w:val="20"/>
                <w:color w:val="auto"/>
              </w:rPr>
            </w:pPr>
            <w:r>
              <w:rPr>
                <w:rFonts w:ascii="Arial" w:cs="Arial" w:eastAsia="Arial" w:hAnsi="Arial"/>
                <w:sz w:val="15"/>
                <w:szCs w:val="15"/>
                <w:b w:val="1"/>
                <w:bCs w:val="1"/>
                <w:color w:val="auto"/>
              </w:rPr>
              <w:t>Number of years</w:t>
            </w:r>
          </w:p>
        </w:tc>
        <w:tc>
          <w:tcPr>
            <w:tcW w:w="1120" w:type="dxa"/>
            <w:vAlign w:val="bottom"/>
            <w:tcBorders>
              <w:right w:val="single" w:sz="8" w:color="CCCCCC"/>
            </w:tcBorders>
            <w:shd w:val="clear" w:color="auto" w:fill="CCCCCC"/>
          </w:tcPr>
          <w:p>
            <w:pPr>
              <w:spacing w:after="0"/>
              <w:rPr>
                <w:sz w:val="14"/>
                <w:szCs w:val="14"/>
                <w:color w:val="auto"/>
              </w:rPr>
            </w:pPr>
          </w:p>
        </w:tc>
        <w:tc>
          <w:tcPr>
            <w:tcW w:w="940" w:type="dxa"/>
            <w:vAlign w:val="bottom"/>
            <w:tcBorders>
              <w:right w:val="single" w:sz="8" w:color="CCCCCC"/>
            </w:tcBorders>
            <w:shd w:val="clear" w:color="auto" w:fill="CCCCCC"/>
          </w:tcPr>
          <w:p>
            <w:pPr>
              <w:spacing w:after="0"/>
              <w:rPr>
                <w:sz w:val="14"/>
                <w:szCs w:val="14"/>
                <w:color w:val="auto"/>
              </w:rPr>
            </w:pPr>
          </w:p>
        </w:tc>
        <w:tc>
          <w:tcPr>
            <w:tcW w:w="1500" w:type="dxa"/>
            <w:vAlign w:val="bottom"/>
            <w:tcBorders>
              <w:right w:val="single" w:sz="8" w:color="CCCCCC"/>
            </w:tcBorders>
            <w:shd w:val="clear" w:color="auto" w:fill="CCCCCC"/>
          </w:tcPr>
          <w:p>
            <w:pPr>
              <w:jc w:val="right"/>
              <w:ind w:right="94"/>
              <w:spacing w:after="0" w:line="167" w:lineRule="exact"/>
              <w:rPr>
                <w:sz w:val="20"/>
                <w:szCs w:val="20"/>
                <w:color w:val="auto"/>
              </w:rPr>
            </w:pPr>
            <w:r>
              <w:rPr>
                <w:rFonts w:ascii="Arial" w:cs="Arial" w:eastAsia="Arial" w:hAnsi="Arial"/>
                <w:sz w:val="15"/>
                <w:szCs w:val="15"/>
                <w:b w:val="1"/>
                <w:bCs w:val="1"/>
                <w:color w:val="auto"/>
              </w:rPr>
              <w:t>Opening present</w:t>
            </w:r>
          </w:p>
        </w:tc>
        <w:tc>
          <w:tcPr>
            <w:tcW w:w="1380" w:type="dxa"/>
            <w:vAlign w:val="bottom"/>
            <w:tcBorders>
              <w:right w:val="single" w:sz="8" w:color="CCCCCC"/>
            </w:tcBorders>
            <w:shd w:val="clear" w:color="auto" w:fill="CCCCCC"/>
          </w:tcPr>
          <w:p>
            <w:pPr>
              <w:spacing w:after="0"/>
              <w:rPr>
                <w:sz w:val="14"/>
                <w:szCs w:val="14"/>
                <w:color w:val="auto"/>
              </w:rPr>
            </w:pPr>
          </w:p>
        </w:tc>
        <w:tc>
          <w:tcPr>
            <w:tcW w:w="1360" w:type="dxa"/>
            <w:vAlign w:val="bottom"/>
            <w:tcBorders>
              <w:right w:val="single" w:sz="8" w:color="CCCCCC"/>
            </w:tcBorders>
            <w:vMerge w:val="restart"/>
            <w:shd w:val="clear" w:color="auto" w:fill="CCCCCC"/>
          </w:tcPr>
          <w:p>
            <w:pPr>
              <w:jc w:val="right"/>
              <w:ind w:right="116"/>
              <w:spacing w:after="0"/>
              <w:rPr>
                <w:sz w:val="20"/>
                <w:szCs w:val="20"/>
                <w:color w:val="auto"/>
              </w:rPr>
            </w:pPr>
            <w:r>
              <w:rPr>
                <w:rFonts w:ascii="Arial" w:cs="Arial" w:eastAsia="Arial" w:hAnsi="Arial"/>
                <w:sz w:val="15"/>
                <w:szCs w:val="15"/>
                <w:b w:val="1"/>
                <w:bCs w:val="1"/>
                <w:color w:val="auto"/>
              </w:rPr>
              <w:t>Non-</w:t>
            </w:r>
          </w:p>
        </w:tc>
        <w:tc>
          <w:tcPr>
            <w:tcW w:w="1420" w:type="dxa"/>
            <w:vAlign w:val="bottom"/>
            <w:shd w:val="clear" w:color="auto" w:fill="CCCCCC"/>
          </w:tcPr>
          <w:p>
            <w:pPr>
              <w:jc w:val="right"/>
              <w:ind w:right="54"/>
              <w:spacing w:after="0" w:line="167" w:lineRule="exact"/>
              <w:rPr>
                <w:sz w:val="20"/>
                <w:szCs w:val="20"/>
                <w:color w:val="auto"/>
              </w:rPr>
            </w:pPr>
            <w:r>
              <w:rPr>
                <w:rFonts w:ascii="Arial" w:cs="Arial" w:eastAsia="Arial" w:hAnsi="Arial"/>
                <w:sz w:val="15"/>
                <w:szCs w:val="15"/>
                <w:b w:val="1"/>
                <w:bCs w:val="1"/>
                <w:color w:val="auto"/>
              </w:rPr>
              <w:t>Closing present</w:t>
            </w:r>
          </w:p>
        </w:tc>
        <w:tc>
          <w:tcPr>
            <w:tcW w:w="0" w:type="dxa"/>
            <w:vAlign w:val="bottom"/>
          </w:tcPr>
          <w:p>
            <w:pPr>
              <w:spacing w:after="0"/>
              <w:rPr>
                <w:sz w:val="1"/>
                <w:szCs w:val="1"/>
                <w:color w:val="auto"/>
              </w:rPr>
            </w:pPr>
          </w:p>
        </w:tc>
      </w:tr>
      <w:tr>
        <w:trPr>
          <w:trHeight w:val="156"/>
        </w:trPr>
        <w:tc>
          <w:tcPr>
            <w:tcW w:w="1780" w:type="dxa"/>
            <w:vAlign w:val="bottom"/>
            <w:tcBorders>
              <w:right w:val="single" w:sz="8" w:color="CCCCCC"/>
            </w:tcBorders>
            <w:shd w:val="clear" w:color="auto" w:fill="CCCCCC"/>
          </w:tcPr>
          <w:p>
            <w:pPr>
              <w:spacing w:after="0"/>
              <w:rPr>
                <w:sz w:val="13"/>
                <w:szCs w:val="13"/>
                <w:color w:val="auto"/>
              </w:rPr>
            </w:pPr>
          </w:p>
        </w:tc>
        <w:tc>
          <w:tcPr>
            <w:tcW w:w="1480" w:type="dxa"/>
            <w:vAlign w:val="bottom"/>
            <w:tcBorders>
              <w:right w:val="single" w:sz="8" w:color="CCCCCC"/>
            </w:tcBorders>
            <w:vMerge w:val="continue"/>
            <w:shd w:val="clear" w:color="auto" w:fill="CCCCCC"/>
          </w:tcPr>
          <w:p>
            <w:pPr>
              <w:spacing w:after="0"/>
              <w:rPr>
                <w:sz w:val="13"/>
                <w:szCs w:val="13"/>
                <w:color w:val="auto"/>
              </w:rPr>
            </w:pPr>
          </w:p>
        </w:tc>
        <w:tc>
          <w:tcPr>
            <w:tcW w:w="1120" w:type="dxa"/>
            <w:vAlign w:val="bottom"/>
            <w:tcBorders>
              <w:right w:val="single" w:sz="8" w:color="CCCCCC"/>
            </w:tcBorders>
            <w:shd w:val="clear" w:color="auto" w:fill="CCCCCC"/>
          </w:tcPr>
          <w:p>
            <w:pPr>
              <w:spacing w:after="0"/>
              <w:rPr>
                <w:sz w:val="13"/>
                <w:szCs w:val="13"/>
                <w:color w:val="auto"/>
              </w:rPr>
            </w:pPr>
          </w:p>
        </w:tc>
        <w:tc>
          <w:tcPr>
            <w:tcW w:w="940" w:type="dxa"/>
            <w:vAlign w:val="bottom"/>
            <w:tcBorders>
              <w:right w:val="single" w:sz="8" w:color="CCCCCC"/>
            </w:tcBorders>
            <w:shd w:val="clear" w:color="auto" w:fill="CCCCCC"/>
          </w:tcPr>
          <w:p>
            <w:pPr>
              <w:spacing w:after="0"/>
              <w:rPr>
                <w:sz w:val="13"/>
                <w:szCs w:val="13"/>
                <w:color w:val="auto"/>
              </w:rPr>
            </w:pPr>
          </w:p>
        </w:tc>
        <w:tc>
          <w:tcPr>
            <w:tcW w:w="1500" w:type="dxa"/>
            <w:vAlign w:val="bottom"/>
            <w:tcBorders>
              <w:right w:val="single" w:sz="8" w:color="CCCCCC"/>
            </w:tcBorders>
            <w:shd w:val="clear" w:color="auto" w:fill="CCCCCC"/>
          </w:tcPr>
          <w:p>
            <w:pPr>
              <w:jc w:val="right"/>
              <w:ind w:right="94"/>
              <w:spacing w:after="0" w:line="156" w:lineRule="exact"/>
              <w:rPr>
                <w:sz w:val="20"/>
                <w:szCs w:val="20"/>
                <w:color w:val="auto"/>
              </w:rPr>
            </w:pPr>
            <w:r>
              <w:rPr>
                <w:rFonts w:ascii="Arial" w:cs="Arial" w:eastAsia="Arial" w:hAnsi="Arial"/>
                <w:sz w:val="15"/>
                <w:szCs w:val="15"/>
                <w:b w:val="1"/>
                <w:bCs w:val="1"/>
                <w:color w:val="auto"/>
              </w:rPr>
              <w:t>value of defined</w:t>
            </w:r>
          </w:p>
        </w:tc>
        <w:tc>
          <w:tcPr>
            <w:tcW w:w="1380" w:type="dxa"/>
            <w:vAlign w:val="bottom"/>
            <w:tcBorders>
              <w:right w:val="single" w:sz="8" w:color="CCCCCC"/>
            </w:tcBorders>
            <w:vMerge w:val="restart"/>
            <w:shd w:val="clear" w:color="auto" w:fill="CCCCCC"/>
          </w:tcPr>
          <w:p>
            <w:pPr>
              <w:jc w:val="right"/>
              <w:ind w:right="118"/>
              <w:spacing w:after="0"/>
              <w:rPr>
                <w:sz w:val="20"/>
                <w:szCs w:val="20"/>
                <w:color w:val="auto"/>
              </w:rPr>
            </w:pPr>
            <w:r>
              <w:rPr>
                <w:rFonts w:ascii="Arial" w:cs="Arial" w:eastAsia="Arial" w:hAnsi="Arial"/>
                <w:sz w:val="15"/>
                <w:szCs w:val="15"/>
                <w:b w:val="1"/>
                <w:bCs w:val="1"/>
                <w:color w:val="auto"/>
              </w:rPr>
              <w:t>Compensatory</w:t>
            </w:r>
          </w:p>
        </w:tc>
        <w:tc>
          <w:tcPr>
            <w:tcW w:w="1360" w:type="dxa"/>
            <w:vAlign w:val="bottom"/>
            <w:tcBorders>
              <w:right w:val="single" w:sz="8" w:color="CCCCCC"/>
            </w:tcBorders>
            <w:vMerge w:val="continue"/>
            <w:shd w:val="clear" w:color="auto" w:fill="CCCCCC"/>
          </w:tcPr>
          <w:p>
            <w:pPr>
              <w:spacing w:after="0"/>
              <w:rPr>
                <w:sz w:val="13"/>
                <w:szCs w:val="13"/>
                <w:color w:val="auto"/>
              </w:rPr>
            </w:pPr>
          </w:p>
        </w:tc>
        <w:tc>
          <w:tcPr>
            <w:tcW w:w="1420" w:type="dxa"/>
            <w:vAlign w:val="bottom"/>
            <w:shd w:val="clear" w:color="auto" w:fill="CCCCCC"/>
          </w:tcPr>
          <w:p>
            <w:pPr>
              <w:jc w:val="right"/>
              <w:ind w:right="54"/>
              <w:spacing w:after="0" w:line="156" w:lineRule="exact"/>
              <w:rPr>
                <w:sz w:val="20"/>
                <w:szCs w:val="20"/>
                <w:color w:val="auto"/>
              </w:rPr>
            </w:pPr>
            <w:r>
              <w:rPr>
                <w:rFonts w:ascii="Arial" w:cs="Arial" w:eastAsia="Arial" w:hAnsi="Arial"/>
                <w:sz w:val="15"/>
                <w:szCs w:val="15"/>
                <w:b w:val="1"/>
                <w:bCs w:val="1"/>
                <w:color w:val="auto"/>
              </w:rPr>
              <w:t>value of defined</w:t>
            </w:r>
          </w:p>
        </w:tc>
        <w:tc>
          <w:tcPr>
            <w:tcW w:w="0" w:type="dxa"/>
            <w:vAlign w:val="bottom"/>
          </w:tcPr>
          <w:p>
            <w:pPr>
              <w:spacing w:after="0"/>
              <w:rPr>
                <w:sz w:val="1"/>
                <w:szCs w:val="1"/>
                <w:color w:val="auto"/>
              </w:rPr>
            </w:pPr>
          </w:p>
        </w:tc>
      </w:tr>
      <w:tr>
        <w:trPr>
          <w:trHeight w:val="162"/>
        </w:trPr>
        <w:tc>
          <w:tcPr>
            <w:tcW w:w="1780" w:type="dxa"/>
            <w:vAlign w:val="bottom"/>
            <w:tcBorders>
              <w:right w:val="single" w:sz="8" w:color="CCCCCC"/>
            </w:tcBorders>
            <w:vMerge w:val="restart"/>
            <w:shd w:val="clear" w:color="auto" w:fill="CCCCCC"/>
          </w:tcPr>
          <w:p>
            <w:pPr>
              <w:spacing w:after="0"/>
              <w:rPr>
                <w:sz w:val="20"/>
                <w:szCs w:val="20"/>
                <w:color w:val="auto"/>
              </w:rPr>
            </w:pPr>
            <w:r>
              <w:rPr>
                <w:rFonts w:ascii="Arial" w:cs="Arial" w:eastAsia="Arial" w:hAnsi="Arial"/>
                <w:sz w:val="15"/>
                <w:szCs w:val="15"/>
                <w:b w:val="1"/>
                <w:bCs w:val="1"/>
                <w:color w:val="auto"/>
              </w:rPr>
              <w:t>Name</w:t>
            </w:r>
          </w:p>
        </w:tc>
        <w:tc>
          <w:tcPr>
            <w:tcW w:w="1480" w:type="dxa"/>
            <w:vAlign w:val="bottom"/>
            <w:tcBorders>
              <w:right w:val="single" w:sz="8" w:color="CCCCCC"/>
            </w:tcBorders>
            <w:shd w:val="clear" w:color="auto" w:fill="CCCCCC"/>
          </w:tcPr>
          <w:p>
            <w:pPr>
              <w:jc w:val="right"/>
              <w:ind w:right="76"/>
              <w:spacing w:after="0" w:line="161" w:lineRule="exact"/>
              <w:rPr>
                <w:sz w:val="20"/>
                <w:szCs w:val="20"/>
                <w:color w:val="auto"/>
              </w:rPr>
            </w:pPr>
            <w:r>
              <w:rPr>
                <w:rFonts w:ascii="Arial" w:cs="Arial" w:eastAsia="Arial" w:hAnsi="Arial"/>
                <w:sz w:val="15"/>
                <w:szCs w:val="15"/>
                <w:b w:val="1"/>
                <w:bCs w:val="1"/>
                <w:color w:val="auto"/>
              </w:rPr>
              <w:t>credited service</w:t>
            </w:r>
          </w:p>
        </w:tc>
        <w:tc>
          <w:tcPr>
            <w:tcW w:w="1120" w:type="dxa"/>
            <w:vAlign w:val="bottom"/>
            <w:tcBorders>
              <w:right w:val="single" w:sz="8" w:color="CCCCCC"/>
            </w:tcBorders>
            <w:vMerge w:val="restart"/>
            <w:shd w:val="clear" w:color="auto" w:fill="CCCCCC"/>
          </w:tcPr>
          <w:p>
            <w:pPr>
              <w:jc w:val="right"/>
              <w:ind w:right="99"/>
              <w:spacing w:after="0"/>
              <w:rPr>
                <w:sz w:val="20"/>
                <w:szCs w:val="20"/>
                <w:color w:val="auto"/>
              </w:rPr>
            </w:pPr>
            <w:r>
              <w:rPr>
                <w:rFonts w:ascii="Arial" w:cs="Arial" w:eastAsia="Arial" w:hAnsi="Arial"/>
                <w:sz w:val="15"/>
                <w:szCs w:val="15"/>
                <w:b w:val="1"/>
                <w:bCs w:val="1"/>
                <w:color w:val="auto"/>
              </w:rPr>
              <w:t>At year end</w:t>
            </w:r>
          </w:p>
        </w:tc>
        <w:tc>
          <w:tcPr>
            <w:tcW w:w="940" w:type="dxa"/>
            <w:vAlign w:val="bottom"/>
            <w:tcBorders>
              <w:right w:val="single" w:sz="8" w:color="CCCCCC"/>
            </w:tcBorders>
            <w:vMerge w:val="restart"/>
            <w:shd w:val="clear" w:color="auto" w:fill="CCCCCC"/>
          </w:tcPr>
          <w:p>
            <w:pPr>
              <w:jc w:val="right"/>
              <w:ind w:right="69"/>
              <w:spacing w:after="0"/>
              <w:rPr>
                <w:sz w:val="20"/>
                <w:szCs w:val="20"/>
                <w:color w:val="auto"/>
              </w:rPr>
            </w:pPr>
            <w:r>
              <w:rPr>
                <w:rFonts w:ascii="Arial" w:cs="Arial" w:eastAsia="Arial" w:hAnsi="Arial"/>
                <w:sz w:val="15"/>
                <w:szCs w:val="15"/>
                <w:b w:val="1"/>
                <w:bCs w:val="1"/>
                <w:color w:val="auto"/>
              </w:rPr>
              <w:t>At age 65</w:t>
            </w:r>
          </w:p>
        </w:tc>
        <w:tc>
          <w:tcPr>
            <w:tcW w:w="1500" w:type="dxa"/>
            <w:vAlign w:val="bottom"/>
            <w:tcBorders>
              <w:right w:val="single" w:sz="8" w:color="CCCCCC"/>
            </w:tcBorders>
            <w:shd w:val="clear" w:color="auto" w:fill="CCCCCC"/>
          </w:tcPr>
          <w:p>
            <w:pPr>
              <w:jc w:val="right"/>
              <w:ind w:right="94"/>
              <w:spacing w:after="0" w:line="161" w:lineRule="exact"/>
              <w:rPr>
                <w:sz w:val="20"/>
                <w:szCs w:val="20"/>
                <w:color w:val="auto"/>
              </w:rPr>
            </w:pPr>
            <w:r>
              <w:rPr>
                <w:rFonts w:ascii="Arial" w:cs="Arial" w:eastAsia="Arial" w:hAnsi="Arial"/>
                <w:sz w:val="15"/>
                <w:szCs w:val="15"/>
                <w:b w:val="1"/>
                <w:bCs w:val="1"/>
                <w:color w:val="auto"/>
              </w:rPr>
              <w:t>benefit</w:t>
            </w:r>
          </w:p>
        </w:tc>
        <w:tc>
          <w:tcPr>
            <w:tcW w:w="1380" w:type="dxa"/>
            <w:vAlign w:val="bottom"/>
            <w:tcBorders>
              <w:right w:val="single" w:sz="8" w:color="CCCCCC"/>
            </w:tcBorders>
            <w:vMerge w:val="continue"/>
            <w:shd w:val="clear" w:color="auto" w:fill="CCCCCC"/>
          </w:tcPr>
          <w:p>
            <w:pPr>
              <w:spacing w:after="0"/>
              <w:rPr>
                <w:sz w:val="14"/>
                <w:szCs w:val="14"/>
                <w:color w:val="auto"/>
              </w:rPr>
            </w:pPr>
          </w:p>
        </w:tc>
        <w:tc>
          <w:tcPr>
            <w:tcW w:w="1360" w:type="dxa"/>
            <w:vAlign w:val="bottom"/>
            <w:tcBorders>
              <w:right w:val="single" w:sz="8" w:color="CCCCCC"/>
            </w:tcBorders>
            <w:shd w:val="clear" w:color="auto" w:fill="CCCCCC"/>
          </w:tcPr>
          <w:p>
            <w:pPr>
              <w:jc w:val="right"/>
              <w:ind w:right="116"/>
              <w:spacing w:after="0" w:line="161" w:lineRule="exact"/>
              <w:rPr>
                <w:sz w:val="20"/>
                <w:szCs w:val="20"/>
                <w:color w:val="auto"/>
              </w:rPr>
            </w:pPr>
            <w:r>
              <w:rPr>
                <w:rFonts w:ascii="Arial" w:cs="Arial" w:eastAsia="Arial" w:hAnsi="Arial"/>
                <w:sz w:val="15"/>
                <w:szCs w:val="15"/>
                <w:b w:val="1"/>
                <w:bCs w:val="1"/>
                <w:color w:val="auto"/>
              </w:rPr>
              <w:t>compensatory</w:t>
            </w:r>
          </w:p>
        </w:tc>
        <w:tc>
          <w:tcPr>
            <w:tcW w:w="1420" w:type="dxa"/>
            <w:vAlign w:val="bottom"/>
            <w:shd w:val="clear" w:color="auto" w:fill="CCCCCC"/>
          </w:tcPr>
          <w:p>
            <w:pPr>
              <w:jc w:val="right"/>
              <w:ind w:right="54"/>
              <w:spacing w:after="0" w:line="161" w:lineRule="exact"/>
              <w:rPr>
                <w:sz w:val="20"/>
                <w:szCs w:val="20"/>
                <w:color w:val="auto"/>
              </w:rPr>
            </w:pPr>
            <w:r>
              <w:rPr>
                <w:rFonts w:ascii="Arial" w:cs="Arial" w:eastAsia="Arial" w:hAnsi="Arial"/>
                <w:sz w:val="15"/>
                <w:szCs w:val="15"/>
                <w:b w:val="1"/>
                <w:bCs w:val="1"/>
                <w:color w:val="auto"/>
              </w:rPr>
              <w:t>benefit</w:t>
            </w:r>
          </w:p>
        </w:tc>
        <w:tc>
          <w:tcPr>
            <w:tcW w:w="0" w:type="dxa"/>
            <w:vAlign w:val="bottom"/>
          </w:tcPr>
          <w:p>
            <w:pPr>
              <w:spacing w:after="0"/>
              <w:rPr>
                <w:sz w:val="1"/>
                <w:szCs w:val="1"/>
                <w:color w:val="auto"/>
              </w:rPr>
            </w:pPr>
          </w:p>
        </w:tc>
      </w:tr>
      <w:tr>
        <w:trPr>
          <w:trHeight w:val="17"/>
        </w:trPr>
        <w:tc>
          <w:tcPr>
            <w:tcW w:w="1780" w:type="dxa"/>
            <w:vAlign w:val="bottom"/>
            <w:tcBorders>
              <w:right w:val="single" w:sz="8" w:color="CCCCCC"/>
            </w:tcBorders>
            <w:vMerge w:val="continue"/>
            <w:shd w:val="clear" w:color="auto" w:fill="CCCCCC"/>
          </w:tcPr>
          <w:p>
            <w:pPr>
              <w:spacing w:after="0" w:line="20" w:lineRule="exact"/>
              <w:rPr>
                <w:sz w:val="1"/>
                <w:szCs w:val="1"/>
                <w:color w:val="auto"/>
              </w:rPr>
            </w:pPr>
          </w:p>
        </w:tc>
        <w:tc>
          <w:tcPr>
            <w:tcW w:w="1480" w:type="dxa"/>
            <w:vAlign w:val="bottom"/>
            <w:tcBorders>
              <w:right w:val="single" w:sz="8" w:color="CCCCCC"/>
            </w:tcBorders>
            <w:shd w:val="clear" w:color="auto" w:fill="CCCCCC"/>
          </w:tcPr>
          <w:p>
            <w:pPr>
              <w:jc w:val="right"/>
              <w:ind w:right="76"/>
              <w:spacing w:after="0" w:line="18" w:lineRule="exact"/>
              <w:rPr>
                <w:sz w:val="20"/>
                <w:szCs w:val="20"/>
                <w:color w:val="auto"/>
              </w:rPr>
            </w:pPr>
            <w:r>
              <w:rPr>
                <w:rFonts w:ascii="Arial" w:cs="Arial" w:eastAsia="Arial" w:hAnsi="Arial"/>
                <w:sz w:val="2"/>
                <w:szCs w:val="2"/>
                <w:b w:val="1"/>
                <w:bCs w:val="1"/>
                <w:color w:val="auto"/>
              </w:rPr>
              <w:t>(#)</w:t>
            </w:r>
          </w:p>
        </w:tc>
        <w:tc>
          <w:tcPr>
            <w:tcW w:w="1120" w:type="dxa"/>
            <w:vAlign w:val="bottom"/>
            <w:tcBorders>
              <w:right w:val="single" w:sz="8" w:color="CCCCCC"/>
            </w:tcBorders>
            <w:vMerge w:val="continue"/>
            <w:shd w:val="clear" w:color="auto" w:fill="CCCCCC"/>
          </w:tcPr>
          <w:p>
            <w:pPr>
              <w:spacing w:after="0" w:line="20" w:lineRule="exact"/>
              <w:rPr>
                <w:sz w:val="1"/>
                <w:szCs w:val="1"/>
                <w:color w:val="auto"/>
              </w:rPr>
            </w:pPr>
          </w:p>
        </w:tc>
        <w:tc>
          <w:tcPr>
            <w:tcW w:w="940" w:type="dxa"/>
            <w:vAlign w:val="bottom"/>
            <w:tcBorders>
              <w:right w:val="single" w:sz="8" w:color="CCCCCC"/>
            </w:tcBorders>
            <w:vMerge w:val="continue"/>
            <w:shd w:val="clear" w:color="auto" w:fill="CCCCCC"/>
          </w:tcPr>
          <w:p>
            <w:pPr>
              <w:spacing w:after="0" w:line="20" w:lineRule="exact"/>
              <w:rPr>
                <w:sz w:val="1"/>
                <w:szCs w:val="1"/>
                <w:color w:val="auto"/>
              </w:rPr>
            </w:pPr>
          </w:p>
        </w:tc>
        <w:tc>
          <w:tcPr>
            <w:tcW w:w="1500" w:type="dxa"/>
            <w:vAlign w:val="bottom"/>
            <w:tcBorders>
              <w:right w:val="single" w:sz="8" w:color="CCCCCC"/>
            </w:tcBorders>
            <w:shd w:val="clear" w:color="auto" w:fill="CCCCCC"/>
          </w:tcPr>
          <w:p>
            <w:pPr>
              <w:jc w:val="right"/>
              <w:ind w:right="94"/>
              <w:spacing w:after="0" w:line="18" w:lineRule="exact"/>
              <w:rPr>
                <w:sz w:val="20"/>
                <w:szCs w:val="20"/>
                <w:color w:val="auto"/>
              </w:rPr>
            </w:pPr>
            <w:r>
              <w:rPr>
                <w:rFonts w:ascii="Arial" w:cs="Arial" w:eastAsia="Arial" w:hAnsi="Arial"/>
                <w:sz w:val="2"/>
                <w:szCs w:val="2"/>
                <w:b w:val="1"/>
                <w:bCs w:val="1"/>
                <w:color w:val="auto"/>
              </w:rPr>
              <w:t>obligation ($)3</w:t>
            </w:r>
          </w:p>
        </w:tc>
        <w:tc>
          <w:tcPr>
            <w:tcW w:w="1380" w:type="dxa"/>
            <w:vAlign w:val="bottom"/>
            <w:tcBorders>
              <w:right w:val="single" w:sz="8" w:color="CCCCCC"/>
            </w:tcBorders>
            <w:shd w:val="clear" w:color="auto" w:fill="CCCCCC"/>
          </w:tcPr>
          <w:p>
            <w:pPr>
              <w:jc w:val="right"/>
              <w:ind w:right="118"/>
              <w:spacing w:after="0" w:line="18" w:lineRule="exact"/>
              <w:rPr>
                <w:sz w:val="20"/>
                <w:szCs w:val="20"/>
                <w:color w:val="auto"/>
              </w:rPr>
            </w:pPr>
            <w:r>
              <w:rPr>
                <w:rFonts w:ascii="Arial" w:cs="Arial" w:eastAsia="Arial" w:hAnsi="Arial"/>
                <w:sz w:val="2"/>
                <w:szCs w:val="2"/>
                <w:b w:val="1"/>
                <w:bCs w:val="1"/>
                <w:color w:val="auto"/>
              </w:rPr>
              <w:t>change ($)4</w:t>
            </w:r>
          </w:p>
        </w:tc>
        <w:tc>
          <w:tcPr>
            <w:tcW w:w="1360" w:type="dxa"/>
            <w:vAlign w:val="bottom"/>
            <w:tcBorders>
              <w:right w:val="single" w:sz="8" w:color="CCCCCC"/>
            </w:tcBorders>
            <w:shd w:val="clear" w:color="auto" w:fill="CCCCCC"/>
          </w:tcPr>
          <w:p>
            <w:pPr>
              <w:jc w:val="right"/>
              <w:ind w:right="196"/>
              <w:spacing w:after="0" w:line="18" w:lineRule="exact"/>
              <w:rPr>
                <w:sz w:val="20"/>
                <w:szCs w:val="20"/>
                <w:color w:val="auto"/>
              </w:rPr>
            </w:pPr>
            <w:r>
              <w:rPr>
                <w:rFonts w:ascii="Arial" w:cs="Arial" w:eastAsia="Arial" w:hAnsi="Arial"/>
                <w:sz w:val="2"/>
                <w:szCs w:val="2"/>
                <w:b w:val="1"/>
                <w:bCs w:val="1"/>
                <w:color w:val="auto"/>
              </w:rPr>
              <w:t>change ($)</w:t>
            </w:r>
          </w:p>
        </w:tc>
        <w:tc>
          <w:tcPr>
            <w:tcW w:w="1420" w:type="dxa"/>
            <w:vAlign w:val="bottom"/>
            <w:shd w:val="clear" w:color="auto" w:fill="CCCCCC"/>
          </w:tcPr>
          <w:p>
            <w:pPr>
              <w:jc w:val="right"/>
              <w:ind w:right="54"/>
              <w:spacing w:after="0" w:line="18" w:lineRule="exact"/>
              <w:rPr>
                <w:sz w:val="20"/>
                <w:szCs w:val="20"/>
                <w:color w:val="auto"/>
              </w:rPr>
            </w:pPr>
            <w:r>
              <w:rPr>
                <w:rFonts w:ascii="Arial" w:cs="Arial" w:eastAsia="Arial" w:hAnsi="Arial"/>
                <w:sz w:val="2"/>
                <w:szCs w:val="2"/>
                <w:b w:val="1"/>
                <w:bCs w:val="1"/>
                <w:color w:val="auto"/>
              </w:rPr>
              <w:t>obligation ($)6</w:t>
            </w:r>
          </w:p>
        </w:tc>
        <w:tc>
          <w:tcPr>
            <w:tcW w:w="0" w:type="dxa"/>
            <w:vAlign w:val="bottom"/>
          </w:tcPr>
          <w:p>
            <w:pPr>
              <w:spacing w:after="0" w:line="20" w:lineRule="exact"/>
              <w:rPr>
                <w:sz w:val="1"/>
                <w:szCs w:val="1"/>
                <w:color w:val="auto"/>
              </w:rPr>
            </w:pPr>
          </w:p>
        </w:tc>
      </w:tr>
      <w:tr>
        <w:trPr>
          <w:trHeight w:val="171"/>
        </w:trPr>
        <w:tc>
          <w:tcPr>
            <w:tcW w:w="1780" w:type="dxa"/>
            <w:vAlign w:val="bottom"/>
            <w:tcBorders>
              <w:bottom w:val="single" w:sz="8" w:color="D95A3B"/>
              <w:right w:val="single" w:sz="8" w:color="CCCCCC"/>
            </w:tcBorders>
            <w:shd w:val="clear" w:color="auto" w:fill="CCCCCC"/>
          </w:tcPr>
          <w:p>
            <w:pPr>
              <w:spacing w:after="0"/>
              <w:rPr>
                <w:sz w:val="14"/>
                <w:szCs w:val="14"/>
                <w:color w:val="auto"/>
              </w:rPr>
            </w:pPr>
          </w:p>
        </w:tc>
        <w:tc>
          <w:tcPr>
            <w:tcW w:w="1480" w:type="dxa"/>
            <w:vAlign w:val="bottom"/>
            <w:tcBorders>
              <w:bottom w:val="single" w:sz="8" w:color="D95A3B"/>
              <w:right w:val="single" w:sz="8" w:color="CCCCCC"/>
            </w:tcBorders>
            <w:shd w:val="clear" w:color="auto" w:fill="CCCCCC"/>
          </w:tcPr>
          <w:p>
            <w:pPr>
              <w:spacing w:after="0"/>
              <w:rPr>
                <w:sz w:val="14"/>
                <w:szCs w:val="14"/>
                <w:color w:val="auto"/>
              </w:rPr>
            </w:pPr>
          </w:p>
        </w:tc>
        <w:tc>
          <w:tcPr>
            <w:tcW w:w="1120" w:type="dxa"/>
            <w:vAlign w:val="bottom"/>
            <w:tcBorders>
              <w:bottom w:val="single" w:sz="8" w:color="D95A3B"/>
              <w:right w:val="single" w:sz="8" w:color="CCCCCC"/>
            </w:tcBorders>
            <w:shd w:val="clear" w:color="auto" w:fill="CCCCCC"/>
          </w:tcPr>
          <w:p>
            <w:pPr>
              <w:spacing w:after="0"/>
              <w:rPr>
                <w:sz w:val="14"/>
                <w:szCs w:val="14"/>
                <w:color w:val="auto"/>
              </w:rPr>
            </w:pPr>
          </w:p>
        </w:tc>
        <w:tc>
          <w:tcPr>
            <w:tcW w:w="940" w:type="dxa"/>
            <w:vAlign w:val="bottom"/>
            <w:tcBorders>
              <w:bottom w:val="single" w:sz="8" w:color="D95A3B"/>
              <w:right w:val="single" w:sz="8" w:color="CCCCCC"/>
            </w:tcBorders>
            <w:shd w:val="clear" w:color="auto" w:fill="CCCCCC"/>
          </w:tcPr>
          <w:p>
            <w:pPr>
              <w:spacing w:after="0"/>
              <w:rPr>
                <w:sz w:val="14"/>
                <w:szCs w:val="14"/>
                <w:color w:val="auto"/>
              </w:rPr>
            </w:pPr>
          </w:p>
        </w:tc>
        <w:tc>
          <w:tcPr>
            <w:tcW w:w="1500" w:type="dxa"/>
            <w:vAlign w:val="bottom"/>
            <w:tcBorders>
              <w:bottom w:val="single" w:sz="8" w:color="D95A3B"/>
              <w:right w:val="single" w:sz="8" w:color="CCCCCC"/>
            </w:tcBorders>
            <w:shd w:val="clear" w:color="auto" w:fill="CCCCCC"/>
          </w:tcPr>
          <w:p>
            <w:pPr>
              <w:spacing w:after="0"/>
              <w:rPr>
                <w:sz w:val="14"/>
                <w:szCs w:val="14"/>
                <w:color w:val="auto"/>
              </w:rPr>
            </w:pPr>
          </w:p>
        </w:tc>
        <w:tc>
          <w:tcPr>
            <w:tcW w:w="1380" w:type="dxa"/>
            <w:vAlign w:val="bottom"/>
            <w:tcBorders>
              <w:bottom w:val="single" w:sz="8" w:color="D95A3B"/>
              <w:right w:val="single" w:sz="8" w:color="CCCCCC"/>
            </w:tcBorders>
            <w:shd w:val="clear" w:color="auto" w:fill="CCCCCC"/>
          </w:tcPr>
          <w:p>
            <w:pPr>
              <w:spacing w:after="0"/>
              <w:rPr>
                <w:sz w:val="14"/>
                <w:szCs w:val="14"/>
                <w:color w:val="auto"/>
              </w:rPr>
            </w:pPr>
          </w:p>
        </w:tc>
        <w:tc>
          <w:tcPr>
            <w:tcW w:w="1360" w:type="dxa"/>
            <w:vAlign w:val="bottom"/>
            <w:tcBorders>
              <w:bottom w:val="single" w:sz="8" w:color="D95A3B"/>
              <w:right w:val="single" w:sz="8" w:color="CCCCCC"/>
            </w:tcBorders>
            <w:shd w:val="clear" w:color="auto" w:fill="CCCCCC"/>
          </w:tcPr>
          <w:p>
            <w:pPr>
              <w:jc w:val="right"/>
              <w:ind w:right="116"/>
              <w:spacing w:after="0"/>
              <w:rPr>
                <w:sz w:val="20"/>
                <w:szCs w:val="20"/>
                <w:color w:val="auto"/>
              </w:rPr>
            </w:pPr>
            <w:r>
              <w:rPr>
                <w:rFonts w:ascii="Arial" w:cs="Arial" w:eastAsia="Arial" w:hAnsi="Arial"/>
                <w:sz w:val="13"/>
                <w:szCs w:val="13"/>
                <w:b w:val="1"/>
                <w:bCs w:val="1"/>
                <w:color w:val="auto"/>
              </w:rPr>
              <w:t>5</w:t>
            </w:r>
          </w:p>
        </w:tc>
        <w:tc>
          <w:tcPr>
            <w:tcW w:w="1420" w:type="dxa"/>
            <w:vAlign w:val="bottom"/>
            <w:tcBorders>
              <w:bottom w:val="single" w:sz="8" w:color="D95A3B"/>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James C. Smith</w:t>
            </w:r>
          </w:p>
        </w:tc>
        <w:tc>
          <w:tcPr>
            <w:tcW w:w="1480" w:type="dxa"/>
            <w:vAlign w:val="bottom"/>
            <w:tcBorders>
              <w:bottom w:val="single" w:sz="8" w:color="AFAFAF"/>
              <w:right w:val="single" w:sz="8" w:color="AFAFAF"/>
            </w:tcBorders>
          </w:tcPr>
          <w:p>
            <w:pPr>
              <w:jc w:val="right"/>
              <w:ind w:right="76"/>
              <w:spacing w:after="0" w:line="155" w:lineRule="exact"/>
              <w:rPr>
                <w:sz w:val="20"/>
                <w:szCs w:val="20"/>
                <w:color w:val="auto"/>
              </w:rPr>
            </w:pPr>
            <w:r>
              <w:rPr>
                <w:rFonts w:ascii="Arial" w:cs="Arial" w:eastAsia="Arial" w:hAnsi="Arial"/>
                <w:sz w:val="14"/>
                <w:szCs w:val="14"/>
                <w:color w:val="auto"/>
              </w:rPr>
              <w:t>36.25</w:t>
            </w:r>
          </w:p>
        </w:tc>
        <w:tc>
          <w:tcPr>
            <w:tcW w:w="1120" w:type="dxa"/>
            <w:vAlign w:val="bottom"/>
            <w:tcBorders>
              <w:bottom w:val="single" w:sz="8" w:color="AFAFAF"/>
              <w:right w:val="single" w:sz="8" w:color="AFAFAF"/>
            </w:tcBorders>
          </w:tcPr>
          <w:p>
            <w:pPr>
              <w:jc w:val="right"/>
              <w:ind w:right="99"/>
              <w:spacing w:after="0" w:line="155" w:lineRule="exact"/>
              <w:rPr>
                <w:sz w:val="20"/>
                <w:szCs w:val="20"/>
                <w:color w:val="auto"/>
              </w:rPr>
            </w:pPr>
            <w:r>
              <w:rPr>
                <w:rFonts w:ascii="Arial" w:cs="Arial" w:eastAsia="Arial" w:hAnsi="Arial"/>
                <w:sz w:val="14"/>
                <w:szCs w:val="14"/>
                <w:color w:val="auto"/>
              </w:rPr>
              <w:t>960,000</w:t>
            </w:r>
          </w:p>
        </w:tc>
        <w:tc>
          <w:tcPr>
            <w:tcW w:w="940" w:type="dxa"/>
            <w:vAlign w:val="bottom"/>
            <w:tcBorders>
              <w:bottom w:val="single" w:sz="8" w:color="AFAFAF"/>
              <w:right w:val="single" w:sz="8" w:color="AFAFAF"/>
            </w:tcBorders>
          </w:tcPr>
          <w:p>
            <w:pPr>
              <w:jc w:val="right"/>
              <w:ind w:right="69"/>
              <w:spacing w:after="0" w:line="155" w:lineRule="exact"/>
              <w:rPr>
                <w:sz w:val="20"/>
                <w:szCs w:val="20"/>
                <w:color w:val="auto"/>
              </w:rPr>
            </w:pPr>
            <w:r>
              <w:rPr>
                <w:rFonts w:ascii="Arial" w:cs="Arial" w:eastAsia="Arial" w:hAnsi="Arial"/>
                <w:sz w:val="14"/>
                <w:szCs w:val="14"/>
                <w:color w:val="auto"/>
              </w:rPr>
              <w:t>960,000</w:t>
            </w:r>
          </w:p>
        </w:tc>
        <w:tc>
          <w:tcPr>
            <w:tcW w:w="1500" w:type="dxa"/>
            <w:vAlign w:val="bottom"/>
            <w:tcBorders>
              <w:bottom w:val="single" w:sz="8" w:color="AFAFAF"/>
              <w:right w:val="single" w:sz="8" w:color="AFAFAF"/>
            </w:tcBorders>
          </w:tcPr>
          <w:p>
            <w:pPr>
              <w:jc w:val="right"/>
              <w:ind w:right="94"/>
              <w:spacing w:after="0" w:line="155" w:lineRule="exact"/>
              <w:rPr>
                <w:sz w:val="20"/>
                <w:szCs w:val="20"/>
                <w:color w:val="auto"/>
              </w:rPr>
            </w:pPr>
            <w:r>
              <w:rPr>
                <w:rFonts w:ascii="Arial" w:cs="Arial" w:eastAsia="Arial" w:hAnsi="Arial"/>
                <w:sz w:val="14"/>
                <w:szCs w:val="14"/>
                <w:color w:val="auto"/>
              </w:rPr>
              <w:t>14,328,000</w:t>
            </w:r>
          </w:p>
        </w:tc>
        <w:tc>
          <w:tcPr>
            <w:tcW w:w="1380" w:type="dxa"/>
            <w:vAlign w:val="bottom"/>
            <w:tcBorders>
              <w:bottom w:val="single" w:sz="8" w:color="AFAFAF"/>
              <w:right w:val="single" w:sz="8" w:color="AFAFAF"/>
            </w:tcBorders>
          </w:tcPr>
          <w:p>
            <w:pPr>
              <w:jc w:val="right"/>
              <w:ind w:right="78"/>
              <w:spacing w:after="0" w:line="155" w:lineRule="exact"/>
              <w:rPr>
                <w:sz w:val="20"/>
                <w:szCs w:val="20"/>
                <w:color w:val="auto"/>
              </w:rPr>
            </w:pPr>
            <w:r>
              <w:rPr>
                <w:rFonts w:ascii="Arial" w:cs="Arial" w:eastAsia="Arial" w:hAnsi="Arial"/>
                <w:sz w:val="14"/>
                <w:szCs w:val="14"/>
                <w:color w:val="auto"/>
              </w:rPr>
              <w:t>(92,000)</w:t>
            </w:r>
          </w:p>
        </w:tc>
        <w:tc>
          <w:tcPr>
            <w:tcW w:w="1360" w:type="dxa"/>
            <w:vAlign w:val="bottom"/>
            <w:tcBorders>
              <w:bottom w:val="single" w:sz="8" w:color="AFAFAF"/>
              <w:right w:val="single" w:sz="8" w:color="AFAFAF"/>
            </w:tcBorders>
          </w:tcPr>
          <w:p>
            <w:pPr>
              <w:jc w:val="right"/>
              <w:ind w:right="76"/>
              <w:spacing w:after="0" w:line="155" w:lineRule="exact"/>
              <w:rPr>
                <w:sz w:val="20"/>
                <w:szCs w:val="20"/>
                <w:color w:val="auto"/>
              </w:rPr>
            </w:pPr>
            <w:r>
              <w:rPr>
                <w:rFonts w:ascii="Arial" w:cs="Arial" w:eastAsia="Arial" w:hAnsi="Arial"/>
                <w:sz w:val="14"/>
                <w:szCs w:val="14"/>
                <w:color w:val="auto"/>
              </w:rPr>
              <w:t>(852,000)</w:t>
            </w:r>
          </w:p>
        </w:tc>
        <w:tc>
          <w:tcPr>
            <w:tcW w:w="1420" w:type="dxa"/>
            <w:vAlign w:val="bottom"/>
            <w:tcBorders>
              <w:bottom w:val="single" w:sz="8" w:color="AFAFAF"/>
            </w:tcBorders>
          </w:tcPr>
          <w:p>
            <w:pPr>
              <w:jc w:val="right"/>
              <w:ind w:right="54"/>
              <w:spacing w:after="0" w:line="155" w:lineRule="exact"/>
              <w:rPr>
                <w:sz w:val="20"/>
                <w:szCs w:val="20"/>
                <w:color w:val="auto"/>
              </w:rPr>
            </w:pPr>
            <w:r>
              <w:rPr>
                <w:rFonts w:ascii="Arial" w:cs="Arial" w:eastAsia="Arial" w:hAnsi="Arial"/>
                <w:sz w:val="14"/>
                <w:szCs w:val="14"/>
                <w:color w:val="auto"/>
              </w:rPr>
              <w:t>13,384,000</w:t>
            </w:r>
          </w:p>
        </w:tc>
        <w:tc>
          <w:tcPr>
            <w:tcW w:w="0" w:type="dxa"/>
            <w:vAlign w:val="bottom"/>
          </w:tcPr>
          <w:p>
            <w:pPr>
              <w:spacing w:after="0"/>
              <w:rPr>
                <w:sz w:val="1"/>
                <w:szCs w:val="1"/>
                <w:color w:val="auto"/>
              </w:rPr>
            </w:pPr>
          </w:p>
        </w:tc>
      </w:tr>
      <w:tr>
        <w:trPr>
          <w:trHeight w:val="155"/>
        </w:trPr>
        <w:tc>
          <w:tcPr>
            <w:tcW w:w="17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Stephane Bello</w:t>
            </w:r>
          </w:p>
        </w:tc>
        <w:tc>
          <w:tcPr>
            <w:tcW w:w="1480" w:type="dxa"/>
            <w:vAlign w:val="bottom"/>
            <w:tcBorders>
              <w:bottom w:val="single" w:sz="8" w:color="AFAFAF"/>
              <w:right w:val="single" w:sz="8" w:color="AFAFAF"/>
            </w:tcBorders>
          </w:tcPr>
          <w:p>
            <w:pPr>
              <w:jc w:val="right"/>
              <w:ind w:right="76"/>
              <w:spacing w:after="0" w:line="155" w:lineRule="exact"/>
              <w:rPr>
                <w:sz w:val="20"/>
                <w:szCs w:val="20"/>
                <w:color w:val="auto"/>
              </w:rPr>
            </w:pPr>
            <w:r>
              <w:rPr>
                <w:rFonts w:ascii="Arial" w:cs="Arial" w:eastAsia="Arial" w:hAnsi="Arial"/>
                <w:sz w:val="14"/>
                <w:szCs w:val="14"/>
                <w:color w:val="auto"/>
              </w:rPr>
              <w:t>17.42</w:t>
            </w:r>
          </w:p>
        </w:tc>
        <w:tc>
          <w:tcPr>
            <w:tcW w:w="1120" w:type="dxa"/>
            <w:vAlign w:val="bottom"/>
            <w:tcBorders>
              <w:bottom w:val="single" w:sz="8" w:color="AFAFAF"/>
              <w:right w:val="single" w:sz="8" w:color="AFAFAF"/>
            </w:tcBorders>
          </w:tcPr>
          <w:p>
            <w:pPr>
              <w:jc w:val="right"/>
              <w:ind w:right="99"/>
              <w:spacing w:after="0" w:line="155" w:lineRule="exact"/>
              <w:rPr>
                <w:sz w:val="20"/>
                <w:szCs w:val="20"/>
                <w:color w:val="auto"/>
              </w:rPr>
            </w:pPr>
            <w:r>
              <w:rPr>
                <w:rFonts w:ascii="Arial" w:cs="Arial" w:eastAsia="Arial" w:hAnsi="Arial"/>
                <w:sz w:val="14"/>
                <w:szCs w:val="14"/>
                <w:color w:val="auto"/>
              </w:rPr>
              <w:t>500,000</w:t>
            </w:r>
          </w:p>
        </w:tc>
        <w:tc>
          <w:tcPr>
            <w:tcW w:w="940" w:type="dxa"/>
            <w:vAlign w:val="bottom"/>
            <w:tcBorders>
              <w:bottom w:val="single" w:sz="8" w:color="AFAFAF"/>
              <w:right w:val="single" w:sz="8" w:color="AFAFAF"/>
            </w:tcBorders>
          </w:tcPr>
          <w:p>
            <w:pPr>
              <w:jc w:val="right"/>
              <w:ind w:right="69"/>
              <w:spacing w:after="0" w:line="155" w:lineRule="exact"/>
              <w:rPr>
                <w:sz w:val="20"/>
                <w:szCs w:val="20"/>
                <w:color w:val="auto"/>
              </w:rPr>
            </w:pPr>
            <w:r>
              <w:rPr>
                <w:rFonts w:ascii="Arial" w:cs="Arial" w:eastAsia="Arial" w:hAnsi="Arial"/>
                <w:sz w:val="14"/>
                <w:szCs w:val="14"/>
                <w:color w:val="auto"/>
              </w:rPr>
              <w:t>500,000</w:t>
            </w:r>
          </w:p>
        </w:tc>
        <w:tc>
          <w:tcPr>
            <w:tcW w:w="1500" w:type="dxa"/>
            <w:vAlign w:val="bottom"/>
            <w:tcBorders>
              <w:bottom w:val="single" w:sz="8" w:color="AFAFAF"/>
              <w:right w:val="single" w:sz="8" w:color="AFAFAF"/>
            </w:tcBorders>
          </w:tcPr>
          <w:p>
            <w:pPr>
              <w:jc w:val="right"/>
              <w:ind w:right="94"/>
              <w:spacing w:after="0" w:line="155" w:lineRule="exact"/>
              <w:rPr>
                <w:sz w:val="20"/>
                <w:szCs w:val="20"/>
                <w:color w:val="auto"/>
              </w:rPr>
            </w:pPr>
            <w:r>
              <w:rPr>
                <w:rFonts w:ascii="Arial" w:cs="Arial" w:eastAsia="Arial" w:hAnsi="Arial"/>
                <w:sz w:val="14"/>
                <w:szCs w:val="14"/>
                <w:color w:val="auto"/>
              </w:rPr>
              <w:t>6,656,000</w:t>
            </w:r>
          </w:p>
        </w:tc>
        <w:tc>
          <w:tcPr>
            <w:tcW w:w="1380" w:type="dxa"/>
            <w:vAlign w:val="bottom"/>
            <w:tcBorders>
              <w:bottom w:val="single" w:sz="8" w:color="AFAFAF"/>
              <w:right w:val="single" w:sz="8" w:color="AFAFAF"/>
            </w:tcBorders>
          </w:tcPr>
          <w:p>
            <w:pPr>
              <w:jc w:val="right"/>
              <w:ind w:right="118"/>
              <w:spacing w:after="0" w:line="155" w:lineRule="exact"/>
              <w:rPr>
                <w:sz w:val="20"/>
                <w:szCs w:val="20"/>
                <w:color w:val="auto"/>
              </w:rPr>
            </w:pPr>
            <w:r>
              <w:rPr>
                <w:rFonts w:ascii="Arial" w:cs="Arial" w:eastAsia="Arial" w:hAnsi="Arial"/>
                <w:sz w:val="14"/>
                <w:szCs w:val="14"/>
                <w:color w:val="auto"/>
              </w:rPr>
              <w:t>167,000</w:t>
            </w:r>
          </w:p>
        </w:tc>
        <w:tc>
          <w:tcPr>
            <w:tcW w:w="1360" w:type="dxa"/>
            <w:vAlign w:val="bottom"/>
            <w:tcBorders>
              <w:bottom w:val="single" w:sz="8" w:color="AFAFAF"/>
              <w:right w:val="single" w:sz="8" w:color="AFAFAF"/>
            </w:tcBorders>
          </w:tcPr>
          <w:p>
            <w:pPr>
              <w:jc w:val="right"/>
              <w:ind w:right="76"/>
              <w:spacing w:after="0" w:line="155" w:lineRule="exact"/>
              <w:rPr>
                <w:sz w:val="20"/>
                <w:szCs w:val="20"/>
                <w:color w:val="auto"/>
              </w:rPr>
            </w:pPr>
            <w:r>
              <w:rPr>
                <w:rFonts w:ascii="Arial" w:cs="Arial" w:eastAsia="Arial" w:hAnsi="Arial"/>
                <w:sz w:val="14"/>
                <w:szCs w:val="14"/>
                <w:color w:val="auto"/>
              </w:rPr>
              <w:t>(509,000)</w:t>
            </w:r>
          </w:p>
        </w:tc>
        <w:tc>
          <w:tcPr>
            <w:tcW w:w="1420" w:type="dxa"/>
            <w:vAlign w:val="bottom"/>
            <w:tcBorders>
              <w:bottom w:val="single" w:sz="8" w:color="AFAFAF"/>
            </w:tcBorders>
          </w:tcPr>
          <w:p>
            <w:pPr>
              <w:jc w:val="right"/>
              <w:ind w:right="54"/>
              <w:spacing w:after="0" w:line="155" w:lineRule="exact"/>
              <w:rPr>
                <w:sz w:val="20"/>
                <w:szCs w:val="20"/>
                <w:color w:val="auto"/>
              </w:rPr>
            </w:pPr>
            <w:r>
              <w:rPr>
                <w:rFonts w:ascii="Arial" w:cs="Arial" w:eastAsia="Arial" w:hAnsi="Arial"/>
                <w:sz w:val="14"/>
                <w:szCs w:val="14"/>
                <w:color w:val="auto"/>
              </w:rPr>
              <w:t>6,314,000</w:t>
            </w:r>
          </w:p>
        </w:tc>
        <w:tc>
          <w:tcPr>
            <w:tcW w:w="0" w:type="dxa"/>
            <w:vAlign w:val="bottom"/>
          </w:tcPr>
          <w:p>
            <w:pPr>
              <w:spacing w:after="0"/>
              <w:rPr>
                <w:sz w:val="1"/>
                <w:szCs w:val="1"/>
                <w:color w:val="auto"/>
              </w:rPr>
            </w:pPr>
          </w:p>
        </w:tc>
      </w:tr>
      <w:tr>
        <w:trPr>
          <w:trHeight w:val="155"/>
        </w:trPr>
        <w:tc>
          <w:tcPr>
            <w:tcW w:w="17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Brian Peccarelli</w:t>
            </w:r>
          </w:p>
        </w:tc>
        <w:tc>
          <w:tcPr>
            <w:tcW w:w="1480" w:type="dxa"/>
            <w:vAlign w:val="bottom"/>
            <w:tcBorders>
              <w:bottom w:val="single" w:sz="8" w:color="AFAFAF"/>
              <w:right w:val="single" w:sz="8" w:color="AFAFAF"/>
            </w:tcBorders>
          </w:tcPr>
          <w:p>
            <w:pPr>
              <w:jc w:val="right"/>
              <w:ind w:right="76"/>
              <w:spacing w:after="0" w:line="155" w:lineRule="exact"/>
              <w:rPr>
                <w:sz w:val="20"/>
                <w:szCs w:val="20"/>
                <w:color w:val="auto"/>
              </w:rPr>
            </w:pPr>
            <w:r>
              <w:rPr>
                <w:rFonts w:ascii="Arial" w:cs="Arial" w:eastAsia="Arial" w:hAnsi="Arial"/>
                <w:sz w:val="14"/>
                <w:szCs w:val="14"/>
                <w:color w:val="auto"/>
              </w:rPr>
              <w:t>20.00</w:t>
            </w:r>
          </w:p>
        </w:tc>
        <w:tc>
          <w:tcPr>
            <w:tcW w:w="1120" w:type="dxa"/>
            <w:vAlign w:val="bottom"/>
            <w:tcBorders>
              <w:bottom w:val="single" w:sz="8" w:color="AFAFAF"/>
              <w:right w:val="single" w:sz="8" w:color="AFAFAF"/>
            </w:tcBorders>
          </w:tcPr>
          <w:p>
            <w:pPr>
              <w:jc w:val="right"/>
              <w:ind w:right="99"/>
              <w:spacing w:after="0" w:line="155" w:lineRule="exact"/>
              <w:rPr>
                <w:sz w:val="20"/>
                <w:szCs w:val="20"/>
                <w:color w:val="auto"/>
              </w:rPr>
            </w:pPr>
            <w:r>
              <w:rPr>
                <w:rFonts w:ascii="Arial" w:cs="Arial" w:eastAsia="Arial" w:hAnsi="Arial"/>
                <w:sz w:val="14"/>
                <w:szCs w:val="14"/>
                <w:color w:val="auto"/>
              </w:rPr>
              <w:t>81,000</w:t>
            </w:r>
          </w:p>
        </w:tc>
        <w:tc>
          <w:tcPr>
            <w:tcW w:w="940" w:type="dxa"/>
            <w:vAlign w:val="bottom"/>
            <w:tcBorders>
              <w:bottom w:val="single" w:sz="8" w:color="AFAFAF"/>
              <w:right w:val="single" w:sz="8" w:color="AFAFAF"/>
            </w:tcBorders>
          </w:tcPr>
          <w:p>
            <w:pPr>
              <w:jc w:val="right"/>
              <w:ind w:right="69"/>
              <w:spacing w:after="0" w:line="155" w:lineRule="exact"/>
              <w:rPr>
                <w:sz w:val="20"/>
                <w:szCs w:val="20"/>
                <w:color w:val="auto"/>
              </w:rPr>
            </w:pPr>
            <w:r>
              <w:rPr>
                <w:rFonts w:ascii="Arial" w:cs="Arial" w:eastAsia="Arial" w:hAnsi="Arial"/>
                <w:sz w:val="14"/>
                <w:szCs w:val="14"/>
                <w:color w:val="auto"/>
              </w:rPr>
              <w:t>106,000</w:t>
            </w:r>
          </w:p>
        </w:tc>
        <w:tc>
          <w:tcPr>
            <w:tcW w:w="1500" w:type="dxa"/>
            <w:vAlign w:val="bottom"/>
            <w:tcBorders>
              <w:bottom w:val="single" w:sz="8" w:color="AFAFAF"/>
              <w:right w:val="single" w:sz="8" w:color="AFAFAF"/>
            </w:tcBorders>
          </w:tcPr>
          <w:p>
            <w:pPr>
              <w:jc w:val="right"/>
              <w:ind w:right="94"/>
              <w:spacing w:after="0" w:line="155" w:lineRule="exact"/>
              <w:rPr>
                <w:sz w:val="20"/>
                <w:szCs w:val="20"/>
                <w:color w:val="auto"/>
              </w:rPr>
            </w:pPr>
            <w:r>
              <w:rPr>
                <w:rFonts w:ascii="Arial" w:cs="Arial" w:eastAsia="Arial" w:hAnsi="Arial"/>
                <w:sz w:val="14"/>
                <w:szCs w:val="14"/>
                <w:color w:val="auto"/>
              </w:rPr>
              <w:t>867,000</w:t>
            </w:r>
          </w:p>
        </w:tc>
        <w:tc>
          <w:tcPr>
            <w:tcW w:w="1380" w:type="dxa"/>
            <w:vAlign w:val="bottom"/>
            <w:tcBorders>
              <w:bottom w:val="single" w:sz="8" w:color="AFAFAF"/>
              <w:right w:val="single" w:sz="8" w:color="AFAFAF"/>
            </w:tcBorders>
          </w:tcPr>
          <w:p>
            <w:pPr>
              <w:jc w:val="right"/>
              <w:ind w:right="118"/>
              <w:spacing w:after="0" w:line="155" w:lineRule="exact"/>
              <w:rPr>
                <w:sz w:val="20"/>
                <w:szCs w:val="20"/>
                <w:color w:val="auto"/>
              </w:rPr>
            </w:pPr>
            <w:r>
              <w:rPr>
                <w:rFonts w:ascii="Arial" w:cs="Arial" w:eastAsia="Arial" w:hAnsi="Arial"/>
                <w:sz w:val="14"/>
                <w:szCs w:val="14"/>
                <w:color w:val="auto"/>
              </w:rPr>
              <w:t>43,000</w:t>
            </w:r>
          </w:p>
        </w:tc>
        <w:tc>
          <w:tcPr>
            <w:tcW w:w="1360" w:type="dxa"/>
            <w:vAlign w:val="bottom"/>
            <w:tcBorders>
              <w:bottom w:val="single" w:sz="8" w:color="AFAFAF"/>
              <w:right w:val="single" w:sz="8" w:color="AFAFAF"/>
            </w:tcBorders>
          </w:tcPr>
          <w:p>
            <w:pPr>
              <w:jc w:val="right"/>
              <w:ind w:right="76"/>
              <w:spacing w:after="0" w:line="155" w:lineRule="exact"/>
              <w:rPr>
                <w:sz w:val="20"/>
                <w:szCs w:val="20"/>
                <w:color w:val="auto"/>
              </w:rPr>
            </w:pPr>
            <w:r>
              <w:rPr>
                <w:rFonts w:ascii="Arial" w:cs="Arial" w:eastAsia="Arial" w:hAnsi="Arial"/>
                <w:sz w:val="14"/>
                <w:szCs w:val="14"/>
                <w:color w:val="auto"/>
              </w:rPr>
              <w:t>(68,000)</w:t>
            </w:r>
          </w:p>
        </w:tc>
        <w:tc>
          <w:tcPr>
            <w:tcW w:w="1420" w:type="dxa"/>
            <w:vAlign w:val="bottom"/>
            <w:tcBorders>
              <w:bottom w:val="single" w:sz="8" w:color="AFAFAF"/>
            </w:tcBorders>
          </w:tcPr>
          <w:p>
            <w:pPr>
              <w:jc w:val="right"/>
              <w:ind w:right="54"/>
              <w:spacing w:after="0" w:line="155" w:lineRule="exact"/>
              <w:rPr>
                <w:sz w:val="20"/>
                <w:szCs w:val="20"/>
                <w:color w:val="auto"/>
              </w:rPr>
            </w:pPr>
            <w:r>
              <w:rPr>
                <w:rFonts w:ascii="Arial" w:cs="Arial" w:eastAsia="Arial" w:hAnsi="Arial"/>
                <w:sz w:val="14"/>
                <w:szCs w:val="14"/>
                <w:color w:val="auto"/>
              </w:rPr>
              <w:t>842,000</w:t>
            </w:r>
          </w:p>
        </w:tc>
        <w:tc>
          <w:tcPr>
            <w:tcW w:w="0" w:type="dxa"/>
            <w:vAlign w:val="bottom"/>
          </w:tcPr>
          <w:p>
            <w:pPr>
              <w:spacing w:after="0"/>
              <w:rPr>
                <w:sz w:val="1"/>
                <w:szCs w:val="1"/>
                <w:color w:val="auto"/>
              </w:rPr>
            </w:pPr>
          </w:p>
        </w:tc>
      </w:tr>
      <w:tr>
        <w:trPr>
          <w:trHeight w:val="155"/>
        </w:trPr>
        <w:tc>
          <w:tcPr>
            <w:tcW w:w="178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Neil Masterson</w:t>
            </w:r>
          </w:p>
        </w:tc>
        <w:tc>
          <w:tcPr>
            <w:tcW w:w="1480" w:type="dxa"/>
            <w:vAlign w:val="bottom"/>
            <w:tcBorders>
              <w:bottom w:val="single" w:sz="8" w:color="D95A3B"/>
              <w:right w:val="single" w:sz="8" w:color="AFAFAF"/>
            </w:tcBorders>
          </w:tcPr>
          <w:p>
            <w:pPr>
              <w:jc w:val="right"/>
              <w:ind w:right="76"/>
              <w:spacing w:after="0" w:line="155" w:lineRule="exact"/>
              <w:rPr>
                <w:sz w:val="20"/>
                <w:szCs w:val="20"/>
                <w:color w:val="auto"/>
              </w:rPr>
            </w:pPr>
            <w:r>
              <w:rPr>
                <w:rFonts w:ascii="Arial" w:cs="Arial" w:eastAsia="Arial" w:hAnsi="Arial"/>
                <w:sz w:val="14"/>
                <w:szCs w:val="14"/>
                <w:color w:val="auto"/>
              </w:rPr>
              <w:t>16.58</w:t>
            </w:r>
          </w:p>
        </w:tc>
        <w:tc>
          <w:tcPr>
            <w:tcW w:w="1120" w:type="dxa"/>
            <w:vAlign w:val="bottom"/>
            <w:tcBorders>
              <w:bottom w:val="single" w:sz="8" w:color="D95A3B"/>
              <w:right w:val="single" w:sz="8" w:color="AFAFAF"/>
            </w:tcBorders>
          </w:tcPr>
          <w:p>
            <w:pPr>
              <w:jc w:val="right"/>
              <w:ind w:right="99"/>
              <w:spacing w:after="0" w:line="155" w:lineRule="exact"/>
              <w:rPr>
                <w:sz w:val="20"/>
                <w:szCs w:val="20"/>
                <w:color w:val="auto"/>
              </w:rPr>
            </w:pPr>
            <w:r>
              <w:rPr>
                <w:rFonts w:ascii="Arial" w:cs="Arial" w:eastAsia="Arial" w:hAnsi="Arial"/>
                <w:sz w:val="14"/>
                <w:szCs w:val="14"/>
                <w:color w:val="auto"/>
              </w:rPr>
              <w:t>65,000</w:t>
            </w:r>
          </w:p>
        </w:tc>
        <w:tc>
          <w:tcPr>
            <w:tcW w:w="940" w:type="dxa"/>
            <w:vAlign w:val="bottom"/>
            <w:tcBorders>
              <w:bottom w:val="single" w:sz="8" w:color="D95A3B"/>
              <w:right w:val="single" w:sz="8" w:color="AFAFAF"/>
            </w:tcBorders>
          </w:tcPr>
          <w:p>
            <w:pPr>
              <w:jc w:val="right"/>
              <w:ind w:right="69"/>
              <w:spacing w:after="0" w:line="155" w:lineRule="exact"/>
              <w:rPr>
                <w:sz w:val="20"/>
                <w:szCs w:val="20"/>
                <w:color w:val="auto"/>
              </w:rPr>
            </w:pPr>
            <w:r>
              <w:rPr>
                <w:rFonts w:ascii="Arial" w:cs="Arial" w:eastAsia="Arial" w:hAnsi="Arial"/>
                <w:sz w:val="14"/>
                <w:szCs w:val="14"/>
                <w:color w:val="auto"/>
              </w:rPr>
              <w:t>121,000</w:t>
            </w:r>
          </w:p>
        </w:tc>
        <w:tc>
          <w:tcPr>
            <w:tcW w:w="1500" w:type="dxa"/>
            <w:vAlign w:val="bottom"/>
            <w:tcBorders>
              <w:bottom w:val="single" w:sz="8" w:color="D95A3B"/>
              <w:right w:val="single" w:sz="8" w:color="AFAFAF"/>
            </w:tcBorders>
          </w:tcPr>
          <w:p>
            <w:pPr>
              <w:jc w:val="right"/>
              <w:ind w:right="94"/>
              <w:spacing w:after="0" w:line="155" w:lineRule="exact"/>
              <w:rPr>
                <w:sz w:val="20"/>
                <w:szCs w:val="20"/>
                <w:color w:val="auto"/>
              </w:rPr>
            </w:pPr>
            <w:r>
              <w:rPr>
                <w:rFonts w:ascii="Arial" w:cs="Arial" w:eastAsia="Arial" w:hAnsi="Arial"/>
                <w:sz w:val="14"/>
                <w:szCs w:val="14"/>
                <w:color w:val="auto"/>
              </w:rPr>
              <w:t>447,000</w:t>
            </w:r>
          </w:p>
        </w:tc>
        <w:tc>
          <w:tcPr>
            <w:tcW w:w="1380" w:type="dxa"/>
            <w:vAlign w:val="bottom"/>
            <w:tcBorders>
              <w:bottom w:val="single" w:sz="8" w:color="D95A3B"/>
              <w:right w:val="single" w:sz="8" w:color="AFAFAF"/>
            </w:tcBorders>
          </w:tcPr>
          <w:p>
            <w:pPr>
              <w:jc w:val="right"/>
              <w:ind w:right="118"/>
              <w:spacing w:after="0" w:line="155" w:lineRule="exact"/>
              <w:rPr>
                <w:sz w:val="20"/>
                <w:szCs w:val="20"/>
                <w:color w:val="auto"/>
              </w:rPr>
            </w:pPr>
            <w:r>
              <w:rPr>
                <w:rFonts w:ascii="Arial" w:cs="Arial" w:eastAsia="Arial" w:hAnsi="Arial"/>
                <w:sz w:val="14"/>
                <w:szCs w:val="14"/>
                <w:color w:val="auto"/>
              </w:rPr>
              <w:t>35,000</w:t>
            </w:r>
          </w:p>
        </w:tc>
        <w:tc>
          <w:tcPr>
            <w:tcW w:w="1360" w:type="dxa"/>
            <w:vAlign w:val="bottom"/>
            <w:tcBorders>
              <w:bottom w:val="single" w:sz="8" w:color="D95A3B"/>
              <w:right w:val="single" w:sz="8" w:color="AFAFAF"/>
            </w:tcBorders>
          </w:tcPr>
          <w:p>
            <w:pPr>
              <w:jc w:val="right"/>
              <w:ind w:right="76"/>
              <w:spacing w:after="0" w:line="155" w:lineRule="exact"/>
              <w:rPr>
                <w:sz w:val="20"/>
                <w:szCs w:val="20"/>
                <w:color w:val="auto"/>
              </w:rPr>
            </w:pPr>
            <w:r>
              <w:rPr>
                <w:rFonts w:ascii="Arial" w:cs="Arial" w:eastAsia="Arial" w:hAnsi="Arial"/>
                <w:sz w:val="14"/>
                <w:szCs w:val="14"/>
                <w:color w:val="auto"/>
              </w:rPr>
              <w:t>(56,000)</w:t>
            </w:r>
          </w:p>
        </w:tc>
        <w:tc>
          <w:tcPr>
            <w:tcW w:w="1420" w:type="dxa"/>
            <w:vAlign w:val="bottom"/>
            <w:tcBorders>
              <w:bottom w:val="single" w:sz="8" w:color="D95A3B"/>
            </w:tcBorders>
          </w:tcPr>
          <w:p>
            <w:pPr>
              <w:jc w:val="right"/>
              <w:ind w:right="54"/>
              <w:spacing w:after="0" w:line="155" w:lineRule="exact"/>
              <w:rPr>
                <w:sz w:val="20"/>
                <w:szCs w:val="20"/>
                <w:color w:val="auto"/>
              </w:rPr>
            </w:pPr>
            <w:r>
              <w:rPr>
                <w:rFonts w:ascii="Arial" w:cs="Arial" w:eastAsia="Arial" w:hAnsi="Arial"/>
                <w:sz w:val="14"/>
                <w:szCs w:val="14"/>
                <w:color w:val="auto"/>
              </w:rPr>
              <w:t>426,000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6191885</wp:posOffset>
            </wp:positionH>
            <wp:positionV relativeFrom="paragraph">
              <wp:posOffset>-879475</wp:posOffset>
            </wp:positionV>
            <wp:extent cx="8255" cy="4356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43561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-879475</wp:posOffset>
            </wp:positionV>
            <wp:extent cx="8255" cy="4356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435610"/>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-879475</wp:posOffset>
            </wp:positionV>
            <wp:extent cx="8255" cy="4356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435610"/>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-879475</wp:posOffset>
            </wp:positionV>
            <wp:extent cx="8255" cy="4356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43561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-879475</wp:posOffset>
            </wp:positionV>
            <wp:extent cx="8255" cy="4356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435610"/>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-879475</wp:posOffset>
            </wp:positionV>
            <wp:extent cx="8255" cy="4356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435610"/>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-879475</wp:posOffset>
            </wp:positionV>
            <wp:extent cx="8255" cy="4356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435610"/>
                    </a:xfrm>
                    <a:prstGeom prst="rect">
                      <a:avLst/>
                    </a:prstGeom>
                    <a:noFill/>
                  </pic:spPr>
                </pic:pic>
              </a:graphicData>
            </a:graphic>
          </wp:anchor>
        </w:drawing>
      </w:r>
    </w:p>
    <w:p>
      <w:pPr>
        <w:spacing w:after="0" w:line="100" w:lineRule="exact"/>
        <w:rPr>
          <w:sz w:val="20"/>
          <w:szCs w:val="20"/>
          <w:color w:val="auto"/>
        </w:rPr>
      </w:pPr>
    </w:p>
    <w:p>
      <w:pPr>
        <w:ind w:left="540" w:right="180" w:hanging="176"/>
        <w:spacing w:after="0" w:line="237" w:lineRule="auto"/>
        <w:tabs>
          <w:tab w:leader="none" w:pos="5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Annual benefits payable at year-end and at age 65 represent the estimated pension earned for all service to date, and based on total service projected to age 65, respectively. Benefits are calculated based on pensionable earnings used for the 2018 actuarial valuations, projected to retirement for the Accrued Obligation calculations. Benefits are also based on the terms of current retirement agreements. Benefits payable at year-end do not include any reduction that may apply if a named executive officer retires prior to his or</w:t>
      </w:r>
    </w:p>
    <w:p>
      <w:pPr>
        <w:ind w:left="540"/>
        <w:spacing w:after="0"/>
        <w:rPr>
          <w:sz w:val="20"/>
          <w:szCs w:val="20"/>
          <w:color w:val="auto"/>
        </w:rPr>
      </w:pPr>
      <w:r>
        <w:rPr>
          <w:rFonts w:ascii="Arial" w:cs="Arial" w:eastAsia="Arial" w:hAnsi="Arial"/>
          <w:sz w:val="13"/>
          <w:szCs w:val="13"/>
          <w:color w:val="auto"/>
        </w:rPr>
        <w:t>her normal retirement date.</w:t>
      </w:r>
    </w:p>
    <w:p>
      <w:pPr>
        <w:ind w:left="540" w:right="40" w:hanging="179"/>
        <w:spacing w:after="0" w:line="237" w:lineRule="auto"/>
        <w:tabs>
          <w:tab w:leader="none" w:pos="520" w:val="left"/>
        </w:tabs>
        <w:rPr>
          <w:sz w:val="20"/>
          <w:szCs w:val="20"/>
          <w:color w:val="auto"/>
        </w:rPr>
      </w:pPr>
      <w:r>
        <w:rPr>
          <w:rFonts w:ascii="Arial" w:cs="Arial" w:eastAsia="Arial" w:hAnsi="Arial"/>
          <w:sz w:val="13"/>
          <w:szCs w:val="13"/>
          <w:color w:val="auto"/>
        </w:rPr>
        <w:t>2</w:t>
        <w:tab/>
        <w:t>Annual benefits at age 65 for SERP participants are the same at year-end since the benefit under the SERP plan is not service-related. Reported benefit amounts are the amounts payable as joint and survivor annuities.</w:t>
      </w:r>
    </w:p>
    <w:p>
      <w:pPr>
        <w:spacing w:after="0" w:line="1" w:lineRule="exact"/>
        <w:rPr>
          <w:sz w:val="20"/>
          <w:szCs w:val="20"/>
          <w:color w:val="auto"/>
        </w:rPr>
      </w:pPr>
    </w:p>
    <w:p>
      <w:pPr>
        <w:ind w:left="540" w:right="140" w:hanging="176"/>
        <w:spacing w:after="0" w:line="237" w:lineRule="auto"/>
        <w:tabs>
          <w:tab w:leader="none" w:pos="5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accrued obligation represents the value of the projected pension benefit from the pension plan, retirement plus plan and the SERPs earned for all service through December 31, 2017 (measurement date for 2017 year-end disclosure). The key assumptions include a discount rate of 3.65%, a rate of compensation increase of 3.50% and the</w:t>
      </w:r>
    </w:p>
    <w:p>
      <w:pPr>
        <w:ind w:left="540"/>
        <w:spacing w:after="0"/>
        <w:rPr>
          <w:sz w:val="20"/>
          <w:szCs w:val="20"/>
          <w:color w:val="auto"/>
        </w:rPr>
      </w:pPr>
      <w:r>
        <w:rPr>
          <w:rFonts w:ascii="Arial" w:cs="Arial" w:eastAsia="Arial" w:hAnsi="Arial"/>
          <w:sz w:val="13"/>
          <w:szCs w:val="13"/>
          <w:color w:val="auto"/>
        </w:rPr>
        <w:t>RP2017 mortality table with MP2017 generational improvement scale.</w:t>
      </w:r>
    </w:p>
    <w:p>
      <w:pPr>
        <w:ind w:left="360"/>
        <w:spacing w:after="0"/>
        <w:rPr>
          <w:sz w:val="20"/>
          <w:szCs w:val="20"/>
          <w:color w:val="auto"/>
        </w:rPr>
      </w:pPr>
      <w:r>
        <w:rPr>
          <w:rFonts w:ascii="Arial" w:cs="Arial" w:eastAsia="Arial" w:hAnsi="Arial"/>
          <w:sz w:val="13"/>
          <w:szCs w:val="13"/>
          <w:color w:val="auto"/>
        </w:rPr>
        <w:t>4  The amount shown above includes service cost (with interest to end of year) plus plan changes and differences between actual and estimated earnings.</w:t>
      </w:r>
    </w:p>
    <w:p>
      <w:pPr>
        <w:spacing w:after="0" w:line="12" w:lineRule="exact"/>
        <w:rPr>
          <w:sz w:val="20"/>
          <w:szCs w:val="20"/>
          <w:color w:val="auto"/>
        </w:rPr>
      </w:pPr>
    </w:p>
    <w:p>
      <w:pPr>
        <w:ind w:left="540" w:right="40" w:hanging="176"/>
        <w:spacing w:after="0" w:line="237" w:lineRule="auto"/>
        <w:tabs>
          <w:tab w:leader="none" w:pos="5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amount shown above includes the interest cost on the accrued obligation and the impact of the change in discount rate from 3.65% to 4.35% and the change in mortality table to the RP2018 mortality table with MP2018 generational improvement scale.</w:t>
      </w:r>
    </w:p>
    <w:p>
      <w:pPr>
        <w:spacing w:after="0" w:line="1" w:lineRule="exact"/>
        <w:rPr>
          <w:sz w:val="20"/>
          <w:szCs w:val="20"/>
          <w:color w:val="auto"/>
        </w:rPr>
      </w:pPr>
    </w:p>
    <w:p>
      <w:pPr>
        <w:jc w:val="both"/>
        <w:ind w:left="540" w:right="180" w:hanging="176"/>
        <w:spacing w:after="0" w:line="247" w:lineRule="auto"/>
        <w:tabs>
          <w:tab w:leader="none" w:pos="5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accrued obligation represents the estimated value of the projected pension benefit from the pension plan, retirement plus plan and the SERPs earned for all service through December 31, 2018 (measurement date for 2018 year-end disclosure). The key assumptions for the SERP include a discount rate of 4.35%, a rate of compensation increase of 3.50% and the RP2018 mortality table with MP2018 generational improvement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117475</wp:posOffset>
            </wp:positionV>
            <wp:extent cx="697357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26"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76</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Termination Benefits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Potential Payments upon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91440</wp:posOffset>
            </wp:positionV>
            <wp:extent cx="69735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44" w:lineRule="exact"/>
        <w:rPr>
          <w:sz w:val="20"/>
          <w:szCs w:val="20"/>
          <w:color w:val="auto"/>
        </w:rPr>
      </w:pPr>
    </w:p>
    <w:p>
      <w:pPr>
        <w:jc w:val="both"/>
        <w:ind w:left="220" w:right="280"/>
        <w:spacing w:after="0" w:line="244" w:lineRule="auto"/>
        <w:rPr>
          <w:sz w:val="20"/>
          <w:szCs w:val="20"/>
          <w:color w:val="auto"/>
        </w:rPr>
      </w:pPr>
      <w:r>
        <w:rPr>
          <w:rFonts w:ascii="Arial" w:cs="Arial" w:eastAsia="Arial" w:hAnsi="Arial"/>
          <w:sz w:val="27"/>
          <w:szCs w:val="27"/>
          <w:color w:val="auto"/>
        </w:rPr>
        <w:t>Our change in control benefits for named executive officers require a “double trigger”. We do not gross up taxes related to termination and no severance is provided for terminations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151765</wp:posOffset>
            </wp:positionV>
            <wp:extent cx="69735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324" w:lineRule="exact"/>
        <w:rPr>
          <w:sz w:val="20"/>
          <w:szCs w:val="20"/>
          <w:color w:val="auto"/>
        </w:rPr>
      </w:pPr>
    </w:p>
    <w:p>
      <w:pPr>
        <w:ind w:left="220"/>
        <w:spacing w:after="0"/>
        <w:rPr>
          <w:sz w:val="20"/>
          <w:szCs w:val="20"/>
          <w:color w:val="auto"/>
        </w:rPr>
      </w:pPr>
      <w:r>
        <w:rPr>
          <w:rFonts w:ascii="Arial" w:cs="Arial" w:eastAsia="Arial" w:hAnsi="Arial"/>
          <w:sz w:val="19"/>
          <w:szCs w:val="19"/>
          <w:i w:val="1"/>
          <w:iCs w:val="1"/>
          <w:color w:val="D95A3B"/>
        </w:rPr>
        <w:t>Severance payments</w:t>
      </w:r>
    </w:p>
    <w:p>
      <w:pPr>
        <w:spacing w:after="0" w:line="52" w:lineRule="exact"/>
        <w:rPr>
          <w:sz w:val="20"/>
          <w:szCs w:val="20"/>
          <w:color w:val="auto"/>
        </w:rPr>
      </w:pPr>
    </w:p>
    <w:p>
      <w:pPr>
        <w:ind w:left="220" w:right="220"/>
        <w:spacing w:after="0" w:line="244" w:lineRule="auto"/>
        <w:rPr>
          <w:sz w:val="20"/>
          <w:szCs w:val="20"/>
          <w:color w:val="auto"/>
        </w:rPr>
      </w:pPr>
      <w:r>
        <w:rPr>
          <w:rFonts w:ascii="Arial" w:cs="Arial" w:eastAsia="Arial" w:hAnsi="Arial"/>
          <w:sz w:val="18"/>
          <w:szCs w:val="18"/>
          <w:color w:val="auto"/>
        </w:rPr>
        <w:t>Each of our named executive officers would be entitled to two years of salary continuation in the event of involuntary termination without cause. We typically pay severance in accordance with our standard payroll practices, as opposed to in a lump sum.</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9"/>
          <w:szCs w:val="19"/>
          <w:i w:val="1"/>
          <w:iCs w:val="1"/>
          <w:color w:val="D95A3B"/>
        </w:rPr>
        <w:t>Annual incentive awards</w:t>
      </w:r>
    </w:p>
    <w:p>
      <w:pPr>
        <w:spacing w:after="0" w:line="38" w:lineRule="exact"/>
        <w:rPr>
          <w:sz w:val="20"/>
          <w:szCs w:val="20"/>
          <w:color w:val="auto"/>
        </w:rPr>
      </w:pPr>
    </w:p>
    <w:p>
      <w:pPr>
        <w:ind w:left="220" w:right="60"/>
        <w:spacing w:after="0" w:line="244" w:lineRule="auto"/>
        <w:rPr>
          <w:sz w:val="20"/>
          <w:szCs w:val="20"/>
          <w:color w:val="auto"/>
        </w:rPr>
      </w:pPr>
      <w:r>
        <w:rPr>
          <w:rFonts w:ascii="Arial" w:cs="Arial" w:eastAsia="Arial" w:hAnsi="Arial"/>
          <w:sz w:val="18"/>
          <w:szCs w:val="18"/>
          <w:color w:val="auto"/>
        </w:rPr>
        <w:t>Pursuant to annual incentive plan terms and conditions, a named executive officer’s annual incentive award would be treated as follows in the event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66675</wp:posOffset>
            </wp:positionV>
            <wp:extent cx="8255" cy="1282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128270"/>
                    </a:xfrm>
                    <a:prstGeom prst="rect">
                      <a:avLst/>
                    </a:prstGeom>
                    <a:noFill/>
                  </pic:spPr>
                </pic:pic>
              </a:graphicData>
            </a:graphic>
          </wp:anchor>
        </w:drawing>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376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Termination Event</w:t>
            </w:r>
          </w:p>
        </w:tc>
        <w:tc>
          <w:tcPr>
            <w:tcW w:w="7220" w:type="dxa"/>
            <w:vAlign w:val="bottom"/>
            <w:tcBorders>
              <w:bottom w:val="single" w:sz="8" w:color="D95A3B"/>
            </w:tcBorders>
            <w:shd w:val="clear" w:color="auto" w:fill="CCCCCC"/>
          </w:tcPr>
          <w:p>
            <w:pPr>
              <w:ind w:left="180"/>
              <w:spacing w:after="0"/>
              <w:rPr>
                <w:sz w:val="20"/>
                <w:szCs w:val="20"/>
                <w:color w:val="auto"/>
              </w:rPr>
            </w:pPr>
            <w:r>
              <w:rPr>
                <w:rFonts w:ascii="Arial" w:cs="Arial" w:eastAsia="Arial" w:hAnsi="Arial"/>
                <w:sz w:val="15"/>
                <w:szCs w:val="15"/>
                <w:b w:val="1"/>
                <w:bCs w:val="1"/>
                <w:color w:val="auto"/>
              </w:rPr>
              <w:t>Award Treatment</w:t>
            </w:r>
          </w:p>
        </w:tc>
      </w:tr>
      <w:tr>
        <w:trPr>
          <w:trHeight w:val="155"/>
        </w:trPr>
        <w:tc>
          <w:tcPr>
            <w:tcW w:w="37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Voluntary termination</w:t>
            </w:r>
          </w:p>
        </w:tc>
        <w:tc>
          <w:tcPr>
            <w:tcW w:w="7220" w:type="dxa"/>
            <w:vAlign w:val="bottom"/>
            <w:tcBorders>
              <w:bottom w:val="single" w:sz="8" w:color="AFAFAF"/>
            </w:tcBorders>
          </w:tcPr>
          <w:p>
            <w:pPr>
              <w:ind w:left="180"/>
              <w:spacing w:after="0" w:line="155" w:lineRule="exact"/>
              <w:rPr>
                <w:sz w:val="20"/>
                <w:szCs w:val="20"/>
                <w:color w:val="auto"/>
              </w:rPr>
            </w:pPr>
            <w:r>
              <w:rPr>
                <w:rFonts w:ascii="Arial" w:cs="Arial" w:eastAsia="Arial" w:hAnsi="Arial"/>
                <w:sz w:val="14"/>
                <w:szCs w:val="14"/>
                <w:color w:val="auto"/>
              </w:rPr>
              <w:t>Forfeited if this occurs on or prior to March 1, 2020, subject to applicable law.</w:t>
            </w:r>
          </w:p>
        </w:tc>
      </w:tr>
      <w:tr>
        <w:trPr>
          <w:trHeight w:val="142"/>
        </w:trPr>
        <w:tc>
          <w:tcPr>
            <w:tcW w:w="376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Involuntary termination for poor performance or for</w:t>
            </w:r>
          </w:p>
        </w:tc>
        <w:tc>
          <w:tcPr>
            <w:tcW w:w="7220" w:type="dxa"/>
            <w:vAlign w:val="bottom"/>
          </w:tcPr>
          <w:p>
            <w:pPr>
              <w:spacing w:after="0"/>
              <w:rPr>
                <w:sz w:val="12"/>
                <w:szCs w:val="12"/>
                <w:color w:val="auto"/>
              </w:rPr>
            </w:pPr>
          </w:p>
        </w:tc>
      </w:tr>
      <w:tr>
        <w:trPr>
          <w:trHeight w:val="175"/>
        </w:trPr>
        <w:tc>
          <w:tcPr>
            <w:tcW w:w="376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Cause</w:t>
            </w:r>
          </w:p>
        </w:tc>
        <w:tc>
          <w:tcPr>
            <w:tcW w:w="7220" w:type="dxa"/>
            <w:vAlign w:val="bottom"/>
            <w:tcBorders>
              <w:bottom w:val="single" w:sz="8" w:color="AFAFAF"/>
            </w:tcBorders>
          </w:tcPr>
          <w:p>
            <w:pPr>
              <w:ind w:left="180"/>
              <w:spacing w:after="0"/>
              <w:rPr>
                <w:sz w:val="20"/>
                <w:szCs w:val="20"/>
                <w:color w:val="auto"/>
              </w:rPr>
            </w:pPr>
            <w:r>
              <w:rPr>
                <w:rFonts w:ascii="Arial" w:cs="Arial" w:eastAsia="Arial" w:hAnsi="Arial"/>
                <w:sz w:val="14"/>
                <w:szCs w:val="14"/>
                <w:color w:val="auto"/>
              </w:rPr>
              <w:t>Forfeited</w:t>
            </w:r>
          </w:p>
        </w:tc>
      </w:tr>
      <w:tr>
        <w:trPr>
          <w:trHeight w:val="142"/>
        </w:trPr>
        <w:tc>
          <w:tcPr>
            <w:tcW w:w="376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Involuntary termination not for poor performance or</w:t>
            </w:r>
          </w:p>
        </w:tc>
        <w:tc>
          <w:tcPr>
            <w:tcW w:w="7220" w:type="dxa"/>
            <w:vAlign w:val="bottom"/>
          </w:tcPr>
          <w:p>
            <w:pPr>
              <w:ind w:left="180"/>
              <w:spacing w:after="0" w:line="142" w:lineRule="exact"/>
              <w:rPr>
                <w:sz w:val="20"/>
                <w:szCs w:val="20"/>
                <w:color w:val="auto"/>
              </w:rPr>
            </w:pPr>
            <w:r>
              <w:rPr>
                <w:rFonts w:ascii="Arial" w:cs="Arial" w:eastAsia="Arial" w:hAnsi="Arial"/>
                <w:sz w:val="14"/>
                <w:szCs w:val="14"/>
                <w:color w:val="auto"/>
              </w:rPr>
              <w:t>If this occurs between January 1, 2019 and December 31, 2019, an award payout will be made to the</w:t>
            </w:r>
          </w:p>
        </w:tc>
      </w:tr>
      <w:tr>
        <w:trPr>
          <w:trHeight w:val="180"/>
        </w:trPr>
        <w:tc>
          <w:tcPr>
            <w:tcW w:w="376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without Cause</w:t>
            </w:r>
          </w:p>
        </w:tc>
        <w:tc>
          <w:tcPr>
            <w:tcW w:w="7220" w:type="dxa"/>
            <w:vAlign w:val="bottom"/>
          </w:tcPr>
          <w:p>
            <w:pPr>
              <w:ind w:left="180"/>
              <w:spacing w:after="0"/>
              <w:rPr>
                <w:sz w:val="20"/>
                <w:szCs w:val="20"/>
                <w:color w:val="auto"/>
              </w:rPr>
            </w:pPr>
            <w:r>
              <w:rPr>
                <w:rFonts w:ascii="Arial" w:cs="Arial" w:eastAsia="Arial" w:hAnsi="Arial"/>
                <w:sz w:val="14"/>
                <w:szCs w:val="14"/>
                <w:color w:val="auto"/>
              </w:rPr>
              <w:t>executive that is pro-rated through the date of termination based on the executive’s target award and modified</w:t>
            </w:r>
          </w:p>
        </w:tc>
      </w:tr>
      <w:tr>
        <w:trPr>
          <w:trHeight w:val="162"/>
        </w:trPr>
        <w:tc>
          <w:tcPr>
            <w:tcW w:w="3760" w:type="dxa"/>
            <w:vAlign w:val="bottom"/>
            <w:tcBorders>
              <w:right w:val="single" w:sz="8" w:color="AFAFAF"/>
            </w:tcBorders>
          </w:tcPr>
          <w:p>
            <w:pPr>
              <w:spacing w:after="0"/>
              <w:rPr>
                <w:sz w:val="14"/>
                <w:szCs w:val="14"/>
                <w:color w:val="auto"/>
              </w:rPr>
            </w:pPr>
          </w:p>
        </w:tc>
        <w:tc>
          <w:tcPr>
            <w:tcW w:w="7220" w:type="dxa"/>
            <w:vAlign w:val="bottom"/>
          </w:tcPr>
          <w:p>
            <w:pPr>
              <w:ind w:left="180"/>
              <w:spacing w:after="0"/>
              <w:rPr>
                <w:sz w:val="20"/>
                <w:szCs w:val="20"/>
                <w:color w:val="auto"/>
              </w:rPr>
            </w:pPr>
            <w:r>
              <w:rPr>
                <w:rFonts w:ascii="Arial" w:cs="Arial" w:eastAsia="Arial" w:hAnsi="Arial"/>
                <w:sz w:val="14"/>
                <w:szCs w:val="14"/>
                <w:color w:val="auto"/>
              </w:rPr>
              <w:t>only by the Business Performance Factor (BPF) for the 2019 performance period. Payment will be made in or</w:t>
            </w:r>
          </w:p>
        </w:tc>
      </w:tr>
      <w:tr>
        <w:trPr>
          <w:trHeight w:val="157"/>
        </w:trPr>
        <w:tc>
          <w:tcPr>
            <w:tcW w:w="3760" w:type="dxa"/>
            <w:vAlign w:val="bottom"/>
            <w:tcBorders>
              <w:bottom w:val="single" w:sz="8" w:color="AFAFAF"/>
              <w:right w:val="single" w:sz="8" w:color="AFAFAF"/>
            </w:tcBorders>
          </w:tcPr>
          <w:p>
            <w:pPr>
              <w:spacing w:after="0"/>
              <w:rPr>
                <w:sz w:val="13"/>
                <w:szCs w:val="13"/>
                <w:color w:val="auto"/>
              </w:rPr>
            </w:pPr>
          </w:p>
        </w:tc>
        <w:tc>
          <w:tcPr>
            <w:tcW w:w="7220" w:type="dxa"/>
            <w:vAlign w:val="bottom"/>
            <w:tcBorders>
              <w:bottom w:val="single" w:sz="8" w:color="AFAFAF"/>
            </w:tcBorders>
          </w:tcPr>
          <w:p>
            <w:pPr>
              <w:ind w:left="180"/>
              <w:spacing w:after="0" w:line="157" w:lineRule="exact"/>
              <w:rPr>
                <w:sz w:val="20"/>
                <w:szCs w:val="20"/>
                <w:color w:val="auto"/>
              </w:rPr>
            </w:pPr>
            <w:r>
              <w:rPr>
                <w:rFonts w:ascii="Arial" w:cs="Arial" w:eastAsia="Arial" w:hAnsi="Arial"/>
                <w:sz w:val="14"/>
                <w:szCs w:val="14"/>
                <w:color w:val="auto"/>
              </w:rPr>
              <w:t>about March 2020 following the completion of the 2019 performance period.</w:t>
            </w:r>
          </w:p>
        </w:tc>
      </w:tr>
      <w:tr>
        <w:trPr>
          <w:trHeight w:val="160"/>
        </w:trPr>
        <w:tc>
          <w:tcPr>
            <w:tcW w:w="376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Sale of the executive’s business</w:t>
            </w:r>
          </w:p>
        </w:tc>
        <w:tc>
          <w:tcPr>
            <w:tcW w:w="7220" w:type="dxa"/>
            <w:vAlign w:val="bottom"/>
          </w:tcPr>
          <w:p>
            <w:pPr>
              <w:ind w:left="180"/>
              <w:spacing w:after="0" w:line="160" w:lineRule="exact"/>
              <w:rPr>
                <w:sz w:val="20"/>
                <w:szCs w:val="20"/>
                <w:color w:val="auto"/>
              </w:rPr>
            </w:pPr>
            <w:r>
              <w:rPr>
                <w:rFonts w:ascii="Arial" w:cs="Arial" w:eastAsia="Arial" w:hAnsi="Arial"/>
                <w:sz w:val="14"/>
                <w:szCs w:val="14"/>
                <w:color w:val="auto"/>
              </w:rPr>
              <w:t>Thomson Reuters may (without the consent of the executive) assign all or part of its award payment obligation</w:t>
            </w:r>
          </w:p>
        </w:tc>
      </w:tr>
      <w:tr>
        <w:trPr>
          <w:trHeight w:val="162"/>
        </w:trPr>
        <w:tc>
          <w:tcPr>
            <w:tcW w:w="3760" w:type="dxa"/>
            <w:vAlign w:val="bottom"/>
            <w:tcBorders>
              <w:right w:val="single" w:sz="8" w:color="AFAFAF"/>
            </w:tcBorders>
          </w:tcPr>
          <w:p>
            <w:pPr>
              <w:spacing w:after="0"/>
              <w:rPr>
                <w:sz w:val="14"/>
                <w:szCs w:val="14"/>
                <w:color w:val="auto"/>
              </w:rPr>
            </w:pPr>
          </w:p>
        </w:tc>
        <w:tc>
          <w:tcPr>
            <w:tcW w:w="7220" w:type="dxa"/>
            <w:vAlign w:val="bottom"/>
          </w:tcPr>
          <w:p>
            <w:pPr>
              <w:ind w:left="180"/>
              <w:spacing w:after="0"/>
              <w:rPr>
                <w:sz w:val="20"/>
                <w:szCs w:val="20"/>
                <w:color w:val="auto"/>
              </w:rPr>
            </w:pPr>
            <w:r>
              <w:rPr>
                <w:rFonts w:ascii="Arial" w:cs="Arial" w:eastAsia="Arial" w:hAnsi="Arial"/>
                <w:sz w:val="14"/>
                <w:szCs w:val="14"/>
                <w:color w:val="auto"/>
              </w:rPr>
              <w:t>to make payments under the annual incentive plan or for a third party purchaser to substitute a substantially</w:t>
            </w:r>
          </w:p>
        </w:tc>
      </w:tr>
      <w:tr>
        <w:trPr>
          <w:trHeight w:val="157"/>
        </w:trPr>
        <w:tc>
          <w:tcPr>
            <w:tcW w:w="3760" w:type="dxa"/>
            <w:vAlign w:val="bottom"/>
            <w:tcBorders>
              <w:bottom w:val="single" w:sz="8" w:color="AFAFAF"/>
              <w:right w:val="single" w:sz="8" w:color="AFAFAF"/>
            </w:tcBorders>
          </w:tcPr>
          <w:p>
            <w:pPr>
              <w:spacing w:after="0"/>
              <w:rPr>
                <w:sz w:val="13"/>
                <w:szCs w:val="13"/>
                <w:color w:val="auto"/>
              </w:rPr>
            </w:pPr>
          </w:p>
        </w:tc>
        <w:tc>
          <w:tcPr>
            <w:tcW w:w="7220" w:type="dxa"/>
            <w:vAlign w:val="bottom"/>
            <w:tcBorders>
              <w:bottom w:val="single" w:sz="8" w:color="AFAFAF"/>
            </w:tcBorders>
          </w:tcPr>
          <w:p>
            <w:pPr>
              <w:ind w:left="180"/>
              <w:spacing w:after="0" w:line="157" w:lineRule="exact"/>
              <w:rPr>
                <w:sz w:val="20"/>
                <w:szCs w:val="20"/>
                <w:color w:val="auto"/>
              </w:rPr>
            </w:pPr>
            <w:r>
              <w:rPr>
                <w:rFonts w:ascii="Arial" w:cs="Arial" w:eastAsia="Arial" w:hAnsi="Arial"/>
                <w:sz w:val="14"/>
                <w:szCs w:val="14"/>
                <w:color w:val="auto"/>
              </w:rPr>
              <w:t>similar award for the executive and other participants whose business is being acquired.</w:t>
            </w:r>
          </w:p>
        </w:tc>
      </w:tr>
      <w:tr>
        <w:trPr>
          <w:trHeight w:val="142"/>
        </w:trPr>
        <w:tc>
          <w:tcPr>
            <w:tcW w:w="376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Retirement (Normal Retirement or Early Retirement),</w:t>
            </w:r>
          </w:p>
        </w:tc>
        <w:tc>
          <w:tcPr>
            <w:tcW w:w="7220" w:type="dxa"/>
            <w:vAlign w:val="bottom"/>
          </w:tcPr>
          <w:p>
            <w:pPr>
              <w:ind w:left="180"/>
              <w:spacing w:after="0" w:line="142" w:lineRule="exact"/>
              <w:rPr>
                <w:sz w:val="20"/>
                <w:szCs w:val="20"/>
                <w:color w:val="auto"/>
              </w:rPr>
            </w:pPr>
            <w:r>
              <w:rPr>
                <w:rFonts w:ascii="Arial" w:cs="Arial" w:eastAsia="Arial" w:hAnsi="Arial"/>
                <w:sz w:val="14"/>
                <w:szCs w:val="14"/>
                <w:color w:val="auto"/>
              </w:rPr>
              <w:t>Forfeited, if this occurs between January 1, 2019 and June 30, 2019. If this occurs between July 1, 2019 and</w:t>
            </w:r>
          </w:p>
        </w:tc>
      </w:tr>
      <w:tr>
        <w:trPr>
          <w:trHeight w:val="180"/>
        </w:trPr>
        <w:tc>
          <w:tcPr>
            <w:tcW w:w="376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Disability or Death</w:t>
            </w:r>
          </w:p>
        </w:tc>
        <w:tc>
          <w:tcPr>
            <w:tcW w:w="7220" w:type="dxa"/>
            <w:vAlign w:val="bottom"/>
          </w:tcPr>
          <w:p>
            <w:pPr>
              <w:ind w:left="180"/>
              <w:spacing w:after="0"/>
              <w:rPr>
                <w:sz w:val="20"/>
                <w:szCs w:val="20"/>
                <w:color w:val="auto"/>
              </w:rPr>
            </w:pPr>
            <w:r>
              <w:rPr>
                <w:rFonts w:ascii="Arial" w:cs="Arial" w:eastAsia="Arial" w:hAnsi="Arial"/>
                <w:sz w:val="14"/>
                <w:szCs w:val="14"/>
                <w:color w:val="auto"/>
              </w:rPr>
              <w:t>December 31, 2019, an award payout that is pro-rated through the date of termination based on the</w:t>
            </w:r>
          </w:p>
        </w:tc>
      </w:tr>
      <w:tr>
        <w:trPr>
          <w:trHeight w:val="162"/>
        </w:trPr>
        <w:tc>
          <w:tcPr>
            <w:tcW w:w="3760" w:type="dxa"/>
            <w:vAlign w:val="bottom"/>
            <w:tcBorders>
              <w:right w:val="single" w:sz="8" w:color="AFAFAF"/>
            </w:tcBorders>
          </w:tcPr>
          <w:p>
            <w:pPr>
              <w:spacing w:after="0"/>
              <w:rPr>
                <w:sz w:val="14"/>
                <w:szCs w:val="14"/>
                <w:color w:val="auto"/>
              </w:rPr>
            </w:pPr>
          </w:p>
        </w:tc>
        <w:tc>
          <w:tcPr>
            <w:tcW w:w="7220" w:type="dxa"/>
            <w:vAlign w:val="bottom"/>
          </w:tcPr>
          <w:p>
            <w:pPr>
              <w:ind w:left="180"/>
              <w:spacing w:after="0"/>
              <w:rPr>
                <w:sz w:val="20"/>
                <w:szCs w:val="20"/>
                <w:color w:val="auto"/>
              </w:rPr>
            </w:pPr>
            <w:r>
              <w:rPr>
                <w:rFonts w:ascii="Arial" w:cs="Arial" w:eastAsia="Arial" w:hAnsi="Arial"/>
                <w:sz w:val="14"/>
                <w:szCs w:val="14"/>
                <w:color w:val="auto"/>
              </w:rPr>
              <w:t>executive’s target award will be made to the executive as soon as administratively practicable following the</w:t>
            </w:r>
          </w:p>
        </w:tc>
      </w:tr>
      <w:tr>
        <w:trPr>
          <w:trHeight w:val="157"/>
        </w:trPr>
        <w:tc>
          <w:tcPr>
            <w:tcW w:w="3760" w:type="dxa"/>
            <w:vAlign w:val="bottom"/>
            <w:tcBorders>
              <w:bottom w:val="single" w:sz="8" w:color="D95A3B"/>
              <w:right w:val="single" w:sz="8" w:color="AFAFAF"/>
            </w:tcBorders>
          </w:tcPr>
          <w:p>
            <w:pPr>
              <w:spacing w:after="0"/>
              <w:rPr>
                <w:sz w:val="13"/>
                <w:szCs w:val="13"/>
                <w:color w:val="auto"/>
              </w:rPr>
            </w:pPr>
          </w:p>
        </w:tc>
        <w:tc>
          <w:tcPr>
            <w:tcW w:w="7220" w:type="dxa"/>
            <w:vAlign w:val="bottom"/>
            <w:tcBorders>
              <w:bottom w:val="single" w:sz="8" w:color="D95A3B"/>
            </w:tcBorders>
          </w:tcPr>
          <w:p>
            <w:pPr>
              <w:ind w:left="180"/>
              <w:spacing w:after="0" w:line="157" w:lineRule="exact"/>
              <w:rPr>
                <w:sz w:val="20"/>
                <w:szCs w:val="20"/>
                <w:color w:val="auto"/>
              </w:rPr>
            </w:pPr>
            <w:r>
              <w:rPr>
                <w:rFonts w:ascii="Arial" w:cs="Arial" w:eastAsia="Arial" w:hAnsi="Arial"/>
                <w:sz w:val="14"/>
                <w:szCs w:val="14"/>
                <w:color w:val="auto"/>
              </w:rPr>
              <w:t>occurrence of the event.</w:t>
            </w:r>
          </w:p>
        </w:tc>
      </w:tr>
    </w:tbl>
    <w:p>
      <w:pPr>
        <w:spacing w:after="0" w:line="89" w:lineRule="exact"/>
        <w:rPr>
          <w:sz w:val="20"/>
          <w:szCs w:val="20"/>
          <w:color w:val="auto"/>
        </w:rPr>
      </w:pPr>
    </w:p>
    <w:p>
      <w:pPr>
        <w:ind w:left="220" w:right="20"/>
        <w:spacing w:after="0" w:line="242" w:lineRule="auto"/>
        <w:rPr>
          <w:sz w:val="20"/>
          <w:szCs w:val="20"/>
          <w:color w:val="auto"/>
        </w:rPr>
      </w:pPr>
      <w:r>
        <w:rPr>
          <w:rFonts w:ascii="Arial" w:cs="Arial" w:eastAsia="Arial" w:hAnsi="Arial"/>
          <w:sz w:val="18"/>
          <w:szCs w:val="18"/>
          <w:color w:val="auto"/>
        </w:rPr>
        <w:t xml:space="preserve">If an executive’s employment is terminated for any reason </w:t>
      </w:r>
      <w:r>
        <w:rPr>
          <w:rFonts w:ascii="Arial" w:cs="Arial" w:eastAsia="Arial" w:hAnsi="Arial"/>
          <w:sz w:val="18"/>
          <w:szCs w:val="18"/>
          <w:i w:val="1"/>
          <w:iCs w:val="1"/>
          <w:color w:val="auto"/>
        </w:rPr>
        <w:t>other than voluntary termination, for poor performance or for Cause</w:t>
      </w:r>
      <w:r>
        <w:rPr>
          <w:rFonts w:ascii="Arial" w:cs="Arial" w:eastAsia="Arial" w:hAnsi="Arial"/>
          <w:sz w:val="18"/>
          <w:szCs w:val="18"/>
          <w:color w:val="auto"/>
        </w:rPr>
        <w:t xml:space="preserve"> (i) between January 1, 2020 and March 1, 2020 but before award payouts are made, an award payout based on the executive’s target award, modified only by the BPF for the 2019 performance period, will be made on the payment date in 2020; and (ii) between March 2, 2020 and the payment date in 2020, an award payout based on the executive’s target award, modified by the BPF and the Individual Performance Factor (IPF) for the 2019 performance period, will be made on the payment date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118745</wp:posOffset>
            </wp:positionV>
            <wp:extent cx="697357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1"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77</w:t>
      </w:r>
    </w:p>
    <w:p>
      <w:pPr>
        <w:sectPr>
          <w:pgSz w:w="11900" w:h="16838" w:orient="portrait"/>
          <w:cols w:equalWidth="0" w:num="1">
            <w:col w:w="11200"/>
          </w:cols>
          <w:pgMar w:left="240" w:top="458"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9"/>
          <w:szCs w:val="19"/>
          <w:i w:val="1"/>
          <w:iCs w:val="1"/>
          <w:color w:val="D95A3B"/>
        </w:rPr>
        <w:t>Stock options</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Pursuant to award terms and conditions, stock options would be treated as follows in the event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5192395</wp:posOffset>
            </wp:positionH>
            <wp:positionV relativeFrom="paragraph">
              <wp:posOffset>74295</wp:posOffset>
            </wp:positionV>
            <wp:extent cx="8255" cy="1282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74295</wp:posOffset>
            </wp:positionV>
            <wp:extent cx="8255" cy="1282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2338070</wp:posOffset>
            </wp:positionH>
            <wp:positionV relativeFrom="paragraph">
              <wp:posOffset>74295</wp:posOffset>
            </wp:positionV>
            <wp:extent cx="8255" cy="1282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128270"/>
                    </a:xfrm>
                    <a:prstGeom prst="rect">
                      <a:avLst/>
                    </a:prstGeom>
                    <a:noFill/>
                  </pic:spPr>
                </pic:pic>
              </a:graphicData>
            </a:graphic>
          </wp:anchor>
        </w:drawing>
      </w:r>
    </w:p>
    <w:p>
      <w:pPr>
        <w:spacing w:after="0" w:line="97"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348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Termination Event</w:t>
            </w:r>
          </w:p>
        </w:tc>
        <w:tc>
          <w:tcPr>
            <w:tcW w:w="1480" w:type="dxa"/>
            <w:vAlign w:val="bottom"/>
            <w:tcBorders>
              <w:bottom w:val="single" w:sz="8" w:color="D95A3B"/>
              <w:right w:val="single" w:sz="8" w:color="CCCCCC"/>
            </w:tcBorders>
            <w:shd w:val="clear" w:color="auto" w:fill="CCCCCC"/>
          </w:tcPr>
          <w:p>
            <w:pPr>
              <w:ind w:left="80"/>
              <w:spacing w:after="0"/>
              <w:rPr>
                <w:sz w:val="20"/>
                <w:szCs w:val="20"/>
                <w:color w:val="auto"/>
              </w:rPr>
            </w:pPr>
            <w:r>
              <w:rPr>
                <w:rFonts w:ascii="Arial" w:cs="Arial" w:eastAsia="Arial" w:hAnsi="Arial"/>
                <w:sz w:val="15"/>
                <w:szCs w:val="15"/>
                <w:b w:val="1"/>
                <w:bCs w:val="1"/>
                <w:color w:val="auto"/>
              </w:rPr>
              <w:t>Vested Options</w:t>
            </w:r>
          </w:p>
        </w:tc>
        <w:tc>
          <w:tcPr>
            <w:tcW w:w="3020" w:type="dxa"/>
            <w:vAlign w:val="bottom"/>
            <w:tcBorders>
              <w:bottom w:val="single" w:sz="8" w:color="D95A3B"/>
              <w:right w:val="single" w:sz="8" w:color="CCCCCC"/>
            </w:tcBorders>
            <w:shd w:val="clear" w:color="auto" w:fill="CCCCCC"/>
          </w:tcPr>
          <w:p>
            <w:pPr>
              <w:ind w:left="80"/>
              <w:spacing w:after="0"/>
              <w:rPr>
                <w:sz w:val="20"/>
                <w:szCs w:val="20"/>
                <w:color w:val="auto"/>
              </w:rPr>
            </w:pPr>
            <w:r>
              <w:rPr>
                <w:rFonts w:ascii="Arial" w:cs="Arial" w:eastAsia="Arial" w:hAnsi="Arial"/>
                <w:sz w:val="15"/>
                <w:szCs w:val="15"/>
                <w:b w:val="1"/>
                <w:bCs w:val="1"/>
                <w:color w:val="auto"/>
              </w:rPr>
              <w:t>Unvested Options</w:t>
            </w:r>
          </w:p>
        </w:tc>
        <w:tc>
          <w:tcPr>
            <w:tcW w:w="3000" w:type="dxa"/>
            <w:vAlign w:val="bottom"/>
            <w:tcBorders>
              <w:bottom w:val="single" w:sz="8" w:color="D95A3B"/>
            </w:tcBorders>
            <w:shd w:val="clear" w:color="auto" w:fill="CCCCCC"/>
          </w:tcPr>
          <w:p>
            <w:pPr>
              <w:ind w:left="80"/>
              <w:spacing w:after="0"/>
              <w:rPr>
                <w:sz w:val="20"/>
                <w:szCs w:val="20"/>
                <w:color w:val="auto"/>
              </w:rPr>
            </w:pPr>
            <w:r>
              <w:rPr>
                <w:rFonts w:ascii="Arial" w:cs="Arial" w:eastAsia="Arial" w:hAnsi="Arial"/>
                <w:sz w:val="15"/>
                <w:szCs w:val="15"/>
                <w:b w:val="1"/>
                <w:bCs w:val="1"/>
                <w:color w:val="auto"/>
              </w:rPr>
              <w:t>Exercise Period</w:t>
            </w:r>
          </w:p>
        </w:tc>
      </w:tr>
      <w:tr>
        <w:trPr>
          <w:trHeight w:val="160"/>
        </w:trPr>
        <w:tc>
          <w:tcPr>
            <w:tcW w:w="348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Voluntary termination</w:t>
            </w:r>
          </w:p>
        </w:tc>
        <w:tc>
          <w:tcPr>
            <w:tcW w:w="1480" w:type="dxa"/>
            <w:vAlign w:val="bottom"/>
            <w:tcBorders>
              <w:right w:val="single" w:sz="8" w:color="AFAFAF"/>
            </w:tcBorders>
          </w:tcPr>
          <w:p>
            <w:pPr>
              <w:ind w:left="80"/>
              <w:spacing w:after="0" w:line="160" w:lineRule="exact"/>
              <w:rPr>
                <w:sz w:val="20"/>
                <w:szCs w:val="20"/>
                <w:color w:val="auto"/>
              </w:rPr>
            </w:pPr>
            <w:r>
              <w:rPr>
                <w:rFonts w:ascii="Arial" w:cs="Arial" w:eastAsia="Arial" w:hAnsi="Arial"/>
                <w:sz w:val="14"/>
                <w:szCs w:val="14"/>
                <w:color w:val="auto"/>
              </w:rPr>
              <w:t>Remain exercisable</w:t>
            </w:r>
          </w:p>
        </w:tc>
        <w:tc>
          <w:tcPr>
            <w:tcW w:w="3020" w:type="dxa"/>
            <w:vAlign w:val="bottom"/>
            <w:tcBorders>
              <w:right w:val="single" w:sz="8" w:color="AFAFAF"/>
            </w:tcBorders>
          </w:tcPr>
          <w:p>
            <w:pPr>
              <w:ind w:left="80"/>
              <w:spacing w:after="0" w:line="160" w:lineRule="exact"/>
              <w:rPr>
                <w:sz w:val="20"/>
                <w:szCs w:val="20"/>
                <w:color w:val="auto"/>
              </w:rPr>
            </w:pPr>
            <w:r>
              <w:rPr>
                <w:rFonts w:ascii="Arial" w:cs="Arial" w:eastAsia="Arial" w:hAnsi="Arial"/>
                <w:sz w:val="14"/>
                <w:szCs w:val="14"/>
                <w:color w:val="auto"/>
              </w:rPr>
              <w:t>Forfeited</w:t>
            </w:r>
          </w:p>
        </w:tc>
        <w:tc>
          <w:tcPr>
            <w:tcW w:w="3000" w:type="dxa"/>
            <w:vAlign w:val="bottom"/>
          </w:tcPr>
          <w:p>
            <w:pPr>
              <w:ind w:left="80"/>
              <w:spacing w:after="0" w:line="160" w:lineRule="exact"/>
              <w:rPr>
                <w:sz w:val="20"/>
                <w:szCs w:val="20"/>
                <w:color w:val="auto"/>
              </w:rPr>
            </w:pPr>
            <w:r>
              <w:rPr>
                <w:rFonts w:ascii="Arial" w:cs="Arial" w:eastAsia="Arial" w:hAnsi="Arial"/>
                <w:sz w:val="14"/>
                <w:szCs w:val="14"/>
                <w:color w:val="auto"/>
              </w:rPr>
              <w:t>The earlier of 3 months from the termination</w:t>
            </w:r>
          </w:p>
        </w:tc>
      </w:tr>
      <w:tr>
        <w:trPr>
          <w:trHeight w:val="157"/>
        </w:trPr>
        <w:tc>
          <w:tcPr>
            <w:tcW w:w="3480" w:type="dxa"/>
            <w:vAlign w:val="bottom"/>
            <w:tcBorders>
              <w:bottom w:val="single" w:sz="8" w:color="AFAFAF"/>
              <w:right w:val="single" w:sz="8" w:color="AFAFAF"/>
            </w:tcBorders>
          </w:tcPr>
          <w:p>
            <w:pPr>
              <w:spacing w:after="0"/>
              <w:rPr>
                <w:sz w:val="13"/>
                <w:szCs w:val="13"/>
                <w:color w:val="auto"/>
              </w:rPr>
            </w:pPr>
          </w:p>
        </w:tc>
        <w:tc>
          <w:tcPr>
            <w:tcW w:w="1480" w:type="dxa"/>
            <w:vAlign w:val="bottom"/>
            <w:tcBorders>
              <w:bottom w:val="single" w:sz="8" w:color="AFAFAF"/>
              <w:right w:val="single" w:sz="8" w:color="AFAFAF"/>
            </w:tcBorders>
          </w:tcPr>
          <w:p>
            <w:pPr>
              <w:spacing w:after="0"/>
              <w:rPr>
                <w:sz w:val="13"/>
                <w:szCs w:val="13"/>
                <w:color w:val="auto"/>
              </w:rPr>
            </w:pPr>
          </w:p>
        </w:tc>
        <w:tc>
          <w:tcPr>
            <w:tcW w:w="3020" w:type="dxa"/>
            <w:vAlign w:val="bottom"/>
            <w:tcBorders>
              <w:bottom w:val="single" w:sz="8" w:color="AFAFAF"/>
              <w:right w:val="single" w:sz="8" w:color="AFAFAF"/>
            </w:tcBorders>
          </w:tcPr>
          <w:p>
            <w:pPr>
              <w:spacing w:after="0"/>
              <w:rPr>
                <w:sz w:val="13"/>
                <w:szCs w:val="13"/>
                <w:color w:val="auto"/>
              </w:rPr>
            </w:pPr>
          </w:p>
        </w:tc>
        <w:tc>
          <w:tcPr>
            <w:tcW w:w="3000" w:type="dxa"/>
            <w:vAlign w:val="bottom"/>
            <w:tcBorders>
              <w:bottom w:val="single" w:sz="8" w:color="AFAFAF"/>
            </w:tcBorders>
          </w:tcPr>
          <w:p>
            <w:pPr>
              <w:ind w:left="80"/>
              <w:spacing w:after="0" w:line="157" w:lineRule="exact"/>
              <w:rPr>
                <w:sz w:val="20"/>
                <w:szCs w:val="20"/>
                <w:color w:val="auto"/>
              </w:rPr>
            </w:pPr>
            <w:r>
              <w:rPr>
                <w:rFonts w:ascii="Arial" w:cs="Arial" w:eastAsia="Arial" w:hAnsi="Arial"/>
                <w:sz w:val="14"/>
                <w:szCs w:val="14"/>
                <w:color w:val="auto"/>
              </w:rPr>
              <w:t>date or the grant expiration date.</w:t>
            </w:r>
          </w:p>
        </w:tc>
      </w:tr>
      <w:tr>
        <w:trPr>
          <w:trHeight w:val="142"/>
        </w:trPr>
        <w:tc>
          <w:tcPr>
            <w:tcW w:w="348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Involuntary termination for poor performance or</w:t>
            </w:r>
          </w:p>
        </w:tc>
        <w:tc>
          <w:tcPr>
            <w:tcW w:w="1480" w:type="dxa"/>
            <w:vAlign w:val="bottom"/>
            <w:tcBorders>
              <w:right w:val="single" w:sz="8" w:color="AFAFAF"/>
            </w:tcBorders>
          </w:tcPr>
          <w:p>
            <w:pPr>
              <w:spacing w:after="0"/>
              <w:rPr>
                <w:sz w:val="12"/>
                <w:szCs w:val="12"/>
                <w:color w:val="auto"/>
              </w:rPr>
            </w:pPr>
          </w:p>
        </w:tc>
        <w:tc>
          <w:tcPr>
            <w:tcW w:w="3020" w:type="dxa"/>
            <w:vAlign w:val="bottom"/>
            <w:tcBorders>
              <w:right w:val="single" w:sz="8" w:color="AFAFAF"/>
            </w:tcBorders>
          </w:tcPr>
          <w:p>
            <w:pPr>
              <w:spacing w:after="0"/>
              <w:rPr>
                <w:sz w:val="12"/>
                <w:szCs w:val="12"/>
                <w:color w:val="auto"/>
              </w:rPr>
            </w:pPr>
          </w:p>
        </w:tc>
        <w:tc>
          <w:tcPr>
            <w:tcW w:w="3000" w:type="dxa"/>
            <w:vAlign w:val="bottom"/>
          </w:tcPr>
          <w:p>
            <w:pPr>
              <w:spacing w:after="0"/>
              <w:rPr>
                <w:sz w:val="12"/>
                <w:szCs w:val="12"/>
                <w:color w:val="auto"/>
              </w:rPr>
            </w:pPr>
          </w:p>
        </w:tc>
      </w:tr>
      <w:tr>
        <w:trPr>
          <w:trHeight w:val="175"/>
        </w:trPr>
        <w:tc>
          <w:tcPr>
            <w:tcW w:w="348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for Cause</w:t>
            </w:r>
          </w:p>
        </w:tc>
        <w:tc>
          <w:tcPr>
            <w:tcW w:w="1480" w:type="dxa"/>
            <w:vAlign w:val="bottom"/>
            <w:tcBorders>
              <w:bottom w:val="single" w:sz="8" w:color="AFAFAF"/>
              <w:right w:val="single" w:sz="8" w:color="AFAFAF"/>
            </w:tcBorders>
          </w:tcPr>
          <w:p>
            <w:pPr>
              <w:ind w:left="80"/>
              <w:spacing w:after="0"/>
              <w:rPr>
                <w:sz w:val="20"/>
                <w:szCs w:val="20"/>
                <w:color w:val="auto"/>
              </w:rPr>
            </w:pPr>
            <w:r>
              <w:rPr>
                <w:rFonts w:ascii="Arial" w:cs="Arial" w:eastAsia="Arial" w:hAnsi="Arial"/>
                <w:sz w:val="14"/>
                <w:szCs w:val="14"/>
                <w:color w:val="auto"/>
              </w:rPr>
              <w:t>Forfeited</w:t>
            </w:r>
          </w:p>
        </w:tc>
        <w:tc>
          <w:tcPr>
            <w:tcW w:w="3020" w:type="dxa"/>
            <w:vAlign w:val="bottom"/>
            <w:tcBorders>
              <w:bottom w:val="single" w:sz="8" w:color="AFAFAF"/>
              <w:right w:val="single" w:sz="8" w:color="AFAFAF"/>
            </w:tcBorders>
          </w:tcPr>
          <w:p>
            <w:pPr>
              <w:ind w:left="80"/>
              <w:spacing w:after="0"/>
              <w:rPr>
                <w:sz w:val="20"/>
                <w:szCs w:val="20"/>
                <w:color w:val="auto"/>
              </w:rPr>
            </w:pPr>
            <w:r>
              <w:rPr>
                <w:rFonts w:ascii="Arial" w:cs="Arial" w:eastAsia="Arial" w:hAnsi="Arial"/>
                <w:sz w:val="14"/>
                <w:szCs w:val="14"/>
                <w:color w:val="auto"/>
              </w:rPr>
              <w:t>Forfeited</w:t>
            </w:r>
          </w:p>
        </w:tc>
        <w:tc>
          <w:tcPr>
            <w:tcW w:w="3000" w:type="dxa"/>
            <w:vAlign w:val="bottom"/>
            <w:tcBorders>
              <w:bottom w:val="single" w:sz="8" w:color="AFAFAF"/>
            </w:tcBorders>
          </w:tcPr>
          <w:p>
            <w:pPr>
              <w:ind w:left="80"/>
              <w:spacing w:after="0"/>
              <w:rPr>
                <w:sz w:val="20"/>
                <w:szCs w:val="20"/>
                <w:color w:val="auto"/>
              </w:rPr>
            </w:pPr>
            <w:r>
              <w:rPr>
                <w:rFonts w:ascii="Arial" w:cs="Arial" w:eastAsia="Arial" w:hAnsi="Arial"/>
                <w:sz w:val="14"/>
                <w:szCs w:val="14"/>
                <w:color w:val="auto"/>
              </w:rPr>
              <w:t>N/A</w:t>
            </w:r>
          </w:p>
        </w:tc>
      </w:tr>
      <w:tr>
        <w:trPr>
          <w:trHeight w:val="142"/>
        </w:trPr>
        <w:tc>
          <w:tcPr>
            <w:tcW w:w="348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Involuntary termination not for poor performance</w:t>
            </w:r>
          </w:p>
        </w:tc>
        <w:tc>
          <w:tcPr>
            <w:tcW w:w="1480" w:type="dxa"/>
            <w:vAlign w:val="bottom"/>
            <w:tcBorders>
              <w:right w:val="single" w:sz="8" w:color="AFAFAF"/>
            </w:tcBorders>
          </w:tcPr>
          <w:p>
            <w:pPr>
              <w:ind w:left="80"/>
              <w:spacing w:after="0" w:line="142" w:lineRule="exact"/>
              <w:rPr>
                <w:sz w:val="20"/>
                <w:szCs w:val="20"/>
                <w:color w:val="auto"/>
              </w:rPr>
            </w:pPr>
            <w:r>
              <w:rPr>
                <w:rFonts w:ascii="Arial" w:cs="Arial" w:eastAsia="Arial" w:hAnsi="Arial"/>
                <w:sz w:val="14"/>
                <w:szCs w:val="14"/>
                <w:color w:val="auto"/>
              </w:rPr>
              <w:t>Remain exercisable</w:t>
            </w:r>
          </w:p>
        </w:tc>
        <w:tc>
          <w:tcPr>
            <w:tcW w:w="3020" w:type="dxa"/>
            <w:vAlign w:val="bottom"/>
            <w:tcBorders>
              <w:right w:val="single" w:sz="8" w:color="AFAFAF"/>
            </w:tcBorders>
          </w:tcPr>
          <w:p>
            <w:pPr>
              <w:ind w:left="80"/>
              <w:spacing w:after="0" w:line="142" w:lineRule="exact"/>
              <w:rPr>
                <w:sz w:val="20"/>
                <w:szCs w:val="20"/>
                <w:color w:val="auto"/>
              </w:rPr>
            </w:pPr>
            <w:r>
              <w:rPr>
                <w:rFonts w:ascii="Arial" w:cs="Arial" w:eastAsia="Arial" w:hAnsi="Arial"/>
                <w:sz w:val="14"/>
                <w:szCs w:val="14"/>
                <w:color w:val="auto"/>
              </w:rPr>
              <w:t>One additional vesting period (standard</w:t>
            </w:r>
          </w:p>
        </w:tc>
        <w:tc>
          <w:tcPr>
            <w:tcW w:w="3000" w:type="dxa"/>
            <w:vAlign w:val="bottom"/>
          </w:tcPr>
          <w:p>
            <w:pPr>
              <w:ind w:left="80"/>
              <w:spacing w:after="0" w:line="142" w:lineRule="exact"/>
              <w:rPr>
                <w:sz w:val="20"/>
                <w:szCs w:val="20"/>
                <w:color w:val="auto"/>
              </w:rPr>
            </w:pPr>
            <w:r>
              <w:rPr>
                <w:rFonts w:ascii="Arial" w:cs="Arial" w:eastAsia="Arial" w:hAnsi="Arial"/>
                <w:sz w:val="14"/>
                <w:szCs w:val="14"/>
                <w:color w:val="auto"/>
              </w:rPr>
              <w:t>The earlier of 3 months from the termination</w:t>
            </w:r>
          </w:p>
        </w:tc>
      </w:tr>
      <w:tr>
        <w:trPr>
          <w:trHeight w:val="180"/>
        </w:trPr>
        <w:tc>
          <w:tcPr>
            <w:tcW w:w="34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or without Cause</w:t>
            </w:r>
          </w:p>
        </w:tc>
        <w:tc>
          <w:tcPr>
            <w:tcW w:w="1480" w:type="dxa"/>
            <w:vAlign w:val="bottom"/>
            <w:tcBorders>
              <w:right w:val="single" w:sz="8" w:color="AFAFAF"/>
            </w:tcBorders>
          </w:tcPr>
          <w:p>
            <w:pPr>
              <w:spacing w:after="0"/>
              <w:rPr>
                <w:sz w:val="15"/>
                <w:szCs w:val="15"/>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vesting is 25% in each of the first four years</w:t>
            </w:r>
          </w:p>
        </w:tc>
        <w:tc>
          <w:tcPr>
            <w:tcW w:w="3000" w:type="dxa"/>
            <w:vAlign w:val="bottom"/>
          </w:tcPr>
          <w:p>
            <w:pPr>
              <w:ind w:left="80"/>
              <w:spacing w:after="0"/>
              <w:rPr>
                <w:sz w:val="20"/>
                <w:szCs w:val="20"/>
                <w:color w:val="auto"/>
              </w:rPr>
            </w:pPr>
            <w:r>
              <w:rPr>
                <w:rFonts w:ascii="Arial" w:cs="Arial" w:eastAsia="Arial" w:hAnsi="Arial"/>
                <w:sz w:val="14"/>
                <w:szCs w:val="14"/>
                <w:color w:val="auto"/>
              </w:rPr>
              <w:t>date or the grant expiration date.</w:t>
            </w:r>
          </w:p>
        </w:tc>
      </w:tr>
      <w:tr>
        <w:trPr>
          <w:trHeight w:val="161"/>
        </w:trPr>
        <w:tc>
          <w:tcPr>
            <w:tcW w:w="3480" w:type="dxa"/>
            <w:vAlign w:val="bottom"/>
            <w:tcBorders>
              <w:right w:val="single" w:sz="8" w:color="AFAFAF"/>
            </w:tcBorders>
          </w:tcPr>
          <w:p>
            <w:pPr>
              <w:spacing w:after="0"/>
              <w:rPr>
                <w:sz w:val="14"/>
                <w:szCs w:val="14"/>
                <w:color w:val="auto"/>
              </w:rPr>
            </w:pP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of the award) is accelerated and exercisable</w:t>
            </w:r>
          </w:p>
        </w:tc>
        <w:tc>
          <w:tcPr>
            <w:tcW w:w="3000" w:type="dxa"/>
            <w:vAlign w:val="bottom"/>
          </w:tcPr>
          <w:p>
            <w:pPr>
              <w:spacing w:after="0"/>
              <w:rPr>
                <w:sz w:val="14"/>
                <w:szCs w:val="14"/>
                <w:color w:val="auto"/>
              </w:rPr>
            </w:pPr>
          </w:p>
        </w:tc>
      </w:tr>
      <w:tr>
        <w:trPr>
          <w:trHeight w:val="162"/>
        </w:trPr>
        <w:tc>
          <w:tcPr>
            <w:tcW w:w="3480" w:type="dxa"/>
            <w:vAlign w:val="bottom"/>
            <w:tcBorders>
              <w:right w:val="single" w:sz="8" w:color="AFAFAF"/>
            </w:tcBorders>
          </w:tcPr>
          <w:p>
            <w:pPr>
              <w:spacing w:after="0"/>
              <w:rPr>
                <w:sz w:val="14"/>
                <w:szCs w:val="14"/>
                <w:color w:val="auto"/>
              </w:rPr>
            </w:pP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upon termination and the remaining unvested</w:t>
            </w:r>
          </w:p>
        </w:tc>
        <w:tc>
          <w:tcPr>
            <w:tcW w:w="3000" w:type="dxa"/>
            <w:vAlign w:val="bottom"/>
          </w:tcPr>
          <w:p>
            <w:pPr>
              <w:spacing w:after="0"/>
              <w:rPr>
                <w:sz w:val="14"/>
                <w:szCs w:val="14"/>
                <w:color w:val="auto"/>
              </w:rPr>
            </w:pPr>
          </w:p>
        </w:tc>
      </w:tr>
      <w:tr>
        <w:trPr>
          <w:trHeight w:val="157"/>
        </w:trPr>
        <w:tc>
          <w:tcPr>
            <w:tcW w:w="3480" w:type="dxa"/>
            <w:vAlign w:val="bottom"/>
            <w:tcBorders>
              <w:bottom w:val="single" w:sz="8" w:color="AFAFAF"/>
              <w:right w:val="single" w:sz="8" w:color="AFAFAF"/>
            </w:tcBorders>
          </w:tcPr>
          <w:p>
            <w:pPr>
              <w:spacing w:after="0"/>
              <w:rPr>
                <w:sz w:val="13"/>
                <w:szCs w:val="13"/>
                <w:color w:val="auto"/>
              </w:rPr>
            </w:pPr>
          </w:p>
        </w:tc>
        <w:tc>
          <w:tcPr>
            <w:tcW w:w="1480" w:type="dxa"/>
            <w:vAlign w:val="bottom"/>
            <w:tcBorders>
              <w:bottom w:val="single" w:sz="8" w:color="AFAFAF"/>
              <w:right w:val="single" w:sz="8" w:color="AFAFAF"/>
            </w:tcBorders>
          </w:tcPr>
          <w:p>
            <w:pPr>
              <w:spacing w:after="0"/>
              <w:rPr>
                <w:sz w:val="13"/>
                <w:szCs w:val="13"/>
                <w:color w:val="auto"/>
              </w:rPr>
            </w:pPr>
          </w:p>
        </w:tc>
        <w:tc>
          <w:tcPr>
            <w:tcW w:w="3020" w:type="dxa"/>
            <w:vAlign w:val="bottom"/>
            <w:tcBorders>
              <w:bottom w:val="single" w:sz="8" w:color="AFAFAF"/>
              <w:right w:val="single" w:sz="8" w:color="AFAFAF"/>
            </w:tcBorders>
          </w:tcPr>
          <w:p>
            <w:pPr>
              <w:ind w:left="80"/>
              <w:spacing w:after="0" w:line="157" w:lineRule="exact"/>
              <w:rPr>
                <w:sz w:val="20"/>
                <w:szCs w:val="20"/>
                <w:color w:val="auto"/>
              </w:rPr>
            </w:pPr>
            <w:r>
              <w:rPr>
                <w:rFonts w:ascii="Arial" w:cs="Arial" w:eastAsia="Arial" w:hAnsi="Arial"/>
                <w:sz w:val="14"/>
                <w:szCs w:val="14"/>
                <w:color w:val="auto"/>
              </w:rPr>
              <w:t>options are forfeited.</w:t>
            </w:r>
          </w:p>
        </w:tc>
        <w:tc>
          <w:tcPr>
            <w:tcW w:w="3000" w:type="dxa"/>
            <w:vAlign w:val="bottom"/>
            <w:tcBorders>
              <w:bottom w:val="single" w:sz="8" w:color="AFAFAF"/>
            </w:tcBorders>
          </w:tcPr>
          <w:p>
            <w:pPr>
              <w:spacing w:after="0"/>
              <w:rPr>
                <w:sz w:val="13"/>
                <w:szCs w:val="13"/>
                <w:color w:val="auto"/>
              </w:rPr>
            </w:pPr>
          </w:p>
        </w:tc>
      </w:tr>
      <w:tr>
        <w:trPr>
          <w:trHeight w:val="160"/>
        </w:trPr>
        <w:tc>
          <w:tcPr>
            <w:tcW w:w="348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Sale of the holder’s business</w:t>
            </w:r>
          </w:p>
        </w:tc>
        <w:tc>
          <w:tcPr>
            <w:tcW w:w="1480" w:type="dxa"/>
            <w:vAlign w:val="bottom"/>
            <w:tcBorders>
              <w:right w:val="single" w:sz="8" w:color="AFAFAF"/>
            </w:tcBorders>
          </w:tcPr>
          <w:p>
            <w:pPr>
              <w:ind w:left="80"/>
              <w:spacing w:after="0" w:line="160" w:lineRule="exact"/>
              <w:rPr>
                <w:sz w:val="20"/>
                <w:szCs w:val="20"/>
                <w:color w:val="auto"/>
              </w:rPr>
            </w:pPr>
            <w:r>
              <w:rPr>
                <w:rFonts w:ascii="Arial" w:cs="Arial" w:eastAsia="Arial" w:hAnsi="Arial"/>
                <w:sz w:val="14"/>
                <w:szCs w:val="14"/>
                <w:color w:val="auto"/>
              </w:rPr>
              <w:t>Remain exercisable</w:t>
            </w:r>
          </w:p>
        </w:tc>
        <w:tc>
          <w:tcPr>
            <w:tcW w:w="3020" w:type="dxa"/>
            <w:vAlign w:val="bottom"/>
            <w:tcBorders>
              <w:right w:val="single" w:sz="8" w:color="AFAFAF"/>
            </w:tcBorders>
          </w:tcPr>
          <w:p>
            <w:pPr>
              <w:ind w:left="80"/>
              <w:spacing w:after="0" w:line="160" w:lineRule="exact"/>
              <w:rPr>
                <w:sz w:val="20"/>
                <w:szCs w:val="20"/>
                <w:color w:val="auto"/>
              </w:rPr>
            </w:pPr>
            <w:r>
              <w:rPr>
                <w:rFonts w:ascii="Arial" w:cs="Arial" w:eastAsia="Arial" w:hAnsi="Arial"/>
                <w:sz w:val="14"/>
                <w:szCs w:val="14"/>
                <w:color w:val="auto"/>
              </w:rPr>
              <w:t>The board or HR Committee shall meet to</w:t>
            </w:r>
          </w:p>
        </w:tc>
        <w:tc>
          <w:tcPr>
            <w:tcW w:w="3000" w:type="dxa"/>
            <w:vAlign w:val="bottom"/>
          </w:tcPr>
          <w:p>
            <w:pPr>
              <w:ind w:left="80"/>
              <w:spacing w:after="0" w:line="160" w:lineRule="exact"/>
              <w:rPr>
                <w:sz w:val="20"/>
                <w:szCs w:val="20"/>
                <w:color w:val="auto"/>
              </w:rPr>
            </w:pPr>
            <w:r>
              <w:rPr>
                <w:rFonts w:ascii="Arial" w:cs="Arial" w:eastAsia="Arial" w:hAnsi="Arial"/>
                <w:sz w:val="14"/>
                <w:szCs w:val="14"/>
                <w:color w:val="auto"/>
              </w:rPr>
              <w:t>The earlier of 1 year from the involuntary</w:t>
            </w:r>
          </w:p>
        </w:tc>
      </w:tr>
      <w:tr>
        <w:trPr>
          <w:trHeight w:val="162"/>
        </w:trPr>
        <w:tc>
          <w:tcPr>
            <w:tcW w:w="3480" w:type="dxa"/>
            <w:vAlign w:val="bottom"/>
            <w:tcBorders>
              <w:right w:val="single" w:sz="8" w:color="AFAFAF"/>
            </w:tcBorders>
          </w:tcPr>
          <w:p>
            <w:pPr>
              <w:spacing w:after="0"/>
              <w:rPr>
                <w:sz w:val="14"/>
                <w:szCs w:val="14"/>
                <w:color w:val="auto"/>
              </w:rPr>
            </w:pP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determine the appropriate treatment of any</w:t>
            </w:r>
          </w:p>
        </w:tc>
        <w:tc>
          <w:tcPr>
            <w:tcW w:w="3000" w:type="dxa"/>
            <w:vAlign w:val="bottom"/>
          </w:tcPr>
          <w:p>
            <w:pPr>
              <w:ind w:left="80"/>
              <w:spacing w:after="0"/>
              <w:rPr>
                <w:sz w:val="20"/>
                <w:szCs w:val="20"/>
                <w:color w:val="auto"/>
              </w:rPr>
            </w:pPr>
            <w:r>
              <w:rPr>
                <w:rFonts w:ascii="Arial" w:cs="Arial" w:eastAsia="Arial" w:hAnsi="Arial"/>
                <w:sz w:val="14"/>
                <w:szCs w:val="14"/>
                <w:color w:val="auto"/>
              </w:rPr>
              <w:t>termination without cause date or the grant</w:t>
            </w:r>
          </w:p>
        </w:tc>
      </w:tr>
      <w:tr>
        <w:trPr>
          <w:trHeight w:val="157"/>
        </w:trPr>
        <w:tc>
          <w:tcPr>
            <w:tcW w:w="3480" w:type="dxa"/>
            <w:vAlign w:val="bottom"/>
            <w:tcBorders>
              <w:bottom w:val="single" w:sz="8" w:color="AFAFAF"/>
              <w:right w:val="single" w:sz="8" w:color="AFAFAF"/>
            </w:tcBorders>
          </w:tcPr>
          <w:p>
            <w:pPr>
              <w:spacing w:after="0"/>
              <w:rPr>
                <w:sz w:val="13"/>
                <w:szCs w:val="13"/>
                <w:color w:val="auto"/>
              </w:rPr>
            </w:pPr>
          </w:p>
        </w:tc>
        <w:tc>
          <w:tcPr>
            <w:tcW w:w="1480" w:type="dxa"/>
            <w:vAlign w:val="bottom"/>
            <w:tcBorders>
              <w:bottom w:val="single" w:sz="8" w:color="AFAFAF"/>
              <w:right w:val="single" w:sz="8" w:color="AFAFAF"/>
            </w:tcBorders>
          </w:tcPr>
          <w:p>
            <w:pPr>
              <w:spacing w:after="0"/>
              <w:rPr>
                <w:sz w:val="13"/>
                <w:szCs w:val="13"/>
                <w:color w:val="auto"/>
              </w:rPr>
            </w:pPr>
          </w:p>
        </w:tc>
        <w:tc>
          <w:tcPr>
            <w:tcW w:w="3020" w:type="dxa"/>
            <w:vAlign w:val="bottom"/>
            <w:tcBorders>
              <w:bottom w:val="single" w:sz="8" w:color="AFAFAF"/>
              <w:right w:val="single" w:sz="8" w:color="AFAFAF"/>
            </w:tcBorders>
          </w:tcPr>
          <w:p>
            <w:pPr>
              <w:ind w:left="80"/>
              <w:spacing w:after="0" w:line="157" w:lineRule="exact"/>
              <w:rPr>
                <w:sz w:val="20"/>
                <w:szCs w:val="20"/>
                <w:color w:val="auto"/>
              </w:rPr>
            </w:pPr>
            <w:r>
              <w:rPr>
                <w:rFonts w:ascii="Arial" w:cs="Arial" w:eastAsia="Arial" w:hAnsi="Arial"/>
                <w:sz w:val="14"/>
                <w:szCs w:val="14"/>
                <w:color w:val="auto"/>
              </w:rPr>
              <w:t>unvested options.</w:t>
            </w:r>
          </w:p>
        </w:tc>
        <w:tc>
          <w:tcPr>
            <w:tcW w:w="3000" w:type="dxa"/>
            <w:vAlign w:val="bottom"/>
            <w:tcBorders>
              <w:bottom w:val="single" w:sz="8" w:color="AFAFAF"/>
            </w:tcBorders>
          </w:tcPr>
          <w:p>
            <w:pPr>
              <w:ind w:left="80"/>
              <w:spacing w:after="0" w:line="157" w:lineRule="exact"/>
              <w:rPr>
                <w:sz w:val="20"/>
                <w:szCs w:val="20"/>
                <w:color w:val="auto"/>
              </w:rPr>
            </w:pPr>
            <w:r>
              <w:rPr>
                <w:rFonts w:ascii="Arial" w:cs="Arial" w:eastAsia="Arial" w:hAnsi="Arial"/>
                <w:sz w:val="14"/>
                <w:szCs w:val="14"/>
                <w:color w:val="auto"/>
              </w:rPr>
              <w:t>expiration date.</w:t>
            </w:r>
          </w:p>
        </w:tc>
      </w:tr>
      <w:tr>
        <w:trPr>
          <w:trHeight w:val="142"/>
        </w:trPr>
        <w:tc>
          <w:tcPr>
            <w:tcW w:w="348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A Change of Control of Thomson Reuters (based</w:t>
            </w:r>
          </w:p>
        </w:tc>
        <w:tc>
          <w:tcPr>
            <w:tcW w:w="1480" w:type="dxa"/>
            <w:vAlign w:val="bottom"/>
            <w:tcBorders>
              <w:right w:val="single" w:sz="8" w:color="AFAFAF"/>
            </w:tcBorders>
          </w:tcPr>
          <w:p>
            <w:pPr>
              <w:ind w:left="80"/>
              <w:spacing w:after="0" w:line="142" w:lineRule="exact"/>
              <w:rPr>
                <w:sz w:val="20"/>
                <w:szCs w:val="20"/>
                <w:color w:val="auto"/>
              </w:rPr>
            </w:pPr>
            <w:r>
              <w:rPr>
                <w:rFonts w:ascii="Arial" w:cs="Arial" w:eastAsia="Arial" w:hAnsi="Arial"/>
                <w:sz w:val="14"/>
                <w:szCs w:val="14"/>
                <w:color w:val="auto"/>
              </w:rPr>
              <w:t>Remain exercisable</w:t>
            </w:r>
          </w:p>
        </w:tc>
        <w:tc>
          <w:tcPr>
            <w:tcW w:w="3020" w:type="dxa"/>
            <w:vAlign w:val="bottom"/>
            <w:tcBorders>
              <w:right w:val="single" w:sz="8" w:color="AFAFAF"/>
            </w:tcBorders>
          </w:tcPr>
          <w:p>
            <w:pPr>
              <w:ind w:left="80"/>
              <w:spacing w:after="0" w:line="142" w:lineRule="exact"/>
              <w:rPr>
                <w:sz w:val="20"/>
                <w:szCs w:val="20"/>
                <w:color w:val="auto"/>
              </w:rPr>
            </w:pPr>
            <w:r>
              <w:rPr>
                <w:rFonts w:ascii="Arial" w:cs="Arial" w:eastAsia="Arial" w:hAnsi="Arial"/>
                <w:sz w:val="14"/>
                <w:szCs w:val="14"/>
                <w:color w:val="auto"/>
              </w:rPr>
              <w:t>Fully vested upon a “double trigger”</w:t>
            </w:r>
          </w:p>
        </w:tc>
        <w:tc>
          <w:tcPr>
            <w:tcW w:w="3000" w:type="dxa"/>
            <w:vAlign w:val="bottom"/>
          </w:tcPr>
          <w:p>
            <w:pPr>
              <w:ind w:left="80"/>
              <w:spacing w:after="0" w:line="142" w:lineRule="exact"/>
              <w:rPr>
                <w:sz w:val="20"/>
                <w:szCs w:val="20"/>
                <w:color w:val="auto"/>
              </w:rPr>
            </w:pPr>
            <w:r>
              <w:rPr>
                <w:rFonts w:ascii="Arial" w:cs="Arial" w:eastAsia="Arial" w:hAnsi="Arial"/>
                <w:sz w:val="14"/>
                <w:szCs w:val="14"/>
                <w:color w:val="auto"/>
              </w:rPr>
              <w:t>The earlier of 1 year from the involuntary</w:t>
            </w:r>
          </w:p>
        </w:tc>
      </w:tr>
      <w:tr>
        <w:trPr>
          <w:trHeight w:val="162"/>
        </w:trPr>
        <w:tc>
          <w:tcPr>
            <w:tcW w:w="34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on the surviving, successor or acquiring company</w:t>
            </w: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(involuntary termination not for poor</w:t>
            </w:r>
          </w:p>
        </w:tc>
        <w:tc>
          <w:tcPr>
            <w:tcW w:w="3000" w:type="dxa"/>
            <w:vAlign w:val="bottom"/>
          </w:tcPr>
          <w:p>
            <w:pPr>
              <w:ind w:left="80"/>
              <w:spacing w:after="0"/>
              <w:rPr>
                <w:sz w:val="20"/>
                <w:szCs w:val="20"/>
                <w:color w:val="auto"/>
              </w:rPr>
            </w:pPr>
            <w:r>
              <w:rPr>
                <w:rFonts w:ascii="Arial" w:cs="Arial" w:eastAsia="Arial" w:hAnsi="Arial"/>
                <w:sz w:val="14"/>
                <w:szCs w:val="14"/>
                <w:color w:val="auto"/>
              </w:rPr>
              <w:t>termination without cause date or the grant</w:t>
            </w:r>
          </w:p>
        </w:tc>
      </w:tr>
      <w:tr>
        <w:trPr>
          <w:trHeight w:val="180"/>
        </w:trPr>
        <w:tc>
          <w:tcPr>
            <w:tcW w:w="34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assuming options or substituting similar awards)</w:t>
            </w:r>
          </w:p>
        </w:tc>
        <w:tc>
          <w:tcPr>
            <w:tcW w:w="1480" w:type="dxa"/>
            <w:vAlign w:val="bottom"/>
            <w:tcBorders>
              <w:right w:val="single" w:sz="8" w:color="AFAFAF"/>
            </w:tcBorders>
          </w:tcPr>
          <w:p>
            <w:pPr>
              <w:spacing w:after="0"/>
              <w:rPr>
                <w:sz w:val="15"/>
                <w:szCs w:val="15"/>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performance or without Cause within two</w:t>
            </w:r>
          </w:p>
        </w:tc>
        <w:tc>
          <w:tcPr>
            <w:tcW w:w="3000" w:type="dxa"/>
            <w:vAlign w:val="bottom"/>
          </w:tcPr>
          <w:p>
            <w:pPr>
              <w:ind w:left="80"/>
              <w:spacing w:after="0"/>
              <w:rPr>
                <w:sz w:val="20"/>
                <w:szCs w:val="20"/>
                <w:color w:val="auto"/>
              </w:rPr>
            </w:pPr>
            <w:r>
              <w:rPr>
                <w:rFonts w:ascii="Arial" w:cs="Arial" w:eastAsia="Arial" w:hAnsi="Arial"/>
                <w:sz w:val="14"/>
                <w:szCs w:val="14"/>
                <w:color w:val="auto"/>
              </w:rPr>
              <w:t>expiration date.</w:t>
            </w:r>
          </w:p>
        </w:tc>
      </w:tr>
      <w:tr>
        <w:trPr>
          <w:trHeight w:val="162"/>
        </w:trPr>
        <w:tc>
          <w:tcPr>
            <w:tcW w:w="3480" w:type="dxa"/>
            <w:vAlign w:val="bottom"/>
            <w:tcBorders>
              <w:right w:val="single" w:sz="8" w:color="AFAFAF"/>
            </w:tcBorders>
          </w:tcPr>
          <w:p>
            <w:pPr>
              <w:spacing w:after="0"/>
              <w:rPr>
                <w:sz w:val="14"/>
                <w:szCs w:val="14"/>
                <w:color w:val="auto"/>
              </w:rPr>
            </w:pP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years following a Change of Control (as</w:t>
            </w:r>
          </w:p>
        </w:tc>
        <w:tc>
          <w:tcPr>
            <w:tcW w:w="3000" w:type="dxa"/>
            <w:vAlign w:val="bottom"/>
          </w:tcPr>
          <w:p>
            <w:pPr>
              <w:spacing w:after="0"/>
              <w:rPr>
                <w:sz w:val="14"/>
                <w:szCs w:val="14"/>
                <w:color w:val="auto"/>
              </w:rPr>
            </w:pPr>
          </w:p>
        </w:tc>
      </w:tr>
      <w:tr>
        <w:trPr>
          <w:trHeight w:val="161"/>
        </w:trPr>
        <w:tc>
          <w:tcPr>
            <w:tcW w:w="3480" w:type="dxa"/>
            <w:vAlign w:val="bottom"/>
            <w:tcBorders>
              <w:right w:val="single" w:sz="8" w:color="AFAFAF"/>
            </w:tcBorders>
          </w:tcPr>
          <w:p>
            <w:pPr>
              <w:spacing w:after="0"/>
              <w:rPr>
                <w:sz w:val="14"/>
                <w:szCs w:val="14"/>
                <w:color w:val="auto"/>
              </w:rPr>
            </w:pP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described below)); otherwise, the options</w:t>
            </w:r>
          </w:p>
        </w:tc>
        <w:tc>
          <w:tcPr>
            <w:tcW w:w="3000" w:type="dxa"/>
            <w:vAlign w:val="bottom"/>
          </w:tcPr>
          <w:p>
            <w:pPr>
              <w:spacing w:after="0"/>
              <w:rPr>
                <w:sz w:val="14"/>
                <w:szCs w:val="14"/>
                <w:color w:val="auto"/>
              </w:rPr>
            </w:pPr>
          </w:p>
        </w:tc>
      </w:tr>
      <w:tr>
        <w:trPr>
          <w:trHeight w:val="162"/>
        </w:trPr>
        <w:tc>
          <w:tcPr>
            <w:tcW w:w="3480" w:type="dxa"/>
            <w:vAlign w:val="bottom"/>
            <w:tcBorders>
              <w:right w:val="single" w:sz="8" w:color="AFAFAF"/>
            </w:tcBorders>
          </w:tcPr>
          <w:p>
            <w:pPr>
              <w:spacing w:after="0"/>
              <w:rPr>
                <w:sz w:val="14"/>
                <w:szCs w:val="14"/>
                <w:color w:val="auto"/>
              </w:rPr>
            </w:pP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continue to vest on the original vesting</w:t>
            </w:r>
          </w:p>
        </w:tc>
        <w:tc>
          <w:tcPr>
            <w:tcW w:w="3000" w:type="dxa"/>
            <w:vAlign w:val="bottom"/>
          </w:tcPr>
          <w:p>
            <w:pPr>
              <w:spacing w:after="0"/>
              <w:rPr>
                <w:sz w:val="14"/>
                <w:szCs w:val="14"/>
                <w:color w:val="auto"/>
              </w:rPr>
            </w:pPr>
          </w:p>
        </w:tc>
      </w:tr>
      <w:tr>
        <w:trPr>
          <w:trHeight w:val="157"/>
        </w:trPr>
        <w:tc>
          <w:tcPr>
            <w:tcW w:w="3480" w:type="dxa"/>
            <w:vAlign w:val="bottom"/>
            <w:tcBorders>
              <w:bottom w:val="single" w:sz="8" w:color="AFAFAF"/>
              <w:right w:val="single" w:sz="8" w:color="AFAFAF"/>
            </w:tcBorders>
          </w:tcPr>
          <w:p>
            <w:pPr>
              <w:spacing w:after="0"/>
              <w:rPr>
                <w:sz w:val="13"/>
                <w:szCs w:val="13"/>
                <w:color w:val="auto"/>
              </w:rPr>
            </w:pPr>
          </w:p>
        </w:tc>
        <w:tc>
          <w:tcPr>
            <w:tcW w:w="1480" w:type="dxa"/>
            <w:vAlign w:val="bottom"/>
            <w:tcBorders>
              <w:bottom w:val="single" w:sz="8" w:color="AFAFAF"/>
              <w:right w:val="single" w:sz="8" w:color="AFAFAF"/>
            </w:tcBorders>
          </w:tcPr>
          <w:p>
            <w:pPr>
              <w:spacing w:after="0"/>
              <w:rPr>
                <w:sz w:val="13"/>
                <w:szCs w:val="13"/>
                <w:color w:val="auto"/>
              </w:rPr>
            </w:pPr>
          </w:p>
        </w:tc>
        <w:tc>
          <w:tcPr>
            <w:tcW w:w="3020" w:type="dxa"/>
            <w:vAlign w:val="bottom"/>
            <w:tcBorders>
              <w:bottom w:val="single" w:sz="8" w:color="AFAFAF"/>
              <w:right w:val="single" w:sz="8" w:color="AFAFAF"/>
            </w:tcBorders>
          </w:tcPr>
          <w:p>
            <w:pPr>
              <w:ind w:left="80"/>
              <w:spacing w:after="0" w:line="157" w:lineRule="exact"/>
              <w:rPr>
                <w:sz w:val="20"/>
                <w:szCs w:val="20"/>
                <w:color w:val="auto"/>
              </w:rPr>
            </w:pPr>
            <w:r>
              <w:rPr>
                <w:rFonts w:ascii="Arial" w:cs="Arial" w:eastAsia="Arial" w:hAnsi="Arial"/>
                <w:sz w:val="14"/>
                <w:szCs w:val="14"/>
                <w:color w:val="auto"/>
              </w:rPr>
              <w:t>date(s) subject to continuous employment.</w:t>
            </w:r>
          </w:p>
        </w:tc>
        <w:tc>
          <w:tcPr>
            <w:tcW w:w="3000" w:type="dxa"/>
            <w:vAlign w:val="bottom"/>
            <w:tcBorders>
              <w:bottom w:val="single" w:sz="8" w:color="AFAFAF"/>
            </w:tcBorders>
          </w:tcPr>
          <w:p>
            <w:pPr>
              <w:spacing w:after="0"/>
              <w:rPr>
                <w:sz w:val="13"/>
                <w:szCs w:val="13"/>
                <w:color w:val="auto"/>
              </w:rPr>
            </w:pPr>
          </w:p>
        </w:tc>
      </w:tr>
      <w:tr>
        <w:trPr>
          <w:trHeight w:val="160"/>
        </w:trPr>
        <w:tc>
          <w:tcPr>
            <w:tcW w:w="348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Normal Retirement</w:t>
            </w:r>
          </w:p>
        </w:tc>
        <w:tc>
          <w:tcPr>
            <w:tcW w:w="1480" w:type="dxa"/>
            <w:vAlign w:val="bottom"/>
            <w:tcBorders>
              <w:right w:val="single" w:sz="8" w:color="AFAFAF"/>
            </w:tcBorders>
          </w:tcPr>
          <w:p>
            <w:pPr>
              <w:ind w:left="80"/>
              <w:spacing w:after="0" w:line="160" w:lineRule="exact"/>
              <w:rPr>
                <w:sz w:val="20"/>
                <w:szCs w:val="20"/>
                <w:color w:val="auto"/>
              </w:rPr>
            </w:pPr>
            <w:r>
              <w:rPr>
                <w:rFonts w:ascii="Arial" w:cs="Arial" w:eastAsia="Arial" w:hAnsi="Arial"/>
                <w:sz w:val="14"/>
                <w:szCs w:val="14"/>
                <w:color w:val="auto"/>
              </w:rPr>
              <w:t>Remain exercisable</w:t>
            </w:r>
          </w:p>
        </w:tc>
        <w:tc>
          <w:tcPr>
            <w:tcW w:w="3020" w:type="dxa"/>
            <w:vAlign w:val="bottom"/>
            <w:tcBorders>
              <w:right w:val="single" w:sz="8" w:color="AFAFAF"/>
            </w:tcBorders>
          </w:tcPr>
          <w:p>
            <w:pPr>
              <w:ind w:left="80"/>
              <w:spacing w:after="0" w:line="160" w:lineRule="exact"/>
              <w:rPr>
                <w:sz w:val="20"/>
                <w:szCs w:val="20"/>
                <w:color w:val="auto"/>
              </w:rPr>
            </w:pPr>
            <w:r>
              <w:rPr>
                <w:rFonts w:ascii="Arial" w:cs="Arial" w:eastAsia="Arial" w:hAnsi="Arial"/>
                <w:sz w:val="14"/>
                <w:szCs w:val="14"/>
                <w:color w:val="auto"/>
              </w:rPr>
              <w:t>Continue to vest on the original vesting</w:t>
            </w:r>
          </w:p>
        </w:tc>
        <w:tc>
          <w:tcPr>
            <w:tcW w:w="3000" w:type="dxa"/>
            <w:vAlign w:val="bottom"/>
          </w:tcPr>
          <w:p>
            <w:pPr>
              <w:ind w:left="80"/>
              <w:spacing w:after="0" w:line="160" w:lineRule="exact"/>
              <w:rPr>
                <w:sz w:val="20"/>
                <w:szCs w:val="20"/>
                <w:color w:val="auto"/>
              </w:rPr>
            </w:pPr>
            <w:r>
              <w:rPr>
                <w:rFonts w:ascii="Arial" w:cs="Arial" w:eastAsia="Arial" w:hAnsi="Arial"/>
                <w:sz w:val="14"/>
                <w:szCs w:val="14"/>
                <w:color w:val="auto"/>
              </w:rPr>
              <w:t>Options outstanding for 7 years or more:</w:t>
            </w:r>
          </w:p>
        </w:tc>
      </w:tr>
      <w:tr>
        <w:trPr>
          <w:trHeight w:val="162"/>
        </w:trPr>
        <w:tc>
          <w:tcPr>
            <w:tcW w:w="3480" w:type="dxa"/>
            <w:vAlign w:val="bottom"/>
            <w:tcBorders>
              <w:right w:val="single" w:sz="8" w:color="AFAFAF"/>
            </w:tcBorders>
          </w:tcPr>
          <w:p>
            <w:pPr>
              <w:spacing w:after="0"/>
              <w:rPr>
                <w:sz w:val="14"/>
                <w:szCs w:val="14"/>
                <w:color w:val="auto"/>
              </w:rPr>
            </w:pP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date(s); provided that the options have been</w:t>
            </w:r>
          </w:p>
        </w:tc>
        <w:tc>
          <w:tcPr>
            <w:tcW w:w="3000" w:type="dxa"/>
            <w:vAlign w:val="bottom"/>
          </w:tcPr>
          <w:p>
            <w:pPr>
              <w:ind w:left="80"/>
              <w:spacing w:after="0"/>
              <w:rPr>
                <w:sz w:val="20"/>
                <w:szCs w:val="20"/>
                <w:color w:val="auto"/>
              </w:rPr>
            </w:pPr>
            <w:r>
              <w:rPr>
                <w:rFonts w:ascii="Arial" w:cs="Arial" w:eastAsia="Arial" w:hAnsi="Arial"/>
                <w:sz w:val="14"/>
                <w:szCs w:val="14"/>
                <w:color w:val="auto"/>
              </w:rPr>
              <w:t>earlier of 1 year from Normal Retirement or</w:t>
            </w:r>
          </w:p>
        </w:tc>
      </w:tr>
      <w:tr>
        <w:trPr>
          <w:trHeight w:val="161"/>
        </w:trPr>
        <w:tc>
          <w:tcPr>
            <w:tcW w:w="3480" w:type="dxa"/>
            <w:vAlign w:val="bottom"/>
            <w:tcBorders>
              <w:right w:val="single" w:sz="8" w:color="AFAFAF"/>
            </w:tcBorders>
          </w:tcPr>
          <w:p>
            <w:pPr>
              <w:spacing w:after="0"/>
              <w:rPr>
                <w:sz w:val="14"/>
                <w:szCs w:val="14"/>
                <w:color w:val="auto"/>
              </w:rPr>
            </w:pP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outstanding for at least six months when</w:t>
            </w:r>
          </w:p>
        </w:tc>
        <w:tc>
          <w:tcPr>
            <w:tcW w:w="3000" w:type="dxa"/>
            <w:vAlign w:val="bottom"/>
          </w:tcPr>
          <w:p>
            <w:pPr>
              <w:ind w:left="80"/>
              <w:spacing w:after="0"/>
              <w:rPr>
                <w:sz w:val="20"/>
                <w:szCs w:val="20"/>
                <w:color w:val="auto"/>
              </w:rPr>
            </w:pPr>
            <w:r>
              <w:rPr>
                <w:rFonts w:ascii="Arial" w:cs="Arial" w:eastAsia="Arial" w:hAnsi="Arial"/>
                <w:sz w:val="14"/>
                <w:szCs w:val="14"/>
                <w:color w:val="auto"/>
              </w:rPr>
              <w:t>expiration of the option.</w:t>
            </w:r>
          </w:p>
        </w:tc>
      </w:tr>
      <w:tr>
        <w:trPr>
          <w:trHeight w:val="162"/>
        </w:trPr>
        <w:tc>
          <w:tcPr>
            <w:tcW w:w="3480" w:type="dxa"/>
            <w:vAlign w:val="bottom"/>
            <w:tcBorders>
              <w:right w:val="single" w:sz="8" w:color="AFAFAF"/>
            </w:tcBorders>
          </w:tcPr>
          <w:p>
            <w:pPr>
              <w:spacing w:after="0"/>
              <w:rPr>
                <w:sz w:val="14"/>
                <w:szCs w:val="14"/>
                <w:color w:val="auto"/>
              </w:rPr>
            </w:pP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Normal Retirement occurs. If the options</w:t>
            </w:r>
          </w:p>
        </w:tc>
        <w:tc>
          <w:tcPr>
            <w:tcW w:w="3000" w:type="dxa"/>
            <w:vAlign w:val="bottom"/>
          </w:tcPr>
          <w:p>
            <w:pPr>
              <w:spacing w:after="0"/>
              <w:rPr>
                <w:sz w:val="14"/>
                <w:szCs w:val="14"/>
                <w:color w:val="auto"/>
              </w:rPr>
            </w:pPr>
          </w:p>
        </w:tc>
      </w:tr>
      <w:tr>
        <w:trPr>
          <w:trHeight w:val="162"/>
        </w:trPr>
        <w:tc>
          <w:tcPr>
            <w:tcW w:w="3480" w:type="dxa"/>
            <w:vAlign w:val="bottom"/>
            <w:tcBorders>
              <w:right w:val="single" w:sz="8" w:color="AFAFAF"/>
            </w:tcBorders>
          </w:tcPr>
          <w:p>
            <w:pPr>
              <w:spacing w:after="0"/>
              <w:rPr>
                <w:sz w:val="14"/>
                <w:szCs w:val="14"/>
                <w:color w:val="auto"/>
              </w:rPr>
            </w:pP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have not been outstanding for that period,</w:t>
            </w:r>
          </w:p>
        </w:tc>
        <w:tc>
          <w:tcPr>
            <w:tcW w:w="3000" w:type="dxa"/>
            <w:vAlign w:val="bottom"/>
          </w:tcPr>
          <w:p>
            <w:pPr>
              <w:spacing w:after="0"/>
              <w:rPr>
                <w:sz w:val="14"/>
                <w:szCs w:val="14"/>
                <w:color w:val="auto"/>
              </w:rPr>
            </w:pPr>
          </w:p>
        </w:tc>
      </w:tr>
      <w:tr>
        <w:trPr>
          <w:trHeight w:val="202"/>
        </w:trPr>
        <w:tc>
          <w:tcPr>
            <w:tcW w:w="3480" w:type="dxa"/>
            <w:vAlign w:val="bottom"/>
            <w:tcBorders>
              <w:right w:val="single" w:sz="8" w:color="AFAFAF"/>
            </w:tcBorders>
          </w:tcPr>
          <w:p>
            <w:pPr>
              <w:spacing w:after="0"/>
              <w:rPr>
                <w:sz w:val="17"/>
                <w:szCs w:val="17"/>
                <w:color w:val="auto"/>
              </w:rPr>
            </w:pPr>
          </w:p>
        </w:tc>
        <w:tc>
          <w:tcPr>
            <w:tcW w:w="1480" w:type="dxa"/>
            <w:vAlign w:val="bottom"/>
            <w:tcBorders>
              <w:right w:val="single" w:sz="8" w:color="AFAFAF"/>
            </w:tcBorders>
          </w:tcPr>
          <w:p>
            <w:pPr>
              <w:spacing w:after="0"/>
              <w:rPr>
                <w:sz w:val="17"/>
                <w:szCs w:val="17"/>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they would be forfeited.</w:t>
            </w:r>
          </w:p>
        </w:tc>
        <w:tc>
          <w:tcPr>
            <w:tcW w:w="3000" w:type="dxa"/>
            <w:vAlign w:val="bottom"/>
          </w:tcPr>
          <w:p>
            <w:pPr>
              <w:ind w:left="80"/>
              <w:spacing w:after="0"/>
              <w:rPr>
                <w:sz w:val="20"/>
                <w:szCs w:val="20"/>
                <w:color w:val="auto"/>
              </w:rPr>
            </w:pPr>
            <w:r>
              <w:rPr>
                <w:rFonts w:ascii="Arial" w:cs="Arial" w:eastAsia="Arial" w:hAnsi="Arial"/>
                <w:sz w:val="14"/>
                <w:szCs w:val="14"/>
                <w:color w:val="auto"/>
              </w:rPr>
              <w:t>Options outstanding for less than 7 years: 7</w:t>
            </w:r>
          </w:p>
        </w:tc>
      </w:tr>
      <w:tr>
        <w:trPr>
          <w:trHeight w:val="170"/>
        </w:trPr>
        <w:tc>
          <w:tcPr>
            <w:tcW w:w="3480" w:type="dxa"/>
            <w:vAlign w:val="bottom"/>
            <w:tcBorders>
              <w:bottom w:val="single" w:sz="8" w:color="AFAFAF"/>
              <w:right w:val="single" w:sz="8" w:color="AFAFAF"/>
            </w:tcBorders>
          </w:tcPr>
          <w:p>
            <w:pPr>
              <w:spacing w:after="0"/>
              <w:rPr>
                <w:sz w:val="14"/>
                <w:szCs w:val="14"/>
                <w:color w:val="auto"/>
              </w:rPr>
            </w:pPr>
          </w:p>
        </w:tc>
        <w:tc>
          <w:tcPr>
            <w:tcW w:w="1480" w:type="dxa"/>
            <w:vAlign w:val="bottom"/>
            <w:tcBorders>
              <w:bottom w:val="single" w:sz="8" w:color="AFAFAF"/>
              <w:right w:val="single" w:sz="8" w:color="AFAFAF"/>
            </w:tcBorders>
          </w:tcPr>
          <w:p>
            <w:pPr>
              <w:spacing w:after="0"/>
              <w:rPr>
                <w:sz w:val="14"/>
                <w:szCs w:val="14"/>
                <w:color w:val="auto"/>
              </w:rPr>
            </w:pPr>
          </w:p>
        </w:tc>
        <w:tc>
          <w:tcPr>
            <w:tcW w:w="3020" w:type="dxa"/>
            <w:vAlign w:val="bottom"/>
            <w:tcBorders>
              <w:bottom w:val="single" w:sz="8" w:color="AFAFAF"/>
              <w:right w:val="single" w:sz="8" w:color="AFAFAF"/>
            </w:tcBorders>
          </w:tcPr>
          <w:p>
            <w:pPr>
              <w:spacing w:after="0"/>
              <w:rPr>
                <w:sz w:val="14"/>
                <w:szCs w:val="14"/>
                <w:color w:val="auto"/>
              </w:rPr>
            </w:pPr>
          </w:p>
        </w:tc>
        <w:tc>
          <w:tcPr>
            <w:tcW w:w="3000" w:type="dxa"/>
            <w:vAlign w:val="bottom"/>
            <w:tcBorders>
              <w:bottom w:val="single" w:sz="8" w:color="AFAFAF"/>
            </w:tcBorders>
          </w:tcPr>
          <w:p>
            <w:pPr>
              <w:ind w:left="80"/>
              <w:spacing w:after="0"/>
              <w:rPr>
                <w:sz w:val="20"/>
                <w:szCs w:val="20"/>
                <w:color w:val="auto"/>
              </w:rPr>
            </w:pPr>
            <w:r>
              <w:rPr>
                <w:rFonts w:ascii="Arial" w:cs="Arial" w:eastAsia="Arial" w:hAnsi="Arial"/>
                <w:sz w:val="14"/>
                <w:szCs w:val="14"/>
                <w:color w:val="auto"/>
              </w:rPr>
              <w:t>years from the grant date.</w:t>
            </w:r>
          </w:p>
        </w:tc>
      </w:tr>
      <w:tr>
        <w:trPr>
          <w:trHeight w:val="160"/>
        </w:trPr>
        <w:tc>
          <w:tcPr>
            <w:tcW w:w="348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Early Retirement</w:t>
            </w:r>
          </w:p>
        </w:tc>
        <w:tc>
          <w:tcPr>
            <w:tcW w:w="1480" w:type="dxa"/>
            <w:vAlign w:val="bottom"/>
            <w:tcBorders>
              <w:right w:val="single" w:sz="8" w:color="AFAFAF"/>
            </w:tcBorders>
          </w:tcPr>
          <w:p>
            <w:pPr>
              <w:ind w:left="80"/>
              <w:spacing w:after="0" w:line="160" w:lineRule="exact"/>
              <w:rPr>
                <w:sz w:val="20"/>
                <w:szCs w:val="20"/>
                <w:color w:val="auto"/>
              </w:rPr>
            </w:pPr>
            <w:r>
              <w:rPr>
                <w:rFonts w:ascii="Arial" w:cs="Arial" w:eastAsia="Arial" w:hAnsi="Arial"/>
                <w:sz w:val="14"/>
                <w:szCs w:val="14"/>
                <w:color w:val="auto"/>
              </w:rPr>
              <w:t>Remain exercisable</w:t>
            </w:r>
          </w:p>
        </w:tc>
        <w:tc>
          <w:tcPr>
            <w:tcW w:w="3020" w:type="dxa"/>
            <w:vAlign w:val="bottom"/>
            <w:tcBorders>
              <w:right w:val="single" w:sz="8" w:color="AFAFAF"/>
            </w:tcBorders>
          </w:tcPr>
          <w:p>
            <w:pPr>
              <w:ind w:left="80"/>
              <w:spacing w:after="0" w:line="160" w:lineRule="exact"/>
              <w:rPr>
                <w:sz w:val="20"/>
                <w:szCs w:val="20"/>
                <w:color w:val="auto"/>
              </w:rPr>
            </w:pPr>
            <w:r>
              <w:rPr>
                <w:rFonts w:ascii="Arial" w:cs="Arial" w:eastAsia="Arial" w:hAnsi="Arial"/>
                <w:sz w:val="14"/>
                <w:szCs w:val="14"/>
                <w:color w:val="auto"/>
              </w:rPr>
              <w:t>Partially vested, reduced by 5% for each year</w:t>
            </w:r>
          </w:p>
        </w:tc>
        <w:tc>
          <w:tcPr>
            <w:tcW w:w="3000" w:type="dxa"/>
            <w:vAlign w:val="bottom"/>
          </w:tcPr>
          <w:p>
            <w:pPr>
              <w:ind w:left="80"/>
              <w:spacing w:after="0" w:line="160" w:lineRule="exact"/>
              <w:rPr>
                <w:sz w:val="20"/>
                <w:szCs w:val="20"/>
                <w:color w:val="auto"/>
              </w:rPr>
            </w:pPr>
            <w:r>
              <w:rPr>
                <w:rFonts w:ascii="Arial" w:cs="Arial" w:eastAsia="Arial" w:hAnsi="Arial"/>
                <w:sz w:val="14"/>
                <w:szCs w:val="14"/>
                <w:color w:val="auto"/>
              </w:rPr>
              <w:t>The earlier of 1 year from the Early</w:t>
            </w:r>
          </w:p>
        </w:tc>
      </w:tr>
      <w:tr>
        <w:trPr>
          <w:trHeight w:val="162"/>
        </w:trPr>
        <w:tc>
          <w:tcPr>
            <w:tcW w:w="3480" w:type="dxa"/>
            <w:vAlign w:val="bottom"/>
            <w:tcBorders>
              <w:right w:val="single" w:sz="8" w:color="AFAFAF"/>
            </w:tcBorders>
          </w:tcPr>
          <w:p>
            <w:pPr>
              <w:spacing w:after="0"/>
              <w:rPr>
                <w:sz w:val="14"/>
                <w:szCs w:val="14"/>
                <w:color w:val="auto"/>
              </w:rPr>
            </w:pP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that the holder retired prior to Normal</w:t>
            </w:r>
          </w:p>
        </w:tc>
        <w:tc>
          <w:tcPr>
            <w:tcW w:w="3000" w:type="dxa"/>
            <w:vAlign w:val="bottom"/>
          </w:tcPr>
          <w:p>
            <w:pPr>
              <w:ind w:left="80"/>
              <w:spacing w:after="0"/>
              <w:rPr>
                <w:sz w:val="20"/>
                <w:szCs w:val="20"/>
                <w:color w:val="auto"/>
              </w:rPr>
            </w:pPr>
            <w:r>
              <w:rPr>
                <w:rFonts w:ascii="Arial" w:cs="Arial" w:eastAsia="Arial" w:hAnsi="Arial"/>
                <w:sz w:val="14"/>
                <w:szCs w:val="14"/>
                <w:color w:val="auto"/>
              </w:rPr>
              <w:t>Retirement date or the grant expiration date.</w:t>
            </w:r>
          </w:p>
        </w:tc>
      </w:tr>
      <w:tr>
        <w:trPr>
          <w:trHeight w:val="162"/>
        </w:trPr>
        <w:tc>
          <w:tcPr>
            <w:tcW w:w="3480" w:type="dxa"/>
            <w:vAlign w:val="bottom"/>
            <w:tcBorders>
              <w:right w:val="single" w:sz="8" w:color="AFAFAF"/>
            </w:tcBorders>
          </w:tcPr>
          <w:p>
            <w:pPr>
              <w:spacing w:after="0"/>
              <w:rPr>
                <w:sz w:val="14"/>
                <w:szCs w:val="14"/>
                <w:color w:val="auto"/>
              </w:rPr>
            </w:pP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Retirement; provided that the options have</w:t>
            </w:r>
          </w:p>
        </w:tc>
        <w:tc>
          <w:tcPr>
            <w:tcW w:w="3000" w:type="dxa"/>
            <w:vAlign w:val="bottom"/>
          </w:tcPr>
          <w:p>
            <w:pPr>
              <w:spacing w:after="0"/>
              <w:rPr>
                <w:sz w:val="14"/>
                <w:szCs w:val="14"/>
                <w:color w:val="auto"/>
              </w:rPr>
            </w:pPr>
          </w:p>
        </w:tc>
      </w:tr>
      <w:tr>
        <w:trPr>
          <w:trHeight w:val="161"/>
        </w:trPr>
        <w:tc>
          <w:tcPr>
            <w:tcW w:w="3480" w:type="dxa"/>
            <w:vAlign w:val="bottom"/>
            <w:tcBorders>
              <w:right w:val="single" w:sz="8" w:color="AFAFAF"/>
            </w:tcBorders>
          </w:tcPr>
          <w:p>
            <w:pPr>
              <w:spacing w:after="0"/>
              <w:rPr>
                <w:sz w:val="14"/>
                <w:szCs w:val="14"/>
                <w:color w:val="auto"/>
              </w:rPr>
            </w:pP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been outstanding for at least six months</w:t>
            </w:r>
          </w:p>
        </w:tc>
        <w:tc>
          <w:tcPr>
            <w:tcW w:w="3000" w:type="dxa"/>
            <w:vAlign w:val="bottom"/>
          </w:tcPr>
          <w:p>
            <w:pPr>
              <w:spacing w:after="0"/>
              <w:rPr>
                <w:sz w:val="14"/>
                <w:szCs w:val="14"/>
                <w:color w:val="auto"/>
              </w:rPr>
            </w:pPr>
          </w:p>
        </w:tc>
      </w:tr>
      <w:tr>
        <w:trPr>
          <w:trHeight w:val="162"/>
        </w:trPr>
        <w:tc>
          <w:tcPr>
            <w:tcW w:w="3480" w:type="dxa"/>
            <w:vAlign w:val="bottom"/>
            <w:tcBorders>
              <w:right w:val="single" w:sz="8" w:color="AFAFAF"/>
            </w:tcBorders>
          </w:tcPr>
          <w:p>
            <w:pPr>
              <w:spacing w:after="0"/>
              <w:rPr>
                <w:sz w:val="14"/>
                <w:szCs w:val="14"/>
                <w:color w:val="auto"/>
              </w:rPr>
            </w:pP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when Early Retirement occurs. If the options</w:t>
            </w:r>
          </w:p>
        </w:tc>
        <w:tc>
          <w:tcPr>
            <w:tcW w:w="3000" w:type="dxa"/>
            <w:vAlign w:val="bottom"/>
          </w:tcPr>
          <w:p>
            <w:pPr>
              <w:spacing w:after="0"/>
              <w:rPr>
                <w:sz w:val="14"/>
                <w:szCs w:val="14"/>
                <w:color w:val="auto"/>
              </w:rPr>
            </w:pPr>
          </w:p>
        </w:tc>
      </w:tr>
      <w:tr>
        <w:trPr>
          <w:trHeight w:val="161"/>
        </w:trPr>
        <w:tc>
          <w:tcPr>
            <w:tcW w:w="3480" w:type="dxa"/>
            <w:vAlign w:val="bottom"/>
            <w:tcBorders>
              <w:right w:val="single" w:sz="8" w:color="AFAFAF"/>
            </w:tcBorders>
          </w:tcPr>
          <w:p>
            <w:pPr>
              <w:spacing w:after="0"/>
              <w:rPr>
                <w:sz w:val="14"/>
                <w:szCs w:val="14"/>
                <w:color w:val="auto"/>
              </w:rPr>
            </w:pPr>
          </w:p>
        </w:tc>
        <w:tc>
          <w:tcPr>
            <w:tcW w:w="1480" w:type="dxa"/>
            <w:vAlign w:val="bottom"/>
            <w:tcBorders>
              <w:right w:val="single" w:sz="8" w:color="AFAFAF"/>
            </w:tcBorders>
          </w:tcPr>
          <w:p>
            <w:pPr>
              <w:spacing w:after="0"/>
              <w:rPr>
                <w:sz w:val="14"/>
                <w:szCs w:val="14"/>
                <w:color w:val="auto"/>
              </w:rPr>
            </w:pPr>
          </w:p>
        </w:tc>
        <w:tc>
          <w:tcPr>
            <w:tcW w:w="3020" w:type="dxa"/>
            <w:vAlign w:val="bottom"/>
            <w:tcBorders>
              <w:right w:val="single" w:sz="8" w:color="AFAFAF"/>
            </w:tcBorders>
          </w:tcPr>
          <w:p>
            <w:pPr>
              <w:ind w:left="80"/>
              <w:spacing w:after="0"/>
              <w:rPr>
                <w:sz w:val="20"/>
                <w:szCs w:val="20"/>
                <w:color w:val="auto"/>
              </w:rPr>
            </w:pPr>
            <w:r>
              <w:rPr>
                <w:rFonts w:ascii="Arial" w:cs="Arial" w:eastAsia="Arial" w:hAnsi="Arial"/>
                <w:sz w:val="14"/>
                <w:szCs w:val="14"/>
                <w:color w:val="auto"/>
              </w:rPr>
              <w:t>have not been outstanding for that period,</w:t>
            </w:r>
          </w:p>
        </w:tc>
        <w:tc>
          <w:tcPr>
            <w:tcW w:w="3000" w:type="dxa"/>
            <w:vAlign w:val="bottom"/>
          </w:tcPr>
          <w:p>
            <w:pPr>
              <w:spacing w:after="0"/>
              <w:rPr>
                <w:sz w:val="14"/>
                <w:szCs w:val="14"/>
                <w:color w:val="auto"/>
              </w:rPr>
            </w:pPr>
          </w:p>
        </w:tc>
      </w:tr>
      <w:tr>
        <w:trPr>
          <w:trHeight w:val="157"/>
        </w:trPr>
        <w:tc>
          <w:tcPr>
            <w:tcW w:w="3480" w:type="dxa"/>
            <w:vAlign w:val="bottom"/>
            <w:tcBorders>
              <w:bottom w:val="single" w:sz="8" w:color="AFAFAF"/>
              <w:right w:val="single" w:sz="8" w:color="AFAFAF"/>
            </w:tcBorders>
          </w:tcPr>
          <w:p>
            <w:pPr>
              <w:spacing w:after="0"/>
              <w:rPr>
                <w:sz w:val="13"/>
                <w:szCs w:val="13"/>
                <w:color w:val="auto"/>
              </w:rPr>
            </w:pPr>
          </w:p>
        </w:tc>
        <w:tc>
          <w:tcPr>
            <w:tcW w:w="1480" w:type="dxa"/>
            <w:vAlign w:val="bottom"/>
            <w:tcBorders>
              <w:bottom w:val="single" w:sz="8" w:color="AFAFAF"/>
              <w:right w:val="single" w:sz="8" w:color="AFAFAF"/>
            </w:tcBorders>
          </w:tcPr>
          <w:p>
            <w:pPr>
              <w:spacing w:after="0"/>
              <w:rPr>
                <w:sz w:val="13"/>
                <w:szCs w:val="13"/>
                <w:color w:val="auto"/>
              </w:rPr>
            </w:pPr>
          </w:p>
        </w:tc>
        <w:tc>
          <w:tcPr>
            <w:tcW w:w="3020" w:type="dxa"/>
            <w:vAlign w:val="bottom"/>
            <w:tcBorders>
              <w:bottom w:val="single" w:sz="8" w:color="AFAFAF"/>
              <w:right w:val="single" w:sz="8" w:color="AFAFAF"/>
            </w:tcBorders>
          </w:tcPr>
          <w:p>
            <w:pPr>
              <w:ind w:left="80"/>
              <w:spacing w:after="0" w:line="157" w:lineRule="exact"/>
              <w:rPr>
                <w:sz w:val="20"/>
                <w:szCs w:val="20"/>
                <w:color w:val="auto"/>
              </w:rPr>
            </w:pPr>
            <w:r>
              <w:rPr>
                <w:rFonts w:ascii="Arial" w:cs="Arial" w:eastAsia="Arial" w:hAnsi="Arial"/>
                <w:sz w:val="14"/>
                <w:szCs w:val="14"/>
                <w:color w:val="auto"/>
              </w:rPr>
              <w:t>they would be forfeited.</w:t>
            </w:r>
          </w:p>
        </w:tc>
        <w:tc>
          <w:tcPr>
            <w:tcW w:w="3000" w:type="dxa"/>
            <w:vAlign w:val="bottom"/>
            <w:tcBorders>
              <w:bottom w:val="single" w:sz="8" w:color="AFAFAF"/>
            </w:tcBorders>
          </w:tcPr>
          <w:p>
            <w:pPr>
              <w:spacing w:after="0"/>
              <w:rPr>
                <w:sz w:val="13"/>
                <w:szCs w:val="13"/>
                <w:color w:val="auto"/>
              </w:rPr>
            </w:pPr>
          </w:p>
        </w:tc>
      </w:tr>
      <w:tr>
        <w:trPr>
          <w:trHeight w:val="155"/>
        </w:trPr>
        <w:tc>
          <w:tcPr>
            <w:tcW w:w="348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Disability</w:t>
            </w:r>
          </w:p>
        </w:tc>
        <w:tc>
          <w:tcPr>
            <w:tcW w:w="1480" w:type="dxa"/>
            <w:vAlign w:val="bottom"/>
            <w:tcBorders>
              <w:bottom w:val="single" w:sz="8" w:color="AFAFAF"/>
              <w:right w:val="single" w:sz="8" w:color="AFAFAF"/>
            </w:tcBorders>
          </w:tcPr>
          <w:p>
            <w:pPr>
              <w:ind w:left="80"/>
              <w:spacing w:after="0" w:line="155" w:lineRule="exact"/>
              <w:rPr>
                <w:sz w:val="20"/>
                <w:szCs w:val="20"/>
                <w:color w:val="auto"/>
              </w:rPr>
            </w:pPr>
            <w:r>
              <w:rPr>
                <w:rFonts w:ascii="Arial" w:cs="Arial" w:eastAsia="Arial" w:hAnsi="Arial"/>
                <w:sz w:val="14"/>
                <w:szCs w:val="14"/>
                <w:color w:val="auto"/>
              </w:rPr>
              <w:t>Remain exercisable</w:t>
            </w:r>
          </w:p>
        </w:tc>
        <w:tc>
          <w:tcPr>
            <w:tcW w:w="3020" w:type="dxa"/>
            <w:vAlign w:val="bottom"/>
            <w:tcBorders>
              <w:bottom w:val="single" w:sz="8" w:color="AFAFAF"/>
              <w:right w:val="single" w:sz="8" w:color="AFAFAF"/>
            </w:tcBorders>
          </w:tcPr>
          <w:p>
            <w:pPr>
              <w:ind w:left="80"/>
              <w:spacing w:after="0" w:line="155" w:lineRule="exact"/>
              <w:rPr>
                <w:sz w:val="20"/>
                <w:szCs w:val="20"/>
                <w:color w:val="auto"/>
              </w:rPr>
            </w:pPr>
            <w:r>
              <w:rPr>
                <w:rFonts w:ascii="Arial" w:cs="Arial" w:eastAsia="Arial" w:hAnsi="Arial"/>
                <w:sz w:val="14"/>
                <w:szCs w:val="14"/>
                <w:color w:val="auto"/>
              </w:rPr>
              <w:t>Fully vested</w:t>
            </w:r>
          </w:p>
        </w:tc>
        <w:tc>
          <w:tcPr>
            <w:tcW w:w="3000" w:type="dxa"/>
            <w:vAlign w:val="bottom"/>
            <w:tcBorders>
              <w:bottom w:val="single" w:sz="8" w:color="AFAFAF"/>
            </w:tcBorders>
          </w:tcPr>
          <w:p>
            <w:pPr>
              <w:ind w:left="80"/>
              <w:spacing w:after="0" w:line="155" w:lineRule="exact"/>
              <w:rPr>
                <w:sz w:val="20"/>
                <w:szCs w:val="20"/>
                <w:color w:val="auto"/>
              </w:rPr>
            </w:pPr>
            <w:r>
              <w:rPr>
                <w:rFonts w:ascii="Arial" w:cs="Arial" w:eastAsia="Arial" w:hAnsi="Arial"/>
                <w:sz w:val="14"/>
                <w:szCs w:val="14"/>
                <w:color w:val="auto"/>
              </w:rPr>
              <w:t>1 year</w:t>
            </w:r>
          </w:p>
        </w:tc>
      </w:tr>
      <w:tr>
        <w:trPr>
          <w:trHeight w:val="155"/>
        </w:trPr>
        <w:tc>
          <w:tcPr>
            <w:tcW w:w="348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Death</w:t>
            </w:r>
          </w:p>
        </w:tc>
        <w:tc>
          <w:tcPr>
            <w:tcW w:w="1480" w:type="dxa"/>
            <w:vAlign w:val="bottom"/>
            <w:tcBorders>
              <w:bottom w:val="single" w:sz="8" w:color="D95A3B"/>
              <w:right w:val="single" w:sz="8" w:color="AFAFAF"/>
            </w:tcBorders>
          </w:tcPr>
          <w:p>
            <w:pPr>
              <w:ind w:left="80"/>
              <w:spacing w:after="0" w:line="155" w:lineRule="exact"/>
              <w:rPr>
                <w:sz w:val="20"/>
                <w:szCs w:val="20"/>
                <w:color w:val="auto"/>
              </w:rPr>
            </w:pPr>
            <w:r>
              <w:rPr>
                <w:rFonts w:ascii="Arial" w:cs="Arial" w:eastAsia="Arial" w:hAnsi="Arial"/>
                <w:sz w:val="14"/>
                <w:szCs w:val="14"/>
                <w:color w:val="auto"/>
              </w:rPr>
              <w:t>Remain exercisable</w:t>
            </w:r>
          </w:p>
        </w:tc>
        <w:tc>
          <w:tcPr>
            <w:tcW w:w="3020" w:type="dxa"/>
            <w:vAlign w:val="bottom"/>
            <w:tcBorders>
              <w:bottom w:val="single" w:sz="8" w:color="D95A3B"/>
              <w:right w:val="single" w:sz="8" w:color="AFAFAF"/>
            </w:tcBorders>
          </w:tcPr>
          <w:p>
            <w:pPr>
              <w:ind w:left="80"/>
              <w:spacing w:after="0" w:line="155" w:lineRule="exact"/>
              <w:rPr>
                <w:sz w:val="20"/>
                <w:szCs w:val="20"/>
                <w:color w:val="auto"/>
              </w:rPr>
            </w:pPr>
            <w:r>
              <w:rPr>
                <w:rFonts w:ascii="Arial" w:cs="Arial" w:eastAsia="Arial" w:hAnsi="Arial"/>
                <w:sz w:val="14"/>
                <w:szCs w:val="14"/>
                <w:color w:val="auto"/>
              </w:rPr>
              <w:t>Fully vested</w:t>
            </w:r>
          </w:p>
        </w:tc>
        <w:tc>
          <w:tcPr>
            <w:tcW w:w="3000" w:type="dxa"/>
            <w:vAlign w:val="bottom"/>
            <w:tcBorders>
              <w:bottom w:val="single" w:sz="8" w:color="D95A3B"/>
            </w:tcBorders>
          </w:tcPr>
          <w:p>
            <w:pPr>
              <w:ind w:left="80"/>
              <w:spacing w:after="0" w:line="155" w:lineRule="exact"/>
              <w:rPr>
                <w:sz w:val="20"/>
                <w:szCs w:val="20"/>
                <w:color w:val="auto"/>
              </w:rPr>
            </w:pPr>
            <w:r>
              <w:rPr>
                <w:rFonts w:ascii="Arial" w:cs="Arial" w:eastAsia="Arial" w:hAnsi="Arial"/>
                <w:sz w:val="14"/>
                <w:szCs w:val="14"/>
                <w:color w:val="auto"/>
              </w:rPr>
              <w:t>1 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128270</wp:posOffset>
            </wp:positionV>
            <wp:extent cx="6973570" cy="342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3"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78</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9"/>
          <w:szCs w:val="19"/>
          <w:i w:val="1"/>
          <w:iCs w:val="1"/>
          <w:color w:val="D95A3B"/>
        </w:rPr>
        <w:t>TRSUs</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Pursuant to award terms and conditions, TRSUs would be treated as follows in the event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74295</wp:posOffset>
            </wp:positionV>
            <wp:extent cx="8255" cy="1282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128270"/>
                    </a:xfrm>
                    <a:prstGeom prst="rect">
                      <a:avLst/>
                    </a:prstGeom>
                    <a:noFill/>
                  </pic:spPr>
                </pic:pic>
              </a:graphicData>
            </a:graphic>
          </wp:anchor>
        </w:drawing>
      </w:r>
    </w:p>
    <w:p>
      <w:pPr>
        <w:spacing w:after="0" w:line="97"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376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Termination Event</w:t>
            </w:r>
          </w:p>
        </w:tc>
        <w:tc>
          <w:tcPr>
            <w:tcW w:w="7220" w:type="dxa"/>
            <w:vAlign w:val="bottom"/>
            <w:tcBorders>
              <w:bottom w:val="single" w:sz="8" w:color="D95A3B"/>
            </w:tcBorders>
            <w:shd w:val="clear" w:color="auto" w:fill="CCCCCC"/>
          </w:tcPr>
          <w:p>
            <w:pPr>
              <w:ind w:left="180"/>
              <w:spacing w:after="0"/>
              <w:rPr>
                <w:sz w:val="20"/>
                <w:szCs w:val="20"/>
                <w:color w:val="auto"/>
              </w:rPr>
            </w:pPr>
            <w:r>
              <w:rPr>
                <w:rFonts w:ascii="Arial" w:cs="Arial" w:eastAsia="Arial" w:hAnsi="Arial"/>
                <w:sz w:val="15"/>
                <w:szCs w:val="15"/>
                <w:b w:val="1"/>
                <w:bCs w:val="1"/>
                <w:color w:val="auto"/>
              </w:rPr>
              <w:t>Unvested TRSUs</w:t>
            </w:r>
          </w:p>
        </w:tc>
      </w:tr>
      <w:tr>
        <w:trPr>
          <w:trHeight w:val="155"/>
        </w:trPr>
        <w:tc>
          <w:tcPr>
            <w:tcW w:w="37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Voluntary termination</w:t>
            </w:r>
          </w:p>
        </w:tc>
        <w:tc>
          <w:tcPr>
            <w:tcW w:w="7220" w:type="dxa"/>
            <w:vAlign w:val="bottom"/>
            <w:tcBorders>
              <w:bottom w:val="single" w:sz="8" w:color="AFAFAF"/>
            </w:tcBorders>
          </w:tcPr>
          <w:p>
            <w:pPr>
              <w:ind w:left="180"/>
              <w:spacing w:after="0" w:line="155" w:lineRule="exact"/>
              <w:rPr>
                <w:sz w:val="20"/>
                <w:szCs w:val="20"/>
                <w:color w:val="auto"/>
              </w:rPr>
            </w:pPr>
            <w:r>
              <w:rPr>
                <w:rFonts w:ascii="Arial" w:cs="Arial" w:eastAsia="Arial" w:hAnsi="Arial"/>
                <w:sz w:val="14"/>
                <w:szCs w:val="14"/>
                <w:color w:val="auto"/>
              </w:rPr>
              <w:t>Forfeited</w:t>
            </w:r>
          </w:p>
        </w:tc>
      </w:tr>
      <w:tr>
        <w:trPr>
          <w:trHeight w:val="142"/>
        </w:trPr>
        <w:tc>
          <w:tcPr>
            <w:tcW w:w="376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Involuntary termination for poor performance or for</w:t>
            </w:r>
          </w:p>
        </w:tc>
        <w:tc>
          <w:tcPr>
            <w:tcW w:w="7220" w:type="dxa"/>
            <w:vAlign w:val="bottom"/>
          </w:tcPr>
          <w:p>
            <w:pPr>
              <w:spacing w:after="0"/>
              <w:rPr>
                <w:sz w:val="12"/>
                <w:szCs w:val="12"/>
                <w:color w:val="auto"/>
              </w:rPr>
            </w:pPr>
          </w:p>
        </w:tc>
      </w:tr>
      <w:tr>
        <w:trPr>
          <w:trHeight w:val="175"/>
        </w:trPr>
        <w:tc>
          <w:tcPr>
            <w:tcW w:w="376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Cause</w:t>
            </w:r>
          </w:p>
        </w:tc>
        <w:tc>
          <w:tcPr>
            <w:tcW w:w="7220" w:type="dxa"/>
            <w:vAlign w:val="bottom"/>
            <w:tcBorders>
              <w:bottom w:val="single" w:sz="8" w:color="AFAFAF"/>
            </w:tcBorders>
          </w:tcPr>
          <w:p>
            <w:pPr>
              <w:ind w:left="180"/>
              <w:spacing w:after="0"/>
              <w:rPr>
                <w:sz w:val="20"/>
                <w:szCs w:val="20"/>
                <w:color w:val="auto"/>
              </w:rPr>
            </w:pPr>
            <w:r>
              <w:rPr>
                <w:rFonts w:ascii="Arial" w:cs="Arial" w:eastAsia="Arial" w:hAnsi="Arial"/>
                <w:sz w:val="14"/>
                <w:szCs w:val="14"/>
                <w:color w:val="auto"/>
              </w:rPr>
              <w:t>Forfeited</w:t>
            </w:r>
          </w:p>
        </w:tc>
      </w:tr>
      <w:tr>
        <w:trPr>
          <w:trHeight w:val="142"/>
        </w:trPr>
        <w:tc>
          <w:tcPr>
            <w:tcW w:w="376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Involuntary termination not for poor performance or</w:t>
            </w:r>
          </w:p>
        </w:tc>
        <w:tc>
          <w:tcPr>
            <w:tcW w:w="7220" w:type="dxa"/>
            <w:vAlign w:val="bottom"/>
          </w:tcPr>
          <w:p>
            <w:pPr>
              <w:ind w:left="180"/>
              <w:spacing w:after="0" w:line="142" w:lineRule="exact"/>
              <w:rPr>
                <w:sz w:val="20"/>
                <w:szCs w:val="20"/>
                <w:color w:val="auto"/>
              </w:rPr>
            </w:pPr>
            <w:r>
              <w:rPr>
                <w:rFonts w:ascii="Arial" w:cs="Arial" w:eastAsia="Arial" w:hAnsi="Arial"/>
                <w:sz w:val="14"/>
                <w:szCs w:val="14"/>
                <w:color w:val="auto"/>
              </w:rPr>
              <w:t>Pro rata vesting based on active service as an employee (measured in calendar days from the grant date to</w:t>
            </w:r>
          </w:p>
        </w:tc>
      </w:tr>
      <w:tr>
        <w:trPr>
          <w:trHeight w:val="175"/>
        </w:trPr>
        <w:tc>
          <w:tcPr>
            <w:tcW w:w="376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without Cause</w:t>
            </w:r>
          </w:p>
        </w:tc>
        <w:tc>
          <w:tcPr>
            <w:tcW w:w="7220" w:type="dxa"/>
            <w:vAlign w:val="bottom"/>
            <w:tcBorders>
              <w:bottom w:val="single" w:sz="8" w:color="AFAFAF"/>
            </w:tcBorders>
          </w:tcPr>
          <w:p>
            <w:pPr>
              <w:ind w:left="180"/>
              <w:spacing w:after="0"/>
              <w:rPr>
                <w:sz w:val="20"/>
                <w:szCs w:val="20"/>
                <w:color w:val="auto"/>
              </w:rPr>
            </w:pPr>
            <w:r>
              <w:rPr>
                <w:rFonts w:ascii="Arial" w:cs="Arial" w:eastAsia="Arial" w:hAnsi="Arial"/>
                <w:sz w:val="14"/>
                <w:szCs w:val="14"/>
                <w:color w:val="auto"/>
              </w:rPr>
              <w:t>the termination date). Vesting would occur on the termination date. The remaining TRSUs would be forfeited.</w:t>
            </w:r>
          </w:p>
        </w:tc>
      </w:tr>
      <w:tr>
        <w:trPr>
          <w:trHeight w:val="155"/>
        </w:trPr>
        <w:tc>
          <w:tcPr>
            <w:tcW w:w="37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Sale of the holder’s business</w:t>
            </w:r>
          </w:p>
        </w:tc>
        <w:tc>
          <w:tcPr>
            <w:tcW w:w="7220" w:type="dxa"/>
            <w:vAlign w:val="bottom"/>
            <w:tcBorders>
              <w:bottom w:val="single" w:sz="8" w:color="AFAFAF"/>
            </w:tcBorders>
          </w:tcPr>
          <w:p>
            <w:pPr>
              <w:ind w:left="180"/>
              <w:spacing w:after="0" w:line="155" w:lineRule="exact"/>
              <w:rPr>
                <w:sz w:val="20"/>
                <w:szCs w:val="20"/>
                <w:color w:val="auto"/>
              </w:rPr>
            </w:pPr>
            <w:r>
              <w:rPr>
                <w:rFonts w:ascii="Arial" w:cs="Arial" w:eastAsia="Arial" w:hAnsi="Arial"/>
                <w:sz w:val="14"/>
                <w:szCs w:val="14"/>
                <w:color w:val="auto"/>
              </w:rPr>
              <w:t>The board or HR Committee shall meet to determine the appropriate treatment of any unvested TRSUs.</w:t>
            </w:r>
          </w:p>
        </w:tc>
      </w:tr>
      <w:tr>
        <w:trPr>
          <w:trHeight w:val="142"/>
        </w:trPr>
        <w:tc>
          <w:tcPr>
            <w:tcW w:w="376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A Change of Control of Thomson Reuters (based on</w:t>
            </w:r>
          </w:p>
        </w:tc>
        <w:tc>
          <w:tcPr>
            <w:tcW w:w="7220" w:type="dxa"/>
            <w:vAlign w:val="bottom"/>
          </w:tcPr>
          <w:p>
            <w:pPr>
              <w:ind w:left="180"/>
              <w:spacing w:after="0" w:line="142" w:lineRule="exact"/>
              <w:rPr>
                <w:sz w:val="20"/>
                <w:szCs w:val="20"/>
                <w:color w:val="auto"/>
              </w:rPr>
            </w:pPr>
            <w:r>
              <w:rPr>
                <w:rFonts w:ascii="Arial" w:cs="Arial" w:eastAsia="Arial" w:hAnsi="Arial"/>
                <w:sz w:val="14"/>
                <w:szCs w:val="14"/>
                <w:color w:val="auto"/>
              </w:rPr>
              <w:t>Fully vested upon a “double trigger” (involuntary termination not for poor performance or without Cause within</w:t>
            </w:r>
          </w:p>
        </w:tc>
      </w:tr>
      <w:tr>
        <w:trPr>
          <w:trHeight w:val="162"/>
        </w:trPr>
        <w:tc>
          <w:tcPr>
            <w:tcW w:w="376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the surviving, successor or acquiring company</w:t>
            </w:r>
          </w:p>
        </w:tc>
        <w:tc>
          <w:tcPr>
            <w:tcW w:w="7220" w:type="dxa"/>
            <w:vAlign w:val="bottom"/>
          </w:tcPr>
          <w:p>
            <w:pPr>
              <w:ind w:left="180"/>
              <w:spacing w:after="0"/>
              <w:rPr>
                <w:sz w:val="20"/>
                <w:szCs w:val="20"/>
                <w:color w:val="auto"/>
              </w:rPr>
            </w:pPr>
            <w:r>
              <w:rPr>
                <w:rFonts w:ascii="Arial" w:cs="Arial" w:eastAsia="Arial" w:hAnsi="Arial"/>
                <w:sz w:val="14"/>
                <w:szCs w:val="14"/>
                <w:color w:val="auto"/>
              </w:rPr>
              <w:t>two years following a Change of Control); otherwise, the TRSUs would become vested on the scheduled</w:t>
            </w:r>
          </w:p>
        </w:tc>
      </w:tr>
      <w:tr>
        <w:trPr>
          <w:trHeight w:val="175"/>
        </w:trPr>
        <w:tc>
          <w:tcPr>
            <w:tcW w:w="376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assuming TRSUs or substituting similar awards)</w:t>
            </w:r>
          </w:p>
        </w:tc>
        <w:tc>
          <w:tcPr>
            <w:tcW w:w="7220" w:type="dxa"/>
            <w:vAlign w:val="bottom"/>
            <w:tcBorders>
              <w:bottom w:val="single" w:sz="8" w:color="AFAFAF"/>
            </w:tcBorders>
          </w:tcPr>
          <w:p>
            <w:pPr>
              <w:ind w:left="180"/>
              <w:spacing w:after="0"/>
              <w:rPr>
                <w:sz w:val="20"/>
                <w:szCs w:val="20"/>
                <w:color w:val="auto"/>
              </w:rPr>
            </w:pPr>
            <w:r>
              <w:rPr>
                <w:rFonts w:ascii="Arial" w:cs="Arial" w:eastAsia="Arial" w:hAnsi="Arial"/>
                <w:sz w:val="14"/>
                <w:szCs w:val="14"/>
                <w:color w:val="auto"/>
              </w:rPr>
              <w:t>vesting date(s), subject to continuous employment.</w:t>
            </w:r>
          </w:p>
        </w:tc>
      </w:tr>
      <w:tr>
        <w:trPr>
          <w:trHeight w:val="160"/>
        </w:trPr>
        <w:tc>
          <w:tcPr>
            <w:tcW w:w="376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Normal Retirement</w:t>
            </w:r>
          </w:p>
        </w:tc>
        <w:tc>
          <w:tcPr>
            <w:tcW w:w="7220" w:type="dxa"/>
            <w:vAlign w:val="bottom"/>
          </w:tcPr>
          <w:p>
            <w:pPr>
              <w:ind w:left="180"/>
              <w:spacing w:after="0" w:line="160" w:lineRule="exact"/>
              <w:rPr>
                <w:sz w:val="20"/>
                <w:szCs w:val="20"/>
                <w:color w:val="auto"/>
              </w:rPr>
            </w:pPr>
            <w:r>
              <w:rPr>
                <w:rFonts w:ascii="Arial" w:cs="Arial" w:eastAsia="Arial" w:hAnsi="Arial"/>
                <w:sz w:val="14"/>
                <w:szCs w:val="14"/>
                <w:color w:val="auto"/>
              </w:rPr>
              <w:t>Continue to vest on the scheduled vesting date(s) if the TRSUs have been outstanding for at least six months</w:t>
            </w:r>
          </w:p>
        </w:tc>
      </w:tr>
      <w:tr>
        <w:trPr>
          <w:trHeight w:val="161"/>
        </w:trPr>
        <w:tc>
          <w:tcPr>
            <w:tcW w:w="3760" w:type="dxa"/>
            <w:vAlign w:val="bottom"/>
            <w:tcBorders>
              <w:right w:val="single" w:sz="8" w:color="AFAFAF"/>
            </w:tcBorders>
          </w:tcPr>
          <w:p>
            <w:pPr>
              <w:spacing w:after="0"/>
              <w:rPr>
                <w:sz w:val="14"/>
                <w:szCs w:val="14"/>
                <w:color w:val="auto"/>
              </w:rPr>
            </w:pPr>
          </w:p>
        </w:tc>
        <w:tc>
          <w:tcPr>
            <w:tcW w:w="7220" w:type="dxa"/>
            <w:vAlign w:val="bottom"/>
          </w:tcPr>
          <w:p>
            <w:pPr>
              <w:ind w:left="180"/>
              <w:spacing w:after="0"/>
              <w:rPr>
                <w:sz w:val="20"/>
                <w:szCs w:val="20"/>
                <w:color w:val="auto"/>
              </w:rPr>
            </w:pPr>
            <w:r>
              <w:rPr>
                <w:rFonts w:ascii="Arial" w:cs="Arial" w:eastAsia="Arial" w:hAnsi="Arial"/>
                <w:sz w:val="14"/>
                <w:szCs w:val="14"/>
                <w:color w:val="auto"/>
              </w:rPr>
              <w:t>when Normal Retirement occurs. If the TRSUs have not been outstanding for that period, they would be</w:t>
            </w:r>
          </w:p>
        </w:tc>
      </w:tr>
      <w:tr>
        <w:trPr>
          <w:trHeight w:val="157"/>
        </w:trPr>
        <w:tc>
          <w:tcPr>
            <w:tcW w:w="3760" w:type="dxa"/>
            <w:vAlign w:val="bottom"/>
            <w:tcBorders>
              <w:bottom w:val="single" w:sz="8" w:color="AFAFAF"/>
              <w:right w:val="single" w:sz="8" w:color="AFAFAF"/>
            </w:tcBorders>
          </w:tcPr>
          <w:p>
            <w:pPr>
              <w:spacing w:after="0"/>
              <w:rPr>
                <w:sz w:val="13"/>
                <w:szCs w:val="13"/>
                <w:color w:val="auto"/>
              </w:rPr>
            </w:pPr>
          </w:p>
        </w:tc>
        <w:tc>
          <w:tcPr>
            <w:tcW w:w="7220" w:type="dxa"/>
            <w:vAlign w:val="bottom"/>
            <w:tcBorders>
              <w:bottom w:val="single" w:sz="8" w:color="AFAFAF"/>
            </w:tcBorders>
          </w:tcPr>
          <w:p>
            <w:pPr>
              <w:ind w:left="180"/>
              <w:spacing w:after="0" w:line="157" w:lineRule="exact"/>
              <w:rPr>
                <w:sz w:val="20"/>
                <w:szCs w:val="20"/>
                <w:color w:val="auto"/>
              </w:rPr>
            </w:pPr>
            <w:r>
              <w:rPr>
                <w:rFonts w:ascii="Arial" w:cs="Arial" w:eastAsia="Arial" w:hAnsi="Arial"/>
                <w:sz w:val="14"/>
                <w:szCs w:val="14"/>
                <w:color w:val="auto"/>
              </w:rPr>
              <w:t>forfeited.</w:t>
            </w:r>
          </w:p>
        </w:tc>
      </w:tr>
      <w:tr>
        <w:trPr>
          <w:trHeight w:val="160"/>
        </w:trPr>
        <w:tc>
          <w:tcPr>
            <w:tcW w:w="376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Early Retirement</w:t>
            </w:r>
          </w:p>
        </w:tc>
        <w:tc>
          <w:tcPr>
            <w:tcW w:w="7220" w:type="dxa"/>
            <w:vAlign w:val="bottom"/>
          </w:tcPr>
          <w:p>
            <w:pPr>
              <w:ind w:left="180"/>
              <w:spacing w:after="0" w:line="160" w:lineRule="exact"/>
              <w:rPr>
                <w:sz w:val="20"/>
                <w:szCs w:val="20"/>
                <w:color w:val="auto"/>
              </w:rPr>
            </w:pPr>
            <w:r>
              <w:rPr>
                <w:rFonts w:ascii="Arial" w:cs="Arial" w:eastAsia="Arial" w:hAnsi="Arial"/>
                <w:sz w:val="14"/>
                <w:szCs w:val="14"/>
                <w:color w:val="auto"/>
              </w:rPr>
              <w:t>Pro rata vesting based on active service as an employee (measured in calendar days) during the award period</w:t>
            </w:r>
          </w:p>
        </w:tc>
      </w:tr>
      <w:tr>
        <w:trPr>
          <w:trHeight w:val="162"/>
        </w:trPr>
        <w:tc>
          <w:tcPr>
            <w:tcW w:w="3760" w:type="dxa"/>
            <w:vAlign w:val="bottom"/>
            <w:tcBorders>
              <w:right w:val="single" w:sz="8" w:color="AFAFAF"/>
            </w:tcBorders>
          </w:tcPr>
          <w:p>
            <w:pPr>
              <w:spacing w:after="0"/>
              <w:rPr>
                <w:sz w:val="14"/>
                <w:szCs w:val="14"/>
                <w:color w:val="auto"/>
              </w:rPr>
            </w:pPr>
          </w:p>
        </w:tc>
        <w:tc>
          <w:tcPr>
            <w:tcW w:w="7220" w:type="dxa"/>
            <w:vAlign w:val="bottom"/>
          </w:tcPr>
          <w:p>
            <w:pPr>
              <w:ind w:left="180"/>
              <w:spacing w:after="0"/>
              <w:rPr>
                <w:sz w:val="20"/>
                <w:szCs w:val="20"/>
                <w:color w:val="auto"/>
              </w:rPr>
            </w:pPr>
            <w:r>
              <w:rPr>
                <w:rFonts w:ascii="Arial" w:cs="Arial" w:eastAsia="Arial" w:hAnsi="Arial"/>
                <w:sz w:val="14"/>
                <w:szCs w:val="14"/>
                <w:color w:val="auto"/>
              </w:rPr>
              <w:t>if the TRSUs have been outstanding for at least six months when Early Retirement occurs. Vesting would</w:t>
            </w:r>
          </w:p>
        </w:tc>
      </w:tr>
      <w:tr>
        <w:trPr>
          <w:trHeight w:val="157"/>
        </w:trPr>
        <w:tc>
          <w:tcPr>
            <w:tcW w:w="3760" w:type="dxa"/>
            <w:vAlign w:val="bottom"/>
            <w:tcBorders>
              <w:bottom w:val="single" w:sz="8" w:color="AFAFAF"/>
              <w:right w:val="single" w:sz="8" w:color="AFAFAF"/>
            </w:tcBorders>
          </w:tcPr>
          <w:p>
            <w:pPr>
              <w:spacing w:after="0"/>
              <w:rPr>
                <w:sz w:val="13"/>
                <w:szCs w:val="13"/>
                <w:color w:val="auto"/>
              </w:rPr>
            </w:pPr>
          </w:p>
        </w:tc>
        <w:tc>
          <w:tcPr>
            <w:tcW w:w="7220" w:type="dxa"/>
            <w:vAlign w:val="bottom"/>
            <w:tcBorders>
              <w:bottom w:val="single" w:sz="8" w:color="AFAFAF"/>
            </w:tcBorders>
          </w:tcPr>
          <w:p>
            <w:pPr>
              <w:ind w:left="180"/>
              <w:spacing w:after="0" w:line="157" w:lineRule="exact"/>
              <w:rPr>
                <w:sz w:val="20"/>
                <w:szCs w:val="20"/>
                <w:color w:val="auto"/>
              </w:rPr>
            </w:pPr>
            <w:r>
              <w:rPr>
                <w:rFonts w:ascii="Arial" w:cs="Arial" w:eastAsia="Arial" w:hAnsi="Arial"/>
                <w:sz w:val="14"/>
                <w:szCs w:val="14"/>
                <w:color w:val="auto"/>
              </w:rPr>
              <w:t>occur on the termination date. If the TRSUs have not been outstanding for that period, they would be forfeited.</w:t>
            </w:r>
          </w:p>
        </w:tc>
      </w:tr>
      <w:tr>
        <w:trPr>
          <w:trHeight w:val="155"/>
        </w:trPr>
        <w:tc>
          <w:tcPr>
            <w:tcW w:w="37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Disability</w:t>
            </w:r>
          </w:p>
        </w:tc>
        <w:tc>
          <w:tcPr>
            <w:tcW w:w="7220" w:type="dxa"/>
            <w:vAlign w:val="bottom"/>
            <w:tcBorders>
              <w:bottom w:val="single" w:sz="8" w:color="AFAFAF"/>
            </w:tcBorders>
          </w:tcPr>
          <w:p>
            <w:pPr>
              <w:ind w:left="180"/>
              <w:spacing w:after="0" w:line="155" w:lineRule="exact"/>
              <w:rPr>
                <w:sz w:val="20"/>
                <w:szCs w:val="20"/>
                <w:color w:val="auto"/>
              </w:rPr>
            </w:pPr>
            <w:r>
              <w:rPr>
                <w:rFonts w:ascii="Arial" w:cs="Arial" w:eastAsia="Arial" w:hAnsi="Arial"/>
                <w:sz w:val="14"/>
                <w:szCs w:val="14"/>
                <w:color w:val="auto"/>
              </w:rPr>
              <w:t>Fully vested</w:t>
            </w:r>
          </w:p>
        </w:tc>
      </w:tr>
      <w:tr>
        <w:trPr>
          <w:trHeight w:val="155"/>
        </w:trPr>
        <w:tc>
          <w:tcPr>
            <w:tcW w:w="376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Death</w:t>
            </w:r>
          </w:p>
        </w:tc>
        <w:tc>
          <w:tcPr>
            <w:tcW w:w="7220" w:type="dxa"/>
            <w:vAlign w:val="bottom"/>
            <w:tcBorders>
              <w:bottom w:val="single" w:sz="8" w:color="D95A3B"/>
            </w:tcBorders>
          </w:tcPr>
          <w:p>
            <w:pPr>
              <w:ind w:left="180"/>
              <w:spacing w:after="0" w:line="155" w:lineRule="exact"/>
              <w:rPr>
                <w:sz w:val="20"/>
                <w:szCs w:val="20"/>
                <w:color w:val="auto"/>
              </w:rPr>
            </w:pPr>
            <w:r>
              <w:rPr>
                <w:rFonts w:ascii="Arial" w:cs="Arial" w:eastAsia="Arial" w:hAnsi="Arial"/>
                <w:sz w:val="14"/>
                <w:szCs w:val="14"/>
                <w:color w:val="auto"/>
              </w:rPr>
              <w:t>Fully vested</w:t>
            </w:r>
          </w:p>
        </w:tc>
      </w:tr>
    </w:tbl>
    <w:p>
      <w:pPr>
        <w:spacing w:after="0" w:line="92" w:lineRule="exact"/>
        <w:rPr>
          <w:sz w:val="20"/>
          <w:szCs w:val="20"/>
          <w:color w:val="auto"/>
        </w:rPr>
      </w:pPr>
    </w:p>
    <w:p>
      <w:pPr>
        <w:ind w:left="220"/>
        <w:spacing w:after="0"/>
        <w:rPr>
          <w:sz w:val="20"/>
          <w:szCs w:val="20"/>
          <w:color w:val="auto"/>
        </w:rPr>
      </w:pPr>
      <w:r>
        <w:rPr>
          <w:rFonts w:ascii="Arial" w:cs="Arial" w:eastAsia="Arial" w:hAnsi="Arial"/>
          <w:sz w:val="19"/>
          <w:szCs w:val="19"/>
          <w:i w:val="1"/>
          <w:iCs w:val="1"/>
          <w:color w:val="D95A3B"/>
        </w:rPr>
        <w:t>PRSUs</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Pursuant to award terms and conditions, PRSUs would be treated as follows in the event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74295</wp:posOffset>
            </wp:positionV>
            <wp:extent cx="8255" cy="1282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128270"/>
                    </a:xfrm>
                    <a:prstGeom prst="rect">
                      <a:avLst/>
                    </a:prstGeom>
                    <a:noFill/>
                  </pic:spPr>
                </pic:pic>
              </a:graphicData>
            </a:graphic>
          </wp:anchor>
        </w:drawing>
      </w:r>
    </w:p>
    <w:p>
      <w:pPr>
        <w:spacing w:after="0" w:line="97"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3760" w:type="dxa"/>
            <w:vAlign w:val="bottom"/>
            <w:tcBorders>
              <w:bottom w:val="single" w:sz="8" w:color="D95A3B"/>
              <w:right w:val="single" w:sz="8" w:color="CCCCCC"/>
            </w:tcBorders>
            <w:shd w:val="clear" w:color="auto" w:fill="CCCCCC"/>
          </w:tcPr>
          <w:p>
            <w:pPr>
              <w:spacing w:after="0"/>
              <w:rPr>
                <w:sz w:val="20"/>
                <w:szCs w:val="20"/>
                <w:color w:val="auto"/>
              </w:rPr>
            </w:pPr>
            <w:r>
              <w:rPr>
                <w:rFonts w:ascii="Arial" w:cs="Arial" w:eastAsia="Arial" w:hAnsi="Arial"/>
                <w:sz w:val="15"/>
                <w:szCs w:val="15"/>
                <w:b w:val="1"/>
                <w:bCs w:val="1"/>
                <w:color w:val="auto"/>
              </w:rPr>
              <w:t>Termination Event</w:t>
            </w:r>
          </w:p>
        </w:tc>
        <w:tc>
          <w:tcPr>
            <w:tcW w:w="7220" w:type="dxa"/>
            <w:vAlign w:val="bottom"/>
            <w:tcBorders>
              <w:bottom w:val="single" w:sz="8" w:color="D95A3B"/>
            </w:tcBorders>
            <w:shd w:val="clear" w:color="auto" w:fill="CCCCCC"/>
          </w:tcPr>
          <w:p>
            <w:pPr>
              <w:ind w:left="180"/>
              <w:spacing w:after="0"/>
              <w:rPr>
                <w:sz w:val="20"/>
                <w:szCs w:val="20"/>
                <w:color w:val="auto"/>
              </w:rPr>
            </w:pPr>
            <w:r>
              <w:rPr>
                <w:rFonts w:ascii="Arial" w:cs="Arial" w:eastAsia="Arial" w:hAnsi="Arial"/>
                <w:sz w:val="15"/>
                <w:szCs w:val="15"/>
                <w:b w:val="1"/>
                <w:bCs w:val="1"/>
                <w:color w:val="auto"/>
              </w:rPr>
              <w:t>Unvested PRSUs</w:t>
            </w:r>
          </w:p>
        </w:tc>
        <w:tc>
          <w:tcPr>
            <w:tcW w:w="0" w:type="dxa"/>
            <w:vAlign w:val="bottom"/>
          </w:tcPr>
          <w:p>
            <w:pPr>
              <w:spacing w:after="0"/>
              <w:rPr>
                <w:sz w:val="1"/>
                <w:szCs w:val="1"/>
                <w:color w:val="auto"/>
              </w:rPr>
            </w:pPr>
          </w:p>
        </w:tc>
      </w:tr>
      <w:tr>
        <w:trPr>
          <w:trHeight w:val="155"/>
        </w:trPr>
        <w:tc>
          <w:tcPr>
            <w:tcW w:w="37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Voluntary termination</w:t>
            </w:r>
          </w:p>
        </w:tc>
        <w:tc>
          <w:tcPr>
            <w:tcW w:w="7220" w:type="dxa"/>
            <w:vAlign w:val="bottom"/>
            <w:tcBorders>
              <w:bottom w:val="single" w:sz="8" w:color="AFAFAF"/>
            </w:tcBorders>
          </w:tcPr>
          <w:p>
            <w:pPr>
              <w:ind w:left="180"/>
              <w:spacing w:after="0" w:line="155" w:lineRule="exact"/>
              <w:rPr>
                <w:sz w:val="20"/>
                <w:szCs w:val="20"/>
                <w:color w:val="auto"/>
              </w:rPr>
            </w:pPr>
            <w:r>
              <w:rPr>
                <w:rFonts w:ascii="Arial" w:cs="Arial" w:eastAsia="Arial" w:hAnsi="Arial"/>
                <w:sz w:val="14"/>
                <w:szCs w:val="14"/>
                <w:color w:val="auto"/>
              </w:rPr>
              <w:t>Forfeited</w:t>
            </w:r>
          </w:p>
        </w:tc>
        <w:tc>
          <w:tcPr>
            <w:tcW w:w="0" w:type="dxa"/>
            <w:vAlign w:val="bottom"/>
          </w:tcPr>
          <w:p>
            <w:pPr>
              <w:spacing w:after="0"/>
              <w:rPr>
                <w:sz w:val="1"/>
                <w:szCs w:val="1"/>
                <w:color w:val="auto"/>
              </w:rPr>
            </w:pPr>
          </w:p>
        </w:tc>
      </w:tr>
      <w:tr>
        <w:trPr>
          <w:trHeight w:val="142"/>
        </w:trPr>
        <w:tc>
          <w:tcPr>
            <w:tcW w:w="376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Involuntary termination for poor performance or for</w:t>
            </w:r>
          </w:p>
        </w:tc>
        <w:tc>
          <w:tcPr>
            <w:tcW w:w="7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6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Cause</w:t>
            </w:r>
          </w:p>
        </w:tc>
        <w:tc>
          <w:tcPr>
            <w:tcW w:w="7220" w:type="dxa"/>
            <w:vAlign w:val="bottom"/>
            <w:tcBorders>
              <w:bottom w:val="single" w:sz="8" w:color="AFAFAF"/>
            </w:tcBorders>
          </w:tcPr>
          <w:p>
            <w:pPr>
              <w:ind w:left="180"/>
              <w:spacing w:after="0"/>
              <w:rPr>
                <w:sz w:val="20"/>
                <w:szCs w:val="20"/>
                <w:color w:val="auto"/>
              </w:rPr>
            </w:pPr>
            <w:r>
              <w:rPr>
                <w:rFonts w:ascii="Arial" w:cs="Arial" w:eastAsia="Arial" w:hAnsi="Arial"/>
                <w:sz w:val="14"/>
                <w:szCs w:val="14"/>
                <w:color w:val="auto"/>
              </w:rPr>
              <w:t>Forfeited</w:t>
            </w:r>
          </w:p>
        </w:tc>
        <w:tc>
          <w:tcPr>
            <w:tcW w:w="0" w:type="dxa"/>
            <w:vAlign w:val="bottom"/>
          </w:tcPr>
          <w:p>
            <w:pPr>
              <w:spacing w:after="0"/>
              <w:rPr>
                <w:sz w:val="1"/>
                <w:szCs w:val="1"/>
                <w:color w:val="auto"/>
              </w:rPr>
            </w:pPr>
          </w:p>
        </w:tc>
      </w:tr>
      <w:tr>
        <w:trPr>
          <w:trHeight w:val="142"/>
        </w:trPr>
        <w:tc>
          <w:tcPr>
            <w:tcW w:w="376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Involuntary termination not for poor performance or</w:t>
            </w:r>
          </w:p>
        </w:tc>
        <w:tc>
          <w:tcPr>
            <w:tcW w:w="7220" w:type="dxa"/>
            <w:vAlign w:val="bottom"/>
          </w:tcPr>
          <w:p>
            <w:pPr>
              <w:ind w:left="180"/>
              <w:spacing w:after="0" w:line="142" w:lineRule="exact"/>
              <w:rPr>
                <w:sz w:val="20"/>
                <w:szCs w:val="20"/>
                <w:color w:val="auto"/>
              </w:rPr>
            </w:pPr>
            <w:r>
              <w:rPr>
                <w:rFonts w:ascii="Arial" w:cs="Arial" w:eastAsia="Arial" w:hAnsi="Arial"/>
                <w:sz w:val="14"/>
                <w:szCs w:val="14"/>
                <w:color w:val="auto"/>
              </w:rPr>
              <w:t>Pro rata vesting based on active service as an employee (measured in calendar days) during the performance</w:t>
            </w:r>
          </w:p>
        </w:tc>
        <w:tc>
          <w:tcPr>
            <w:tcW w:w="0" w:type="dxa"/>
            <w:vAlign w:val="bottom"/>
          </w:tcPr>
          <w:p>
            <w:pPr>
              <w:spacing w:after="0"/>
              <w:rPr>
                <w:sz w:val="1"/>
                <w:szCs w:val="1"/>
                <w:color w:val="auto"/>
              </w:rPr>
            </w:pPr>
          </w:p>
        </w:tc>
      </w:tr>
      <w:tr>
        <w:trPr>
          <w:trHeight w:val="180"/>
        </w:trPr>
        <w:tc>
          <w:tcPr>
            <w:tcW w:w="376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without Cause</w:t>
            </w:r>
          </w:p>
        </w:tc>
        <w:tc>
          <w:tcPr>
            <w:tcW w:w="7220" w:type="dxa"/>
            <w:vAlign w:val="bottom"/>
          </w:tcPr>
          <w:p>
            <w:pPr>
              <w:ind w:left="180"/>
              <w:spacing w:after="0"/>
              <w:rPr>
                <w:sz w:val="20"/>
                <w:szCs w:val="20"/>
                <w:color w:val="auto"/>
              </w:rPr>
            </w:pPr>
            <w:r>
              <w:rPr>
                <w:rFonts w:ascii="Arial" w:cs="Arial" w:eastAsia="Arial" w:hAnsi="Arial"/>
                <w:sz w:val="14"/>
                <w:szCs w:val="14"/>
                <w:color w:val="auto"/>
              </w:rPr>
              <w:t>period. Performance factor applied at the end of the performance period. Vesting would occur on the original</w:t>
            </w:r>
          </w:p>
        </w:tc>
        <w:tc>
          <w:tcPr>
            <w:tcW w:w="0" w:type="dxa"/>
            <w:vAlign w:val="bottom"/>
          </w:tcPr>
          <w:p>
            <w:pPr>
              <w:spacing w:after="0"/>
              <w:rPr>
                <w:sz w:val="1"/>
                <w:szCs w:val="1"/>
                <w:color w:val="auto"/>
              </w:rPr>
            </w:pPr>
          </w:p>
        </w:tc>
      </w:tr>
      <w:tr>
        <w:trPr>
          <w:trHeight w:val="157"/>
        </w:trPr>
        <w:tc>
          <w:tcPr>
            <w:tcW w:w="3760" w:type="dxa"/>
            <w:vAlign w:val="bottom"/>
            <w:tcBorders>
              <w:bottom w:val="single" w:sz="8" w:color="AFAFAF"/>
              <w:right w:val="single" w:sz="8" w:color="AFAFAF"/>
            </w:tcBorders>
          </w:tcPr>
          <w:p>
            <w:pPr>
              <w:spacing w:after="0"/>
              <w:rPr>
                <w:sz w:val="13"/>
                <w:szCs w:val="13"/>
                <w:color w:val="auto"/>
              </w:rPr>
            </w:pPr>
          </w:p>
        </w:tc>
        <w:tc>
          <w:tcPr>
            <w:tcW w:w="7220" w:type="dxa"/>
            <w:vAlign w:val="bottom"/>
            <w:tcBorders>
              <w:bottom w:val="single" w:sz="8" w:color="AFAFAF"/>
            </w:tcBorders>
          </w:tcPr>
          <w:p>
            <w:pPr>
              <w:ind w:left="180"/>
              <w:spacing w:after="0" w:line="157" w:lineRule="exact"/>
              <w:rPr>
                <w:sz w:val="20"/>
                <w:szCs w:val="20"/>
                <w:color w:val="auto"/>
              </w:rPr>
            </w:pPr>
            <w:r>
              <w:rPr>
                <w:rFonts w:ascii="Arial" w:cs="Arial" w:eastAsia="Arial" w:hAnsi="Arial"/>
                <w:sz w:val="14"/>
                <w:szCs w:val="14"/>
                <w:color w:val="auto"/>
              </w:rPr>
              <w:t>vesting date(s).The remaining PRSUs would be forfeited.</w:t>
            </w:r>
          </w:p>
        </w:tc>
        <w:tc>
          <w:tcPr>
            <w:tcW w:w="0" w:type="dxa"/>
            <w:vAlign w:val="bottom"/>
          </w:tcPr>
          <w:p>
            <w:pPr>
              <w:spacing w:after="0"/>
              <w:rPr>
                <w:sz w:val="1"/>
                <w:szCs w:val="1"/>
                <w:color w:val="auto"/>
              </w:rPr>
            </w:pPr>
          </w:p>
        </w:tc>
      </w:tr>
      <w:tr>
        <w:trPr>
          <w:trHeight w:val="155"/>
        </w:trPr>
        <w:tc>
          <w:tcPr>
            <w:tcW w:w="37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Sale of the holder’s business</w:t>
            </w:r>
          </w:p>
        </w:tc>
        <w:tc>
          <w:tcPr>
            <w:tcW w:w="7220" w:type="dxa"/>
            <w:vAlign w:val="bottom"/>
            <w:tcBorders>
              <w:bottom w:val="single" w:sz="8" w:color="AFAFAF"/>
            </w:tcBorders>
          </w:tcPr>
          <w:p>
            <w:pPr>
              <w:ind w:left="180"/>
              <w:spacing w:after="0" w:line="155" w:lineRule="exact"/>
              <w:rPr>
                <w:sz w:val="20"/>
                <w:szCs w:val="20"/>
                <w:color w:val="auto"/>
              </w:rPr>
            </w:pPr>
            <w:r>
              <w:rPr>
                <w:rFonts w:ascii="Arial" w:cs="Arial" w:eastAsia="Arial" w:hAnsi="Arial"/>
                <w:sz w:val="14"/>
                <w:szCs w:val="14"/>
                <w:color w:val="auto"/>
              </w:rPr>
              <w:t>The board or HR Committee shall meet to determine the appropriate treatment of any unvested PRSUs.</w:t>
            </w:r>
          </w:p>
        </w:tc>
        <w:tc>
          <w:tcPr>
            <w:tcW w:w="0" w:type="dxa"/>
            <w:vAlign w:val="bottom"/>
          </w:tcPr>
          <w:p>
            <w:pPr>
              <w:spacing w:after="0"/>
              <w:rPr>
                <w:sz w:val="1"/>
                <w:szCs w:val="1"/>
                <w:color w:val="auto"/>
              </w:rPr>
            </w:pPr>
          </w:p>
        </w:tc>
      </w:tr>
      <w:tr>
        <w:trPr>
          <w:trHeight w:val="142"/>
        </w:trPr>
        <w:tc>
          <w:tcPr>
            <w:tcW w:w="3760" w:type="dxa"/>
            <w:vAlign w:val="bottom"/>
            <w:tcBorders>
              <w:right w:val="single" w:sz="8" w:color="AFAFAF"/>
            </w:tcBorders>
          </w:tcPr>
          <w:p>
            <w:pPr>
              <w:spacing w:after="0" w:line="142" w:lineRule="exact"/>
              <w:rPr>
                <w:sz w:val="20"/>
                <w:szCs w:val="20"/>
                <w:color w:val="auto"/>
              </w:rPr>
            </w:pPr>
            <w:r>
              <w:rPr>
                <w:rFonts w:ascii="Arial" w:cs="Arial" w:eastAsia="Arial" w:hAnsi="Arial"/>
                <w:sz w:val="14"/>
                <w:szCs w:val="14"/>
                <w:b w:val="1"/>
                <w:bCs w:val="1"/>
                <w:color w:val="auto"/>
              </w:rPr>
              <w:t>A Change of Control of Thomson Reuters (based on</w:t>
            </w:r>
          </w:p>
        </w:tc>
        <w:tc>
          <w:tcPr>
            <w:tcW w:w="7220" w:type="dxa"/>
            <w:vAlign w:val="bottom"/>
          </w:tcPr>
          <w:p>
            <w:pPr>
              <w:ind w:left="180"/>
              <w:spacing w:after="0" w:line="142" w:lineRule="exact"/>
              <w:rPr>
                <w:sz w:val="20"/>
                <w:szCs w:val="20"/>
                <w:color w:val="auto"/>
              </w:rPr>
            </w:pPr>
            <w:r>
              <w:rPr>
                <w:rFonts w:ascii="Arial" w:cs="Arial" w:eastAsia="Arial" w:hAnsi="Arial"/>
                <w:sz w:val="14"/>
                <w:szCs w:val="14"/>
                <w:color w:val="auto"/>
              </w:rPr>
              <w:t>If a Change of Control occurs during first two years of the three year performance period, PRSUs will be</w:t>
            </w:r>
          </w:p>
        </w:tc>
        <w:tc>
          <w:tcPr>
            <w:tcW w:w="0" w:type="dxa"/>
            <w:vAlign w:val="bottom"/>
          </w:tcPr>
          <w:p>
            <w:pPr>
              <w:spacing w:after="0"/>
              <w:rPr>
                <w:sz w:val="1"/>
                <w:szCs w:val="1"/>
                <w:color w:val="auto"/>
              </w:rPr>
            </w:pPr>
          </w:p>
        </w:tc>
      </w:tr>
      <w:tr>
        <w:trPr>
          <w:trHeight w:val="161"/>
        </w:trPr>
        <w:tc>
          <w:tcPr>
            <w:tcW w:w="376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the surviving, successor or acquiring company</w:t>
            </w:r>
          </w:p>
        </w:tc>
        <w:tc>
          <w:tcPr>
            <w:tcW w:w="7220" w:type="dxa"/>
            <w:vAlign w:val="bottom"/>
          </w:tcPr>
          <w:p>
            <w:pPr>
              <w:ind w:left="180"/>
              <w:spacing w:after="0"/>
              <w:rPr>
                <w:sz w:val="20"/>
                <w:szCs w:val="20"/>
                <w:color w:val="auto"/>
              </w:rPr>
            </w:pPr>
            <w:r>
              <w:rPr>
                <w:rFonts w:ascii="Arial" w:cs="Arial" w:eastAsia="Arial" w:hAnsi="Arial"/>
                <w:sz w:val="14"/>
                <w:szCs w:val="14"/>
                <w:color w:val="auto"/>
              </w:rPr>
              <w:t>converted to TRSUs at 100% of target performance and become vested on the original vesting date.</w:t>
            </w:r>
          </w:p>
        </w:tc>
        <w:tc>
          <w:tcPr>
            <w:tcW w:w="0" w:type="dxa"/>
            <w:vAlign w:val="bottom"/>
          </w:tcPr>
          <w:p>
            <w:pPr>
              <w:spacing w:after="0"/>
              <w:rPr>
                <w:sz w:val="1"/>
                <w:szCs w:val="1"/>
                <w:color w:val="auto"/>
              </w:rPr>
            </w:pPr>
          </w:p>
        </w:tc>
      </w:tr>
      <w:tr>
        <w:trPr>
          <w:trHeight w:val="190"/>
        </w:trPr>
        <w:tc>
          <w:tcPr>
            <w:tcW w:w="376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assuming PRSUs or substituting similar awards)</w:t>
            </w:r>
          </w:p>
        </w:tc>
        <w:tc>
          <w:tcPr>
            <w:tcW w:w="7220" w:type="dxa"/>
            <w:vAlign w:val="bottom"/>
            <w:vMerge w:val="restart"/>
          </w:tcPr>
          <w:p>
            <w:pPr>
              <w:ind w:left="180"/>
              <w:spacing w:after="0"/>
              <w:rPr>
                <w:sz w:val="20"/>
                <w:szCs w:val="20"/>
                <w:color w:val="auto"/>
              </w:rPr>
            </w:pPr>
            <w:r>
              <w:rPr>
                <w:rFonts w:ascii="Arial" w:cs="Arial" w:eastAsia="Arial" w:hAnsi="Arial"/>
                <w:sz w:val="14"/>
                <w:szCs w:val="14"/>
                <w:color w:val="auto"/>
              </w:rPr>
              <w:t>If a Change of Control occurs during year three of the three year performance period, PRSUs will be converted</w:t>
            </w:r>
          </w:p>
        </w:tc>
        <w:tc>
          <w:tcPr>
            <w:tcW w:w="0" w:type="dxa"/>
            <w:vAlign w:val="bottom"/>
          </w:tcPr>
          <w:p>
            <w:pPr>
              <w:spacing w:after="0"/>
              <w:rPr>
                <w:sz w:val="1"/>
                <w:szCs w:val="1"/>
                <w:color w:val="auto"/>
              </w:rPr>
            </w:pPr>
          </w:p>
        </w:tc>
      </w:tr>
      <w:tr>
        <w:trPr>
          <w:trHeight w:val="57"/>
        </w:trPr>
        <w:tc>
          <w:tcPr>
            <w:tcW w:w="3760" w:type="dxa"/>
            <w:vAlign w:val="bottom"/>
            <w:tcBorders>
              <w:right w:val="single" w:sz="8" w:color="AFAFAF"/>
            </w:tcBorders>
          </w:tcPr>
          <w:p>
            <w:pPr>
              <w:spacing w:after="0"/>
              <w:rPr>
                <w:sz w:val="4"/>
                <w:szCs w:val="4"/>
                <w:color w:val="auto"/>
              </w:rPr>
            </w:pPr>
          </w:p>
        </w:tc>
        <w:tc>
          <w:tcPr>
            <w:tcW w:w="7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760" w:type="dxa"/>
            <w:vAlign w:val="bottom"/>
            <w:tcBorders>
              <w:right w:val="single" w:sz="8" w:color="AFAFAF"/>
            </w:tcBorders>
          </w:tcPr>
          <w:p>
            <w:pPr>
              <w:spacing w:after="0"/>
              <w:rPr>
                <w:sz w:val="14"/>
                <w:szCs w:val="14"/>
                <w:color w:val="auto"/>
              </w:rPr>
            </w:pPr>
          </w:p>
        </w:tc>
        <w:tc>
          <w:tcPr>
            <w:tcW w:w="7220" w:type="dxa"/>
            <w:vAlign w:val="bottom"/>
          </w:tcPr>
          <w:p>
            <w:pPr>
              <w:ind w:left="180"/>
              <w:spacing w:after="0"/>
              <w:rPr>
                <w:sz w:val="20"/>
                <w:szCs w:val="20"/>
                <w:color w:val="auto"/>
              </w:rPr>
            </w:pPr>
            <w:r>
              <w:rPr>
                <w:rFonts w:ascii="Arial" w:cs="Arial" w:eastAsia="Arial" w:hAnsi="Arial"/>
                <w:sz w:val="14"/>
                <w:szCs w:val="14"/>
                <w:color w:val="auto"/>
              </w:rPr>
              <w:t>to TRSUs based on estimated performance and become vested on the original vesting date.</w:t>
            </w:r>
          </w:p>
        </w:tc>
        <w:tc>
          <w:tcPr>
            <w:tcW w:w="0" w:type="dxa"/>
            <w:vAlign w:val="bottom"/>
          </w:tcPr>
          <w:p>
            <w:pPr>
              <w:spacing w:after="0"/>
              <w:rPr>
                <w:sz w:val="1"/>
                <w:szCs w:val="1"/>
                <w:color w:val="auto"/>
              </w:rPr>
            </w:pPr>
          </w:p>
        </w:tc>
      </w:tr>
      <w:tr>
        <w:trPr>
          <w:trHeight w:val="218"/>
        </w:trPr>
        <w:tc>
          <w:tcPr>
            <w:tcW w:w="3760" w:type="dxa"/>
            <w:vAlign w:val="bottom"/>
            <w:tcBorders>
              <w:right w:val="single" w:sz="8" w:color="AFAFAF"/>
            </w:tcBorders>
          </w:tcPr>
          <w:p>
            <w:pPr>
              <w:spacing w:after="0"/>
              <w:rPr>
                <w:sz w:val="18"/>
                <w:szCs w:val="18"/>
                <w:color w:val="auto"/>
              </w:rPr>
            </w:pPr>
          </w:p>
        </w:tc>
        <w:tc>
          <w:tcPr>
            <w:tcW w:w="7220" w:type="dxa"/>
            <w:vAlign w:val="bottom"/>
          </w:tcPr>
          <w:p>
            <w:pPr>
              <w:ind w:left="180"/>
              <w:spacing w:after="0"/>
              <w:rPr>
                <w:sz w:val="20"/>
                <w:szCs w:val="20"/>
                <w:color w:val="auto"/>
              </w:rPr>
            </w:pPr>
            <w:r>
              <w:rPr>
                <w:rFonts w:ascii="Arial" w:cs="Arial" w:eastAsia="Arial" w:hAnsi="Arial"/>
                <w:sz w:val="14"/>
                <w:szCs w:val="14"/>
                <w:color w:val="auto"/>
              </w:rPr>
              <w:t>“Double trigger”—if a holder ceases to be an employee as a result of involuntary termination not for poor</w:t>
            </w:r>
          </w:p>
        </w:tc>
        <w:tc>
          <w:tcPr>
            <w:tcW w:w="0" w:type="dxa"/>
            <w:vAlign w:val="bottom"/>
          </w:tcPr>
          <w:p>
            <w:pPr>
              <w:spacing w:after="0"/>
              <w:rPr>
                <w:sz w:val="1"/>
                <w:szCs w:val="1"/>
                <w:color w:val="auto"/>
              </w:rPr>
            </w:pPr>
          </w:p>
        </w:tc>
      </w:tr>
      <w:tr>
        <w:trPr>
          <w:trHeight w:val="161"/>
        </w:trPr>
        <w:tc>
          <w:tcPr>
            <w:tcW w:w="3760" w:type="dxa"/>
            <w:vAlign w:val="bottom"/>
            <w:tcBorders>
              <w:right w:val="single" w:sz="8" w:color="AFAFAF"/>
            </w:tcBorders>
          </w:tcPr>
          <w:p>
            <w:pPr>
              <w:spacing w:after="0"/>
              <w:rPr>
                <w:sz w:val="14"/>
                <w:szCs w:val="14"/>
                <w:color w:val="auto"/>
              </w:rPr>
            </w:pPr>
          </w:p>
        </w:tc>
        <w:tc>
          <w:tcPr>
            <w:tcW w:w="7220" w:type="dxa"/>
            <w:vAlign w:val="bottom"/>
          </w:tcPr>
          <w:p>
            <w:pPr>
              <w:ind w:left="180"/>
              <w:spacing w:after="0"/>
              <w:rPr>
                <w:sz w:val="20"/>
                <w:szCs w:val="20"/>
                <w:color w:val="auto"/>
              </w:rPr>
            </w:pPr>
            <w:r>
              <w:rPr>
                <w:rFonts w:ascii="Arial" w:cs="Arial" w:eastAsia="Arial" w:hAnsi="Arial"/>
                <w:sz w:val="14"/>
                <w:szCs w:val="14"/>
                <w:color w:val="auto"/>
              </w:rPr>
              <w:t>performance or without Cause within two years following a Change of Control, then all of the holder’s</w:t>
            </w:r>
          </w:p>
        </w:tc>
        <w:tc>
          <w:tcPr>
            <w:tcW w:w="0" w:type="dxa"/>
            <w:vAlign w:val="bottom"/>
          </w:tcPr>
          <w:p>
            <w:pPr>
              <w:spacing w:after="0"/>
              <w:rPr>
                <w:sz w:val="1"/>
                <w:szCs w:val="1"/>
                <w:color w:val="auto"/>
              </w:rPr>
            </w:pPr>
          </w:p>
        </w:tc>
      </w:tr>
      <w:tr>
        <w:trPr>
          <w:trHeight w:val="162"/>
        </w:trPr>
        <w:tc>
          <w:tcPr>
            <w:tcW w:w="3760" w:type="dxa"/>
            <w:vAlign w:val="bottom"/>
            <w:tcBorders>
              <w:right w:val="single" w:sz="8" w:color="AFAFAF"/>
            </w:tcBorders>
          </w:tcPr>
          <w:p>
            <w:pPr>
              <w:spacing w:after="0"/>
              <w:rPr>
                <w:sz w:val="14"/>
                <w:szCs w:val="14"/>
                <w:color w:val="auto"/>
              </w:rPr>
            </w:pPr>
          </w:p>
        </w:tc>
        <w:tc>
          <w:tcPr>
            <w:tcW w:w="7220" w:type="dxa"/>
            <w:vAlign w:val="bottom"/>
          </w:tcPr>
          <w:p>
            <w:pPr>
              <w:ind w:left="180"/>
              <w:spacing w:after="0"/>
              <w:rPr>
                <w:sz w:val="20"/>
                <w:szCs w:val="20"/>
                <w:color w:val="auto"/>
              </w:rPr>
            </w:pPr>
            <w:r>
              <w:rPr>
                <w:rFonts w:ascii="Arial" w:cs="Arial" w:eastAsia="Arial" w:hAnsi="Arial"/>
                <w:sz w:val="14"/>
                <w:szCs w:val="14"/>
                <w:color w:val="auto"/>
              </w:rPr>
              <w:t>outstanding TRSUs (which were converted from PRSUs at the time of the Change of Control) shall become</w:t>
            </w:r>
          </w:p>
        </w:tc>
        <w:tc>
          <w:tcPr>
            <w:tcW w:w="0" w:type="dxa"/>
            <w:vAlign w:val="bottom"/>
          </w:tcPr>
          <w:p>
            <w:pPr>
              <w:spacing w:after="0"/>
              <w:rPr>
                <w:sz w:val="1"/>
                <w:szCs w:val="1"/>
                <w:color w:val="auto"/>
              </w:rPr>
            </w:pPr>
          </w:p>
        </w:tc>
      </w:tr>
      <w:tr>
        <w:trPr>
          <w:trHeight w:val="170"/>
        </w:trPr>
        <w:tc>
          <w:tcPr>
            <w:tcW w:w="3760" w:type="dxa"/>
            <w:vAlign w:val="bottom"/>
            <w:tcBorders>
              <w:bottom w:val="single" w:sz="8" w:color="AFAFAF"/>
              <w:right w:val="single" w:sz="8" w:color="AFAFAF"/>
            </w:tcBorders>
          </w:tcPr>
          <w:p>
            <w:pPr>
              <w:spacing w:after="0"/>
              <w:rPr>
                <w:sz w:val="14"/>
                <w:szCs w:val="14"/>
                <w:color w:val="auto"/>
              </w:rPr>
            </w:pPr>
          </w:p>
        </w:tc>
        <w:tc>
          <w:tcPr>
            <w:tcW w:w="7220" w:type="dxa"/>
            <w:vAlign w:val="bottom"/>
            <w:tcBorders>
              <w:bottom w:val="single" w:sz="8" w:color="AFAFAF"/>
            </w:tcBorders>
          </w:tcPr>
          <w:p>
            <w:pPr>
              <w:ind w:left="180"/>
              <w:spacing w:after="0"/>
              <w:rPr>
                <w:sz w:val="20"/>
                <w:szCs w:val="20"/>
                <w:color w:val="auto"/>
              </w:rPr>
            </w:pPr>
            <w:r>
              <w:rPr>
                <w:rFonts w:ascii="Arial" w:cs="Arial" w:eastAsia="Arial" w:hAnsi="Arial"/>
                <w:sz w:val="14"/>
                <w:szCs w:val="14"/>
                <w:color w:val="auto"/>
              </w:rPr>
              <w:t>fully vested on the date that the holder ceased to be an employee.</w:t>
            </w:r>
          </w:p>
        </w:tc>
        <w:tc>
          <w:tcPr>
            <w:tcW w:w="0" w:type="dxa"/>
            <w:vAlign w:val="bottom"/>
          </w:tcPr>
          <w:p>
            <w:pPr>
              <w:spacing w:after="0"/>
              <w:rPr>
                <w:sz w:val="1"/>
                <w:szCs w:val="1"/>
                <w:color w:val="auto"/>
              </w:rPr>
            </w:pPr>
          </w:p>
        </w:tc>
      </w:tr>
      <w:tr>
        <w:trPr>
          <w:trHeight w:val="160"/>
        </w:trPr>
        <w:tc>
          <w:tcPr>
            <w:tcW w:w="376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Normal Retirement</w:t>
            </w:r>
          </w:p>
        </w:tc>
        <w:tc>
          <w:tcPr>
            <w:tcW w:w="7220" w:type="dxa"/>
            <w:vAlign w:val="bottom"/>
          </w:tcPr>
          <w:p>
            <w:pPr>
              <w:ind w:left="180"/>
              <w:spacing w:after="0" w:line="160" w:lineRule="exact"/>
              <w:rPr>
                <w:sz w:val="20"/>
                <w:szCs w:val="20"/>
                <w:color w:val="auto"/>
              </w:rPr>
            </w:pPr>
            <w:r>
              <w:rPr>
                <w:rFonts w:ascii="Arial" w:cs="Arial" w:eastAsia="Arial" w:hAnsi="Arial"/>
                <w:sz w:val="14"/>
                <w:szCs w:val="14"/>
                <w:color w:val="auto"/>
              </w:rPr>
              <w:t>Fully vested on the scheduled vesting date(s) (as adjusted to reflect actual performance) if the PRSUs have</w:t>
            </w:r>
          </w:p>
        </w:tc>
        <w:tc>
          <w:tcPr>
            <w:tcW w:w="0" w:type="dxa"/>
            <w:vAlign w:val="bottom"/>
          </w:tcPr>
          <w:p>
            <w:pPr>
              <w:spacing w:after="0"/>
              <w:rPr>
                <w:sz w:val="1"/>
                <w:szCs w:val="1"/>
                <w:color w:val="auto"/>
              </w:rPr>
            </w:pPr>
          </w:p>
        </w:tc>
      </w:tr>
      <w:tr>
        <w:trPr>
          <w:trHeight w:val="162"/>
        </w:trPr>
        <w:tc>
          <w:tcPr>
            <w:tcW w:w="3760" w:type="dxa"/>
            <w:vAlign w:val="bottom"/>
            <w:tcBorders>
              <w:right w:val="single" w:sz="8" w:color="AFAFAF"/>
            </w:tcBorders>
          </w:tcPr>
          <w:p>
            <w:pPr>
              <w:spacing w:after="0"/>
              <w:rPr>
                <w:sz w:val="14"/>
                <w:szCs w:val="14"/>
                <w:color w:val="auto"/>
              </w:rPr>
            </w:pPr>
          </w:p>
        </w:tc>
        <w:tc>
          <w:tcPr>
            <w:tcW w:w="7220" w:type="dxa"/>
            <w:vAlign w:val="bottom"/>
          </w:tcPr>
          <w:p>
            <w:pPr>
              <w:ind w:left="180"/>
              <w:spacing w:after="0"/>
              <w:rPr>
                <w:sz w:val="20"/>
                <w:szCs w:val="20"/>
                <w:color w:val="auto"/>
              </w:rPr>
            </w:pPr>
            <w:r>
              <w:rPr>
                <w:rFonts w:ascii="Arial" w:cs="Arial" w:eastAsia="Arial" w:hAnsi="Arial"/>
                <w:sz w:val="14"/>
                <w:szCs w:val="14"/>
                <w:color w:val="auto"/>
              </w:rPr>
              <w:t>been outstanding for at least six months when Normal Retirement occurs. If the PRSUs have not been</w:t>
            </w:r>
          </w:p>
        </w:tc>
        <w:tc>
          <w:tcPr>
            <w:tcW w:w="0" w:type="dxa"/>
            <w:vAlign w:val="bottom"/>
          </w:tcPr>
          <w:p>
            <w:pPr>
              <w:spacing w:after="0"/>
              <w:rPr>
                <w:sz w:val="1"/>
                <w:szCs w:val="1"/>
                <w:color w:val="auto"/>
              </w:rPr>
            </w:pPr>
          </w:p>
        </w:tc>
      </w:tr>
      <w:tr>
        <w:trPr>
          <w:trHeight w:val="157"/>
        </w:trPr>
        <w:tc>
          <w:tcPr>
            <w:tcW w:w="3760" w:type="dxa"/>
            <w:vAlign w:val="bottom"/>
            <w:tcBorders>
              <w:bottom w:val="single" w:sz="8" w:color="AFAFAF"/>
              <w:right w:val="single" w:sz="8" w:color="AFAFAF"/>
            </w:tcBorders>
          </w:tcPr>
          <w:p>
            <w:pPr>
              <w:spacing w:after="0"/>
              <w:rPr>
                <w:sz w:val="13"/>
                <w:szCs w:val="13"/>
                <w:color w:val="auto"/>
              </w:rPr>
            </w:pPr>
          </w:p>
        </w:tc>
        <w:tc>
          <w:tcPr>
            <w:tcW w:w="7220" w:type="dxa"/>
            <w:vAlign w:val="bottom"/>
            <w:tcBorders>
              <w:bottom w:val="single" w:sz="8" w:color="AFAFAF"/>
            </w:tcBorders>
          </w:tcPr>
          <w:p>
            <w:pPr>
              <w:ind w:left="180"/>
              <w:spacing w:after="0" w:line="157" w:lineRule="exact"/>
              <w:rPr>
                <w:sz w:val="20"/>
                <w:szCs w:val="20"/>
                <w:color w:val="auto"/>
              </w:rPr>
            </w:pPr>
            <w:r>
              <w:rPr>
                <w:rFonts w:ascii="Arial" w:cs="Arial" w:eastAsia="Arial" w:hAnsi="Arial"/>
                <w:sz w:val="14"/>
                <w:szCs w:val="14"/>
                <w:color w:val="auto"/>
              </w:rPr>
              <w:t>outstanding for that period, they would be forfeited.</w:t>
            </w:r>
          </w:p>
        </w:tc>
        <w:tc>
          <w:tcPr>
            <w:tcW w:w="0" w:type="dxa"/>
            <w:vAlign w:val="bottom"/>
          </w:tcPr>
          <w:p>
            <w:pPr>
              <w:spacing w:after="0"/>
              <w:rPr>
                <w:sz w:val="1"/>
                <w:szCs w:val="1"/>
                <w:color w:val="auto"/>
              </w:rPr>
            </w:pPr>
          </w:p>
        </w:tc>
      </w:tr>
      <w:tr>
        <w:trPr>
          <w:trHeight w:val="160"/>
        </w:trPr>
        <w:tc>
          <w:tcPr>
            <w:tcW w:w="376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Early Retirement</w:t>
            </w:r>
          </w:p>
        </w:tc>
        <w:tc>
          <w:tcPr>
            <w:tcW w:w="7220" w:type="dxa"/>
            <w:vAlign w:val="bottom"/>
          </w:tcPr>
          <w:p>
            <w:pPr>
              <w:ind w:left="180"/>
              <w:spacing w:after="0" w:line="160" w:lineRule="exact"/>
              <w:rPr>
                <w:sz w:val="20"/>
                <w:szCs w:val="20"/>
                <w:color w:val="auto"/>
              </w:rPr>
            </w:pPr>
            <w:r>
              <w:rPr>
                <w:rFonts w:ascii="Arial" w:cs="Arial" w:eastAsia="Arial" w:hAnsi="Arial"/>
                <w:sz w:val="14"/>
                <w:szCs w:val="14"/>
                <w:color w:val="auto"/>
              </w:rPr>
              <w:t>Pro rata vesting on the scheduled vesting date(s) based on active service as an employee (measured in</w:t>
            </w:r>
          </w:p>
        </w:tc>
        <w:tc>
          <w:tcPr>
            <w:tcW w:w="0" w:type="dxa"/>
            <w:vAlign w:val="bottom"/>
          </w:tcPr>
          <w:p>
            <w:pPr>
              <w:spacing w:after="0"/>
              <w:rPr>
                <w:sz w:val="1"/>
                <w:szCs w:val="1"/>
                <w:color w:val="auto"/>
              </w:rPr>
            </w:pPr>
          </w:p>
        </w:tc>
      </w:tr>
      <w:tr>
        <w:trPr>
          <w:trHeight w:val="162"/>
        </w:trPr>
        <w:tc>
          <w:tcPr>
            <w:tcW w:w="3760" w:type="dxa"/>
            <w:vAlign w:val="bottom"/>
            <w:tcBorders>
              <w:right w:val="single" w:sz="8" w:color="AFAFAF"/>
            </w:tcBorders>
          </w:tcPr>
          <w:p>
            <w:pPr>
              <w:spacing w:after="0"/>
              <w:rPr>
                <w:sz w:val="14"/>
                <w:szCs w:val="14"/>
                <w:color w:val="auto"/>
              </w:rPr>
            </w:pPr>
          </w:p>
        </w:tc>
        <w:tc>
          <w:tcPr>
            <w:tcW w:w="7220" w:type="dxa"/>
            <w:vAlign w:val="bottom"/>
          </w:tcPr>
          <w:p>
            <w:pPr>
              <w:ind w:left="180"/>
              <w:spacing w:after="0"/>
              <w:rPr>
                <w:sz w:val="20"/>
                <w:szCs w:val="20"/>
                <w:color w:val="auto"/>
              </w:rPr>
            </w:pPr>
            <w:r>
              <w:rPr>
                <w:rFonts w:ascii="Arial" w:cs="Arial" w:eastAsia="Arial" w:hAnsi="Arial"/>
                <w:sz w:val="14"/>
                <w:szCs w:val="14"/>
                <w:color w:val="auto"/>
              </w:rPr>
              <w:t>calendar days) during the performance period (and as adjusted to reflect actual performance) if the PRSUs</w:t>
            </w:r>
          </w:p>
        </w:tc>
        <w:tc>
          <w:tcPr>
            <w:tcW w:w="0" w:type="dxa"/>
            <w:vAlign w:val="bottom"/>
          </w:tcPr>
          <w:p>
            <w:pPr>
              <w:spacing w:after="0"/>
              <w:rPr>
                <w:sz w:val="1"/>
                <w:szCs w:val="1"/>
                <w:color w:val="auto"/>
              </w:rPr>
            </w:pPr>
          </w:p>
        </w:tc>
      </w:tr>
      <w:tr>
        <w:trPr>
          <w:trHeight w:val="161"/>
        </w:trPr>
        <w:tc>
          <w:tcPr>
            <w:tcW w:w="3760" w:type="dxa"/>
            <w:vAlign w:val="bottom"/>
            <w:tcBorders>
              <w:right w:val="single" w:sz="8" w:color="AFAFAF"/>
            </w:tcBorders>
          </w:tcPr>
          <w:p>
            <w:pPr>
              <w:spacing w:after="0"/>
              <w:rPr>
                <w:sz w:val="14"/>
                <w:szCs w:val="14"/>
                <w:color w:val="auto"/>
              </w:rPr>
            </w:pPr>
          </w:p>
        </w:tc>
        <w:tc>
          <w:tcPr>
            <w:tcW w:w="7220" w:type="dxa"/>
            <w:vAlign w:val="bottom"/>
          </w:tcPr>
          <w:p>
            <w:pPr>
              <w:ind w:left="180"/>
              <w:spacing w:after="0"/>
              <w:rPr>
                <w:sz w:val="20"/>
                <w:szCs w:val="20"/>
                <w:color w:val="auto"/>
              </w:rPr>
            </w:pPr>
            <w:r>
              <w:rPr>
                <w:rFonts w:ascii="Arial" w:cs="Arial" w:eastAsia="Arial" w:hAnsi="Arial"/>
                <w:sz w:val="14"/>
                <w:szCs w:val="14"/>
                <w:color w:val="auto"/>
              </w:rPr>
              <w:t>have been outstanding for at least six months when Early Retirement occurs. If the PRSUs have not been</w:t>
            </w:r>
          </w:p>
        </w:tc>
        <w:tc>
          <w:tcPr>
            <w:tcW w:w="0" w:type="dxa"/>
            <w:vAlign w:val="bottom"/>
          </w:tcPr>
          <w:p>
            <w:pPr>
              <w:spacing w:after="0"/>
              <w:rPr>
                <w:sz w:val="1"/>
                <w:szCs w:val="1"/>
                <w:color w:val="auto"/>
              </w:rPr>
            </w:pPr>
          </w:p>
        </w:tc>
      </w:tr>
      <w:tr>
        <w:trPr>
          <w:trHeight w:val="157"/>
        </w:trPr>
        <w:tc>
          <w:tcPr>
            <w:tcW w:w="3760" w:type="dxa"/>
            <w:vAlign w:val="bottom"/>
            <w:tcBorders>
              <w:bottom w:val="single" w:sz="8" w:color="AFAFAF"/>
              <w:right w:val="single" w:sz="8" w:color="AFAFAF"/>
            </w:tcBorders>
          </w:tcPr>
          <w:p>
            <w:pPr>
              <w:spacing w:after="0"/>
              <w:rPr>
                <w:sz w:val="13"/>
                <w:szCs w:val="13"/>
                <w:color w:val="auto"/>
              </w:rPr>
            </w:pPr>
          </w:p>
        </w:tc>
        <w:tc>
          <w:tcPr>
            <w:tcW w:w="7220" w:type="dxa"/>
            <w:vAlign w:val="bottom"/>
            <w:tcBorders>
              <w:bottom w:val="single" w:sz="8" w:color="AFAFAF"/>
            </w:tcBorders>
          </w:tcPr>
          <w:p>
            <w:pPr>
              <w:ind w:left="180"/>
              <w:spacing w:after="0" w:line="157" w:lineRule="exact"/>
              <w:rPr>
                <w:sz w:val="20"/>
                <w:szCs w:val="20"/>
                <w:color w:val="auto"/>
              </w:rPr>
            </w:pPr>
            <w:r>
              <w:rPr>
                <w:rFonts w:ascii="Arial" w:cs="Arial" w:eastAsia="Arial" w:hAnsi="Arial"/>
                <w:sz w:val="14"/>
                <w:szCs w:val="14"/>
                <w:color w:val="auto"/>
              </w:rPr>
              <w:t>outstanding for that period, they would be forfeited.</w:t>
            </w:r>
          </w:p>
        </w:tc>
        <w:tc>
          <w:tcPr>
            <w:tcW w:w="0" w:type="dxa"/>
            <w:vAlign w:val="bottom"/>
          </w:tcPr>
          <w:p>
            <w:pPr>
              <w:spacing w:after="0"/>
              <w:rPr>
                <w:sz w:val="1"/>
                <w:szCs w:val="1"/>
                <w:color w:val="auto"/>
              </w:rPr>
            </w:pPr>
          </w:p>
        </w:tc>
      </w:tr>
      <w:tr>
        <w:trPr>
          <w:trHeight w:val="155"/>
        </w:trPr>
        <w:tc>
          <w:tcPr>
            <w:tcW w:w="376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Disability</w:t>
            </w:r>
          </w:p>
        </w:tc>
        <w:tc>
          <w:tcPr>
            <w:tcW w:w="7220" w:type="dxa"/>
            <w:vAlign w:val="bottom"/>
            <w:tcBorders>
              <w:bottom w:val="single" w:sz="8" w:color="AFAFAF"/>
            </w:tcBorders>
          </w:tcPr>
          <w:p>
            <w:pPr>
              <w:ind w:left="180"/>
              <w:spacing w:after="0" w:line="155" w:lineRule="exact"/>
              <w:rPr>
                <w:sz w:val="20"/>
                <w:szCs w:val="20"/>
                <w:color w:val="auto"/>
              </w:rPr>
            </w:pPr>
            <w:r>
              <w:rPr>
                <w:rFonts w:ascii="Arial" w:cs="Arial" w:eastAsia="Arial" w:hAnsi="Arial"/>
                <w:sz w:val="14"/>
                <w:szCs w:val="14"/>
                <w:color w:val="auto"/>
              </w:rPr>
              <w:t>Fully vested on the scheduled vesting date(s) (as adjusted to reflect actual performance).</w:t>
            </w:r>
          </w:p>
        </w:tc>
        <w:tc>
          <w:tcPr>
            <w:tcW w:w="0" w:type="dxa"/>
            <w:vAlign w:val="bottom"/>
          </w:tcPr>
          <w:p>
            <w:pPr>
              <w:spacing w:after="0"/>
              <w:rPr>
                <w:sz w:val="1"/>
                <w:szCs w:val="1"/>
                <w:color w:val="auto"/>
              </w:rPr>
            </w:pPr>
          </w:p>
        </w:tc>
      </w:tr>
      <w:tr>
        <w:trPr>
          <w:trHeight w:val="155"/>
        </w:trPr>
        <w:tc>
          <w:tcPr>
            <w:tcW w:w="376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Death</w:t>
            </w:r>
          </w:p>
        </w:tc>
        <w:tc>
          <w:tcPr>
            <w:tcW w:w="7220" w:type="dxa"/>
            <w:vAlign w:val="bottom"/>
            <w:tcBorders>
              <w:bottom w:val="single" w:sz="8" w:color="D95A3B"/>
            </w:tcBorders>
          </w:tcPr>
          <w:p>
            <w:pPr>
              <w:ind w:left="180"/>
              <w:spacing w:after="0" w:line="155" w:lineRule="exact"/>
              <w:rPr>
                <w:sz w:val="20"/>
                <w:szCs w:val="20"/>
                <w:color w:val="auto"/>
              </w:rPr>
            </w:pPr>
            <w:r>
              <w:rPr>
                <w:rFonts w:ascii="Arial" w:cs="Arial" w:eastAsia="Arial" w:hAnsi="Arial"/>
                <w:sz w:val="14"/>
                <w:szCs w:val="14"/>
                <w:color w:val="auto"/>
              </w:rPr>
              <w:t>Fully vested on the scheduled vesting date(s) (as adjusted to reflect actual performance).</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D95A3B"/>
            </w:tcBorders>
          </w:tcPr>
          <w:p>
            <w:pPr>
              <w:spacing w:after="0"/>
              <w:rPr>
                <w:sz w:val="19"/>
                <w:szCs w:val="19"/>
                <w:color w:val="auto"/>
              </w:rPr>
            </w:pPr>
          </w:p>
        </w:tc>
        <w:tc>
          <w:tcPr>
            <w:tcW w:w="7220" w:type="dxa"/>
            <w:vAlign w:val="bottom"/>
            <w:tcBorders>
              <w:bottom w:val="single" w:sz="8" w:color="D95A3B"/>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760" w:type="dxa"/>
            <w:vAlign w:val="bottom"/>
          </w:tcPr>
          <w:p>
            <w:pPr>
              <w:spacing w:after="0"/>
              <w:rPr>
                <w:sz w:val="23"/>
                <w:szCs w:val="23"/>
                <w:color w:val="auto"/>
              </w:rPr>
            </w:pPr>
          </w:p>
        </w:tc>
        <w:tc>
          <w:tcPr>
            <w:tcW w:w="7220" w:type="dxa"/>
            <w:vAlign w:val="bottom"/>
          </w:tcPr>
          <w:p>
            <w:pPr>
              <w:ind w:left="2120"/>
              <w:spacing w:after="0"/>
              <w:rPr>
                <w:sz w:val="20"/>
                <w:szCs w:val="20"/>
                <w:color w:val="auto"/>
              </w:rPr>
            </w:pPr>
            <w:r>
              <w:rPr>
                <w:rFonts w:ascii="Arial" w:cs="Arial" w:eastAsia="Arial" w:hAnsi="Arial"/>
                <w:sz w:val="13"/>
                <w:szCs w:val="13"/>
                <w:color w:val="D95A3B"/>
              </w:rPr>
              <w:t xml:space="preserve">Management Proxy Circular and Notice of Annual Meeting of Shareholders  </w:t>
            </w:r>
            <w:r>
              <w:rPr>
                <w:rFonts w:ascii="Arial" w:cs="Arial" w:eastAsia="Arial" w:hAnsi="Arial"/>
                <w:sz w:val="13"/>
                <w:szCs w:val="13"/>
                <w:color w:val="000000"/>
              </w:rPr>
              <w:t>Page 79</w:t>
            </w:r>
          </w:p>
        </w:tc>
        <w:tc>
          <w:tcPr>
            <w:tcW w:w="0" w:type="dxa"/>
            <w:vAlign w:val="bottom"/>
          </w:tcPr>
          <w:p>
            <w:pPr>
              <w:spacing w:after="0"/>
              <w:rPr>
                <w:sz w:val="1"/>
                <w:szCs w:val="1"/>
                <w:color w:val="auto"/>
              </w:rPr>
            </w:pPr>
          </w:p>
        </w:tc>
      </w:tr>
    </w:tbl>
    <w:p>
      <w:pPr>
        <w:sectPr>
          <w:pgSz w:w="11900" w:h="16838" w:orient="portrait"/>
          <w:cols w:equalWidth="0" w:num="1">
            <w:col w:w="11200"/>
          </w:cols>
          <w:pgMar w:left="240" w:top="458"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line="234" w:lineRule="auto"/>
        <w:rPr>
          <w:sz w:val="20"/>
          <w:szCs w:val="20"/>
          <w:color w:val="auto"/>
        </w:rPr>
      </w:pPr>
      <w:r>
        <w:rPr>
          <w:rFonts w:ascii="Arial" w:cs="Arial" w:eastAsia="Arial" w:hAnsi="Arial"/>
          <w:sz w:val="18"/>
          <w:szCs w:val="18"/>
          <w:color w:val="auto"/>
        </w:rPr>
        <w:t>A “Change of Control” for purposes of our incentive plan awards would occur in the following circumstances: (i) all or substantially all of the assets of our company are sold, assigned or transferred other than to a subsidiary; (ii) a change in a majority of our board members;</w:t>
      </w:r>
    </w:p>
    <w:p>
      <w:pPr>
        <w:ind w:left="220" w:right="200" w:firstLine="3"/>
        <w:spacing w:after="0" w:line="244" w:lineRule="auto"/>
        <w:tabs>
          <w:tab w:leader="none" w:pos="509" w:val="left"/>
        </w:tabs>
        <w:numPr>
          <w:ilvl w:val="0"/>
          <w:numId w:val="53"/>
        </w:numPr>
        <w:rPr>
          <w:rFonts w:ascii="Arial" w:cs="Arial" w:eastAsia="Arial" w:hAnsi="Arial"/>
          <w:sz w:val="18"/>
          <w:szCs w:val="18"/>
          <w:color w:val="auto"/>
        </w:rPr>
      </w:pPr>
      <w:r>
        <w:rPr>
          <w:rFonts w:ascii="Arial" w:cs="Arial" w:eastAsia="Arial" w:hAnsi="Arial"/>
          <w:sz w:val="18"/>
          <w:szCs w:val="18"/>
          <w:color w:val="auto"/>
        </w:rPr>
        <w:t>50% or more of our company’s outstanding voting securities are acquired by someone other than Woodbridge; or (iv) a going private transaction results in Woodbridge owning more than 50% of our company’s outstanding voting securities.</w:t>
      </w:r>
    </w:p>
    <w:p>
      <w:pPr>
        <w:spacing w:after="0" w:line="91" w:lineRule="exact"/>
        <w:rPr>
          <w:sz w:val="20"/>
          <w:szCs w:val="20"/>
          <w:color w:val="auto"/>
        </w:rPr>
      </w:pPr>
    </w:p>
    <w:p>
      <w:pPr>
        <w:ind w:left="220" w:right="140"/>
        <w:spacing w:after="0" w:line="238" w:lineRule="auto"/>
        <w:rPr>
          <w:sz w:val="20"/>
          <w:szCs w:val="20"/>
          <w:color w:val="auto"/>
        </w:rPr>
      </w:pPr>
      <w:r>
        <w:rPr>
          <w:rFonts w:ascii="Arial" w:cs="Arial" w:eastAsia="Arial" w:hAnsi="Arial"/>
          <w:sz w:val="18"/>
          <w:szCs w:val="18"/>
          <w:color w:val="auto"/>
        </w:rPr>
        <w:t>The Change of Control treatment described in the tables above is based on the surviving, successor or acquiring company assuming our outstanding incentive plan awards or substituting similar options or awards for our outstanding incentive plan awards. If the surviving, successor or acquiring company does not assume our outstanding incentive plan awards or substitute similar options or awards for our outstanding incentive plan awards, or our board otherwise determines, our incentive plan awards will generally vest.</w:t>
      </w:r>
    </w:p>
    <w:p>
      <w:pPr>
        <w:spacing w:after="0" w:line="94" w:lineRule="exact"/>
        <w:rPr>
          <w:sz w:val="20"/>
          <w:szCs w:val="20"/>
          <w:color w:val="auto"/>
        </w:rPr>
      </w:pPr>
    </w:p>
    <w:p>
      <w:pPr>
        <w:jc w:val="both"/>
        <w:ind w:left="220"/>
        <w:spacing w:after="0" w:line="239" w:lineRule="auto"/>
        <w:rPr>
          <w:sz w:val="20"/>
          <w:szCs w:val="20"/>
          <w:color w:val="auto"/>
        </w:rPr>
      </w:pPr>
      <w:r>
        <w:rPr>
          <w:rFonts w:ascii="Arial" w:cs="Arial" w:eastAsia="Arial" w:hAnsi="Arial"/>
          <w:sz w:val="18"/>
          <w:szCs w:val="18"/>
          <w:color w:val="auto"/>
        </w:rPr>
        <w:t>In the event of a Change of Control, our board also has the power to (i) modify the terms of our annual incentive awards as it considers fair and appropriate to participants; (ii) modify the terms of our annual incentive awards to assist participation in the actual or potential Change of Control event; or (iii) terminate annual incentive awards not exercised or settled following the Change of Control.</w:t>
      </w:r>
    </w:p>
    <w:p>
      <w:pPr>
        <w:spacing w:after="0" w:line="95" w:lineRule="exact"/>
        <w:rPr>
          <w:sz w:val="20"/>
          <w:szCs w:val="20"/>
          <w:color w:val="auto"/>
        </w:rPr>
      </w:pPr>
    </w:p>
    <w:p>
      <w:pPr>
        <w:jc w:val="both"/>
        <w:ind w:left="220" w:right="20"/>
        <w:spacing w:after="0" w:line="239" w:lineRule="auto"/>
        <w:rPr>
          <w:sz w:val="20"/>
          <w:szCs w:val="20"/>
          <w:color w:val="auto"/>
        </w:rPr>
      </w:pPr>
      <w:r>
        <w:rPr>
          <w:rFonts w:ascii="Arial" w:cs="Arial" w:eastAsia="Arial" w:hAnsi="Arial"/>
          <w:sz w:val="18"/>
          <w:szCs w:val="18"/>
          <w:color w:val="auto"/>
        </w:rPr>
        <w:t>For pensions, Messrs. Smith, Bello, Peccarelli and Masterson would not be entitled to incremental pension-related payments or benefits in connection with a termination of employment. Information regarding their pension benefits is included in the “Defined Benefits Plans Table” earlier in this circular.</w:t>
      </w:r>
    </w:p>
    <w:p>
      <w:pPr>
        <w:spacing w:after="0" w:line="95" w:lineRule="exact"/>
        <w:rPr>
          <w:sz w:val="20"/>
          <w:szCs w:val="20"/>
          <w:color w:val="auto"/>
        </w:rPr>
      </w:pPr>
    </w:p>
    <w:p>
      <w:pPr>
        <w:ind w:left="220" w:right="700"/>
        <w:spacing w:after="0" w:line="239" w:lineRule="auto"/>
        <w:rPr>
          <w:sz w:val="20"/>
          <w:szCs w:val="20"/>
          <w:color w:val="auto"/>
        </w:rPr>
      </w:pPr>
      <w:r>
        <w:rPr>
          <w:rFonts w:ascii="Arial" w:cs="Arial" w:eastAsia="Arial" w:hAnsi="Arial"/>
          <w:sz w:val="18"/>
          <w:szCs w:val="18"/>
          <w:color w:val="auto"/>
        </w:rPr>
        <w:t>For benefits, each named executive officer would be entitled to continuation of executive physicals, tax, financial planning and outplacement assistance and continuation of generally available health and welfare benefits during the applicable period following termination.</w:t>
      </w:r>
    </w:p>
    <w:p>
      <w:pPr>
        <w:spacing w:after="0" w:line="95" w:lineRule="exact"/>
        <w:rPr>
          <w:sz w:val="20"/>
          <w:szCs w:val="20"/>
          <w:color w:val="auto"/>
        </w:rPr>
      </w:pPr>
    </w:p>
    <w:p>
      <w:pPr>
        <w:ind w:left="220" w:right="100"/>
        <w:spacing w:after="0" w:line="244" w:lineRule="auto"/>
        <w:rPr>
          <w:sz w:val="20"/>
          <w:szCs w:val="20"/>
          <w:color w:val="auto"/>
        </w:rPr>
      </w:pPr>
      <w:r>
        <w:rPr>
          <w:rFonts w:ascii="Arial" w:cs="Arial" w:eastAsia="Arial" w:hAnsi="Arial"/>
          <w:sz w:val="18"/>
          <w:szCs w:val="18"/>
          <w:color w:val="auto"/>
        </w:rPr>
        <w:t>Messrs. Smith, Bello and Peccarelli are currently eligible for early retirement under the U.S. defined benefit pension plan. However, under the terms and conditions of their outstanding equity awards, they will not be eligible for early retirement until they reach age 60.</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named executive officers do not have a right to receive a gross-up for any taxes that might be due upon termination.</w:t>
      </w:r>
    </w:p>
    <w:p>
      <w:pPr>
        <w:spacing w:after="0" w:line="103"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In the event of termination without cause, each named executive officer would be required to provide a release and waiver of employment and other claims in favor of our company in connection with receiving severance benefits. Each named executive officer has agreed to a set of restrictive covenants (e.g., non-compete, non-solicit, non-disparagement and confidentiality obligations) as part of PRSU, TRSU and/or stock option award terms and conditions.</w:t>
      </w:r>
    </w:p>
    <w:p>
      <w:pPr>
        <w:spacing w:after="0" w:line="94" w:lineRule="exact"/>
        <w:rPr>
          <w:sz w:val="20"/>
          <w:szCs w:val="20"/>
          <w:color w:val="auto"/>
        </w:rPr>
      </w:pPr>
    </w:p>
    <w:p>
      <w:pPr>
        <w:ind w:left="220" w:right="80"/>
        <w:spacing w:after="0" w:line="239" w:lineRule="auto"/>
        <w:rPr>
          <w:sz w:val="20"/>
          <w:szCs w:val="20"/>
          <w:color w:val="auto"/>
        </w:rPr>
      </w:pPr>
      <w:r>
        <w:rPr>
          <w:rFonts w:ascii="Arial" w:cs="Arial" w:eastAsia="Arial" w:hAnsi="Arial"/>
          <w:sz w:val="18"/>
          <w:szCs w:val="18"/>
          <w:color w:val="auto"/>
        </w:rPr>
        <w:t>Amounts actually received should any of the named executive officers cease to be employed will vary based on factors such as the timing during the year of any such event, our share price, the executive’s age, the circumstances of termination and any changes to our benefit arrangements and policies.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9"/>
          <w:szCs w:val="19"/>
          <w:i w:val="1"/>
          <w:iCs w:val="1"/>
          <w:color w:val="D95A3B"/>
        </w:rPr>
        <w:t>Arrangement with Mr. Friedenberg</w:t>
      </w:r>
    </w:p>
    <w:p>
      <w:pPr>
        <w:spacing w:after="0" w:line="52" w:lineRule="exact"/>
        <w:rPr>
          <w:sz w:val="20"/>
          <w:szCs w:val="20"/>
          <w:color w:val="auto"/>
        </w:rPr>
      </w:pPr>
    </w:p>
    <w:p>
      <w:pPr>
        <w:jc w:val="both"/>
        <w:ind w:left="220" w:right="380"/>
        <w:spacing w:after="0" w:line="238" w:lineRule="auto"/>
        <w:rPr>
          <w:sz w:val="20"/>
          <w:szCs w:val="20"/>
          <w:color w:val="auto"/>
        </w:rPr>
      </w:pPr>
      <w:r>
        <w:rPr>
          <w:rFonts w:ascii="Arial" w:cs="Arial" w:eastAsia="Arial" w:hAnsi="Arial"/>
          <w:sz w:val="18"/>
          <w:szCs w:val="18"/>
          <w:color w:val="auto"/>
        </w:rPr>
        <w:t>We agreed with Mr. Friedenberg that his unvested stock options, TRSUs and PRSUs would vest in the event of a change of control of Reuters News and his involuntary termination due to the change of control or within 12 months of such an event (a “double trigger”). If Mr. Friedenberg is involuntarily terminated without cause (other than due to such a change of control), any unvested TRSUs from his sign-on grant will fully vest on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0"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80</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22"/>
          <w:szCs w:val="22"/>
          <w:color w:val="D95A3B"/>
        </w:rPr>
        <w:t>Estimated incremental values</w:t>
      </w:r>
    </w:p>
    <w:p>
      <w:pPr>
        <w:spacing w:after="0" w:line="35" w:lineRule="exact"/>
        <w:rPr>
          <w:sz w:val="20"/>
          <w:szCs w:val="20"/>
          <w:color w:val="auto"/>
        </w:rPr>
      </w:pPr>
    </w:p>
    <w:p>
      <w:pPr>
        <w:ind w:left="220" w:right="20"/>
        <w:spacing w:after="0" w:line="238" w:lineRule="auto"/>
        <w:rPr>
          <w:sz w:val="20"/>
          <w:szCs w:val="20"/>
          <w:color w:val="auto"/>
        </w:rPr>
      </w:pPr>
      <w:r>
        <w:rPr>
          <w:rFonts w:ascii="Arial" w:cs="Arial" w:eastAsia="Arial" w:hAnsi="Arial"/>
          <w:sz w:val="18"/>
          <w:szCs w:val="18"/>
          <w:color w:val="auto"/>
        </w:rPr>
        <w:t>Each named executive officer may be eligible to receive certain incremental payments and benefits upon termination of employment under various circumstances. The table below includes the value of incremental compensation that would be available to each named executive officer upon the applicable specified event. Payments and benefits contemplated by plan or award terms and conditions are not reflected in the table.</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amounts in the table assume that:</w:t>
      </w:r>
    </w:p>
    <w:p>
      <w:pPr>
        <w:sectPr>
          <w:pgSz w:w="11900" w:h="16838" w:orient="portrait"/>
          <w:cols w:equalWidth="0" w:num="1">
            <w:col w:w="11200"/>
          </w:cols>
          <w:pgMar w:left="240" w:top="458" w:right="459" w:bottom="1440" w:gutter="0" w:footer="0" w:header="0"/>
        </w:sectPr>
      </w:pPr>
    </w:p>
    <w:p>
      <w:pPr>
        <w:spacing w:after="0" w:line="108"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6"/>
          <w:szCs w:val="6"/>
          <w:color w:val="D95A3B"/>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officer left our company on December 31, 2018; and</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The price per share of our common shares on the NYSE on that date was $48.31.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5946775</wp:posOffset>
            </wp:positionH>
            <wp:positionV relativeFrom="paragraph">
              <wp:posOffset>167005</wp:posOffset>
            </wp:positionV>
            <wp:extent cx="8255" cy="7435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743585"/>
                    </a:xfrm>
                    <a:prstGeom prst="rect">
                      <a:avLst/>
                    </a:prstGeom>
                    <a:noFill/>
                  </pic:spPr>
                </pic:pic>
              </a:graphicData>
            </a:graphic>
          </wp:anchor>
        </w:drawing>
        <w:drawing>
          <wp:anchor simplePos="0" relativeHeight="251657728" behindDoc="1" locked="0" layoutInCell="0" allowOverlap="1">
            <wp:simplePos x="0" y="0"/>
            <wp:positionH relativeFrom="column">
              <wp:posOffset>5152390</wp:posOffset>
            </wp:positionH>
            <wp:positionV relativeFrom="paragraph">
              <wp:posOffset>167005</wp:posOffset>
            </wp:positionV>
            <wp:extent cx="8255" cy="7435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74358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167005</wp:posOffset>
            </wp:positionV>
            <wp:extent cx="8255" cy="7435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74358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167005</wp:posOffset>
            </wp:positionV>
            <wp:extent cx="8255" cy="7435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743585"/>
                    </a:xfrm>
                    <a:prstGeom prst="rect">
                      <a:avLst/>
                    </a:prstGeom>
                    <a:noFill/>
                  </pic:spPr>
                </pic:pic>
              </a:graphicData>
            </a:graphic>
          </wp:anchor>
        </w:drawing>
        <w:drawing>
          <wp:anchor simplePos="0" relativeHeight="251657728" behindDoc="1" locked="0" layoutInCell="0" allowOverlap="1">
            <wp:simplePos x="0" y="0"/>
            <wp:positionH relativeFrom="column">
              <wp:posOffset>2605405</wp:posOffset>
            </wp:positionH>
            <wp:positionV relativeFrom="paragraph">
              <wp:posOffset>167005</wp:posOffset>
            </wp:positionV>
            <wp:extent cx="8255" cy="7435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7435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 w:space="200"/>
            <w:col w:w="10760"/>
          </w:cols>
          <w:pgMar w:left="240" w:top="458" w:right="459" w:bottom="1440" w:gutter="0" w:footer="0" w:header="0"/>
          <w:type w:val="continuous"/>
        </w:sectPr>
      </w:pPr>
    </w:p>
    <w:p>
      <w:pPr>
        <w:spacing w:after="0" w:line="57"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2800" w:type="dxa"/>
            <w:vAlign w:val="bottom"/>
            <w:tcBorders>
              <w:right w:val="single" w:sz="8" w:color="AFAFAF"/>
            </w:tcBorders>
          </w:tcPr>
          <w:p>
            <w:pPr>
              <w:spacing w:after="0"/>
              <w:rPr>
                <w:sz w:val="14"/>
                <w:szCs w:val="14"/>
                <w:color w:val="auto"/>
              </w:rPr>
            </w:pPr>
          </w:p>
        </w:tc>
        <w:tc>
          <w:tcPr>
            <w:tcW w:w="1540" w:type="dxa"/>
            <w:vAlign w:val="bottom"/>
            <w:tcBorders>
              <w:right w:val="single" w:sz="8" w:color="CCCCCC"/>
            </w:tcBorders>
            <w:shd w:val="clear" w:color="auto" w:fill="CCCCCC"/>
          </w:tcPr>
          <w:p>
            <w:pPr>
              <w:spacing w:after="0"/>
              <w:rPr>
                <w:sz w:val="14"/>
                <w:szCs w:val="14"/>
                <w:color w:val="auto"/>
              </w:rPr>
            </w:pPr>
          </w:p>
        </w:tc>
        <w:tc>
          <w:tcPr>
            <w:tcW w:w="1300" w:type="dxa"/>
            <w:vAlign w:val="bottom"/>
            <w:tcBorders>
              <w:right w:val="single" w:sz="8" w:color="CCCCCC"/>
            </w:tcBorders>
            <w:shd w:val="clear" w:color="auto" w:fill="CCCCCC"/>
          </w:tcPr>
          <w:p>
            <w:pPr>
              <w:spacing w:after="0"/>
              <w:rPr>
                <w:sz w:val="14"/>
                <w:szCs w:val="14"/>
                <w:color w:val="auto"/>
              </w:rPr>
            </w:pPr>
          </w:p>
        </w:tc>
        <w:tc>
          <w:tcPr>
            <w:tcW w:w="1340" w:type="dxa"/>
            <w:vAlign w:val="bottom"/>
            <w:tcBorders>
              <w:right w:val="single" w:sz="8" w:color="CCCCCC"/>
            </w:tcBorders>
            <w:shd w:val="clear" w:color="auto" w:fill="CCCCCC"/>
          </w:tcPr>
          <w:p>
            <w:pPr>
              <w:spacing w:after="0"/>
              <w:rPr>
                <w:sz w:val="14"/>
                <w:szCs w:val="14"/>
                <w:color w:val="auto"/>
              </w:rPr>
            </w:pPr>
          </w:p>
        </w:tc>
        <w:tc>
          <w:tcPr>
            <w:tcW w:w="1380" w:type="dxa"/>
            <w:vAlign w:val="bottom"/>
            <w:tcBorders>
              <w:right w:val="single" w:sz="8" w:color="CCCCCC"/>
            </w:tcBorders>
            <w:shd w:val="clear" w:color="auto" w:fill="CCCCCC"/>
          </w:tcPr>
          <w:p>
            <w:pPr>
              <w:spacing w:after="0"/>
              <w:rPr>
                <w:sz w:val="14"/>
                <w:szCs w:val="14"/>
                <w:color w:val="auto"/>
              </w:rPr>
            </w:pPr>
          </w:p>
        </w:tc>
        <w:tc>
          <w:tcPr>
            <w:tcW w:w="1240" w:type="dxa"/>
            <w:vAlign w:val="bottom"/>
            <w:tcBorders>
              <w:right w:val="single" w:sz="8" w:color="CCCCCC"/>
            </w:tcBorders>
            <w:shd w:val="clear" w:color="auto" w:fill="CCCCCC"/>
          </w:tcPr>
          <w:p>
            <w:pPr>
              <w:spacing w:after="0"/>
              <w:rPr>
                <w:sz w:val="14"/>
                <w:szCs w:val="14"/>
                <w:color w:val="auto"/>
              </w:rPr>
            </w:pPr>
          </w:p>
        </w:tc>
        <w:tc>
          <w:tcPr>
            <w:tcW w:w="1380" w:type="dxa"/>
            <w:vAlign w:val="bottom"/>
            <w:shd w:val="clear" w:color="auto" w:fill="CCCCCC"/>
          </w:tcPr>
          <w:p>
            <w:pPr>
              <w:jc w:val="right"/>
              <w:ind w:right="227"/>
              <w:spacing w:after="0"/>
              <w:rPr>
                <w:sz w:val="20"/>
                <w:szCs w:val="20"/>
                <w:color w:val="auto"/>
              </w:rPr>
            </w:pPr>
            <w:r>
              <w:rPr>
                <w:rFonts w:ascii="Arial" w:cs="Arial" w:eastAsia="Arial" w:hAnsi="Arial"/>
                <w:sz w:val="15"/>
                <w:szCs w:val="15"/>
                <w:b w:val="1"/>
                <w:bCs w:val="1"/>
                <w:color w:val="auto"/>
              </w:rPr>
              <w:t>Qualifying</w:t>
            </w:r>
          </w:p>
        </w:tc>
        <w:tc>
          <w:tcPr>
            <w:tcW w:w="0" w:type="dxa"/>
            <w:vAlign w:val="bottom"/>
          </w:tcPr>
          <w:p>
            <w:pPr>
              <w:spacing w:after="0"/>
              <w:rPr>
                <w:sz w:val="1"/>
                <w:szCs w:val="1"/>
                <w:color w:val="auto"/>
              </w:rPr>
            </w:pPr>
          </w:p>
        </w:tc>
      </w:tr>
      <w:tr>
        <w:trPr>
          <w:trHeight w:val="162"/>
        </w:trPr>
        <w:tc>
          <w:tcPr>
            <w:tcW w:w="2800" w:type="dxa"/>
            <w:vAlign w:val="bottom"/>
            <w:tcBorders>
              <w:right w:val="single" w:sz="8" w:color="AFAFAF"/>
            </w:tcBorders>
          </w:tcPr>
          <w:p>
            <w:pPr>
              <w:spacing w:after="0"/>
              <w:rPr>
                <w:sz w:val="14"/>
                <w:szCs w:val="14"/>
                <w:color w:val="auto"/>
              </w:rPr>
            </w:pPr>
          </w:p>
        </w:tc>
        <w:tc>
          <w:tcPr>
            <w:tcW w:w="1540" w:type="dxa"/>
            <w:vAlign w:val="bottom"/>
            <w:tcBorders>
              <w:right w:val="single" w:sz="8" w:color="CCCCCC"/>
            </w:tcBorders>
            <w:shd w:val="clear" w:color="auto" w:fill="CCCCCC"/>
          </w:tcPr>
          <w:p>
            <w:pPr>
              <w:spacing w:after="0"/>
              <w:rPr>
                <w:sz w:val="14"/>
                <w:szCs w:val="14"/>
                <w:color w:val="auto"/>
              </w:rPr>
            </w:pPr>
          </w:p>
        </w:tc>
        <w:tc>
          <w:tcPr>
            <w:tcW w:w="1300" w:type="dxa"/>
            <w:vAlign w:val="bottom"/>
            <w:tcBorders>
              <w:right w:val="single" w:sz="8" w:color="CCCCCC"/>
            </w:tcBorders>
            <w:shd w:val="clear" w:color="auto" w:fill="CCCCCC"/>
          </w:tcPr>
          <w:p>
            <w:pPr>
              <w:spacing w:after="0"/>
              <w:rPr>
                <w:sz w:val="14"/>
                <w:szCs w:val="14"/>
                <w:color w:val="auto"/>
              </w:rPr>
            </w:pPr>
          </w:p>
        </w:tc>
        <w:tc>
          <w:tcPr>
            <w:tcW w:w="1340" w:type="dxa"/>
            <w:vAlign w:val="bottom"/>
            <w:tcBorders>
              <w:right w:val="single" w:sz="8" w:color="CCCCCC"/>
            </w:tcBorders>
            <w:vMerge w:val="restart"/>
            <w:shd w:val="clear" w:color="auto" w:fill="CCCCCC"/>
          </w:tcPr>
          <w:p>
            <w:pPr>
              <w:jc w:val="right"/>
              <w:spacing w:after="0"/>
              <w:rPr>
                <w:sz w:val="20"/>
                <w:szCs w:val="20"/>
                <w:color w:val="auto"/>
              </w:rPr>
            </w:pPr>
            <w:r>
              <w:rPr>
                <w:rFonts w:ascii="Arial" w:cs="Arial" w:eastAsia="Arial" w:hAnsi="Arial"/>
                <w:sz w:val="15"/>
                <w:szCs w:val="15"/>
                <w:b w:val="1"/>
                <w:bCs w:val="1"/>
                <w:color w:val="auto"/>
              </w:rPr>
              <w:t>Involuntary</w:t>
            </w:r>
          </w:p>
        </w:tc>
        <w:tc>
          <w:tcPr>
            <w:tcW w:w="1380" w:type="dxa"/>
            <w:vAlign w:val="bottom"/>
            <w:tcBorders>
              <w:right w:val="single" w:sz="8" w:color="CCCCCC"/>
            </w:tcBorders>
            <w:shd w:val="clear" w:color="auto" w:fill="CCCCCC"/>
          </w:tcPr>
          <w:p>
            <w:pPr>
              <w:spacing w:after="0"/>
              <w:rPr>
                <w:sz w:val="14"/>
                <w:szCs w:val="14"/>
                <w:color w:val="auto"/>
              </w:rPr>
            </w:pPr>
          </w:p>
        </w:tc>
        <w:tc>
          <w:tcPr>
            <w:tcW w:w="1240" w:type="dxa"/>
            <w:vAlign w:val="bottom"/>
            <w:tcBorders>
              <w:right w:val="single" w:sz="8" w:color="CCCCCC"/>
            </w:tcBorders>
            <w:shd w:val="clear" w:color="auto" w:fill="CCCCCC"/>
          </w:tcPr>
          <w:p>
            <w:pPr>
              <w:spacing w:after="0"/>
              <w:rPr>
                <w:sz w:val="14"/>
                <w:szCs w:val="14"/>
                <w:color w:val="auto"/>
              </w:rPr>
            </w:pPr>
          </w:p>
        </w:tc>
        <w:tc>
          <w:tcPr>
            <w:tcW w:w="1380" w:type="dxa"/>
            <w:vAlign w:val="bottom"/>
            <w:shd w:val="clear" w:color="auto" w:fill="CCCCCC"/>
          </w:tcPr>
          <w:p>
            <w:pPr>
              <w:jc w:val="right"/>
              <w:ind w:right="227"/>
              <w:spacing w:after="0" w:line="161" w:lineRule="exact"/>
              <w:rPr>
                <w:sz w:val="20"/>
                <w:szCs w:val="20"/>
                <w:color w:val="auto"/>
              </w:rPr>
            </w:pPr>
            <w:r>
              <w:rPr>
                <w:rFonts w:ascii="Arial" w:cs="Arial" w:eastAsia="Arial" w:hAnsi="Arial"/>
                <w:sz w:val="15"/>
                <w:szCs w:val="15"/>
                <w:b w:val="1"/>
                <w:bCs w:val="1"/>
                <w:color w:val="auto"/>
              </w:rPr>
              <w:t>“double</w:t>
            </w:r>
          </w:p>
        </w:tc>
        <w:tc>
          <w:tcPr>
            <w:tcW w:w="0" w:type="dxa"/>
            <w:vAlign w:val="bottom"/>
          </w:tcPr>
          <w:p>
            <w:pPr>
              <w:spacing w:after="0"/>
              <w:rPr>
                <w:sz w:val="1"/>
                <w:szCs w:val="1"/>
                <w:color w:val="auto"/>
              </w:rPr>
            </w:pPr>
          </w:p>
        </w:tc>
      </w:tr>
      <w:tr>
        <w:trPr>
          <w:trHeight w:val="161"/>
        </w:trPr>
        <w:tc>
          <w:tcPr>
            <w:tcW w:w="2800" w:type="dxa"/>
            <w:vAlign w:val="bottom"/>
            <w:tcBorders>
              <w:right w:val="single" w:sz="8" w:color="AFAFAF"/>
            </w:tcBorders>
          </w:tcPr>
          <w:p>
            <w:pPr>
              <w:spacing w:after="0"/>
              <w:rPr>
                <w:sz w:val="14"/>
                <w:szCs w:val="14"/>
                <w:color w:val="auto"/>
              </w:rPr>
            </w:pPr>
          </w:p>
        </w:tc>
        <w:tc>
          <w:tcPr>
            <w:tcW w:w="1540" w:type="dxa"/>
            <w:vAlign w:val="bottom"/>
            <w:tcBorders>
              <w:right w:val="single" w:sz="8" w:color="CCCCCC"/>
            </w:tcBorders>
            <w:shd w:val="clear" w:color="auto" w:fill="CCCCCC"/>
          </w:tcPr>
          <w:p>
            <w:pPr>
              <w:spacing w:after="0"/>
              <w:rPr>
                <w:sz w:val="14"/>
                <w:szCs w:val="14"/>
                <w:color w:val="auto"/>
              </w:rPr>
            </w:pPr>
          </w:p>
        </w:tc>
        <w:tc>
          <w:tcPr>
            <w:tcW w:w="1300" w:type="dxa"/>
            <w:vAlign w:val="bottom"/>
            <w:tcBorders>
              <w:right w:val="single" w:sz="8" w:color="CCCCCC"/>
            </w:tcBorders>
            <w:shd w:val="clear" w:color="auto" w:fill="CCCCCC"/>
          </w:tcPr>
          <w:p>
            <w:pPr>
              <w:spacing w:after="0"/>
              <w:rPr>
                <w:sz w:val="14"/>
                <w:szCs w:val="14"/>
                <w:color w:val="auto"/>
              </w:rPr>
            </w:pPr>
          </w:p>
        </w:tc>
        <w:tc>
          <w:tcPr>
            <w:tcW w:w="1340" w:type="dxa"/>
            <w:vAlign w:val="bottom"/>
            <w:tcBorders>
              <w:right w:val="single" w:sz="8" w:color="CCCCCC"/>
            </w:tcBorders>
            <w:vMerge w:val="continue"/>
            <w:shd w:val="clear" w:color="auto" w:fill="CCCCCC"/>
          </w:tcPr>
          <w:p>
            <w:pPr>
              <w:spacing w:after="0"/>
              <w:rPr>
                <w:sz w:val="14"/>
                <w:szCs w:val="14"/>
                <w:color w:val="auto"/>
              </w:rPr>
            </w:pPr>
          </w:p>
        </w:tc>
        <w:tc>
          <w:tcPr>
            <w:tcW w:w="1380" w:type="dxa"/>
            <w:vAlign w:val="bottom"/>
            <w:tcBorders>
              <w:right w:val="single" w:sz="8" w:color="CCCCCC"/>
            </w:tcBorders>
            <w:shd w:val="clear" w:color="auto" w:fill="CCCCCC"/>
          </w:tcPr>
          <w:p>
            <w:pPr>
              <w:spacing w:after="0"/>
              <w:rPr>
                <w:sz w:val="14"/>
                <w:szCs w:val="14"/>
                <w:color w:val="auto"/>
              </w:rPr>
            </w:pPr>
          </w:p>
        </w:tc>
        <w:tc>
          <w:tcPr>
            <w:tcW w:w="1240" w:type="dxa"/>
            <w:vAlign w:val="bottom"/>
            <w:tcBorders>
              <w:right w:val="single" w:sz="8" w:color="CCCCCC"/>
            </w:tcBorders>
            <w:shd w:val="clear" w:color="auto" w:fill="CCCCCC"/>
          </w:tcPr>
          <w:p>
            <w:pPr>
              <w:spacing w:after="0"/>
              <w:rPr>
                <w:sz w:val="14"/>
                <w:szCs w:val="14"/>
                <w:color w:val="auto"/>
              </w:rPr>
            </w:pPr>
          </w:p>
        </w:tc>
        <w:tc>
          <w:tcPr>
            <w:tcW w:w="1380" w:type="dxa"/>
            <w:vAlign w:val="bottom"/>
            <w:shd w:val="clear" w:color="auto" w:fill="CCCCCC"/>
          </w:tcPr>
          <w:p>
            <w:pPr>
              <w:jc w:val="right"/>
              <w:ind w:right="227"/>
              <w:spacing w:after="0" w:line="161" w:lineRule="exact"/>
              <w:rPr>
                <w:sz w:val="20"/>
                <w:szCs w:val="20"/>
                <w:color w:val="auto"/>
              </w:rPr>
            </w:pPr>
            <w:r>
              <w:rPr>
                <w:rFonts w:ascii="Arial" w:cs="Arial" w:eastAsia="Arial" w:hAnsi="Arial"/>
                <w:sz w:val="15"/>
                <w:szCs w:val="15"/>
                <w:b w:val="1"/>
                <w:bCs w:val="1"/>
                <w:color w:val="auto"/>
              </w:rPr>
              <w:t>trigger”</w:t>
            </w:r>
          </w:p>
        </w:tc>
        <w:tc>
          <w:tcPr>
            <w:tcW w:w="0" w:type="dxa"/>
            <w:vAlign w:val="bottom"/>
          </w:tcPr>
          <w:p>
            <w:pPr>
              <w:spacing w:after="0"/>
              <w:rPr>
                <w:sz w:val="1"/>
                <w:szCs w:val="1"/>
                <w:color w:val="auto"/>
              </w:rPr>
            </w:pPr>
          </w:p>
        </w:tc>
      </w:tr>
      <w:tr>
        <w:trPr>
          <w:trHeight w:val="162"/>
        </w:trPr>
        <w:tc>
          <w:tcPr>
            <w:tcW w:w="2800" w:type="dxa"/>
            <w:vAlign w:val="bottom"/>
            <w:tcBorders>
              <w:right w:val="single" w:sz="8" w:color="AFAFAF"/>
            </w:tcBorders>
          </w:tcPr>
          <w:p>
            <w:pPr>
              <w:spacing w:after="0"/>
              <w:rPr>
                <w:sz w:val="14"/>
                <w:szCs w:val="14"/>
                <w:color w:val="auto"/>
              </w:rPr>
            </w:pPr>
          </w:p>
        </w:tc>
        <w:tc>
          <w:tcPr>
            <w:tcW w:w="1540" w:type="dxa"/>
            <w:vAlign w:val="bottom"/>
            <w:tcBorders>
              <w:right w:val="single" w:sz="8" w:color="CCCCCC"/>
            </w:tcBorders>
            <w:vMerge w:val="restart"/>
            <w:shd w:val="clear" w:color="auto" w:fill="CCCCCC"/>
          </w:tcPr>
          <w:p>
            <w:pPr>
              <w:jc w:val="right"/>
              <w:ind w:right="208"/>
              <w:spacing w:after="0"/>
              <w:rPr>
                <w:sz w:val="20"/>
                <w:szCs w:val="20"/>
                <w:color w:val="auto"/>
              </w:rPr>
            </w:pPr>
            <w:r>
              <w:rPr>
                <w:rFonts w:ascii="Arial" w:cs="Arial" w:eastAsia="Arial" w:hAnsi="Arial"/>
                <w:sz w:val="15"/>
                <w:szCs w:val="15"/>
                <w:b w:val="1"/>
                <w:bCs w:val="1"/>
                <w:color w:val="auto"/>
              </w:rPr>
              <w:t>Involuntary</w:t>
            </w:r>
          </w:p>
        </w:tc>
        <w:tc>
          <w:tcPr>
            <w:tcW w:w="1300" w:type="dxa"/>
            <w:vAlign w:val="bottom"/>
            <w:tcBorders>
              <w:right w:val="single" w:sz="8" w:color="CCCCCC"/>
            </w:tcBorders>
            <w:shd w:val="clear" w:color="auto" w:fill="CCCCCC"/>
          </w:tcPr>
          <w:p>
            <w:pPr>
              <w:spacing w:after="0"/>
              <w:rPr>
                <w:sz w:val="14"/>
                <w:szCs w:val="14"/>
                <w:color w:val="auto"/>
              </w:rPr>
            </w:pPr>
          </w:p>
        </w:tc>
        <w:tc>
          <w:tcPr>
            <w:tcW w:w="1340" w:type="dxa"/>
            <w:vAlign w:val="bottom"/>
            <w:tcBorders>
              <w:right w:val="single" w:sz="8" w:color="CCCCCC"/>
            </w:tcBorders>
            <w:shd w:val="clear" w:color="auto" w:fill="CCCCCC"/>
          </w:tcPr>
          <w:p>
            <w:pPr>
              <w:jc w:val="center"/>
              <w:ind w:left="148"/>
              <w:spacing w:after="0" w:line="161" w:lineRule="exact"/>
              <w:rPr>
                <w:sz w:val="20"/>
                <w:szCs w:val="20"/>
                <w:color w:val="auto"/>
              </w:rPr>
            </w:pPr>
            <w:r>
              <w:rPr>
                <w:rFonts w:ascii="Arial" w:cs="Arial" w:eastAsia="Arial" w:hAnsi="Arial"/>
                <w:sz w:val="15"/>
                <w:szCs w:val="15"/>
                <w:b w:val="1"/>
                <w:bCs w:val="1"/>
                <w:color w:val="auto"/>
              </w:rPr>
              <w:t>termination for</w:t>
            </w:r>
          </w:p>
        </w:tc>
        <w:tc>
          <w:tcPr>
            <w:tcW w:w="1380" w:type="dxa"/>
            <w:vAlign w:val="bottom"/>
            <w:tcBorders>
              <w:right w:val="single" w:sz="8" w:color="CCCCCC"/>
            </w:tcBorders>
            <w:shd w:val="clear" w:color="auto" w:fill="CCCCCC"/>
          </w:tcPr>
          <w:p>
            <w:pPr>
              <w:spacing w:after="0"/>
              <w:rPr>
                <w:sz w:val="14"/>
                <w:szCs w:val="14"/>
                <w:color w:val="auto"/>
              </w:rPr>
            </w:pPr>
          </w:p>
        </w:tc>
        <w:tc>
          <w:tcPr>
            <w:tcW w:w="1240" w:type="dxa"/>
            <w:vAlign w:val="bottom"/>
            <w:tcBorders>
              <w:right w:val="single" w:sz="8" w:color="CCCCCC"/>
            </w:tcBorders>
            <w:shd w:val="clear" w:color="auto" w:fill="CCCCCC"/>
          </w:tcPr>
          <w:p>
            <w:pPr>
              <w:spacing w:after="0"/>
              <w:rPr>
                <w:sz w:val="14"/>
                <w:szCs w:val="14"/>
                <w:color w:val="auto"/>
              </w:rPr>
            </w:pPr>
          </w:p>
        </w:tc>
        <w:tc>
          <w:tcPr>
            <w:tcW w:w="1380" w:type="dxa"/>
            <w:vAlign w:val="bottom"/>
            <w:shd w:val="clear" w:color="auto" w:fill="CCCCCC"/>
          </w:tcPr>
          <w:p>
            <w:pPr>
              <w:jc w:val="right"/>
              <w:ind w:right="227"/>
              <w:spacing w:after="0" w:line="161" w:lineRule="exact"/>
              <w:rPr>
                <w:sz w:val="20"/>
                <w:szCs w:val="20"/>
                <w:color w:val="auto"/>
              </w:rPr>
            </w:pPr>
            <w:r>
              <w:rPr>
                <w:rFonts w:ascii="Arial" w:cs="Arial" w:eastAsia="Arial" w:hAnsi="Arial"/>
                <w:sz w:val="15"/>
                <w:szCs w:val="15"/>
                <w:b w:val="1"/>
                <w:bCs w:val="1"/>
                <w:color w:val="auto"/>
              </w:rPr>
              <w:t>termination</w:t>
            </w:r>
          </w:p>
        </w:tc>
        <w:tc>
          <w:tcPr>
            <w:tcW w:w="0" w:type="dxa"/>
            <w:vAlign w:val="bottom"/>
          </w:tcPr>
          <w:p>
            <w:pPr>
              <w:spacing w:after="0"/>
              <w:rPr>
                <w:sz w:val="1"/>
                <w:szCs w:val="1"/>
                <w:color w:val="auto"/>
              </w:rPr>
            </w:pPr>
          </w:p>
        </w:tc>
      </w:tr>
      <w:tr>
        <w:trPr>
          <w:trHeight w:val="162"/>
        </w:trPr>
        <w:tc>
          <w:tcPr>
            <w:tcW w:w="2800" w:type="dxa"/>
            <w:vAlign w:val="bottom"/>
            <w:tcBorders>
              <w:right w:val="single" w:sz="8" w:color="AFAFAF"/>
            </w:tcBorders>
          </w:tcPr>
          <w:p>
            <w:pPr>
              <w:spacing w:after="0"/>
              <w:rPr>
                <w:sz w:val="14"/>
                <w:szCs w:val="14"/>
                <w:color w:val="auto"/>
              </w:rPr>
            </w:pPr>
          </w:p>
        </w:tc>
        <w:tc>
          <w:tcPr>
            <w:tcW w:w="1540" w:type="dxa"/>
            <w:vAlign w:val="bottom"/>
            <w:tcBorders>
              <w:right w:val="single" w:sz="8" w:color="CCCCCC"/>
            </w:tcBorders>
            <w:vMerge w:val="continue"/>
            <w:shd w:val="clear" w:color="auto" w:fill="CCCCCC"/>
          </w:tcPr>
          <w:p>
            <w:pPr>
              <w:spacing w:after="0"/>
              <w:rPr>
                <w:sz w:val="14"/>
                <w:szCs w:val="14"/>
                <w:color w:val="auto"/>
              </w:rPr>
            </w:pPr>
          </w:p>
        </w:tc>
        <w:tc>
          <w:tcPr>
            <w:tcW w:w="1300" w:type="dxa"/>
            <w:vAlign w:val="bottom"/>
            <w:tcBorders>
              <w:right w:val="single" w:sz="8" w:color="CCCCCC"/>
            </w:tcBorders>
            <w:vMerge w:val="restart"/>
            <w:shd w:val="clear" w:color="auto" w:fill="CCCCCC"/>
          </w:tcPr>
          <w:p>
            <w:pPr>
              <w:jc w:val="right"/>
              <w:ind w:right="188"/>
              <w:spacing w:after="0"/>
              <w:rPr>
                <w:sz w:val="20"/>
                <w:szCs w:val="20"/>
                <w:color w:val="auto"/>
              </w:rPr>
            </w:pPr>
            <w:r>
              <w:rPr>
                <w:rFonts w:ascii="Arial" w:cs="Arial" w:eastAsia="Arial" w:hAnsi="Arial"/>
                <w:sz w:val="15"/>
                <w:szCs w:val="15"/>
                <w:b w:val="1"/>
                <w:bCs w:val="1"/>
                <w:color w:val="auto"/>
              </w:rPr>
              <w:t>Early</w:t>
            </w:r>
          </w:p>
        </w:tc>
        <w:tc>
          <w:tcPr>
            <w:tcW w:w="1340" w:type="dxa"/>
            <w:vAlign w:val="bottom"/>
            <w:tcBorders>
              <w:right w:val="single" w:sz="8" w:color="CCCCCC"/>
            </w:tcBorders>
            <w:shd w:val="clear" w:color="auto" w:fill="CCCCCC"/>
          </w:tcPr>
          <w:p>
            <w:pPr>
              <w:jc w:val="right"/>
              <w:spacing w:after="0" w:line="161" w:lineRule="exact"/>
              <w:rPr>
                <w:sz w:val="20"/>
                <w:szCs w:val="20"/>
                <w:color w:val="auto"/>
              </w:rPr>
            </w:pPr>
            <w:r>
              <w:rPr>
                <w:rFonts w:ascii="Arial" w:cs="Arial" w:eastAsia="Arial" w:hAnsi="Arial"/>
                <w:sz w:val="15"/>
                <w:szCs w:val="15"/>
                <w:b w:val="1"/>
                <w:bCs w:val="1"/>
                <w:color w:val="auto"/>
              </w:rPr>
              <w:t>cause or</w:t>
            </w:r>
          </w:p>
        </w:tc>
        <w:tc>
          <w:tcPr>
            <w:tcW w:w="1380" w:type="dxa"/>
            <w:vAlign w:val="bottom"/>
            <w:tcBorders>
              <w:right w:val="single" w:sz="8" w:color="CCCCCC"/>
            </w:tcBorders>
            <w:vMerge w:val="restart"/>
            <w:shd w:val="clear" w:color="auto" w:fill="CCCCCC"/>
          </w:tcPr>
          <w:p>
            <w:pPr>
              <w:jc w:val="center"/>
              <w:ind w:left="148"/>
              <w:spacing w:after="0"/>
              <w:rPr>
                <w:sz w:val="20"/>
                <w:szCs w:val="20"/>
                <w:color w:val="auto"/>
              </w:rPr>
            </w:pPr>
            <w:r>
              <w:rPr>
                <w:rFonts w:ascii="Arial" w:cs="Arial" w:eastAsia="Arial" w:hAnsi="Arial"/>
                <w:sz w:val="15"/>
                <w:szCs w:val="15"/>
                <w:b w:val="1"/>
                <w:bCs w:val="1"/>
                <w:color w:val="auto"/>
              </w:rPr>
              <w:t>Termination for</w:t>
            </w:r>
          </w:p>
        </w:tc>
        <w:tc>
          <w:tcPr>
            <w:tcW w:w="1240" w:type="dxa"/>
            <w:vAlign w:val="bottom"/>
            <w:tcBorders>
              <w:right w:val="single" w:sz="8" w:color="CCCCCC"/>
            </w:tcBorders>
            <w:vMerge w:val="restart"/>
            <w:shd w:val="clear" w:color="auto" w:fill="CCCCCC"/>
          </w:tcPr>
          <w:p>
            <w:pPr>
              <w:jc w:val="center"/>
              <w:spacing w:after="0"/>
              <w:rPr>
                <w:sz w:val="20"/>
                <w:szCs w:val="20"/>
                <w:color w:val="auto"/>
              </w:rPr>
            </w:pPr>
            <w:r>
              <w:rPr>
                <w:rFonts w:ascii="Arial" w:cs="Arial" w:eastAsia="Arial" w:hAnsi="Arial"/>
                <w:sz w:val="15"/>
                <w:szCs w:val="15"/>
                <w:b w:val="1"/>
                <w:bCs w:val="1"/>
                <w:color w:val="auto"/>
              </w:rPr>
              <w:t>Death or</w:t>
            </w:r>
          </w:p>
        </w:tc>
        <w:tc>
          <w:tcPr>
            <w:tcW w:w="1380" w:type="dxa"/>
            <w:vAlign w:val="bottom"/>
            <w:shd w:val="clear" w:color="auto" w:fill="CCCCCC"/>
          </w:tcPr>
          <w:p>
            <w:pPr>
              <w:jc w:val="right"/>
              <w:ind w:right="227"/>
              <w:spacing w:after="0" w:line="161" w:lineRule="exact"/>
              <w:rPr>
                <w:sz w:val="20"/>
                <w:szCs w:val="20"/>
                <w:color w:val="auto"/>
              </w:rPr>
            </w:pPr>
            <w:r>
              <w:rPr>
                <w:rFonts w:ascii="Arial" w:cs="Arial" w:eastAsia="Arial" w:hAnsi="Arial"/>
                <w:sz w:val="15"/>
                <w:szCs w:val="15"/>
                <w:b w:val="1"/>
                <w:bCs w:val="1"/>
                <w:color w:val="auto"/>
              </w:rPr>
              <w:t>following a</w:t>
            </w:r>
          </w:p>
        </w:tc>
        <w:tc>
          <w:tcPr>
            <w:tcW w:w="0" w:type="dxa"/>
            <w:vAlign w:val="bottom"/>
          </w:tcPr>
          <w:p>
            <w:pPr>
              <w:spacing w:after="0"/>
              <w:rPr>
                <w:sz w:val="1"/>
                <w:szCs w:val="1"/>
                <w:color w:val="auto"/>
              </w:rPr>
            </w:pPr>
          </w:p>
        </w:tc>
      </w:tr>
      <w:tr>
        <w:trPr>
          <w:trHeight w:val="162"/>
        </w:trPr>
        <w:tc>
          <w:tcPr>
            <w:tcW w:w="2800" w:type="dxa"/>
            <w:vAlign w:val="bottom"/>
            <w:tcBorders>
              <w:right w:val="single" w:sz="8" w:color="AFAFAF"/>
            </w:tcBorders>
          </w:tcPr>
          <w:p>
            <w:pPr>
              <w:spacing w:after="0"/>
              <w:rPr>
                <w:sz w:val="14"/>
                <w:szCs w:val="14"/>
                <w:color w:val="auto"/>
              </w:rPr>
            </w:pPr>
          </w:p>
        </w:tc>
        <w:tc>
          <w:tcPr>
            <w:tcW w:w="1540" w:type="dxa"/>
            <w:vAlign w:val="bottom"/>
            <w:tcBorders>
              <w:right w:val="single" w:sz="8" w:color="CCCCCC"/>
            </w:tcBorders>
            <w:shd w:val="clear" w:color="auto" w:fill="CCCCCC"/>
          </w:tcPr>
          <w:p>
            <w:pPr>
              <w:jc w:val="right"/>
              <w:ind w:right="208"/>
              <w:spacing w:after="0" w:line="161" w:lineRule="exact"/>
              <w:rPr>
                <w:sz w:val="20"/>
                <w:szCs w:val="20"/>
                <w:color w:val="auto"/>
              </w:rPr>
            </w:pPr>
            <w:r>
              <w:rPr>
                <w:rFonts w:ascii="Arial" w:cs="Arial" w:eastAsia="Arial" w:hAnsi="Arial"/>
                <w:sz w:val="15"/>
                <w:szCs w:val="15"/>
                <w:b w:val="1"/>
                <w:bCs w:val="1"/>
                <w:color w:val="auto"/>
              </w:rPr>
              <w:t>Termination</w:t>
            </w:r>
          </w:p>
        </w:tc>
        <w:tc>
          <w:tcPr>
            <w:tcW w:w="1300" w:type="dxa"/>
            <w:vAlign w:val="bottom"/>
            <w:tcBorders>
              <w:right w:val="single" w:sz="8" w:color="CCCCCC"/>
            </w:tcBorders>
            <w:vMerge w:val="continue"/>
            <w:shd w:val="clear" w:color="auto" w:fill="CCCCCC"/>
          </w:tcPr>
          <w:p>
            <w:pPr>
              <w:spacing w:after="0"/>
              <w:rPr>
                <w:sz w:val="14"/>
                <w:szCs w:val="14"/>
                <w:color w:val="auto"/>
              </w:rPr>
            </w:pPr>
          </w:p>
        </w:tc>
        <w:tc>
          <w:tcPr>
            <w:tcW w:w="1340" w:type="dxa"/>
            <w:vAlign w:val="bottom"/>
            <w:tcBorders>
              <w:right w:val="single" w:sz="8" w:color="CCCCCC"/>
            </w:tcBorders>
            <w:shd w:val="clear" w:color="auto" w:fill="CCCCCC"/>
          </w:tcPr>
          <w:p>
            <w:pPr>
              <w:jc w:val="right"/>
              <w:spacing w:after="0" w:line="161" w:lineRule="exact"/>
              <w:rPr>
                <w:sz w:val="20"/>
                <w:szCs w:val="20"/>
                <w:color w:val="auto"/>
              </w:rPr>
            </w:pPr>
            <w:r>
              <w:rPr>
                <w:rFonts w:ascii="Arial" w:cs="Arial" w:eastAsia="Arial" w:hAnsi="Arial"/>
                <w:sz w:val="15"/>
                <w:szCs w:val="15"/>
                <w:b w:val="1"/>
                <w:bCs w:val="1"/>
                <w:color w:val="auto"/>
              </w:rPr>
              <w:t>voluntary</w:t>
            </w:r>
          </w:p>
        </w:tc>
        <w:tc>
          <w:tcPr>
            <w:tcW w:w="1380" w:type="dxa"/>
            <w:vAlign w:val="bottom"/>
            <w:tcBorders>
              <w:right w:val="single" w:sz="8" w:color="CCCCCC"/>
            </w:tcBorders>
            <w:vMerge w:val="continue"/>
            <w:shd w:val="clear" w:color="auto" w:fill="CCCCCC"/>
          </w:tcPr>
          <w:p>
            <w:pPr>
              <w:spacing w:after="0"/>
              <w:rPr>
                <w:sz w:val="14"/>
                <w:szCs w:val="14"/>
                <w:color w:val="auto"/>
              </w:rPr>
            </w:pPr>
          </w:p>
        </w:tc>
        <w:tc>
          <w:tcPr>
            <w:tcW w:w="1240" w:type="dxa"/>
            <w:vAlign w:val="bottom"/>
            <w:tcBorders>
              <w:right w:val="single" w:sz="8" w:color="CCCCCC"/>
            </w:tcBorders>
            <w:vMerge w:val="continue"/>
            <w:shd w:val="clear" w:color="auto" w:fill="CCCCCC"/>
          </w:tcPr>
          <w:p>
            <w:pPr>
              <w:spacing w:after="0"/>
              <w:rPr>
                <w:sz w:val="14"/>
                <w:szCs w:val="14"/>
                <w:color w:val="auto"/>
              </w:rPr>
            </w:pPr>
          </w:p>
        </w:tc>
        <w:tc>
          <w:tcPr>
            <w:tcW w:w="1380" w:type="dxa"/>
            <w:vAlign w:val="bottom"/>
            <w:shd w:val="clear" w:color="auto" w:fill="CCCCCC"/>
          </w:tcPr>
          <w:p>
            <w:pPr>
              <w:jc w:val="right"/>
              <w:ind w:right="227"/>
              <w:spacing w:after="0" w:line="161" w:lineRule="exact"/>
              <w:rPr>
                <w:sz w:val="20"/>
                <w:szCs w:val="20"/>
                <w:color w:val="auto"/>
              </w:rPr>
            </w:pPr>
            <w:r>
              <w:rPr>
                <w:rFonts w:ascii="Arial" w:cs="Arial" w:eastAsia="Arial" w:hAnsi="Arial"/>
                <w:sz w:val="15"/>
                <w:szCs w:val="15"/>
                <w:b w:val="1"/>
                <w:bCs w:val="1"/>
                <w:color w:val="auto"/>
              </w:rPr>
              <w:t>change of</w:t>
            </w:r>
          </w:p>
        </w:tc>
        <w:tc>
          <w:tcPr>
            <w:tcW w:w="0" w:type="dxa"/>
            <w:vAlign w:val="bottom"/>
          </w:tcPr>
          <w:p>
            <w:pPr>
              <w:spacing w:after="0"/>
              <w:rPr>
                <w:sz w:val="1"/>
                <w:szCs w:val="1"/>
                <w:color w:val="auto"/>
              </w:rPr>
            </w:pPr>
          </w:p>
        </w:tc>
      </w:tr>
      <w:tr>
        <w:trPr>
          <w:trHeight w:val="183"/>
        </w:trPr>
        <w:tc>
          <w:tcPr>
            <w:tcW w:w="2800" w:type="dxa"/>
            <w:vAlign w:val="bottom"/>
            <w:tcBorders>
              <w:bottom w:val="single" w:sz="8" w:color="D95A3B"/>
              <w:right w:val="single" w:sz="8" w:color="AFAFAF"/>
            </w:tcBorders>
          </w:tcPr>
          <w:p>
            <w:pPr>
              <w:spacing w:after="0"/>
              <w:rPr>
                <w:sz w:val="15"/>
                <w:szCs w:val="15"/>
                <w:color w:val="auto"/>
              </w:rPr>
            </w:pPr>
          </w:p>
        </w:tc>
        <w:tc>
          <w:tcPr>
            <w:tcW w:w="1540" w:type="dxa"/>
            <w:vAlign w:val="bottom"/>
            <w:tcBorders>
              <w:bottom w:val="single" w:sz="8" w:color="D95A3B"/>
              <w:right w:val="single" w:sz="8" w:color="CCCCCC"/>
            </w:tcBorders>
            <w:shd w:val="clear" w:color="auto" w:fill="CCCCCC"/>
          </w:tcPr>
          <w:p>
            <w:pPr>
              <w:jc w:val="right"/>
              <w:ind w:right="208"/>
              <w:spacing w:after="0"/>
              <w:rPr>
                <w:sz w:val="20"/>
                <w:szCs w:val="20"/>
                <w:color w:val="auto"/>
              </w:rPr>
            </w:pPr>
            <w:r>
              <w:rPr>
                <w:rFonts w:ascii="Arial" w:cs="Arial" w:eastAsia="Arial" w:hAnsi="Arial"/>
                <w:sz w:val="15"/>
                <w:szCs w:val="15"/>
                <w:b w:val="1"/>
                <w:bCs w:val="1"/>
                <w:color w:val="auto"/>
              </w:rPr>
              <w:t>without cause</w:t>
            </w:r>
          </w:p>
        </w:tc>
        <w:tc>
          <w:tcPr>
            <w:tcW w:w="1300" w:type="dxa"/>
            <w:vAlign w:val="bottom"/>
            <w:tcBorders>
              <w:bottom w:val="single" w:sz="8" w:color="D95A3B"/>
              <w:right w:val="single" w:sz="8" w:color="CCCCCC"/>
            </w:tcBorders>
            <w:shd w:val="clear" w:color="auto" w:fill="CCCCCC"/>
          </w:tcPr>
          <w:p>
            <w:pPr>
              <w:jc w:val="right"/>
              <w:ind w:right="188"/>
              <w:spacing w:after="0"/>
              <w:rPr>
                <w:sz w:val="20"/>
                <w:szCs w:val="20"/>
                <w:color w:val="auto"/>
              </w:rPr>
            </w:pPr>
            <w:r>
              <w:rPr>
                <w:rFonts w:ascii="Arial" w:cs="Arial" w:eastAsia="Arial" w:hAnsi="Arial"/>
                <w:sz w:val="15"/>
                <w:szCs w:val="15"/>
                <w:b w:val="1"/>
                <w:bCs w:val="1"/>
                <w:color w:val="auto"/>
              </w:rPr>
              <w:t>Retirement</w:t>
            </w:r>
          </w:p>
        </w:tc>
        <w:tc>
          <w:tcPr>
            <w:tcW w:w="1340" w:type="dxa"/>
            <w:vAlign w:val="bottom"/>
            <w:tcBorders>
              <w:bottom w:val="single" w:sz="8" w:color="D95A3B"/>
              <w:right w:val="single" w:sz="8" w:color="CCCCCC"/>
            </w:tcBorders>
            <w:shd w:val="clear" w:color="auto" w:fill="CCCCCC"/>
          </w:tcPr>
          <w:p>
            <w:pPr>
              <w:jc w:val="right"/>
              <w:spacing w:after="0"/>
              <w:rPr>
                <w:sz w:val="20"/>
                <w:szCs w:val="20"/>
                <w:color w:val="auto"/>
              </w:rPr>
            </w:pPr>
            <w:r>
              <w:rPr>
                <w:rFonts w:ascii="Arial" w:cs="Arial" w:eastAsia="Arial" w:hAnsi="Arial"/>
                <w:sz w:val="15"/>
                <w:szCs w:val="15"/>
                <w:b w:val="1"/>
                <w:bCs w:val="1"/>
                <w:color w:val="auto"/>
              </w:rPr>
              <w:t>resignation</w:t>
            </w:r>
          </w:p>
        </w:tc>
        <w:tc>
          <w:tcPr>
            <w:tcW w:w="1380" w:type="dxa"/>
            <w:vAlign w:val="bottom"/>
            <w:tcBorders>
              <w:bottom w:val="single" w:sz="8" w:color="D95A3B"/>
              <w:right w:val="single" w:sz="8" w:color="CCCCCC"/>
            </w:tcBorders>
            <w:shd w:val="clear" w:color="auto" w:fill="CCCCCC"/>
          </w:tcPr>
          <w:p>
            <w:pPr>
              <w:ind w:left="440"/>
              <w:spacing w:after="0"/>
              <w:rPr>
                <w:sz w:val="20"/>
                <w:szCs w:val="20"/>
                <w:color w:val="auto"/>
              </w:rPr>
            </w:pPr>
            <w:r>
              <w:rPr>
                <w:rFonts w:ascii="Arial" w:cs="Arial" w:eastAsia="Arial" w:hAnsi="Arial"/>
                <w:sz w:val="15"/>
                <w:szCs w:val="15"/>
                <w:b w:val="1"/>
                <w:bCs w:val="1"/>
                <w:color w:val="auto"/>
                <w:w w:val="99"/>
              </w:rPr>
              <w:t>good reason</w:t>
            </w:r>
          </w:p>
        </w:tc>
        <w:tc>
          <w:tcPr>
            <w:tcW w:w="1240" w:type="dxa"/>
            <w:vAlign w:val="bottom"/>
            <w:tcBorders>
              <w:bottom w:val="single" w:sz="8" w:color="D95A3B"/>
              <w:right w:val="single" w:sz="8" w:color="CCCCCC"/>
            </w:tcBorders>
            <w:shd w:val="clear" w:color="auto" w:fill="CCCCCC"/>
          </w:tcPr>
          <w:p>
            <w:pPr>
              <w:jc w:val="right"/>
              <w:ind w:right="248"/>
              <w:spacing w:after="0"/>
              <w:rPr>
                <w:sz w:val="20"/>
                <w:szCs w:val="20"/>
                <w:color w:val="auto"/>
              </w:rPr>
            </w:pPr>
            <w:r>
              <w:rPr>
                <w:rFonts w:ascii="Arial" w:cs="Arial" w:eastAsia="Arial" w:hAnsi="Arial"/>
                <w:sz w:val="15"/>
                <w:szCs w:val="15"/>
                <w:b w:val="1"/>
                <w:bCs w:val="1"/>
                <w:color w:val="auto"/>
              </w:rPr>
              <w:t>Disability</w:t>
            </w:r>
          </w:p>
        </w:tc>
        <w:tc>
          <w:tcPr>
            <w:tcW w:w="1380" w:type="dxa"/>
            <w:vAlign w:val="bottom"/>
            <w:tcBorders>
              <w:bottom w:val="single" w:sz="8" w:color="D95A3B"/>
            </w:tcBorders>
            <w:shd w:val="clear" w:color="auto" w:fill="CCCCCC"/>
          </w:tcPr>
          <w:p>
            <w:pPr>
              <w:jc w:val="right"/>
              <w:ind w:right="227"/>
              <w:spacing w:after="0"/>
              <w:rPr>
                <w:sz w:val="20"/>
                <w:szCs w:val="20"/>
                <w:color w:val="auto"/>
              </w:rPr>
            </w:pPr>
            <w:r>
              <w:rPr>
                <w:rFonts w:ascii="Arial" w:cs="Arial" w:eastAsia="Arial" w:hAnsi="Arial"/>
                <w:sz w:val="15"/>
                <w:szCs w:val="15"/>
                <w:b w:val="1"/>
                <w:bCs w:val="1"/>
                <w:color w:val="auto"/>
              </w:rPr>
              <w:t>control*</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James C. Smith</w:t>
            </w:r>
          </w:p>
        </w:tc>
        <w:tc>
          <w:tcPr>
            <w:tcW w:w="1540" w:type="dxa"/>
            <w:vAlign w:val="bottom"/>
            <w:tcBorders>
              <w:bottom w:val="single" w:sz="8" w:color="AFAFAF"/>
              <w:right w:val="single" w:sz="8" w:color="AFAFAF"/>
            </w:tcBorders>
          </w:tcPr>
          <w:p>
            <w:pPr>
              <w:spacing w:after="0"/>
              <w:rPr>
                <w:sz w:val="13"/>
                <w:szCs w:val="13"/>
                <w:color w:val="auto"/>
              </w:rPr>
            </w:pPr>
          </w:p>
        </w:tc>
        <w:tc>
          <w:tcPr>
            <w:tcW w:w="1300" w:type="dxa"/>
            <w:vAlign w:val="bottom"/>
            <w:tcBorders>
              <w:bottom w:val="single" w:sz="8" w:color="AFAFAF"/>
              <w:right w:val="single" w:sz="8" w:color="AFAFAF"/>
            </w:tcBorders>
          </w:tcPr>
          <w:p>
            <w:pPr>
              <w:spacing w:after="0"/>
              <w:rPr>
                <w:sz w:val="13"/>
                <w:szCs w:val="13"/>
                <w:color w:val="auto"/>
              </w:rPr>
            </w:pPr>
          </w:p>
        </w:tc>
        <w:tc>
          <w:tcPr>
            <w:tcW w:w="1340" w:type="dxa"/>
            <w:vAlign w:val="bottom"/>
            <w:tcBorders>
              <w:bottom w:val="single" w:sz="8" w:color="AFAFAF"/>
              <w:right w:val="single" w:sz="8" w:color="AFAFAF"/>
            </w:tcBorders>
          </w:tcPr>
          <w:p>
            <w:pPr>
              <w:spacing w:after="0"/>
              <w:rPr>
                <w:sz w:val="13"/>
                <w:szCs w:val="13"/>
                <w:color w:val="auto"/>
              </w:rPr>
            </w:pPr>
          </w:p>
        </w:tc>
        <w:tc>
          <w:tcPr>
            <w:tcW w:w="1380" w:type="dxa"/>
            <w:vAlign w:val="bottom"/>
            <w:tcBorders>
              <w:bottom w:val="single" w:sz="8" w:color="AFAFAF"/>
              <w:right w:val="single" w:sz="8" w:color="AFAFAF"/>
            </w:tcBorders>
          </w:tcPr>
          <w:p>
            <w:pPr>
              <w:spacing w:after="0"/>
              <w:rPr>
                <w:sz w:val="13"/>
                <w:szCs w:val="13"/>
                <w:color w:val="auto"/>
              </w:rPr>
            </w:pPr>
          </w:p>
        </w:tc>
        <w:tc>
          <w:tcPr>
            <w:tcW w:w="1240" w:type="dxa"/>
            <w:vAlign w:val="bottom"/>
            <w:tcBorders>
              <w:bottom w:val="single" w:sz="8" w:color="AFAFAF"/>
              <w:right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Severance</w:t>
            </w:r>
          </w:p>
        </w:tc>
        <w:tc>
          <w:tcPr>
            <w:tcW w:w="1540" w:type="dxa"/>
            <w:vAlign w:val="bottom"/>
            <w:tcBorders>
              <w:bottom w:val="single" w:sz="8" w:color="AFAFAF"/>
              <w:right w:val="single" w:sz="8" w:color="AFAFAF"/>
            </w:tcBorders>
          </w:tcPr>
          <w:p>
            <w:pPr>
              <w:jc w:val="right"/>
              <w:ind w:right="208"/>
              <w:spacing w:after="0" w:line="155" w:lineRule="exact"/>
              <w:rPr>
                <w:sz w:val="20"/>
                <w:szCs w:val="20"/>
                <w:color w:val="auto"/>
              </w:rPr>
            </w:pPr>
            <w:r>
              <w:rPr>
                <w:rFonts w:ascii="Arial" w:cs="Arial" w:eastAsia="Arial" w:hAnsi="Arial"/>
                <w:sz w:val="14"/>
                <w:szCs w:val="14"/>
                <w:color w:val="auto"/>
              </w:rPr>
              <w:t>3,200,000</w:t>
            </w:r>
          </w:p>
        </w:tc>
        <w:tc>
          <w:tcPr>
            <w:tcW w:w="13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jc w:val="right"/>
              <w:ind w:right="227"/>
              <w:spacing w:after="0" w:line="155" w:lineRule="exact"/>
              <w:rPr>
                <w:sz w:val="20"/>
                <w:szCs w:val="20"/>
                <w:color w:val="auto"/>
              </w:rPr>
            </w:pPr>
            <w:r>
              <w:rPr>
                <w:rFonts w:ascii="Arial" w:cs="Arial" w:eastAsia="Arial" w:hAnsi="Arial"/>
                <w:sz w:val="14"/>
                <w:szCs w:val="14"/>
                <w:color w:val="auto"/>
              </w:rPr>
              <w:t>3,200,000</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Equity-based compensation</w:t>
            </w:r>
          </w:p>
        </w:tc>
        <w:tc>
          <w:tcPr>
            <w:tcW w:w="1540" w:type="dxa"/>
            <w:vAlign w:val="bottom"/>
            <w:tcBorders>
              <w:bottom w:val="single" w:sz="8" w:color="AFAFAF"/>
              <w:right w:val="single" w:sz="8" w:color="AFAFAF"/>
            </w:tcBorders>
          </w:tcPr>
          <w:p>
            <w:pPr>
              <w:jc w:val="right"/>
              <w:ind w:right="66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jc w:val="right"/>
              <w:ind w:right="587"/>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Pension</w:t>
            </w:r>
          </w:p>
        </w:tc>
        <w:tc>
          <w:tcPr>
            <w:tcW w:w="1540" w:type="dxa"/>
            <w:vAlign w:val="bottom"/>
            <w:tcBorders>
              <w:bottom w:val="single" w:sz="8" w:color="AFAFAF"/>
              <w:right w:val="single" w:sz="8" w:color="AFAFAF"/>
            </w:tcBorders>
          </w:tcPr>
          <w:p>
            <w:pPr>
              <w:jc w:val="right"/>
              <w:ind w:right="66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jc w:val="right"/>
              <w:ind w:right="587"/>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color w:val="auto"/>
              </w:rPr>
              <w:t>Benefits</w:t>
            </w:r>
          </w:p>
        </w:tc>
        <w:tc>
          <w:tcPr>
            <w:tcW w:w="1540" w:type="dxa"/>
            <w:vAlign w:val="bottom"/>
            <w:tcBorders>
              <w:bottom w:val="single" w:sz="8" w:color="D95A3B"/>
              <w:right w:val="single" w:sz="8" w:color="AFAFAF"/>
            </w:tcBorders>
          </w:tcPr>
          <w:p>
            <w:pPr>
              <w:jc w:val="right"/>
              <w:ind w:right="208"/>
              <w:spacing w:after="0" w:line="155" w:lineRule="exact"/>
              <w:rPr>
                <w:sz w:val="20"/>
                <w:szCs w:val="20"/>
                <w:color w:val="auto"/>
              </w:rPr>
            </w:pPr>
            <w:r>
              <w:rPr>
                <w:rFonts w:ascii="Arial" w:cs="Arial" w:eastAsia="Arial" w:hAnsi="Arial"/>
                <w:sz w:val="14"/>
                <w:szCs w:val="14"/>
                <w:color w:val="auto"/>
              </w:rPr>
              <w:t>80,000</w:t>
            </w:r>
          </w:p>
        </w:tc>
        <w:tc>
          <w:tcPr>
            <w:tcW w:w="1300" w:type="dxa"/>
            <w:vAlign w:val="bottom"/>
            <w:tcBorders>
              <w:bottom w:val="single" w:sz="8" w:color="D95A3B"/>
              <w:right w:val="single" w:sz="8" w:color="AFAFAF"/>
            </w:tcBorders>
          </w:tcPr>
          <w:p>
            <w:pPr>
              <w:jc w:val="right"/>
              <w:ind w:right="188"/>
              <w:spacing w:after="0" w:line="155" w:lineRule="exact"/>
              <w:rPr>
                <w:sz w:val="20"/>
                <w:szCs w:val="20"/>
                <w:color w:val="auto"/>
              </w:rPr>
            </w:pPr>
            <w:r>
              <w:rPr>
                <w:rFonts w:ascii="Arial" w:cs="Arial" w:eastAsia="Arial" w:hAnsi="Arial"/>
                <w:sz w:val="14"/>
                <w:szCs w:val="14"/>
                <w:color w:val="auto"/>
              </w:rPr>
              <w:t>30,000</w:t>
            </w:r>
          </w:p>
        </w:tc>
        <w:tc>
          <w:tcPr>
            <w:tcW w:w="134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D95A3B"/>
              <w:right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30,000</w:t>
            </w:r>
          </w:p>
        </w:tc>
        <w:tc>
          <w:tcPr>
            <w:tcW w:w="1380" w:type="dxa"/>
            <w:vAlign w:val="bottom"/>
            <w:tcBorders>
              <w:bottom w:val="single" w:sz="8" w:color="D95A3B"/>
            </w:tcBorders>
          </w:tcPr>
          <w:p>
            <w:pPr>
              <w:jc w:val="right"/>
              <w:ind w:right="587"/>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color w:val="auto"/>
              </w:rPr>
              <w:t>Total</w:t>
            </w:r>
          </w:p>
        </w:tc>
        <w:tc>
          <w:tcPr>
            <w:tcW w:w="1540" w:type="dxa"/>
            <w:vAlign w:val="bottom"/>
            <w:tcBorders>
              <w:bottom w:val="single" w:sz="8" w:color="D95A3B"/>
              <w:right w:val="single" w:sz="8" w:color="AFAFAF"/>
            </w:tcBorders>
          </w:tcPr>
          <w:p>
            <w:pPr>
              <w:jc w:val="right"/>
              <w:ind w:right="208"/>
              <w:spacing w:after="0" w:line="155" w:lineRule="exact"/>
              <w:rPr>
                <w:sz w:val="20"/>
                <w:szCs w:val="20"/>
                <w:color w:val="auto"/>
              </w:rPr>
            </w:pPr>
            <w:r>
              <w:rPr>
                <w:rFonts w:ascii="Arial" w:cs="Arial" w:eastAsia="Arial" w:hAnsi="Arial"/>
                <w:sz w:val="14"/>
                <w:szCs w:val="14"/>
                <w:color w:val="auto"/>
              </w:rPr>
              <w:t>3,280,000</w:t>
            </w:r>
          </w:p>
        </w:tc>
        <w:tc>
          <w:tcPr>
            <w:tcW w:w="1300" w:type="dxa"/>
            <w:vAlign w:val="bottom"/>
            <w:tcBorders>
              <w:bottom w:val="single" w:sz="8" w:color="D95A3B"/>
              <w:right w:val="single" w:sz="8" w:color="AFAFAF"/>
            </w:tcBorders>
          </w:tcPr>
          <w:p>
            <w:pPr>
              <w:jc w:val="right"/>
              <w:ind w:right="188"/>
              <w:spacing w:after="0" w:line="155" w:lineRule="exact"/>
              <w:rPr>
                <w:sz w:val="20"/>
                <w:szCs w:val="20"/>
                <w:color w:val="auto"/>
              </w:rPr>
            </w:pPr>
            <w:r>
              <w:rPr>
                <w:rFonts w:ascii="Arial" w:cs="Arial" w:eastAsia="Arial" w:hAnsi="Arial"/>
                <w:sz w:val="14"/>
                <w:szCs w:val="14"/>
                <w:color w:val="auto"/>
              </w:rPr>
              <w:t>30,000</w:t>
            </w:r>
          </w:p>
        </w:tc>
        <w:tc>
          <w:tcPr>
            <w:tcW w:w="134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D95A3B"/>
              <w:right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30,000</w:t>
            </w:r>
          </w:p>
        </w:tc>
        <w:tc>
          <w:tcPr>
            <w:tcW w:w="1380" w:type="dxa"/>
            <w:vAlign w:val="bottom"/>
            <w:tcBorders>
              <w:bottom w:val="single" w:sz="8" w:color="D95A3B"/>
            </w:tcBorders>
          </w:tcPr>
          <w:p>
            <w:pPr>
              <w:jc w:val="right"/>
              <w:ind w:right="227"/>
              <w:spacing w:after="0" w:line="155" w:lineRule="exact"/>
              <w:rPr>
                <w:sz w:val="20"/>
                <w:szCs w:val="20"/>
                <w:color w:val="auto"/>
              </w:rPr>
            </w:pPr>
            <w:r>
              <w:rPr>
                <w:rFonts w:ascii="Arial" w:cs="Arial" w:eastAsia="Arial" w:hAnsi="Arial"/>
                <w:sz w:val="14"/>
                <w:szCs w:val="14"/>
                <w:color w:val="auto"/>
              </w:rPr>
              <w:t>3,200,000</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Stephane Bello</w:t>
            </w:r>
          </w:p>
        </w:tc>
        <w:tc>
          <w:tcPr>
            <w:tcW w:w="1540" w:type="dxa"/>
            <w:vAlign w:val="bottom"/>
            <w:tcBorders>
              <w:bottom w:val="single" w:sz="8" w:color="AFAFAF"/>
              <w:right w:val="single" w:sz="8" w:color="AFAFAF"/>
            </w:tcBorders>
          </w:tcPr>
          <w:p>
            <w:pPr>
              <w:spacing w:after="0"/>
              <w:rPr>
                <w:sz w:val="13"/>
                <w:szCs w:val="13"/>
                <w:color w:val="auto"/>
              </w:rPr>
            </w:pPr>
          </w:p>
        </w:tc>
        <w:tc>
          <w:tcPr>
            <w:tcW w:w="1300" w:type="dxa"/>
            <w:vAlign w:val="bottom"/>
            <w:tcBorders>
              <w:bottom w:val="single" w:sz="8" w:color="AFAFAF"/>
              <w:right w:val="single" w:sz="8" w:color="AFAFAF"/>
            </w:tcBorders>
          </w:tcPr>
          <w:p>
            <w:pPr>
              <w:spacing w:after="0"/>
              <w:rPr>
                <w:sz w:val="13"/>
                <w:szCs w:val="13"/>
                <w:color w:val="auto"/>
              </w:rPr>
            </w:pPr>
          </w:p>
        </w:tc>
        <w:tc>
          <w:tcPr>
            <w:tcW w:w="1340" w:type="dxa"/>
            <w:vAlign w:val="bottom"/>
            <w:tcBorders>
              <w:bottom w:val="single" w:sz="8" w:color="AFAFAF"/>
              <w:right w:val="single" w:sz="8" w:color="AFAFAF"/>
            </w:tcBorders>
          </w:tcPr>
          <w:p>
            <w:pPr>
              <w:spacing w:after="0"/>
              <w:rPr>
                <w:sz w:val="13"/>
                <w:szCs w:val="13"/>
                <w:color w:val="auto"/>
              </w:rPr>
            </w:pPr>
          </w:p>
        </w:tc>
        <w:tc>
          <w:tcPr>
            <w:tcW w:w="1380" w:type="dxa"/>
            <w:vAlign w:val="bottom"/>
            <w:tcBorders>
              <w:bottom w:val="single" w:sz="8" w:color="AFAFAF"/>
              <w:right w:val="single" w:sz="8" w:color="AFAFAF"/>
            </w:tcBorders>
          </w:tcPr>
          <w:p>
            <w:pPr>
              <w:spacing w:after="0"/>
              <w:rPr>
                <w:sz w:val="13"/>
                <w:szCs w:val="13"/>
                <w:color w:val="auto"/>
              </w:rPr>
            </w:pPr>
          </w:p>
        </w:tc>
        <w:tc>
          <w:tcPr>
            <w:tcW w:w="1240" w:type="dxa"/>
            <w:vAlign w:val="bottom"/>
            <w:tcBorders>
              <w:bottom w:val="single" w:sz="8" w:color="AFAFAF"/>
              <w:right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Severance</w:t>
            </w:r>
          </w:p>
        </w:tc>
        <w:tc>
          <w:tcPr>
            <w:tcW w:w="1540" w:type="dxa"/>
            <w:vAlign w:val="bottom"/>
            <w:tcBorders>
              <w:bottom w:val="single" w:sz="8" w:color="AFAFAF"/>
              <w:right w:val="single" w:sz="8" w:color="AFAFAF"/>
            </w:tcBorders>
          </w:tcPr>
          <w:p>
            <w:pPr>
              <w:jc w:val="right"/>
              <w:ind w:right="208"/>
              <w:spacing w:after="0" w:line="155" w:lineRule="exact"/>
              <w:rPr>
                <w:sz w:val="20"/>
                <w:szCs w:val="20"/>
                <w:color w:val="auto"/>
              </w:rPr>
            </w:pPr>
            <w:r>
              <w:rPr>
                <w:rFonts w:ascii="Arial" w:cs="Arial" w:eastAsia="Arial" w:hAnsi="Arial"/>
                <w:sz w:val="14"/>
                <w:szCs w:val="14"/>
                <w:color w:val="auto"/>
              </w:rPr>
              <w:t>2,000,000</w:t>
            </w:r>
          </w:p>
        </w:tc>
        <w:tc>
          <w:tcPr>
            <w:tcW w:w="13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jc w:val="right"/>
              <w:ind w:right="227"/>
              <w:spacing w:after="0" w:line="155" w:lineRule="exact"/>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Equity-based compensation</w:t>
            </w:r>
          </w:p>
        </w:tc>
        <w:tc>
          <w:tcPr>
            <w:tcW w:w="1540" w:type="dxa"/>
            <w:vAlign w:val="bottom"/>
            <w:tcBorders>
              <w:bottom w:val="single" w:sz="8" w:color="AFAFAF"/>
              <w:right w:val="single" w:sz="8" w:color="AFAFAF"/>
            </w:tcBorders>
          </w:tcPr>
          <w:p>
            <w:pPr>
              <w:jc w:val="right"/>
              <w:ind w:right="66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jc w:val="right"/>
              <w:ind w:right="587"/>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Pension</w:t>
            </w:r>
          </w:p>
        </w:tc>
        <w:tc>
          <w:tcPr>
            <w:tcW w:w="1540" w:type="dxa"/>
            <w:vAlign w:val="bottom"/>
            <w:tcBorders>
              <w:bottom w:val="single" w:sz="8" w:color="AFAFAF"/>
              <w:right w:val="single" w:sz="8" w:color="AFAFAF"/>
            </w:tcBorders>
          </w:tcPr>
          <w:p>
            <w:pPr>
              <w:jc w:val="right"/>
              <w:ind w:right="66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jc w:val="right"/>
              <w:ind w:right="587"/>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color w:val="auto"/>
              </w:rPr>
              <w:t>Benefits</w:t>
            </w:r>
          </w:p>
        </w:tc>
        <w:tc>
          <w:tcPr>
            <w:tcW w:w="1540" w:type="dxa"/>
            <w:vAlign w:val="bottom"/>
            <w:tcBorders>
              <w:bottom w:val="single" w:sz="8" w:color="D95A3B"/>
              <w:right w:val="single" w:sz="8" w:color="AFAFAF"/>
            </w:tcBorders>
          </w:tcPr>
          <w:p>
            <w:pPr>
              <w:jc w:val="right"/>
              <w:ind w:right="208"/>
              <w:spacing w:after="0" w:line="155" w:lineRule="exact"/>
              <w:rPr>
                <w:sz w:val="20"/>
                <w:szCs w:val="20"/>
                <w:color w:val="auto"/>
              </w:rPr>
            </w:pPr>
            <w:r>
              <w:rPr>
                <w:rFonts w:ascii="Arial" w:cs="Arial" w:eastAsia="Arial" w:hAnsi="Arial"/>
                <w:sz w:val="14"/>
                <w:szCs w:val="14"/>
                <w:color w:val="auto"/>
              </w:rPr>
              <w:t>80,000</w:t>
            </w:r>
          </w:p>
        </w:tc>
        <w:tc>
          <w:tcPr>
            <w:tcW w:w="130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30,000</w:t>
            </w:r>
          </w:p>
        </w:tc>
        <w:tc>
          <w:tcPr>
            <w:tcW w:w="134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D95A3B"/>
              <w:right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30,000</w:t>
            </w:r>
          </w:p>
        </w:tc>
        <w:tc>
          <w:tcPr>
            <w:tcW w:w="1380" w:type="dxa"/>
            <w:vAlign w:val="bottom"/>
            <w:tcBorders>
              <w:bottom w:val="single" w:sz="8" w:color="D95A3B"/>
            </w:tcBorders>
          </w:tcPr>
          <w:p>
            <w:pPr>
              <w:jc w:val="right"/>
              <w:ind w:right="587"/>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color w:val="auto"/>
              </w:rPr>
              <w:t>Total</w:t>
            </w:r>
          </w:p>
        </w:tc>
        <w:tc>
          <w:tcPr>
            <w:tcW w:w="1540" w:type="dxa"/>
            <w:vAlign w:val="bottom"/>
            <w:tcBorders>
              <w:bottom w:val="single" w:sz="8" w:color="D95A3B"/>
              <w:right w:val="single" w:sz="8" w:color="AFAFAF"/>
            </w:tcBorders>
          </w:tcPr>
          <w:p>
            <w:pPr>
              <w:jc w:val="right"/>
              <w:ind w:right="208"/>
              <w:spacing w:after="0" w:line="155" w:lineRule="exact"/>
              <w:rPr>
                <w:sz w:val="20"/>
                <w:szCs w:val="20"/>
                <w:color w:val="auto"/>
              </w:rPr>
            </w:pPr>
            <w:r>
              <w:rPr>
                <w:rFonts w:ascii="Arial" w:cs="Arial" w:eastAsia="Arial" w:hAnsi="Arial"/>
                <w:sz w:val="14"/>
                <w:szCs w:val="14"/>
                <w:color w:val="auto"/>
              </w:rPr>
              <w:t>2,080,000</w:t>
            </w:r>
          </w:p>
        </w:tc>
        <w:tc>
          <w:tcPr>
            <w:tcW w:w="130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30,000</w:t>
            </w:r>
          </w:p>
        </w:tc>
        <w:tc>
          <w:tcPr>
            <w:tcW w:w="134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D95A3B"/>
              <w:right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30,000</w:t>
            </w:r>
          </w:p>
        </w:tc>
        <w:tc>
          <w:tcPr>
            <w:tcW w:w="1380" w:type="dxa"/>
            <w:vAlign w:val="bottom"/>
            <w:tcBorders>
              <w:bottom w:val="single" w:sz="8" w:color="D95A3B"/>
            </w:tcBorders>
          </w:tcPr>
          <w:p>
            <w:pPr>
              <w:jc w:val="right"/>
              <w:ind w:right="227"/>
              <w:spacing w:after="0" w:line="155" w:lineRule="exact"/>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Brian Peccarelli</w:t>
            </w:r>
          </w:p>
        </w:tc>
        <w:tc>
          <w:tcPr>
            <w:tcW w:w="1540" w:type="dxa"/>
            <w:vAlign w:val="bottom"/>
            <w:tcBorders>
              <w:bottom w:val="single" w:sz="8" w:color="AFAFAF"/>
              <w:right w:val="single" w:sz="8" w:color="AFAFAF"/>
            </w:tcBorders>
          </w:tcPr>
          <w:p>
            <w:pPr>
              <w:spacing w:after="0"/>
              <w:rPr>
                <w:sz w:val="13"/>
                <w:szCs w:val="13"/>
                <w:color w:val="auto"/>
              </w:rPr>
            </w:pPr>
          </w:p>
        </w:tc>
        <w:tc>
          <w:tcPr>
            <w:tcW w:w="1300" w:type="dxa"/>
            <w:vAlign w:val="bottom"/>
            <w:tcBorders>
              <w:bottom w:val="single" w:sz="8" w:color="AFAFAF"/>
              <w:right w:val="single" w:sz="8" w:color="AFAFAF"/>
            </w:tcBorders>
          </w:tcPr>
          <w:p>
            <w:pPr>
              <w:spacing w:after="0"/>
              <w:rPr>
                <w:sz w:val="13"/>
                <w:szCs w:val="13"/>
                <w:color w:val="auto"/>
              </w:rPr>
            </w:pPr>
          </w:p>
        </w:tc>
        <w:tc>
          <w:tcPr>
            <w:tcW w:w="1340" w:type="dxa"/>
            <w:vAlign w:val="bottom"/>
            <w:tcBorders>
              <w:bottom w:val="single" w:sz="8" w:color="AFAFAF"/>
              <w:right w:val="single" w:sz="8" w:color="AFAFAF"/>
            </w:tcBorders>
          </w:tcPr>
          <w:p>
            <w:pPr>
              <w:spacing w:after="0"/>
              <w:rPr>
                <w:sz w:val="13"/>
                <w:szCs w:val="13"/>
                <w:color w:val="auto"/>
              </w:rPr>
            </w:pPr>
          </w:p>
        </w:tc>
        <w:tc>
          <w:tcPr>
            <w:tcW w:w="1380" w:type="dxa"/>
            <w:vAlign w:val="bottom"/>
            <w:tcBorders>
              <w:bottom w:val="single" w:sz="8" w:color="AFAFAF"/>
              <w:right w:val="single" w:sz="8" w:color="AFAFAF"/>
            </w:tcBorders>
          </w:tcPr>
          <w:p>
            <w:pPr>
              <w:spacing w:after="0"/>
              <w:rPr>
                <w:sz w:val="13"/>
                <w:szCs w:val="13"/>
                <w:color w:val="auto"/>
              </w:rPr>
            </w:pPr>
          </w:p>
        </w:tc>
        <w:tc>
          <w:tcPr>
            <w:tcW w:w="1240" w:type="dxa"/>
            <w:vAlign w:val="bottom"/>
            <w:tcBorders>
              <w:bottom w:val="single" w:sz="8" w:color="AFAFAF"/>
              <w:right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Severance</w:t>
            </w:r>
          </w:p>
        </w:tc>
        <w:tc>
          <w:tcPr>
            <w:tcW w:w="1540" w:type="dxa"/>
            <w:vAlign w:val="bottom"/>
            <w:tcBorders>
              <w:bottom w:val="single" w:sz="8" w:color="AFAFAF"/>
              <w:right w:val="single" w:sz="8" w:color="AFAFAF"/>
            </w:tcBorders>
          </w:tcPr>
          <w:p>
            <w:pPr>
              <w:jc w:val="right"/>
              <w:ind w:right="208"/>
              <w:spacing w:after="0" w:line="155" w:lineRule="exact"/>
              <w:rPr>
                <w:sz w:val="20"/>
                <w:szCs w:val="20"/>
                <w:color w:val="auto"/>
              </w:rPr>
            </w:pPr>
            <w:r>
              <w:rPr>
                <w:rFonts w:ascii="Arial" w:cs="Arial" w:eastAsia="Arial" w:hAnsi="Arial"/>
                <w:sz w:val="14"/>
                <w:szCs w:val="14"/>
                <w:color w:val="auto"/>
              </w:rPr>
              <w:t>1,500,000</w:t>
            </w:r>
          </w:p>
        </w:tc>
        <w:tc>
          <w:tcPr>
            <w:tcW w:w="13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jc w:val="right"/>
              <w:ind w:right="227"/>
              <w:spacing w:after="0" w:line="155" w:lineRule="exact"/>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Equity-based compensation</w:t>
            </w:r>
          </w:p>
        </w:tc>
        <w:tc>
          <w:tcPr>
            <w:tcW w:w="1540" w:type="dxa"/>
            <w:vAlign w:val="bottom"/>
            <w:tcBorders>
              <w:bottom w:val="single" w:sz="8" w:color="AFAFAF"/>
              <w:right w:val="single" w:sz="8" w:color="AFAFAF"/>
            </w:tcBorders>
          </w:tcPr>
          <w:p>
            <w:pPr>
              <w:jc w:val="right"/>
              <w:ind w:right="66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jc w:val="right"/>
              <w:ind w:right="587"/>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Pension</w:t>
            </w:r>
          </w:p>
        </w:tc>
        <w:tc>
          <w:tcPr>
            <w:tcW w:w="1540" w:type="dxa"/>
            <w:vAlign w:val="bottom"/>
            <w:tcBorders>
              <w:bottom w:val="single" w:sz="8" w:color="AFAFAF"/>
              <w:right w:val="single" w:sz="8" w:color="AFAFAF"/>
            </w:tcBorders>
          </w:tcPr>
          <w:p>
            <w:pPr>
              <w:jc w:val="right"/>
              <w:ind w:right="66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jc w:val="right"/>
              <w:ind w:right="587"/>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color w:val="auto"/>
              </w:rPr>
              <w:t>Benefits</w:t>
            </w:r>
          </w:p>
        </w:tc>
        <w:tc>
          <w:tcPr>
            <w:tcW w:w="1540" w:type="dxa"/>
            <w:vAlign w:val="bottom"/>
            <w:tcBorders>
              <w:bottom w:val="single" w:sz="8" w:color="D95A3B"/>
              <w:right w:val="single" w:sz="8" w:color="AFAFAF"/>
            </w:tcBorders>
          </w:tcPr>
          <w:p>
            <w:pPr>
              <w:jc w:val="right"/>
              <w:ind w:right="208"/>
              <w:spacing w:after="0" w:line="155" w:lineRule="exact"/>
              <w:rPr>
                <w:sz w:val="20"/>
                <w:szCs w:val="20"/>
                <w:color w:val="auto"/>
              </w:rPr>
            </w:pPr>
            <w:r>
              <w:rPr>
                <w:rFonts w:ascii="Arial" w:cs="Arial" w:eastAsia="Arial" w:hAnsi="Arial"/>
                <w:sz w:val="14"/>
                <w:szCs w:val="14"/>
                <w:color w:val="auto"/>
              </w:rPr>
              <w:t>80,000</w:t>
            </w:r>
          </w:p>
        </w:tc>
        <w:tc>
          <w:tcPr>
            <w:tcW w:w="130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30,000</w:t>
            </w:r>
          </w:p>
        </w:tc>
        <w:tc>
          <w:tcPr>
            <w:tcW w:w="134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D95A3B"/>
              <w:right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30,000</w:t>
            </w:r>
          </w:p>
        </w:tc>
        <w:tc>
          <w:tcPr>
            <w:tcW w:w="1380" w:type="dxa"/>
            <w:vAlign w:val="bottom"/>
            <w:tcBorders>
              <w:bottom w:val="single" w:sz="8" w:color="D95A3B"/>
            </w:tcBorders>
          </w:tcPr>
          <w:p>
            <w:pPr>
              <w:jc w:val="right"/>
              <w:ind w:right="587"/>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color w:val="auto"/>
              </w:rPr>
              <w:t>Total</w:t>
            </w:r>
          </w:p>
        </w:tc>
        <w:tc>
          <w:tcPr>
            <w:tcW w:w="1540" w:type="dxa"/>
            <w:vAlign w:val="bottom"/>
            <w:tcBorders>
              <w:bottom w:val="single" w:sz="8" w:color="D95A3B"/>
              <w:right w:val="single" w:sz="8" w:color="AFAFAF"/>
            </w:tcBorders>
          </w:tcPr>
          <w:p>
            <w:pPr>
              <w:jc w:val="right"/>
              <w:ind w:right="208"/>
              <w:spacing w:after="0" w:line="155" w:lineRule="exact"/>
              <w:rPr>
                <w:sz w:val="20"/>
                <w:szCs w:val="20"/>
                <w:color w:val="auto"/>
              </w:rPr>
            </w:pPr>
            <w:r>
              <w:rPr>
                <w:rFonts w:ascii="Arial" w:cs="Arial" w:eastAsia="Arial" w:hAnsi="Arial"/>
                <w:sz w:val="14"/>
                <w:szCs w:val="14"/>
                <w:color w:val="auto"/>
              </w:rPr>
              <w:t>1,580,000</w:t>
            </w:r>
          </w:p>
        </w:tc>
        <w:tc>
          <w:tcPr>
            <w:tcW w:w="130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30,000</w:t>
            </w:r>
          </w:p>
        </w:tc>
        <w:tc>
          <w:tcPr>
            <w:tcW w:w="134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D95A3B"/>
              <w:right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30,000</w:t>
            </w:r>
          </w:p>
        </w:tc>
        <w:tc>
          <w:tcPr>
            <w:tcW w:w="1380" w:type="dxa"/>
            <w:vAlign w:val="bottom"/>
            <w:tcBorders>
              <w:bottom w:val="single" w:sz="8" w:color="D95A3B"/>
            </w:tcBorders>
          </w:tcPr>
          <w:p>
            <w:pPr>
              <w:jc w:val="right"/>
              <w:ind w:right="227"/>
              <w:spacing w:after="0" w:line="155" w:lineRule="exact"/>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Neil Masterson</w:t>
            </w:r>
          </w:p>
        </w:tc>
        <w:tc>
          <w:tcPr>
            <w:tcW w:w="1540" w:type="dxa"/>
            <w:vAlign w:val="bottom"/>
            <w:tcBorders>
              <w:bottom w:val="single" w:sz="8" w:color="AFAFAF"/>
              <w:right w:val="single" w:sz="8" w:color="AFAFAF"/>
            </w:tcBorders>
          </w:tcPr>
          <w:p>
            <w:pPr>
              <w:spacing w:after="0"/>
              <w:rPr>
                <w:sz w:val="13"/>
                <w:szCs w:val="13"/>
                <w:color w:val="auto"/>
              </w:rPr>
            </w:pPr>
          </w:p>
        </w:tc>
        <w:tc>
          <w:tcPr>
            <w:tcW w:w="1300" w:type="dxa"/>
            <w:vAlign w:val="bottom"/>
            <w:tcBorders>
              <w:bottom w:val="single" w:sz="8" w:color="AFAFAF"/>
              <w:right w:val="single" w:sz="8" w:color="AFAFAF"/>
            </w:tcBorders>
          </w:tcPr>
          <w:p>
            <w:pPr>
              <w:spacing w:after="0"/>
              <w:rPr>
                <w:sz w:val="13"/>
                <w:szCs w:val="13"/>
                <w:color w:val="auto"/>
              </w:rPr>
            </w:pPr>
          </w:p>
        </w:tc>
        <w:tc>
          <w:tcPr>
            <w:tcW w:w="1340" w:type="dxa"/>
            <w:vAlign w:val="bottom"/>
            <w:tcBorders>
              <w:bottom w:val="single" w:sz="8" w:color="AFAFAF"/>
              <w:right w:val="single" w:sz="8" w:color="AFAFAF"/>
            </w:tcBorders>
          </w:tcPr>
          <w:p>
            <w:pPr>
              <w:spacing w:after="0"/>
              <w:rPr>
                <w:sz w:val="13"/>
                <w:szCs w:val="13"/>
                <w:color w:val="auto"/>
              </w:rPr>
            </w:pPr>
          </w:p>
        </w:tc>
        <w:tc>
          <w:tcPr>
            <w:tcW w:w="1380" w:type="dxa"/>
            <w:vAlign w:val="bottom"/>
            <w:tcBorders>
              <w:bottom w:val="single" w:sz="8" w:color="AFAFAF"/>
              <w:right w:val="single" w:sz="8" w:color="AFAFAF"/>
            </w:tcBorders>
          </w:tcPr>
          <w:p>
            <w:pPr>
              <w:spacing w:after="0"/>
              <w:rPr>
                <w:sz w:val="13"/>
                <w:szCs w:val="13"/>
                <w:color w:val="auto"/>
              </w:rPr>
            </w:pPr>
          </w:p>
        </w:tc>
        <w:tc>
          <w:tcPr>
            <w:tcW w:w="1240" w:type="dxa"/>
            <w:vAlign w:val="bottom"/>
            <w:tcBorders>
              <w:bottom w:val="single" w:sz="8" w:color="AFAFAF"/>
              <w:right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Severance</w:t>
            </w:r>
          </w:p>
        </w:tc>
        <w:tc>
          <w:tcPr>
            <w:tcW w:w="1540" w:type="dxa"/>
            <w:vAlign w:val="bottom"/>
            <w:tcBorders>
              <w:bottom w:val="single" w:sz="8" w:color="AFAFAF"/>
              <w:right w:val="single" w:sz="8" w:color="AFAFAF"/>
            </w:tcBorders>
          </w:tcPr>
          <w:p>
            <w:pPr>
              <w:jc w:val="right"/>
              <w:ind w:right="208"/>
              <w:spacing w:after="0" w:line="155" w:lineRule="exact"/>
              <w:rPr>
                <w:sz w:val="20"/>
                <w:szCs w:val="20"/>
                <w:color w:val="auto"/>
              </w:rPr>
            </w:pPr>
            <w:r>
              <w:rPr>
                <w:rFonts w:ascii="Arial" w:cs="Arial" w:eastAsia="Arial" w:hAnsi="Arial"/>
                <w:sz w:val="14"/>
                <w:szCs w:val="14"/>
                <w:color w:val="auto"/>
              </w:rPr>
              <w:t>1,500,000</w:t>
            </w:r>
          </w:p>
        </w:tc>
        <w:tc>
          <w:tcPr>
            <w:tcW w:w="13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jc w:val="right"/>
              <w:ind w:right="227"/>
              <w:spacing w:after="0" w:line="155" w:lineRule="exact"/>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Equity-based compensation</w:t>
            </w:r>
          </w:p>
        </w:tc>
        <w:tc>
          <w:tcPr>
            <w:tcW w:w="1540" w:type="dxa"/>
            <w:vAlign w:val="bottom"/>
            <w:tcBorders>
              <w:bottom w:val="single" w:sz="8" w:color="AFAFAF"/>
              <w:right w:val="single" w:sz="8" w:color="AFAFAF"/>
            </w:tcBorders>
          </w:tcPr>
          <w:p>
            <w:pPr>
              <w:jc w:val="right"/>
              <w:ind w:right="66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jc w:val="right"/>
              <w:ind w:right="587"/>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Pension</w:t>
            </w:r>
          </w:p>
        </w:tc>
        <w:tc>
          <w:tcPr>
            <w:tcW w:w="1540" w:type="dxa"/>
            <w:vAlign w:val="bottom"/>
            <w:tcBorders>
              <w:bottom w:val="single" w:sz="8" w:color="AFAFAF"/>
              <w:right w:val="single" w:sz="8" w:color="AFAFAF"/>
            </w:tcBorders>
          </w:tcPr>
          <w:p>
            <w:pPr>
              <w:jc w:val="right"/>
              <w:ind w:right="66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jc w:val="right"/>
              <w:ind w:right="587"/>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color w:val="auto"/>
              </w:rPr>
              <w:t>Benefits</w:t>
            </w:r>
          </w:p>
        </w:tc>
        <w:tc>
          <w:tcPr>
            <w:tcW w:w="1540" w:type="dxa"/>
            <w:vAlign w:val="bottom"/>
            <w:tcBorders>
              <w:bottom w:val="single" w:sz="8" w:color="D95A3B"/>
              <w:right w:val="single" w:sz="8" w:color="AFAFAF"/>
            </w:tcBorders>
          </w:tcPr>
          <w:p>
            <w:pPr>
              <w:jc w:val="right"/>
              <w:ind w:right="208"/>
              <w:spacing w:after="0" w:line="155" w:lineRule="exact"/>
              <w:rPr>
                <w:sz w:val="20"/>
                <w:szCs w:val="20"/>
                <w:color w:val="auto"/>
              </w:rPr>
            </w:pPr>
            <w:r>
              <w:rPr>
                <w:rFonts w:ascii="Arial" w:cs="Arial" w:eastAsia="Arial" w:hAnsi="Arial"/>
                <w:sz w:val="14"/>
                <w:szCs w:val="14"/>
                <w:color w:val="auto"/>
              </w:rPr>
              <w:t>80,000</w:t>
            </w:r>
          </w:p>
        </w:tc>
        <w:tc>
          <w:tcPr>
            <w:tcW w:w="130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D95A3B"/>
              <w:right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30,000</w:t>
            </w:r>
          </w:p>
        </w:tc>
        <w:tc>
          <w:tcPr>
            <w:tcW w:w="1380" w:type="dxa"/>
            <w:vAlign w:val="bottom"/>
            <w:tcBorders>
              <w:bottom w:val="single" w:sz="8" w:color="D95A3B"/>
            </w:tcBorders>
          </w:tcPr>
          <w:p>
            <w:pPr>
              <w:jc w:val="right"/>
              <w:ind w:right="587"/>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color w:val="auto"/>
              </w:rPr>
              <w:t>Total</w:t>
            </w:r>
          </w:p>
        </w:tc>
        <w:tc>
          <w:tcPr>
            <w:tcW w:w="1540" w:type="dxa"/>
            <w:vAlign w:val="bottom"/>
            <w:tcBorders>
              <w:bottom w:val="single" w:sz="8" w:color="D95A3B"/>
              <w:right w:val="single" w:sz="8" w:color="AFAFAF"/>
            </w:tcBorders>
          </w:tcPr>
          <w:p>
            <w:pPr>
              <w:jc w:val="right"/>
              <w:ind w:right="208"/>
              <w:spacing w:after="0" w:line="155" w:lineRule="exact"/>
              <w:rPr>
                <w:sz w:val="20"/>
                <w:szCs w:val="20"/>
                <w:color w:val="auto"/>
              </w:rPr>
            </w:pPr>
            <w:r>
              <w:rPr>
                <w:rFonts w:ascii="Arial" w:cs="Arial" w:eastAsia="Arial" w:hAnsi="Arial"/>
                <w:sz w:val="14"/>
                <w:szCs w:val="14"/>
                <w:color w:val="auto"/>
              </w:rPr>
              <w:t>1,580,000</w:t>
            </w:r>
          </w:p>
        </w:tc>
        <w:tc>
          <w:tcPr>
            <w:tcW w:w="130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D95A3B"/>
              <w:right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30,000</w:t>
            </w:r>
          </w:p>
        </w:tc>
        <w:tc>
          <w:tcPr>
            <w:tcW w:w="1380" w:type="dxa"/>
            <w:vAlign w:val="bottom"/>
            <w:tcBorders>
              <w:bottom w:val="single" w:sz="8" w:color="D95A3B"/>
            </w:tcBorders>
          </w:tcPr>
          <w:p>
            <w:pPr>
              <w:jc w:val="right"/>
              <w:ind w:right="227"/>
              <w:spacing w:after="0" w:line="155" w:lineRule="exact"/>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Michael Friedenberg</w:t>
            </w:r>
          </w:p>
        </w:tc>
        <w:tc>
          <w:tcPr>
            <w:tcW w:w="1540" w:type="dxa"/>
            <w:vAlign w:val="bottom"/>
            <w:tcBorders>
              <w:bottom w:val="single" w:sz="8" w:color="AFAFAF"/>
              <w:right w:val="single" w:sz="8" w:color="AFAFAF"/>
            </w:tcBorders>
          </w:tcPr>
          <w:p>
            <w:pPr>
              <w:spacing w:after="0"/>
              <w:rPr>
                <w:sz w:val="13"/>
                <w:szCs w:val="13"/>
                <w:color w:val="auto"/>
              </w:rPr>
            </w:pPr>
          </w:p>
        </w:tc>
        <w:tc>
          <w:tcPr>
            <w:tcW w:w="1300" w:type="dxa"/>
            <w:vAlign w:val="bottom"/>
            <w:tcBorders>
              <w:bottom w:val="single" w:sz="8" w:color="AFAFAF"/>
              <w:right w:val="single" w:sz="8" w:color="AFAFAF"/>
            </w:tcBorders>
          </w:tcPr>
          <w:p>
            <w:pPr>
              <w:spacing w:after="0"/>
              <w:rPr>
                <w:sz w:val="13"/>
                <w:szCs w:val="13"/>
                <w:color w:val="auto"/>
              </w:rPr>
            </w:pPr>
          </w:p>
        </w:tc>
        <w:tc>
          <w:tcPr>
            <w:tcW w:w="1340" w:type="dxa"/>
            <w:vAlign w:val="bottom"/>
            <w:tcBorders>
              <w:bottom w:val="single" w:sz="8" w:color="AFAFAF"/>
              <w:right w:val="single" w:sz="8" w:color="AFAFAF"/>
            </w:tcBorders>
          </w:tcPr>
          <w:p>
            <w:pPr>
              <w:spacing w:after="0"/>
              <w:rPr>
                <w:sz w:val="13"/>
                <w:szCs w:val="13"/>
                <w:color w:val="auto"/>
              </w:rPr>
            </w:pPr>
          </w:p>
        </w:tc>
        <w:tc>
          <w:tcPr>
            <w:tcW w:w="1380" w:type="dxa"/>
            <w:vAlign w:val="bottom"/>
            <w:tcBorders>
              <w:bottom w:val="single" w:sz="8" w:color="AFAFAF"/>
              <w:right w:val="single" w:sz="8" w:color="AFAFAF"/>
            </w:tcBorders>
          </w:tcPr>
          <w:p>
            <w:pPr>
              <w:spacing w:after="0"/>
              <w:rPr>
                <w:sz w:val="13"/>
                <w:szCs w:val="13"/>
                <w:color w:val="auto"/>
              </w:rPr>
            </w:pPr>
          </w:p>
        </w:tc>
        <w:tc>
          <w:tcPr>
            <w:tcW w:w="1240" w:type="dxa"/>
            <w:vAlign w:val="bottom"/>
            <w:tcBorders>
              <w:bottom w:val="single" w:sz="8" w:color="AFAFAF"/>
              <w:right w:val="single" w:sz="8" w:color="AFAFAF"/>
            </w:tcBorders>
          </w:tcPr>
          <w:p>
            <w:pPr>
              <w:spacing w:after="0"/>
              <w:rPr>
                <w:sz w:val="13"/>
                <w:szCs w:val="13"/>
                <w:color w:val="auto"/>
              </w:rPr>
            </w:pPr>
          </w:p>
        </w:tc>
        <w:tc>
          <w:tcPr>
            <w:tcW w:w="1380" w:type="dxa"/>
            <w:vAlign w:val="bottom"/>
            <w:tcBorders>
              <w:bottom w:val="single" w:sz="8" w:color="AFAFA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Severance</w:t>
            </w:r>
          </w:p>
        </w:tc>
        <w:tc>
          <w:tcPr>
            <w:tcW w:w="1540" w:type="dxa"/>
            <w:vAlign w:val="bottom"/>
            <w:tcBorders>
              <w:bottom w:val="single" w:sz="8" w:color="AFAFAF"/>
              <w:right w:val="single" w:sz="8" w:color="AFAFAF"/>
            </w:tcBorders>
          </w:tcPr>
          <w:p>
            <w:pPr>
              <w:jc w:val="right"/>
              <w:ind w:right="208"/>
              <w:spacing w:after="0" w:line="155" w:lineRule="exact"/>
              <w:rPr>
                <w:sz w:val="20"/>
                <w:szCs w:val="20"/>
                <w:color w:val="auto"/>
              </w:rPr>
            </w:pPr>
            <w:r>
              <w:rPr>
                <w:rFonts w:ascii="Arial" w:cs="Arial" w:eastAsia="Arial" w:hAnsi="Arial"/>
                <w:sz w:val="14"/>
                <w:szCs w:val="14"/>
                <w:color w:val="auto"/>
              </w:rPr>
              <w:t>1,500,000</w:t>
            </w:r>
          </w:p>
        </w:tc>
        <w:tc>
          <w:tcPr>
            <w:tcW w:w="13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jc w:val="right"/>
              <w:ind w:right="227"/>
              <w:spacing w:after="0" w:line="155" w:lineRule="exact"/>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Equity-based compensation</w:t>
            </w:r>
          </w:p>
        </w:tc>
        <w:tc>
          <w:tcPr>
            <w:tcW w:w="1540" w:type="dxa"/>
            <w:vAlign w:val="bottom"/>
            <w:tcBorders>
              <w:bottom w:val="single" w:sz="8" w:color="AFAFAF"/>
              <w:right w:val="single" w:sz="8" w:color="AFAFAF"/>
            </w:tcBorders>
          </w:tcPr>
          <w:p>
            <w:pPr>
              <w:jc w:val="right"/>
              <w:ind w:right="108"/>
              <w:spacing w:after="0" w:line="155" w:lineRule="exact"/>
              <w:rPr>
                <w:sz w:val="20"/>
                <w:szCs w:val="20"/>
                <w:color w:val="auto"/>
              </w:rPr>
            </w:pPr>
            <w:r>
              <w:rPr>
                <w:rFonts w:ascii="Arial" w:cs="Arial" w:eastAsia="Arial" w:hAnsi="Arial"/>
                <w:sz w:val="14"/>
                <w:szCs w:val="14"/>
                <w:color w:val="auto"/>
              </w:rPr>
              <w:t>4,688,195**</w:t>
            </w:r>
          </w:p>
        </w:tc>
        <w:tc>
          <w:tcPr>
            <w:tcW w:w="13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jc w:val="right"/>
              <w:ind w:right="227"/>
              <w:spacing w:after="0" w:line="155" w:lineRule="exact"/>
              <w:rPr>
                <w:sz w:val="20"/>
                <w:szCs w:val="20"/>
                <w:color w:val="auto"/>
              </w:rPr>
            </w:pPr>
            <w:r>
              <w:rPr>
                <w:rFonts w:ascii="Arial" w:cs="Arial" w:eastAsia="Arial" w:hAnsi="Arial"/>
                <w:sz w:val="14"/>
                <w:szCs w:val="14"/>
                <w:color w:val="auto"/>
              </w:rPr>
              <w:t>4,784,139</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FAFAF"/>
              <w:right w:val="single" w:sz="8" w:color="AFAFAF"/>
            </w:tcBorders>
          </w:tcPr>
          <w:p>
            <w:pPr>
              <w:spacing w:after="0" w:line="155" w:lineRule="exact"/>
              <w:rPr>
                <w:sz w:val="20"/>
                <w:szCs w:val="20"/>
                <w:color w:val="auto"/>
              </w:rPr>
            </w:pPr>
            <w:r>
              <w:rPr>
                <w:rFonts w:ascii="Arial" w:cs="Arial" w:eastAsia="Arial" w:hAnsi="Arial"/>
                <w:sz w:val="14"/>
                <w:szCs w:val="14"/>
                <w:color w:val="auto"/>
              </w:rPr>
              <w:t>Pension</w:t>
            </w:r>
          </w:p>
        </w:tc>
        <w:tc>
          <w:tcPr>
            <w:tcW w:w="1540" w:type="dxa"/>
            <w:vAlign w:val="bottom"/>
            <w:tcBorders>
              <w:bottom w:val="single" w:sz="8" w:color="AFAFAF"/>
              <w:right w:val="single" w:sz="8" w:color="AFAFAF"/>
            </w:tcBorders>
          </w:tcPr>
          <w:p>
            <w:pPr>
              <w:jc w:val="right"/>
              <w:ind w:right="66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FAFAF"/>
            </w:tcBorders>
          </w:tcPr>
          <w:p>
            <w:pPr>
              <w:jc w:val="right"/>
              <w:ind w:right="587"/>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color w:val="auto"/>
              </w:rPr>
              <w:t>Benefits</w:t>
            </w:r>
          </w:p>
        </w:tc>
        <w:tc>
          <w:tcPr>
            <w:tcW w:w="1540" w:type="dxa"/>
            <w:vAlign w:val="bottom"/>
            <w:tcBorders>
              <w:bottom w:val="single" w:sz="8" w:color="D95A3B"/>
              <w:right w:val="single" w:sz="8" w:color="AFAFAF"/>
            </w:tcBorders>
          </w:tcPr>
          <w:p>
            <w:pPr>
              <w:jc w:val="right"/>
              <w:ind w:right="208"/>
              <w:spacing w:after="0" w:line="155" w:lineRule="exact"/>
              <w:rPr>
                <w:sz w:val="20"/>
                <w:szCs w:val="20"/>
                <w:color w:val="auto"/>
              </w:rPr>
            </w:pPr>
            <w:r>
              <w:rPr>
                <w:rFonts w:ascii="Arial" w:cs="Arial" w:eastAsia="Arial" w:hAnsi="Arial"/>
                <w:sz w:val="14"/>
                <w:szCs w:val="14"/>
                <w:color w:val="auto"/>
              </w:rPr>
              <w:t>80,000</w:t>
            </w:r>
          </w:p>
        </w:tc>
        <w:tc>
          <w:tcPr>
            <w:tcW w:w="130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D95A3B"/>
              <w:right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30,000</w:t>
            </w:r>
          </w:p>
        </w:tc>
        <w:tc>
          <w:tcPr>
            <w:tcW w:w="1380" w:type="dxa"/>
            <w:vAlign w:val="bottom"/>
            <w:tcBorders>
              <w:bottom w:val="single" w:sz="8" w:color="D95A3B"/>
            </w:tcBorders>
          </w:tcPr>
          <w:p>
            <w:pPr>
              <w:jc w:val="right"/>
              <w:ind w:right="587"/>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D95A3B"/>
              <w:right w:val="single" w:sz="8" w:color="AFAFAF"/>
            </w:tcBorders>
          </w:tcPr>
          <w:p>
            <w:pPr>
              <w:spacing w:after="0" w:line="155" w:lineRule="exact"/>
              <w:rPr>
                <w:sz w:val="20"/>
                <w:szCs w:val="20"/>
                <w:color w:val="auto"/>
              </w:rPr>
            </w:pPr>
            <w:r>
              <w:rPr>
                <w:rFonts w:ascii="Arial" w:cs="Arial" w:eastAsia="Arial" w:hAnsi="Arial"/>
                <w:sz w:val="14"/>
                <w:szCs w:val="14"/>
                <w:color w:val="auto"/>
              </w:rPr>
              <w:t>Total</w:t>
            </w:r>
          </w:p>
        </w:tc>
        <w:tc>
          <w:tcPr>
            <w:tcW w:w="1540" w:type="dxa"/>
            <w:vAlign w:val="bottom"/>
            <w:tcBorders>
              <w:bottom w:val="single" w:sz="8" w:color="D95A3B"/>
              <w:right w:val="single" w:sz="8" w:color="AFAFAF"/>
            </w:tcBorders>
          </w:tcPr>
          <w:p>
            <w:pPr>
              <w:jc w:val="right"/>
              <w:ind w:right="208"/>
              <w:spacing w:after="0" w:line="155" w:lineRule="exact"/>
              <w:rPr>
                <w:sz w:val="20"/>
                <w:szCs w:val="20"/>
                <w:color w:val="auto"/>
              </w:rPr>
            </w:pPr>
            <w:r>
              <w:rPr>
                <w:rFonts w:ascii="Arial" w:cs="Arial" w:eastAsia="Arial" w:hAnsi="Arial"/>
                <w:sz w:val="14"/>
                <w:szCs w:val="14"/>
                <w:color w:val="auto"/>
              </w:rPr>
              <w:t>6,268,195</w:t>
            </w:r>
          </w:p>
        </w:tc>
        <w:tc>
          <w:tcPr>
            <w:tcW w:w="1300" w:type="dxa"/>
            <w:vAlign w:val="bottom"/>
            <w:tcBorders>
              <w:bottom w:val="single" w:sz="8" w:color="D95A3B"/>
              <w:right w:val="single" w:sz="8" w:color="AFAFAF"/>
            </w:tcBorders>
          </w:tcPr>
          <w:p>
            <w:pPr>
              <w:jc w:val="center"/>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D95A3B"/>
              <w:right w:val="single" w:sz="8" w:color="AFAFAF"/>
            </w:tcBorders>
          </w:tcPr>
          <w:p>
            <w:pPr>
              <w:jc w:val="center"/>
              <w:ind w:left="1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D95A3B"/>
              <w:right w:val="single" w:sz="8" w:color="AFAFAF"/>
            </w:tcBorders>
          </w:tcPr>
          <w:p>
            <w:pPr>
              <w:jc w:val="right"/>
              <w:ind w:right="248"/>
              <w:spacing w:after="0" w:line="155" w:lineRule="exact"/>
              <w:rPr>
                <w:sz w:val="20"/>
                <w:szCs w:val="20"/>
                <w:color w:val="auto"/>
              </w:rPr>
            </w:pPr>
            <w:r>
              <w:rPr>
                <w:rFonts w:ascii="Arial" w:cs="Arial" w:eastAsia="Arial" w:hAnsi="Arial"/>
                <w:sz w:val="14"/>
                <w:szCs w:val="14"/>
                <w:color w:val="auto"/>
              </w:rPr>
              <w:t>30,000</w:t>
            </w:r>
          </w:p>
        </w:tc>
        <w:tc>
          <w:tcPr>
            <w:tcW w:w="1380" w:type="dxa"/>
            <w:vAlign w:val="bottom"/>
            <w:tcBorders>
              <w:bottom w:val="single" w:sz="8" w:color="D95A3B"/>
            </w:tcBorders>
          </w:tcPr>
          <w:p>
            <w:pPr>
              <w:jc w:val="right"/>
              <w:ind w:right="227"/>
              <w:spacing w:after="0" w:line="155" w:lineRule="exact"/>
              <w:rPr>
                <w:sz w:val="20"/>
                <w:szCs w:val="20"/>
                <w:color w:val="auto"/>
              </w:rPr>
            </w:pPr>
            <w:r>
              <w:rPr>
                <w:rFonts w:ascii="Arial" w:cs="Arial" w:eastAsia="Arial" w:hAnsi="Arial"/>
                <w:sz w:val="14"/>
                <w:szCs w:val="14"/>
                <w:color w:val="auto"/>
              </w:rPr>
              <w:t>6,284,139</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540" w:right="80" w:hanging="159"/>
        <w:spacing w:after="0" w:line="237" w:lineRule="auto"/>
        <w:tabs>
          <w:tab w:leader="none" w:pos="520" w:val="left"/>
        </w:tabs>
        <w:rPr>
          <w:sz w:val="20"/>
          <w:szCs w:val="20"/>
          <w:color w:val="auto"/>
        </w:rPr>
      </w:pPr>
      <w:r>
        <w:rPr>
          <w:rFonts w:ascii="Arial" w:cs="Arial" w:eastAsia="Arial" w:hAnsi="Arial"/>
          <w:sz w:val="13"/>
          <w:szCs w:val="13"/>
          <w:color w:val="auto"/>
        </w:rPr>
        <w:t>*</w:t>
        <w:tab/>
        <w:t>Amounts reflected for all named executive officers relate to a change of control of Thomson Reuters, except for amounts reflected for Mr. Friedenberg, which relate to a change of control of Reuters News.</w:t>
      </w:r>
    </w:p>
    <w:p>
      <w:pPr>
        <w:spacing w:after="0" w:line="1" w:lineRule="exact"/>
        <w:rPr>
          <w:sz w:val="20"/>
          <w:szCs w:val="20"/>
          <w:color w:val="auto"/>
        </w:rPr>
      </w:pPr>
    </w:p>
    <w:p>
      <w:pPr>
        <w:ind w:left="540" w:right="300" w:hanging="206"/>
        <w:spacing w:after="0" w:line="257" w:lineRule="auto"/>
        <w:tabs>
          <w:tab w:leader="none" w:pos="5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Reflects the incremental difference between the value of Mr. Friedenberg’s sign-on TRSU grant under general award terms and conditions (pro rata vesting based on active service as an employee between the grant date and termination date) and his arrangement described earlier in this circular (which would provide for full vesting of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113030</wp:posOffset>
            </wp:positionV>
            <wp:extent cx="697357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19" w:lineRule="exact"/>
        <w:rPr>
          <w:sz w:val="20"/>
          <w:szCs w:val="20"/>
          <w:color w:val="auto"/>
        </w:rPr>
      </w:pPr>
    </w:p>
    <w:p>
      <w:pPr>
        <w:ind w:left="6100"/>
        <w:spacing w:after="0"/>
        <w:tabs>
          <w:tab w:leader="none" w:pos="106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81</w:t>
      </w:r>
    </w:p>
    <w:p>
      <w:pPr>
        <w:sectPr>
          <w:pgSz w:w="11900" w:h="16838" w:orient="portrait"/>
          <w:cols w:equalWidth="0" w:num="1">
            <w:col w:w="11200"/>
          </w:cols>
          <w:pgMar w:left="240" w:top="458" w:right="45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right="3760"/>
        <w:spacing w:after="0" w:line="243" w:lineRule="auto"/>
        <w:rPr>
          <w:sz w:val="20"/>
          <w:szCs w:val="20"/>
          <w:color w:val="auto"/>
        </w:rPr>
      </w:pPr>
      <w:r>
        <w:rPr>
          <w:rFonts w:ascii="Arial" w:cs="Arial" w:eastAsia="Arial" w:hAnsi="Arial"/>
          <w:sz w:val="47"/>
          <w:szCs w:val="47"/>
          <w:color w:val="D95A3B"/>
        </w:rPr>
        <w:t>Indebtedness of Officers, Directors and Employees</w:t>
      </w:r>
    </w:p>
    <w:p>
      <w:pPr>
        <w:spacing w:after="0" w:line="392" w:lineRule="exact"/>
        <w:rPr>
          <w:sz w:val="20"/>
          <w:szCs w:val="20"/>
          <w:color w:val="auto"/>
        </w:rPr>
      </w:pPr>
    </w:p>
    <w:p>
      <w:pPr>
        <w:ind w:left="220" w:right="40"/>
        <w:spacing w:after="0" w:line="238" w:lineRule="auto"/>
        <w:rPr>
          <w:sz w:val="20"/>
          <w:szCs w:val="20"/>
          <w:color w:val="auto"/>
        </w:rPr>
      </w:pPr>
      <w:r>
        <w:rPr>
          <w:rFonts w:ascii="Arial" w:cs="Arial" w:eastAsia="Arial" w:hAnsi="Arial"/>
          <w:sz w:val="18"/>
          <w:szCs w:val="18"/>
          <w:color w:val="auto"/>
        </w:rPr>
        <w:t>As of April 11, 2019, none of our current or former executive officers or directors were indebted to our company or any of our subsidiaries. As of April 11, 2019, there was no indebtedness (other than “routine indebtedness” under applicable Canadian securities laws) of the current and former officers, directors and employees of our company and our subsidiaries owing to Thomson Reuters or any of our subsidiaries.</w:t>
      </w:r>
    </w:p>
    <w:p>
      <w:pPr>
        <w:spacing w:after="0" w:line="200" w:lineRule="exact"/>
        <w:rPr>
          <w:sz w:val="20"/>
          <w:szCs w:val="20"/>
          <w:color w:val="auto"/>
        </w:rPr>
      </w:pPr>
    </w:p>
    <w:p>
      <w:pPr>
        <w:spacing w:after="0" w:line="211" w:lineRule="exact"/>
        <w:rPr>
          <w:sz w:val="20"/>
          <w:szCs w:val="20"/>
          <w:color w:val="auto"/>
        </w:rPr>
      </w:pPr>
    </w:p>
    <w:p>
      <w:pPr>
        <w:ind w:left="220" w:right="2960"/>
        <w:spacing w:after="0" w:line="243" w:lineRule="auto"/>
        <w:rPr>
          <w:sz w:val="20"/>
          <w:szCs w:val="20"/>
          <w:color w:val="auto"/>
        </w:rPr>
      </w:pPr>
      <w:r>
        <w:rPr>
          <w:rFonts w:ascii="Arial" w:cs="Arial" w:eastAsia="Arial" w:hAnsi="Arial"/>
          <w:sz w:val="47"/>
          <w:szCs w:val="47"/>
          <w:color w:val="D95A3B"/>
        </w:rPr>
        <w:t>Directors’ and Officers’ Indemnification and Insurance</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provide indemnification to our directors to the extent permitted by applicable laws and regulations.</w:t>
      </w:r>
    </w:p>
    <w:p>
      <w:pPr>
        <w:spacing w:after="0" w:line="10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Under the Business Corporations Act (Ontario) (OBCA), our company may indemnify a present or former director or officer or another individual who acts or acted at our company’s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to which the individual is involved because of that association with our company or other entity, if the individual acted honestly and in good faith with a view to the best interests of our company or, as the case may be, to the best interests of the other entity for which the individual acted as a director or officer or in a similar capacity at our company’s request, and, in the case of a criminal or administrative action or proceeding that is enforced by a monetary penalty, such individual had reasonable grounds for believing that his or her conduct was lawful.</w:t>
      </w:r>
    </w:p>
    <w:p>
      <w:pPr>
        <w:spacing w:after="0" w:line="94" w:lineRule="exact"/>
        <w:rPr>
          <w:sz w:val="20"/>
          <w:szCs w:val="20"/>
          <w:color w:val="auto"/>
        </w:rPr>
      </w:pPr>
    </w:p>
    <w:p>
      <w:pPr>
        <w:ind w:left="220" w:right="780"/>
        <w:spacing w:after="0" w:line="244" w:lineRule="auto"/>
        <w:rPr>
          <w:sz w:val="20"/>
          <w:szCs w:val="20"/>
          <w:color w:val="auto"/>
        </w:rPr>
      </w:pPr>
      <w:r>
        <w:rPr>
          <w:rFonts w:ascii="Arial" w:cs="Arial" w:eastAsia="Arial" w:hAnsi="Arial"/>
          <w:sz w:val="18"/>
          <w:szCs w:val="18"/>
          <w:color w:val="auto"/>
        </w:rPr>
        <w:t>Pursuant to our organizational documents, we are required to indemnify the individuals referred to above and the heirs and legal representatives of such individuals to the extent permitted by the OBCA.</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maintain, at our expense, a directors’ and officers’ liability insurance policy that provides protection for our directors and officers</w:t>
      </w:r>
    </w:p>
    <w:p>
      <w:pPr>
        <w:ind w:left="220"/>
        <w:spacing w:after="0" w:line="234" w:lineRule="auto"/>
        <w:rPr>
          <w:sz w:val="20"/>
          <w:szCs w:val="20"/>
          <w:color w:val="auto"/>
        </w:rPr>
      </w:pPr>
      <w:r>
        <w:rPr>
          <w:rFonts w:ascii="Arial" w:cs="Arial" w:eastAsia="Arial" w:hAnsi="Arial"/>
          <w:sz w:val="18"/>
          <w:szCs w:val="18"/>
          <w:color w:val="auto"/>
        </w:rPr>
        <w:t>against liability incurred by them in their capacities as such. This policy provides for a limit of up to $100 million for each claim and</w:t>
      </w:r>
    </w:p>
    <w:p>
      <w:pPr>
        <w:ind w:left="220"/>
        <w:spacing w:after="0" w:line="234" w:lineRule="auto"/>
        <w:rPr>
          <w:sz w:val="20"/>
          <w:szCs w:val="20"/>
          <w:color w:val="auto"/>
        </w:rPr>
      </w:pPr>
      <w:r>
        <w:rPr>
          <w:rFonts w:ascii="Arial" w:cs="Arial" w:eastAsia="Arial" w:hAnsi="Arial"/>
          <w:sz w:val="18"/>
          <w:szCs w:val="18"/>
          <w:color w:val="auto"/>
        </w:rPr>
        <w:t>$100 million in the aggregate and there is no deductible for this coverage. The insurance applies in circumstances where we may not</w:t>
      </w:r>
    </w:p>
    <w:p>
      <w:pPr>
        <w:ind w:left="220"/>
        <w:spacing w:after="0" w:line="234" w:lineRule="auto"/>
        <w:rPr>
          <w:sz w:val="20"/>
          <w:szCs w:val="20"/>
          <w:color w:val="auto"/>
        </w:rPr>
      </w:pPr>
      <w:r>
        <w:rPr>
          <w:rFonts w:ascii="Arial" w:cs="Arial" w:eastAsia="Arial" w:hAnsi="Arial"/>
          <w:sz w:val="18"/>
          <w:szCs w:val="18"/>
          <w:color w:val="auto"/>
        </w:rPr>
        <w:t>indemnify our directors and officers for their acts or omissions. Annual gross premiums paid by our company relating to directors’ and</w:t>
      </w:r>
    </w:p>
    <w:p>
      <w:pPr>
        <w:ind w:left="220"/>
        <w:spacing w:after="0"/>
        <w:rPr>
          <w:sz w:val="20"/>
          <w:szCs w:val="20"/>
          <w:color w:val="auto"/>
        </w:rPr>
      </w:pPr>
      <w:r>
        <w:rPr>
          <w:rFonts w:ascii="Arial" w:cs="Arial" w:eastAsia="Arial" w:hAnsi="Arial"/>
          <w:sz w:val="18"/>
          <w:szCs w:val="18"/>
          <w:color w:val="auto"/>
        </w:rPr>
        <w:t>officers’ liability insurance are currently approximately $1.6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125730</wp:posOffset>
            </wp:positionV>
            <wp:extent cx="697357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52"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82</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160"/>
          </w:cols>
          <w:pgMar w:left="240" w:top="458"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Additional Information</w:t>
      </w:r>
    </w:p>
    <w:p>
      <w:pPr>
        <w:spacing w:after="0" w:line="3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Non-IFRS Financial Measures</w:t>
      </w:r>
    </w:p>
    <w:p>
      <w:pPr>
        <w:spacing w:after="0" w:line="146"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Certain financial measures discussed in this circular, such as revenues before currency, free cash flow, adjusted EBITDA and the related margin, adjusted EBITDA less capital expenditures, and adjusted EPS are non-IFRS financial measures. In the “Compensation Discussion and Analysis” section of this circular, we explain why we use certain non-IFRS measures as part of our annual and long-term incentive awards. For reconciliations to the most directly comparable IFRS measure, please see the MD&amp;A section of our 2018 annual report. Adjusted EBITDA less capital expenditures and free cash flow, as discussed in this circular and as used for incentive compensation purposes only, are reconciled to earnings from continuing operations and net cash provided by operating activities, respectively, as disclosed and reconciled in our 2018 annual MD&amp;A. Additionally, when we use the terms “organic” and “organically”, we are referring to our existing businesses before the impact of acquisitions, dispositions and IFRS 15. For purposes of the organic revenue growth calculation, the company’s 30 -year news agreement with Refinitiv that was signed on October 1, 2018 is treated as an acquisition. Non-IFRS financial measures do not have any standardized meanings prescribed by IFRS and therefore are unlikely to be comparable to the calculation of similar measures used by other companies, and should not be viewed as alternatives to measures of financial performance calculated in accordance with IFRS.</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How to Contact the Board</w:t>
      </w:r>
    </w:p>
    <w:p>
      <w:pPr>
        <w:spacing w:after="0" w:line="146" w:lineRule="exact"/>
        <w:rPr>
          <w:sz w:val="20"/>
          <w:szCs w:val="20"/>
          <w:color w:val="auto"/>
        </w:rPr>
      </w:pPr>
    </w:p>
    <w:p>
      <w:pPr>
        <w:ind w:left="220" w:right="80"/>
        <w:spacing w:after="0" w:line="239" w:lineRule="auto"/>
        <w:rPr>
          <w:sz w:val="20"/>
          <w:szCs w:val="20"/>
          <w:color w:val="auto"/>
        </w:rPr>
      </w:pPr>
      <w:r>
        <w:rPr>
          <w:rFonts w:ascii="Arial" w:cs="Arial" w:eastAsia="Arial" w:hAnsi="Arial"/>
          <w:sz w:val="18"/>
          <w:szCs w:val="18"/>
          <w:color w:val="auto"/>
        </w:rPr>
        <w:t>Shareholders and other interested parties may contact the board or its non-management or independent directors as a group, or the directors who preside over their meetings, by writing to them c/o Deirdre Stanley, Executive Vice President, General Counsel &amp; Secretary, Thomson Reuters, 3 Times Square, New York, New York 10036, United States.</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2019 Annual Meeting – Questions from Shareholders</w:t>
      </w:r>
    </w:p>
    <w:p>
      <w:pPr>
        <w:spacing w:after="0" w:line="146"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 xml:space="preserve">At the annual meeting, shareholders in attendance will be provided with an opportunity to ask questions to our board, CEO and CFO. If you are a shareholder who is viewing the meeting by webcast or is unable to attend this year’s meeting in person but have a question, you may e-mail your question to </w:t>
      </w:r>
      <w:r>
        <w:rPr>
          <w:rFonts w:ascii="Arial" w:cs="Arial" w:eastAsia="Arial" w:hAnsi="Arial"/>
          <w:sz w:val="18"/>
          <w:szCs w:val="18"/>
          <w:b w:val="1"/>
          <w:bCs w:val="1"/>
          <w:color w:val="D95A3B"/>
        </w:rPr>
        <w:t>investor.relations@thomsonreuters.com</w:t>
      </w:r>
      <w:r>
        <w:rPr>
          <w:rFonts w:ascii="Arial" w:cs="Arial" w:eastAsia="Arial" w:hAnsi="Arial"/>
          <w:sz w:val="18"/>
          <w:szCs w:val="18"/>
          <w:color w:val="auto"/>
        </w:rPr>
        <w:t xml:space="preserve"> or mail your question to the Executive Vice President, General Counsel &amp; Secretary at the address noted above in the “How to Contact the Board” section. While we will seek to respond to as many shareholder questions as possible at the meeting, we cannot assure you that all questions will be able to be addressed at the meeting. If we are unable to address your question at the meeting, we will separately provide a response to you.</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Where to find Corporate Governance and Continuous Disclosure Documents</w:t>
      </w:r>
    </w:p>
    <w:p>
      <w:pPr>
        <w:spacing w:after="0" w:line="146"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 xml:space="preserve">Our Code of Business Conduct and Ethics, corporate governance guidelines and charters for the Audit Committee, Corporate Governance Committee, HR Committee and Risk Committee and position descriptions for the Chairman, Lead Independent Director, CEO and the Chair of each committee are available in print free of charge to any shareholder who requests a copy in writing to: Thomson Reuters, Attention: Investor Relations Department, Metro Center, One Station Place, Stamford, Connecticut 06902, United States or by an e-mail request sent to </w:t>
      </w:r>
      <w:r>
        <w:rPr>
          <w:rFonts w:ascii="Arial" w:cs="Arial" w:eastAsia="Arial" w:hAnsi="Arial"/>
          <w:sz w:val="18"/>
          <w:szCs w:val="18"/>
          <w:b w:val="1"/>
          <w:bCs w:val="1"/>
          <w:color w:val="D95A3B"/>
        </w:rPr>
        <w:t>investor.relations@thomsonreuters.com</w:t>
      </w:r>
      <w:r>
        <w:rPr>
          <w:rFonts w:ascii="Arial" w:cs="Arial" w:eastAsia="Arial" w:hAnsi="Arial"/>
          <w:sz w:val="18"/>
          <w:szCs w:val="18"/>
          <w:color w:val="auto"/>
        </w:rPr>
        <w:t xml:space="preserve">. These documents are also available on our website, </w:t>
      </w:r>
      <w:r>
        <w:rPr>
          <w:rFonts w:ascii="Arial" w:cs="Arial" w:eastAsia="Arial" w:hAnsi="Arial"/>
          <w:sz w:val="18"/>
          <w:szCs w:val="18"/>
          <w:b w:val="1"/>
          <w:bCs w:val="1"/>
          <w:color w:val="D95A3B"/>
        </w:rPr>
        <w:t>www.thomsonreuters.com.</w:t>
      </w:r>
    </w:p>
    <w:p>
      <w:pPr>
        <w:spacing w:after="0" w:line="98" w:lineRule="exact"/>
        <w:rPr>
          <w:sz w:val="20"/>
          <w:szCs w:val="20"/>
          <w:color w:val="auto"/>
        </w:rPr>
      </w:pPr>
    </w:p>
    <w:p>
      <w:pPr>
        <w:ind w:left="220" w:right="180"/>
        <w:spacing w:after="0" w:line="237" w:lineRule="auto"/>
        <w:rPr>
          <w:sz w:val="20"/>
          <w:szCs w:val="20"/>
          <w:color w:val="auto"/>
        </w:rPr>
      </w:pPr>
      <w:r>
        <w:rPr>
          <w:rFonts w:ascii="Arial" w:cs="Arial" w:eastAsia="Arial" w:hAnsi="Arial"/>
          <w:sz w:val="18"/>
          <w:szCs w:val="18"/>
          <w:color w:val="auto"/>
        </w:rPr>
        <w:t xml:space="preserve">Financial information about our company is provided in our consolidated financial statements and MD&amp;A. You can obtain copies of these financial statements and MD&amp;A by contacting our Investor Relations Department by mail or e-mail as indicated in the paragraph immediately above. You can also find these financial statements and MD&amp;A on our website, </w:t>
      </w:r>
      <w:r>
        <w:rPr>
          <w:rFonts w:ascii="Arial" w:cs="Arial" w:eastAsia="Arial" w:hAnsi="Arial"/>
          <w:sz w:val="18"/>
          <w:szCs w:val="18"/>
          <w:b w:val="1"/>
          <w:bCs w:val="1"/>
          <w:color w:val="D95A3B"/>
        </w:rPr>
        <w:t>www.thomsonreuters.com</w:t>
      </w:r>
      <w:r>
        <w:rPr>
          <w:rFonts w:ascii="Arial" w:cs="Arial" w:eastAsia="Arial" w:hAnsi="Arial"/>
          <w:sz w:val="18"/>
          <w:szCs w:val="18"/>
          <w:color w:val="auto"/>
        </w:rPr>
        <w:t>. Additional information regarding our Audit Committee that is required to be disclosed pursuant to Canadian Securities Administrators Multilateral Instrument Form 52-110F1 is included in our 2018 annual report.</w:t>
      </w:r>
    </w:p>
    <w:p>
      <w:pPr>
        <w:spacing w:after="0" w:line="95" w:lineRule="exact"/>
        <w:rPr>
          <w:sz w:val="20"/>
          <w:szCs w:val="20"/>
          <w:color w:val="auto"/>
        </w:rPr>
      </w:pPr>
    </w:p>
    <w:p>
      <w:pPr>
        <w:ind w:left="220" w:right="280"/>
        <w:spacing w:after="0" w:line="238" w:lineRule="auto"/>
        <w:rPr>
          <w:sz w:val="20"/>
          <w:szCs w:val="20"/>
          <w:color w:val="auto"/>
        </w:rPr>
      </w:pPr>
      <w:r>
        <w:rPr>
          <w:rFonts w:ascii="Arial" w:cs="Arial" w:eastAsia="Arial" w:hAnsi="Arial"/>
          <w:sz w:val="18"/>
          <w:szCs w:val="18"/>
          <w:color w:val="auto"/>
        </w:rPr>
        <w:t xml:space="preserve">You may access other information about our company, including our continuous disclosure materials, reports, statements and other information that we file with the Canadian securities regulatory authorities through SEDAR at </w:t>
      </w:r>
      <w:r>
        <w:rPr>
          <w:rFonts w:ascii="Arial" w:cs="Arial" w:eastAsia="Arial" w:hAnsi="Arial"/>
          <w:sz w:val="18"/>
          <w:szCs w:val="18"/>
          <w:b w:val="1"/>
          <w:bCs w:val="1"/>
          <w:color w:val="D95A3B"/>
        </w:rPr>
        <w:t>www.sedar.com</w:t>
      </w:r>
      <w:r>
        <w:rPr>
          <w:rFonts w:ascii="Arial" w:cs="Arial" w:eastAsia="Arial" w:hAnsi="Arial"/>
          <w:sz w:val="18"/>
          <w:szCs w:val="18"/>
          <w:color w:val="auto"/>
        </w:rPr>
        <w:t xml:space="preserve"> and in the United States with the SEC through EDGAR at </w:t>
      </w:r>
      <w:r>
        <w:rPr>
          <w:rFonts w:ascii="Arial" w:cs="Arial" w:eastAsia="Arial" w:hAnsi="Arial"/>
          <w:sz w:val="18"/>
          <w:szCs w:val="18"/>
          <w:b w:val="1"/>
          <w:bCs w:val="1"/>
          <w:color w:val="D95A3B"/>
        </w:rPr>
        <w:t>www.sec.gov</w:t>
      </w:r>
      <w:r>
        <w:rPr>
          <w:rFonts w:ascii="Arial" w:cs="Arial" w:eastAsia="Arial" w:hAnsi="Arial"/>
          <w:sz w:val="18"/>
          <w:szCs w:val="18"/>
          <w:color w:val="auto"/>
        </w:rPr>
        <w:t>. A copy of our corporate governance guidelines has been filed on SEDAR and EDGAR and is incorporated by reference in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120015</wp:posOffset>
            </wp:positionV>
            <wp:extent cx="6973570" cy="34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3"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83</w:t>
      </w:r>
    </w:p>
    <w:p>
      <w:pPr>
        <w:sectPr>
          <w:pgSz w:w="11900" w:h="16838" w:orient="portrait"/>
          <w:cols w:equalWidth="0" w:num="1">
            <w:col w:w="11200"/>
          </w:cols>
          <w:pgMar w:left="240" w:top="458"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Under NYSE listing standards, we are required to disclose any significant ways in which our corporate governance practices differ from those required to be followed by U.S. domestic companies under NYSE listing standards. There is only one significant difference between our corporate governance practices and those required of domestic companies under NYSE listing standards. NYSE listing standards require shareholder approval of all “equity compensation plans” and material revisions to these types of plans (with limited exceptions). TSX rules require shareholder approval of security based compensation arrangements only for plans which involve newly issued shares or specified amendments to the plans. Similar to a number of other Canadian issuers, our company follows the TSX rules.</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Thomson Reuters Trust Principles and Thomson Reuters Founders Share Company</w:t>
      </w:r>
    </w:p>
    <w:p>
      <w:pPr>
        <w:spacing w:after="0" w:line="146" w:lineRule="exact"/>
        <w:rPr>
          <w:sz w:val="20"/>
          <w:szCs w:val="20"/>
          <w:color w:val="auto"/>
        </w:rPr>
      </w:pPr>
    </w:p>
    <w:p>
      <w:pPr>
        <w:ind w:left="220" w:right="220"/>
        <w:spacing w:after="0" w:line="244" w:lineRule="auto"/>
        <w:rPr>
          <w:sz w:val="20"/>
          <w:szCs w:val="20"/>
          <w:color w:val="auto"/>
        </w:rPr>
      </w:pPr>
      <w:r>
        <w:rPr>
          <w:rFonts w:ascii="Arial" w:cs="Arial" w:eastAsia="Arial" w:hAnsi="Arial"/>
          <w:sz w:val="18"/>
          <w:szCs w:val="18"/>
          <w:color w:val="auto"/>
        </w:rPr>
        <w:t>We have issued a Founders Share to the Thomson Reuters Founders Share Company which enables it to exercise extraordinary voting power to safeguard the Thomson Reuters Trust Principles.</w:t>
      </w:r>
    </w:p>
    <w:p>
      <w:pPr>
        <w:spacing w:after="0" w:line="91" w:lineRule="exact"/>
        <w:rPr>
          <w:sz w:val="20"/>
          <w:szCs w:val="20"/>
          <w:color w:val="auto"/>
        </w:rPr>
      </w:pPr>
    </w:p>
    <w:p>
      <w:pPr>
        <w:ind w:left="220" w:right="20"/>
        <w:spacing w:after="0" w:line="235" w:lineRule="auto"/>
        <w:rPr>
          <w:sz w:val="20"/>
          <w:szCs w:val="20"/>
          <w:color w:val="auto"/>
        </w:rPr>
      </w:pPr>
      <w:r>
        <w:rPr>
          <w:rFonts w:ascii="Arial" w:cs="Arial" w:eastAsia="Arial" w:hAnsi="Arial"/>
          <w:sz w:val="18"/>
          <w:szCs w:val="18"/>
          <w:color w:val="auto"/>
        </w:rPr>
        <w:t>The directors of the Thomson Reuters Founders Share Company are experienced and eminent people from the world of politics, diplomacy, media, public service and business. They generally have all held high offices in their respective sectors. The directors are selected by a nomination committee and proposed to the board of the Thomson Reuters Founders Share Company for appointment. The nomination committee also has unique features. Two of its members are judges from the European Court of Human Rights and assist in scrutinizing candidates’ suitability. Our board currently has two representatives on the nomination committee. The chairman and deputy chairman of the Thomson Reuters Founders Share Company are members of the nomination committee, and the chairman appoints three other directors of the Thomson Reuters Founders Share Company as members of the nomination committee. Other members of the nomination committee are representatives of press associations from the United Kingdom, Australia and New Zealand. The chairman of the Thomson Reuters Founders Share Company acts as chairman of the nomination committee.</w:t>
      </w:r>
    </w:p>
    <w:p>
      <w:pPr>
        <w:spacing w:after="0" w:line="100" w:lineRule="exact"/>
        <w:rPr>
          <w:sz w:val="20"/>
          <w:szCs w:val="20"/>
          <w:color w:val="auto"/>
        </w:rPr>
      </w:pPr>
    </w:p>
    <w:p>
      <w:pPr>
        <w:ind w:left="220" w:right="60"/>
        <w:spacing w:after="0" w:line="239" w:lineRule="auto"/>
        <w:rPr>
          <w:sz w:val="20"/>
          <w:szCs w:val="20"/>
          <w:color w:val="auto"/>
        </w:rPr>
      </w:pPr>
      <w:r>
        <w:rPr>
          <w:rFonts w:ascii="Arial" w:cs="Arial" w:eastAsia="Arial" w:hAnsi="Arial"/>
          <w:sz w:val="18"/>
          <w:szCs w:val="18"/>
          <w:color w:val="auto"/>
        </w:rPr>
        <w:t>Under a Thomson Reuters Trust Principles Support Agreement, Woodbridge has agreed to support the Thomson Reuters Trust Principles and to exercise its voting rights to give effect to this support. In connection with the closing of the F&amp;R transaction, Thomson Reuters Founders Share Company, Thomson Reuters and Reuters News entered into a Reuters Support Agreement.</w:t>
      </w:r>
    </w:p>
    <w:p>
      <w:pPr>
        <w:spacing w:after="0" w:line="95" w:lineRule="exact"/>
        <w:rPr>
          <w:sz w:val="20"/>
          <w:szCs w:val="20"/>
          <w:color w:val="auto"/>
        </w:rPr>
      </w:pPr>
    </w:p>
    <w:p>
      <w:pPr>
        <w:ind w:left="220" w:right="60"/>
        <w:spacing w:after="0" w:line="239" w:lineRule="auto"/>
        <w:rPr>
          <w:sz w:val="20"/>
          <w:szCs w:val="20"/>
          <w:color w:val="auto"/>
        </w:rPr>
      </w:pPr>
      <w:r>
        <w:rPr>
          <w:rFonts w:ascii="Arial" w:cs="Arial" w:eastAsia="Arial" w:hAnsi="Arial"/>
          <w:sz w:val="18"/>
          <w:szCs w:val="18"/>
          <w:color w:val="auto"/>
        </w:rPr>
        <w:t>For additional information about the Thomson Reuters Founders Share Company, its directors, the Thomson Reuters Trust Principles, the Founders Share that our company has issued to the Thomson Reuters Founders Share Company and the Reuters Support Agreement, please see our 2018 annual report.</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Share Repurchases – Normal Course Issuer Bid</w:t>
      </w:r>
    </w:p>
    <w:p>
      <w:pPr>
        <w:spacing w:after="0" w:line="146" w:lineRule="exact"/>
        <w:rPr>
          <w:sz w:val="20"/>
          <w:szCs w:val="20"/>
          <w:color w:val="auto"/>
        </w:rPr>
      </w:pPr>
    </w:p>
    <w:p>
      <w:pPr>
        <w:ind w:left="220" w:right="60"/>
        <w:spacing w:after="0" w:line="235" w:lineRule="auto"/>
        <w:rPr>
          <w:sz w:val="20"/>
          <w:szCs w:val="20"/>
          <w:color w:val="auto"/>
        </w:rPr>
      </w:pPr>
      <w:r>
        <w:rPr>
          <w:rFonts w:ascii="Arial" w:cs="Arial" w:eastAsia="Arial" w:hAnsi="Arial"/>
          <w:sz w:val="18"/>
          <w:szCs w:val="18"/>
          <w:color w:val="auto"/>
        </w:rPr>
        <w:t xml:space="preserve">In May 2018, we filed a notice of intention to make a normal course issuer bid to enable us to purchase up to 35,500,000 common shares (reflected as 32,230,450 shares following our share consolidation/reverse stock split in November 2018). The notice provides that we may purchase these shares between May 30, 2018 and May 29, 2019 at prevailing market prices in amounts and at times to be determined by our company. We may make purchases through the TSX or the NYSE and/or other exchanges and alternative trading systems, if eligible, or by such other means as may be permitted by the TSX and/or NYSE or under applicable law by a registered investment dealer (or an affiliate of the dealer), including private agreement purchases if we receive an issuer bid exemption order from applicable securities regulatory authorities in Canada for such purchases. Common shares that we purchase under the bid are cancelled. In 2018, we repurchased 26,770,933 common shares at an average price per share of $43.87 under our normal course issuer bid. This information does not reflect shares that we acquired in 2018 pursuant to a substantial issuer bid/tender offer. A copy of the notice of intention is available at </w:t>
      </w:r>
      <w:r>
        <w:rPr>
          <w:rFonts w:ascii="Arial" w:cs="Arial" w:eastAsia="Arial" w:hAnsi="Arial"/>
          <w:sz w:val="18"/>
          <w:szCs w:val="18"/>
          <w:b w:val="1"/>
          <w:bCs w:val="1"/>
          <w:color w:val="D95A3B"/>
        </w:rPr>
        <w:t>www.sedar.com</w:t>
      </w:r>
      <w:r>
        <w:rPr>
          <w:rFonts w:ascii="Arial" w:cs="Arial" w:eastAsia="Arial" w:hAnsi="Arial"/>
          <w:sz w:val="18"/>
          <w:szCs w:val="18"/>
          <w:color w:val="auto"/>
        </w:rPr>
        <w:t xml:space="preserve"> and </w:t>
      </w:r>
      <w:r>
        <w:rPr>
          <w:rFonts w:ascii="Arial" w:cs="Arial" w:eastAsia="Arial" w:hAnsi="Arial"/>
          <w:sz w:val="18"/>
          <w:szCs w:val="18"/>
          <w:b w:val="1"/>
          <w:bCs w:val="1"/>
          <w:color w:val="D95A3B"/>
        </w:rPr>
        <w:t>www.sec.gov</w:t>
      </w:r>
      <w:r>
        <w:rPr>
          <w:rFonts w:ascii="Arial" w:cs="Arial" w:eastAsia="Arial" w:hAnsi="Arial"/>
          <w:sz w:val="18"/>
          <w:szCs w:val="18"/>
          <w:color w:val="auto"/>
        </w:rPr>
        <w:t xml:space="preserve"> and may also be obtained without charge from our Investor Relations Department at the address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123190</wp:posOffset>
            </wp:positionV>
            <wp:extent cx="697357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8"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3"/>
          <w:szCs w:val="13"/>
          <w:color w:val="auto"/>
        </w:rPr>
        <w:t>Page 84</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Directors’ Approval</w:t>
      </w:r>
    </w:p>
    <w:p>
      <w:pPr>
        <w:spacing w:after="0" w:line="200" w:lineRule="exact"/>
        <w:rPr>
          <w:sz w:val="20"/>
          <w:szCs w:val="20"/>
          <w:color w:val="auto"/>
        </w:rPr>
      </w:pPr>
    </w:p>
    <w:p>
      <w:pPr>
        <w:spacing w:after="0" w:line="221" w:lineRule="exact"/>
        <w:rPr>
          <w:sz w:val="20"/>
          <w:szCs w:val="20"/>
          <w:color w:val="auto"/>
        </w:rPr>
      </w:pPr>
    </w:p>
    <w:p>
      <w:pPr>
        <w:ind w:left="220" w:right="340"/>
        <w:spacing w:after="0" w:line="244" w:lineRule="auto"/>
        <w:rPr>
          <w:sz w:val="20"/>
          <w:szCs w:val="20"/>
          <w:color w:val="auto"/>
        </w:rPr>
      </w:pPr>
      <w:r>
        <w:rPr>
          <w:rFonts w:ascii="Arial" w:cs="Arial" w:eastAsia="Arial" w:hAnsi="Arial"/>
          <w:sz w:val="18"/>
          <w:szCs w:val="18"/>
          <w:color w:val="auto"/>
        </w:rPr>
        <w:t>The board of directors of Thomson Reuters Corporation has approved the contents of this circular and the mailing of the circular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306070</wp:posOffset>
            </wp:positionV>
            <wp:extent cx="1640840" cy="4019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640840" cy="40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Deirdre Stanley</w:t>
      </w:r>
    </w:p>
    <w:p>
      <w:pPr>
        <w:ind w:left="220"/>
        <w:spacing w:after="0"/>
        <w:rPr>
          <w:sz w:val="20"/>
          <w:szCs w:val="20"/>
          <w:color w:val="auto"/>
        </w:rPr>
      </w:pPr>
      <w:r>
        <w:rPr>
          <w:rFonts w:ascii="Arial" w:cs="Arial" w:eastAsia="Arial" w:hAnsi="Arial"/>
          <w:sz w:val="18"/>
          <w:szCs w:val="18"/>
          <w:color w:val="auto"/>
        </w:rPr>
        <w:t>Executive Vice President, General Counsel &amp; Secretary</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April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125730</wp:posOffset>
            </wp:positionV>
            <wp:extent cx="6973570" cy="342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38"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85</w:t>
      </w:r>
    </w:p>
    <w:p>
      <w:pPr>
        <w:sectPr>
          <w:pgSz w:w="11900" w:h="16838" w:orient="portrait"/>
          <w:cols w:equalWidth="0" w:num="1">
            <w:col w:w="11200"/>
          </w:cols>
          <w:pgMar w:left="240" w:top="458"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right="380"/>
        <w:spacing w:after="0" w:line="243" w:lineRule="auto"/>
        <w:rPr>
          <w:sz w:val="20"/>
          <w:szCs w:val="20"/>
          <w:color w:val="auto"/>
        </w:rPr>
      </w:pPr>
      <w:r>
        <w:rPr>
          <w:rFonts w:ascii="Arial" w:cs="Arial" w:eastAsia="Arial" w:hAnsi="Arial"/>
          <w:sz w:val="47"/>
          <w:szCs w:val="47"/>
          <w:color w:val="D95A3B"/>
        </w:rPr>
        <w:t>Appendix A – Equity Compensation and Other Plan Information</w:t>
      </w:r>
    </w:p>
    <w:p>
      <w:pPr>
        <w:spacing w:after="0" w:line="374" w:lineRule="exact"/>
        <w:rPr>
          <w:sz w:val="20"/>
          <w:szCs w:val="20"/>
          <w:color w:val="auto"/>
        </w:rPr>
      </w:pPr>
    </w:p>
    <w:p>
      <w:pPr>
        <w:ind w:left="220" w:right="120"/>
        <w:spacing w:after="0" w:line="244" w:lineRule="auto"/>
        <w:rPr>
          <w:sz w:val="20"/>
          <w:szCs w:val="20"/>
          <w:color w:val="auto"/>
        </w:rPr>
      </w:pPr>
      <w:r>
        <w:rPr>
          <w:rFonts w:ascii="Arial" w:cs="Arial" w:eastAsia="Arial" w:hAnsi="Arial"/>
          <w:sz w:val="18"/>
          <w:szCs w:val="18"/>
          <w:i w:val="1"/>
          <w:iCs w:val="1"/>
          <w:color w:val="auto"/>
        </w:rPr>
        <w:t>In November 2018, we completed a return of capital transaction that included a consolidation of our outstanding common shares (or reverse stock split) at a ratio of 1 pre-consolidated share for 0.9079 post-consolidated shares. We subsequently consolidated the number of shares issuable under our stock incentive plan and other plans by the applicable ratio. Share reserve information in this Appendix reflects the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144145</wp:posOffset>
            </wp:positionV>
            <wp:extent cx="6973570" cy="1193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73570" cy="119380"/>
                    </a:xfrm>
                    <a:prstGeom prst="rect">
                      <a:avLst/>
                    </a:prstGeom>
                    <a:noFill/>
                  </pic:spPr>
                </pic:pic>
              </a:graphicData>
            </a:graphic>
          </wp:anchor>
        </w:drawing>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Stock Incentive Plan</w:t>
      </w:r>
    </w:p>
    <w:p>
      <w:pPr>
        <w:spacing w:after="0" w:line="10" w:lineRule="exact"/>
        <w:rPr>
          <w:sz w:val="20"/>
          <w:szCs w:val="20"/>
          <w:color w:val="auto"/>
        </w:rPr>
      </w:pPr>
    </w:p>
    <w:tbl>
      <w:tblPr>
        <w:tblLayout w:type="fixed"/>
        <w:tblInd w:w="220" w:type="dxa"/>
        <w:tblCellMar>
          <w:top w:w="0" w:type="dxa"/>
          <w:left w:w="0" w:type="dxa"/>
          <w:bottom w:w="0" w:type="dxa"/>
          <w:right w:w="0" w:type="dxa"/>
        </w:tblCellMar>
      </w:tblPr>
      <w:tr>
        <w:trPr>
          <w:trHeight w:val="160"/>
        </w:trPr>
        <w:tc>
          <w:tcPr>
            <w:tcW w:w="3200" w:type="dxa"/>
            <w:vAlign w:val="bottom"/>
            <w:tcBorders>
              <w:top w:val="single" w:sz="8" w:color="D95A3B"/>
            </w:tcBorders>
          </w:tcPr>
          <w:p>
            <w:pPr>
              <w:spacing w:after="0" w:line="160" w:lineRule="exact"/>
              <w:rPr>
                <w:sz w:val="20"/>
                <w:szCs w:val="20"/>
                <w:color w:val="auto"/>
              </w:rPr>
            </w:pPr>
            <w:r>
              <w:rPr>
                <w:rFonts w:ascii="Arial" w:cs="Arial" w:eastAsia="Arial" w:hAnsi="Arial"/>
                <w:sz w:val="14"/>
                <w:szCs w:val="14"/>
                <w:b w:val="1"/>
                <w:bCs w:val="1"/>
                <w:color w:val="auto"/>
              </w:rPr>
              <w:t>Eligibility</w:t>
            </w:r>
          </w:p>
        </w:tc>
        <w:tc>
          <w:tcPr>
            <w:tcW w:w="7780" w:type="dxa"/>
            <w:vAlign w:val="bottom"/>
            <w:tcBorders>
              <w:top w:val="single" w:sz="8" w:color="D95A3B"/>
            </w:tcBorders>
          </w:tcPr>
          <w:p>
            <w:pPr>
              <w:ind w:left="320"/>
              <w:spacing w:after="0" w:line="160" w:lineRule="exact"/>
              <w:rPr>
                <w:sz w:val="20"/>
                <w:szCs w:val="20"/>
                <w:color w:val="auto"/>
              </w:rPr>
            </w:pPr>
            <w:r>
              <w:rPr>
                <w:rFonts w:ascii="Arial" w:cs="Arial" w:eastAsia="Arial" w:hAnsi="Arial"/>
                <w:sz w:val="14"/>
                <w:szCs w:val="14"/>
                <w:color w:val="auto"/>
              </w:rPr>
              <w:t>Any employee or officer of Thomson Reuters (as may be determined by the HR Committee). Directors who are not</w:t>
            </w:r>
          </w:p>
        </w:tc>
      </w:tr>
      <w:tr>
        <w:trPr>
          <w:trHeight w:val="157"/>
        </w:trPr>
        <w:tc>
          <w:tcPr>
            <w:tcW w:w="3200" w:type="dxa"/>
            <w:vAlign w:val="bottom"/>
            <w:tcBorders>
              <w:bottom w:val="single" w:sz="8" w:color="AFAFAF"/>
            </w:tcBorders>
          </w:tcPr>
          <w:p>
            <w:pPr>
              <w:spacing w:after="0"/>
              <w:rPr>
                <w:sz w:val="13"/>
                <w:szCs w:val="13"/>
                <w:color w:val="auto"/>
              </w:rPr>
            </w:pPr>
          </w:p>
        </w:tc>
        <w:tc>
          <w:tcPr>
            <w:tcW w:w="7780" w:type="dxa"/>
            <w:vAlign w:val="bottom"/>
            <w:tcBorders>
              <w:bottom w:val="single" w:sz="8" w:color="AFAFAF"/>
            </w:tcBorders>
          </w:tcPr>
          <w:p>
            <w:pPr>
              <w:ind w:left="320"/>
              <w:spacing w:after="0" w:line="157" w:lineRule="exact"/>
              <w:rPr>
                <w:sz w:val="20"/>
                <w:szCs w:val="20"/>
                <w:color w:val="auto"/>
              </w:rPr>
            </w:pPr>
            <w:r>
              <w:rPr>
                <w:rFonts w:ascii="Arial" w:cs="Arial" w:eastAsia="Arial" w:hAnsi="Arial"/>
                <w:sz w:val="14"/>
                <w:szCs w:val="14"/>
                <w:color w:val="auto"/>
              </w:rPr>
              <w:t>employees or officers of our company are not eligible to participate in the plan.</w:t>
            </w:r>
          </w:p>
        </w:tc>
      </w:tr>
      <w:tr>
        <w:trPr>
          <w:trHeight w:val="160"/>
        </w:trPr>
        <w:tc>
          <w:tcPr>
            <w:tcW w:w="3200" w:type="dxa"/>
            <w:vAlign w:val="bottom"/>
          </w:tcPr>
          <w:p>
            <w:pPr>
              <w:spacing w:after="0" w:line="160" w:lineRule="exact"/>
              <w:rPr>
                <w:sz w:val="20"/>
                <w:szCs w:val="20"/>
                <w:color w:val="auto"/>
              </w:rPr>
            </w:pPr>
            <w:r>
              <w:rPr>
                <w:rFonts w:ascii="Arial" w:cs="Arial" w:eastAsia="Arial" w:hAnsi="Arial"/>
                <w:sz w:val="14"/>
                <w:szCs w:val="14"/>
                <w:b w:val="1"/>
                <w:bCs w:val="1"/>
                <w:color w:val="auto"/>
              </w:rPr>
              <w:t>Purpose</w:t>
            </w:r>
          </w:p>
        </w:tc>
        <w:tc>
          <w:tcPr>
            <w:tcW w:w="7780" w:type="dxa"/>
            <w:vAlign w:val="bottom"/>
          </w:tcPr>
          <w:p>
            <w:pPr>
              <w:ind w:left="320"/>
              <w:spacing w:after="0" w:line="160" w:lineRule="exact"/>
              <w:rPr>
                <w:sz w:val="20"/>
                <w:szCs w:val="20"/>
                <w:color w:val="auto"/>
              </w:rPr>
            </w:pPr>
            <w:r>
              <w:rPr>
                <w:rFonts w:ascii="Arial" w:cs="Arial" w:eastAsia="Arial" w:hAnsi="Arial"/>
                <w:sz w:val="14"/>
                <w:szCs w:val="14"/>
                <w:color w:val="auto"/>
              </w:rPr>
              <w:t>Provide an additional incentive to participants, encourage stock ownership by them and thereby increase their</w:t>
            </w:r>
          </w:p>
        </w:tc>
      </w:tr>
      <w:tr>
        <w:trPr>
          <w:trHeight w:val="157"/>
        </w:trPr>
        <w:tc>
          <w:tcPr>
            <w:tcW w:w="3200" w:type="dxa"/>
            <w:vAlign w:val="bottom"/>
            <w:tcBorders>
              <w:bottom w:val="single" w:sz="8" w:color="AFAFAF"/>
            </w:tcBorders>
          </w:tcPr>
          <w:p>
            <w:pPr>
              <w:spacing w:after="0"/>
              <w:rPr>
                <w:sz w:val="13"/>
                <w:szCs w:val="13"/>
                <w:color w:val="auto"/>
              </w:rPr>
            </w:pPr>
          </w:p>
        </w:tc>
        <w:tc>
          <w:tcPr>
            <w:tcW w:w="7780" w:type="dxa"/>
            <w:vAlign w:val="bottom"/>
            <w:tcBorders>
              <w:bottom w:val="single" w:sz="8" w:color="AFAFAF"/>
            </w:tcBorders>
          </w:tcPr>
          <w:p>
            <w:pPr>
              <w:ind w:left="320"/>
              <w:spacing w:after="0" w:line="157" w:lineRule="exact"/>
              <w:rPr>
                <w:sz w:val="20"/>
                <w:szCs w:val="20"/>
                <w:color w:val="auto"/>
              </w:rPr>
            </w:pPr>
            <w:r>
              <w:rPr>
                <w:rFonts w:ascii="Arial" w:cs="Arial" w:eastAsia="Arial" w:hAnsi="Arial"/>
                <w:sz w:val="14"/>
                <w:szCs w:val="14"/>
                <w:color w:val="auto"/>
              </w:rPr>
              <w:t>proprietary interest in our company’s success and their desire to remain with Thomson Reuters.</w:t>
            </w: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Maximum number of shares issuable</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69,150,969 shares, representing approximately 13.79% of our total issued and outstanding shares as of year end.</w:t>
            </w:r>
          </w:p>
        </w:tc>
      </w:tr>
      <w:tr>
        <w:trPr>
          <w:trHeight w:val="160"/>
        </w:trPr>
        <w:tc>
          <w:tcPr>
            <w:tcW w:w="3200" w:type="dxa"/>
            <w:vAlign w:val="bottom"/>
          </w:tcPr>
          <w:p>
            <w:pPr>
              <w:spacing w:after="0" w:line="160" w:lineRule="exact"/>
              <w:rPr>
                <w:sz w:val="20"/>
                <w:szCs w:val="20"/>
                <w:color w:val="auto"/>
              </w:rPr>
            </w:pPr>
            <w:r>
              <w:rPr>
                <w:rFonts w:ascii="Arial" w:cs="Arial" w:eastAsia="Arial" w:hAnsi="Arial"/>
                <w:sz w:val="14"/>
                <w:szCs w:val="14"/>
                <w:b w:val="1"/>
                <w:bCs w:val="1"/>
                <w:color w:val="auto"/>
              </w:rPr>
              <w:t>Shares and awards issued in 2018</w:t>
            </w:r>
          </w:p>
        </w:tc>
        <w:tc>
          <w:tcPr>
            <w:tcW w:w="7780" w:type="dxa"/>
            <w:vAlign w:val="bottom"/>
          </w:tcPr>
          <w:p>
            <w:pPr>
              <w:ind w:left="320"/>
              <w:spacing w:after="0" w:line="160" w:lineRule="exact"/>
              <w:rPr>
                <w:sz w:val="20"/>
                <w:szCs w:val="20"/>
                <w:color w:val="auto"/>
              </w:rPr>
            </w:pPr>
            <w:r>
              <w:rPr>
                <w:rFonts w:ascii="Arial" w:cs="Arial" w:eastAsia="Arial" w:hAnsi="Arial"/>
                <w:sz w:val="14"/>
                <w:szCs w:val="14"/>
                <w:color w:val="auto"/>
              </w:rPr>
              <w:t>In 2018, we issued approximately 5.8 million shares under the plan, which represented approximately 1.15% of our</w:t>
            </w:r>
          </w:p>
        </w:tc>
      </w:tr>
      <w:tr>
        <w:trPr>
          <w:trHeight w:val="162"/>
        </w:trPr>
        <w:tc>
          <w:tcPr>
            <w:tcW w:w="3200" w:type="dxa"/>
            <w:vAlign w:val="bottom"/>
          </w:tcPr>
          <w:p>
            <w:pPr>
              <w:spacing w:after="0"/>
              <w:rPr>
                <w:sz w:val="14"/>
                <w:szCs w:val="14"/>
                <w:color w:val="auto"/>
              </w:rPr>
            </w:pPr>
          </w:p>
        </w:tc>
        <w:tc>
          <w:tcPr>
            <w:tcW w:w="7780" w:type="dxa"/>
            <w:vAlign w:val="bottom"/>
          </w:tcPr>
          <w:p>
            <w:pPr>
              <w:ind w:left="320"/>
              <w:spacing w:after="0"/>
              <w:rPr>
                <w:sz w:val="20"/>
                <w:szCs w:val="20"/>
                <w:color w:val="auto"/>
              </w:rPr>
            </w:pPr>
            <w:r>
              <w:rPr>
                <w:rFonts w:ascii="Arial" w:cs="Arial" w:eastAsia="Arial" w:hAnsi="Arial"/>
                <w:sz w:val="14"/>
                <w:szCs w:val="14"/>
                <w:color w:val="auto"/>
              </w:rPr>
              <w:t>total issued and outstanding shares as of year-end. Total awards granted in 2018 represented approximately 0.78%</w:t>
            </w:r>
          </w:p>
        </w:tc>
      </w:tr>
      <w:tr>
        <w:trPr>
          <w:trHeight w:val="162"/>
        </w:trPr>
        <w:tc>
          <w:tcPr>
            <w:tcW w:w="3200" w:type="dxa"/>
            <w:vAlign w:val="bottom"/>
          </w:tcPr>
          <w:p>
            <w:pPr>
              <w:spacing w:after="0"/>
              <w:rPr>
                <w:sz w:val="14"/>
                <w:szCs w:val="14"/>
                <w:color w:val="auto"/>
              </w:rPr>
            </w:pPr>
          </w:p>
        </w:tc>
        <w:tc>
          <w:tcPr>
            <w:tcW w:w="7780" w:type="dxa"/>
            <w:vAlign w:val="bottom"/>
          </w:tcPr>
          <w:p>
            <w:pPr>
              <w:ind w:left="320"/>
              <w:spacing w:after="0"/>
              <w:rPr>
                <w:sz w:val="20"/>
                <w:szCs w:val="20"/>
                <w:color w:val="auto"/>
              </w:rPr>
            </w:pPr>
            <w:r>
              <w:rPr>
                <w:rFonts w:ascii="Arial" w:cs="Arial" w:eastAsia="Arial" w:hAnsi="Arial"/>
                <w:sz w:val="14"/>
                <w:szCs w:val="14"/>
                <w:color w:val="auto"/>
              </w:rPr>
              <w:t>of our total issued and outstanding shares as of year-end. Of this amount, options granted in 2018 represented</w:t>
            </w:r>
          </w:p>
        </w:tc>
      </w:tr>
      <w:tr>
        <w:trPr>
          <w:trHeight w:val="157"/>
        </w:trPr>
        <w:tc>
          <w:tcPr>
            <w:tcW w:w="3200" w:type="dxa"/>
            <w:vAlign w:val="bottom"/>
            <w:tcBorders>
              <w:bottom w:val="single" w:sz="8" w:color="AFAFAF"/>
            </w:tcBorders>
          </w:tcPr>
          <w:p>
            <w:pPr>
              <w:spacing w:after="0"/>
              <w:rPr>
                <w:sz w:val="13"/>
                <w:szCs w:val="13"/>
                <w:color w:val="auto"/>
              </w:rPr>
            </w:pPr>
          </w:p>
        </w:tc>
        <w:tc>
          <w:tcPr>
            <w:tcW w:w="7780" w:type="dxa"/>
            <w:vAlign w:val="bottom"/>
            <w:tcBorders>
              <w:bottom w:val="single" w:sz="8" w:color="AFAFAF"/>
            </w:tcBorders>
          </w:tcPr>
          <w:p>
            <w:pPr>
              <w:ind w:left="320"/>
              <w:spacing w:after="0" w:line="157" w:lineRule="exact"/>
              <w:rPr>
                <w:sz w:val="20"/>
                <w:szCs w:val="20"/>
                <w:color w:val="auto"/>
              </w:rPr>
            </w:pPr>
            <w:r>
              <w:rPr>
                <w:rFonts w:ascii="Arial" w:cs="Arial" w:eastAsia="Arial" w:hAnsi="Arial"/>
                <w:sz w:val="14"/>
                <w:szCs w:val="14"/>
                <w:color w:val="auto"/>
              </w:rPr>
              <w:t>approximately 0.37% and RSUs granted in 2018 represented approximately 0.41%.</w:t>
            </w:r>
          </w:p>
        </w:tc>
      </w:tr>
      <w:tr>
        <w:trPr>
          <w:trHeight w:val="160"/>
        </w:trPr>
        <w:tc>
          <w:tcPr>
            <w:tcW w:w="3200" w:type="dxa"/>
            <w:vAlign w:val="bottom"/>
          </w:tcPr>
          <w:p>
            <w:pPr>
              <w:spacing w:after="0" w:line="160" w:lineRule="exact"/>
              <w:rPr>
                <w:sz w:val="20"/>
                <w:szCs w:val="20"/>
                <w:color w:val="auto"/>
              </w:rPr>
            </w:pPr>
            <w:r>
              <w:rPr>
                <w:rFonts w:ascii="Arial" w:cs="Arial" w:eastAsia="Arial" w:hAnsi="Arial"/>
                <w:sz w:val="14"/>
                <w:szCs w:val="14"/>
                <w:b w:val="1"/>
                <w:bCs w:val="1"/>
                <w:color w:val="auto"/>
              </w:rPr>
              <w:t>Other limits</w:t>
            </w:r>
          </w:p>
        </w:tc>
        <w:tc>
          <w:tcPr>
            <w:tcW w:w="7780" w:type="dxa"/>
            <w:vAlign w:val="bottom"/>
          </w:tcPr>
          <w:p>
            <w:pPr>
              <w:ind w:left="320"/>
              <w:spacing w:after="0" w:line="160" w:lineRule="exact"/>
              <w:rPr>
                <w:sz w:val="20"/>
                <w:szCs w:val="20"/>
                <w:color w:val="auto"/>
              </w:rPr>
            </w:pPr>
            <w:r>
              <w:rPr>
                <w:rFonts w:ascii="Arial" w:cs="Arial" w:eastAsia="Arial" w:hAnsi="Arial"/>
                <w:sz w:val="14"/>
                <w:szCs w:val="14"/>
                <w:color w:val="auto"/>
              </w:rPr>
              <w:t>Shares may consist, in whole or in part, of common shares issued from treasury or purchased on the open market or</w:t>
            </w:r>
          </w:p>
        </w:tc>
      </w:tr>
      <w:tr>
        <w:trPr>
          <w:trHeight w:val="157"/>
        </w:trPr>
        <w:tc>
          <w:tcPr>
            <w:tcW w:w="3200" w:type="dxa"/>
            <w:vAlign w:val="bottom"/>
          </w:tcPr>
          <w:p>
            <w:pPr>
              <w:spacing w:after="0"/>
              <w:rPr>
                <w:sz w:val="13"/>
                <w:szCs w:val="13"/>
                <w:color w:val="auto"/>
              </w:rPr>
            </w:pPr>
          </w:p>
        </w:tc>
        <w:tc>
          <w:tcPr>
            <w:tcW w:w="7780" w:type="dxa"/>
            <w:vAlign w:val="bottom"/>
            <w:tcBorders>
              <w:bottom w:val="single" w:sz="8" w:color="AFAFAF"/>
            </w:tcBorders>
          </w:tcPr>
          <w:p>
            <w:pPr>
              <w:ind w:left="320"/>
              <w:spacing w:after="0" w:line="157" w:lineRule="exact"/>
              <w:rPr>
                <w:sz w:val="20"/>
                <w:szCs w:val="20"/>
                <w:color w:val="auto"/>
              </w:rPr>
            </w:pPr>
            <w:r>
              <w:rPr>
                <w:rFonts w:ascii="Arial" w:cs="Arial" w:eastAsia="Arial" w:hAnsi="Arial"/>
                <w:sz w:val="14"/>
                <w:szCs w:val="14"/>
                <w:color w:val="auto"/>
              </w:rPr>
              <w:t>any combination thereof.</w:t>
            </w:r>
          </w:p>
        </w:tc>
      </w:tr>
      <w:tr>
        <w:trPr>
          <w:trHeight w:val="160"/>
        </w:trPr>
        <w:tc>
          <w:tcPr>
            <w:tcW w:w="3200" w:type="dxa"/>
            <w:vAlign w:val="bottom"/>
          </w:tcPr>
          <w:p>
            <w:pPr>
              <w:spacing w:after="0"/>
              <w:rPr>
                <w:sz w:val="13"/>
                <w:szCs w:val="13"/>
                <w:color w:val="auto"/>
              </w:rPr>
            </w:pPr>
          </w:p>
        </w:tc>
        <w:tc>
          <w:tcPr>
            <w:tcW w:w="7780" w:type="dxa"/>
            <w:vAlign w:val="bottom"/>
          </w:tcPr>
          <w:p>
            <w:pPr>
              <w:ind w:left="320"/>
              <w:spacing w:after="0" w:line="160" w:lineRule="exact"/>
              <w:rPr>
                <w:sz w:val="20"/>
                <w:szCs w:val="20"/>
                <w:color w:val="auto"/>
              </w:rPr>
            </w:pPr>
            <w:r>
              <w:rPr>
                <w:rFonts w:ascii="Arial" w:cs="Arial" w:eastAsia="Arial" w:hAnsi="Arial"/>
                <w:sz w:val="14"/>
                <w:szCs w:val="14"/>
                <w:color w:val="auto"/>
              </w:rPr>
              <w:t>The maximum number of shares that may be issued in respect of RSU awards granted after December 31, 2016 will</w:t>
            </w:r>
          </w:p>
        </w:tc>
      </w:tr>
      <w:tr>
        <w:trPr>
          <w:trHeight w:val="157"/>
        </w:trPr>
        <w:tc>
          <w:tcPr>
            <w:tcW w:w="3200" w:type="dxa"/>
            <w:vAlign w:val="bottom"/>
          </w:tcPr>
          <w:p>
            <w:pPr>
              <w:spacing w:after="0"/>
              <w:rPr>
                <w:sz w:val="13"/>
                <w:szCs w:val="13"/>
                <w:color w:val="auto"/>
              </w:rPr>
            </w:pPr>
          </w:p>
        </w:tc>
        <w:tc>
          <w:tcPr>
            <w:tcW w:w="7780" w:type="dxa"/>
            <w:vAlign w:val="bottom"/>
            <w:tcBorders>
              <w:bottom w:val="single" w:sz="8" w:color="AFAFAF"/>
            </w:tcBorders>
          </w:tcPr>
          <w:p>
            <w:pPr>
              <w:ind w:left="320"/>
              <w:spacing w:after="0" w:line="157" w:lineRule="exact"/>
              <w:rPr>
                <w:sz w:val="20"/>
                <w:szCs w:val="20"/>
                <w:color w:val="auto"/>
              </w:rPr>
            </w:pPr>
            <w:r>
              <w:rPr>
                <w:rFonts w:ascii="Arial" w:cs="Arial" w:eastAsia="Arial" w:hAnsi="Arial"/>
                <w:sz w:val="14"/>
                <w:szCs w:val="14"/>
                <w:color w:val="auto"/>
              </w:rPr>
              <w:t>not exceed 13,503,378 shares.</w:t>
            </w:r>
          </w:p>
        </w:tc>
      </w:tr>
      <w:tr>
        <w:trPr>
          <w:trHeight w:val="160"/>
        </w:trPr>
        <w:tc>
          <w:tcPr>
            <w:tcW w:w="3200" w:type="dxa"/>
            <w:vAlign w:val="bottom"/>
          </w:tcPr>
          <w:p>
            <w:pPr>
              <w:spacing w:after="0"/>
              <w:rPr>
                <w:sz w:val="13"/>
                <w:szCs w:val="13"/>
                <w:color w:val="auto"/>
              </w:rPr>
            </w:pPr>
          </w:p>
        </w:tc>
        <w:tc>
          <w:tcPr>
            <w:tcW w:w="7780" w:type="dxa"/>
            <w:vAlign w:val="bottom"/>
          </w:tcPr>
          <w:p>
            <w:pPr>
              <w:ind w:left="320"/>
              <w:spacing w:after="0" w:line="160" w:lineRule="exact"/>
              <w:rPr>
                <w:sz w:val="20"/>
                <w:szCs w:val="20"/>
                <w:color w:val="auto"/>
              </w:rPr>
            </w:pPr>
            <w:r>
              <w:rPr>
                <w:rFonts w:ascii="Arial" w:cs="Arial" w:eastAsia="Arial" w:hAnsi="Arial"/>
                <w:sz w:val="14"/>
                <w:szCs w:val="14"/>
                <w:color w:val="auto"/>
              </w:rPr>
              <w:t>The maximum number of shares that may be issued under plan awards held by any one person under the plan must</w:t>
            </w:r>
          </w:p>
        </w:tc>
      </w:tr>
      <w:tr>
        <w:trPr>
          <w:trHeight w:val="161"/>
        </w:trPr>
        <w:tc>
          <w:tcPr>
            <w:tcW w:w="3200" w:type="dxa"/>
            <w:vAlign w:val="bottom"/>
          </w:tcPr>
          <w:p>
            <w:pPr>
              <w:spacing w:after="0"/>
              <w:rPr>
                <w:sz w:val="14"/>
                <w:szCs w:val="14"/>
                <w:color w:val="auto"/>
              </w:rPr>
            </w:pPr>
          </w:p>
        </w:tc>
        <w:tc>
          <w:tcPr>
            <w:tcW w:w="7780" w:type="dxa"/>
            <w:vAlign w:val="bottom"/>
          </w:tcPr>
          <w:p>
            <w:pPr>
              <w:ind w:left="320"/>
              <w:spacing w:after="0"/>
              <w:rPr>
                <w:sz w:val="20"/>
                <w:szCs w:val="20"/>
                <w:color w:val="auto"/>
              </w:rPr>
            </w:pPr>
            <w:r>
              <w:rPr>
                <w:rFonts w:ascii="Arial" w:cs="Arial" w:eastAsia="Arial" w:hAnsi="Arial"/>
                <w:sz w:val="14"/>
                <w:szCs w:val="14"/>
                <w:color w:val="auto"/>
              </w:rPr>
              <w:t>not exceed 5% of our outstanding common shares determined on a non-diluted basis. The maximum number of</w:t>
            </w:r>
          </w:p>
        </w:tc>
      </w:tr>
      <w:tr>
        <w:trPr>
          <w:trHeight w:val="162"/>
        </w:trPr>
        <w:tc>
          <w:tcPr>
            <w:tcW w:w="3200" w:type="dxa"/>
            <w:vAlign w:val="bottom"/>
          </w:tcPr>
          <w:p>
            <w:pPr>
              <w:spacing w:after="0"/>
              <w:rPr>
                <w:sz w:val="14"/>
                <w:szCs w:val="14"/>
                <w:color w:val="auto"/>
              </w:rPr>
            </w:pPr>
          </w:p>
        </w:tc>
        <w:tc>
          <w:tcPr>
            <w:tcW w:w="7780" w:type="dxa"/>
            <w:vAlign w:val="bottom"/>
          </w:tcPr>
          <w:p>
            <w:pPr>
              <w:ind w:left="320"/>
              <w:spacing w:after="0"/>
              <w:rPr>
                <w:sz w:val="20"/>
                <w:szCs w:val="20"/>
                <w:color w:val="auto"/>
              </w:rPr>
            </w:pPr>
            <w:r>
              <w:rPr>
                <w:rFonts w:ascii="Arial" w:cs="Arial" w:eastAsia="Arial" w:hAnsi="Arial"/>
                <w:sz w:val="14"/>
                <w:szCs w:val="14"/>
                <w:color w:val="auto"/>
              </w:rPr>
              <w:t>shares for which plan awards may be granted and which may be otherwise awarded under the plan to any individual</w:t>
            </w:r>
          </w:p>
        </w:tc>
      </w:tr>
      <w:tr>
        <w:trPr>
          <w:trHeight w:val="157"/>
        </w:trPr>
        <w:tc>
          <w:tcPr>
            <w:tcW w:w="3200" w:type="dxa"/>
            <w:vAlign w:val="bottom"/>
          </w:tcPr>
          <w:p>
            <w:pPr>
              <w:spacing w:after="0"/>
              <w:rPr>
                <w:sz w:val="13"/>
                <w:szCs w:val="13"/>
                <w:color w:val="auto"/>
              </w:rPr>
            </w:pPr>
          </w:p>
        </w:tc>
        <w:tc>
          <w:tcPr>
            <w:tcW w:w="7780" w:type="dxa"/>
            <w:vAlign w:val="bottom"/>
            <w:tcBorders>
              <w:bottom w:val="single" w:sz="8" w:color="AFAFAF"/>
            </w:tcBorders>
          </w:tcPr>
          <w:p>
            <w:pPr>
              <w:ind w:left="320"/>
              <w:spacing w:after="0" w:line="157" w:lineRule="exact"/>
              <w:rPr>
                <w:sz w:val="20"/>
                <w:szCs w:val="20"/>
                <w:color w:val="auto"/>
              </w:rPr>
            </w:pPr>
            <w:r>
              <w:rPr>
                <w:rFonts w:ascii="Arial" w:cs="Arial" w:eastAsia="Arial" w:hAnsi="Arial"/>
                <w:sz w:val="14"/>
                <w:szCs w:val="14"/>
                <w:color w:val="auto"/>
              </w:rPr>
              <w:t>during any one-year period is 5,000,000.</w:t>
            </w:r>
          </w:p>
        </w:tc>
      </w:tr>
      <w:tr>
        <w:trPr>
          <w:trHeight w:val="160"/>
        </w:trPr>
        <w:tc>
          <w:tcPr>
            <w:tcW w:w="3200" w:type="dxa"/>
            <w:vAlign w:val="bottom"/>
          </w:tcPr>
          <w:p>
            <w:pPr>
              <w:spacing w:after="0"/>
              <w:rPr>
                <w:sz w:val="13"/>
                <w:szCs w:val="13"/>
                <w:color w:val="auto"/>
              </w:rPr>
            </w:pPr>
          </w:p>
        </w:tc>
        <w:tc>
          <w:tcPr>
            <w:tcW w:w="7780" w:type="dxa"/>
            <w:vAlign w:val="bottom"/>
          </w:tcPr>
          <w:p>
            <w:pPr>
              <w:ind w:left="320"/>
              <w:spacing w:after="0" w:line="160" w:lineRule="exact"/>
              <w:rPr>
                <w:sz w:val="20"/>
                <w:szCs w:val="20"/>
                <w:color w:val="auto"/>
              </w:rPr>
            </w:pPr>
            <w:r>
              <w:rPr>
                <w:rFonts w:ascii="Arial" w:cs="Arial" w:eastAsia="Arial" w:hAnsi="Arial"/>
                <w:sz w:val="14"/>
                <w:szCs w:val="14"/>
                <w:color w:val="auto"/>
              </w:rPr>
              <w:t>The number of shares issued to “insiders” and their “associates” within any one-year period under the plan and any</w:t>
            </w:r>
          </w:p>
        </w:tc>
      </w:tr>
      <w:tr>
        <w:trPr>
          <w:trHeight w:val="161"/>
        </w:trPr>
        <w:tc>
          <w:tcPr>
            <w:tcW w:w="3200" w:type="dxa"/>
            <w:vAlign w:val="bottom"/>
          </w:tcPr>
          <w:p>
            <w:pPr>
              <w:spacing w:after="0"/>
              <w:rPr>
                <w:sz w:val="14"/>
                <w:szCs w:val="14"/>
                <w:color w:val="auto"/>
              </w:rPr>
            </w:pPr>
          </w:p>
        </w:tc>
        <w:tc>
          <w:tcPr>
            <w:tcW w:w="7780" w:type="dxa"/>
            <w:vAlign w:val="bottom"/>
          </w:tcPr>
          <w:p>
            <w:pPr>
              <w:ind w:left="320"/>
              <w:spacing w:after="0"/>
              <w:rPr>
                <w:sz w:val="20"/>
                <w:szCs w:val="20"/>
                <w:color w:val="auto"/>
              </w:rPr>
            </w:pPr>
            <w:r>
              <w:rPr>
                <w:rFonts w:ascii="Arial" w:cs="Arial" w:eastAsia="Arial" w:hAnsi="Arial"/>
                <w:sz w:val="14"/>
                <w:szCs w:val="14"/>
                <w:color w:val="auto"/>
              </w:rPr>
              <w:t>other security based compensation arrangement of Thomson Reuters cannot exceed 5% of the aggregate number of</w:t>
            </w:r>
          </w:p>
        </w:tc>
      </w:tr>
      <w:tr>
        <w:trPr>
          <w:trHeight w:val="162"/>
        </w:trPr>
        <w:tc>
          <w:tcPr>
            <w:tcW w:w="3200" w:type="dxa"/>
            <w:vAlign w:val="bottom"/>
          </w:tcPr>
          <w:p>
            <w:pPr>
              <w:spacing w:after="0"/>
              <w:rPr>
                <w:sz w:val="14"/>
                <w:szCs w:val="14"/>
                <w:color w:val="auto"/>
              </w:rPr>
            </w:pPr>
          </w:p>
        </w:tc>
        <w:tc>
          <w:tcPr>
            <w:tcW w:w="7780" w:type="dxa"/>
            <w:vAlign w:val="bottom"/>
          </w:tcPr>
          <w:p>
            <w:pPr>
              <w:ind w:left="320"/>
              <w:spacing w:after="0"/>
              <w:rPr>
                <w:sz w:val="20"/>
                <w:szCs w:val="20"/>
                <w:color w:val="auto"/>
              </w:rPr>
            </w:pPr>
            <w:r>
              <w:rPr>
                <w:rFonts w:ascii="Arial" w:cs="Arial" w:eastAsia="Arial" w:hAnsi="Arial"/>
                <w:sz w:val="14"/>
                <w:szCs w:val="14"/>
                <w:color w:val="auto"/>
              </w:rPr>
              <w:t>our issued and outstanding shares on a non-diluted basis. The maximum number of shares issuable to “insiders”, at</w:t>
            </w:r>
          </w:p>
        </w:tc>
      </w:tr>
      <w:tr>
        <w:trPr>
          <w:trHeight w:val="162"/>
        </w:trPr>
        <w:tc>
          <w:tcPr>
            <w:tcW w:w="3200" w:type="dxa"/>
            <w:vAlign w:val="bottom"/>
          </w:tcPr>
          <w:p>
            <w:pPr>
              <w:spacing w:after="0"/>
              <w:rPr>
                <w:sz w:val="14"/>
                <w:szCs w:val="14"/>
                <w:color w:val="auto"/>
              </w:rPr>
            </w:pPr>
          </w:p>
        </w:tc>
        <w:tc>
          <w:tcPr>
            <w:tcW w:w="7780" w:type="dxa"/>
            <w:vAlign w:val="bottom"/>
          </w:tcPr>
          <w:p>
            <w:pPr>
              <w:ind w:left="320"/>
              <w:spacing w:after="0"/>
              <w:rPr>
                <w:sz w:val="20"/>
                <w:szCs w:val="20"/>
                <w:color w:val="auto"/>
              </w:rPr>
            </w:pPr>
            <w:r>
              <w:rPr>
                <w:rFonts w:ascii="Arial" w:cs="Arial" w:eastAsia="Arial" w:hAnsi="Arial"/>
                <w:sz w:val="14"/>
                <w:szCs w:val="14"/>
                <w:color w:val="auto"/>
              </w:rPr>
              <w:t>any time, under the plan and any other share based compensation arrangement of Thomson Reuters cannot exceed</w:t>
            </w:r>
          </w:p>
        </w:tc>
      </w:tr>
      <w:tr>
        <w:trPr>
          <w:trHeight w:val="157"/>
        </w:trPr>
        <w:tc>
          <w:tcPr>
            <w:tcW w:w="3200" w:type="dxa"/>
            <w:vAlign w:val="bottom"/>
          </w:tcPr>
          <w:p>
            <w:pPr>
              <w:spacing w:after="0"/>
              <w:rPr>
                <w:sz w:val="13"/>
                <w:szCs w:val="13"/>
                <w:color w:val="auto"/>
              </w:rPr>
            </w:pPr>
          </w:p>
        </w:tc>
        <w:tc>
          <w:tcPr>
            <w:tcW w:w="7780" w:type="dxa"/>
            <w:vAlign w:val="bottom"/>
            <w:tcBorders>
              <w:bottom w:val="single" w:sz="8" w:color="AFAFAF"/>
            </w:tcBorders>
          </w:tcPr>
          <w:p>
            <w:pPr>
              <w:ind w:left="320"/>
              <w:spacing w:after="0" w:line="157" w:lineRule="exact"/>
              <w:rPr>
                <w:sz w:val="20"/>
                <w:szCs w:val="20"/>
                <w:color w:val="auto"/>
              </w:rPr>
            </w:pPr>
            <w:r>
              <w:rPr>
                <w:rFonts w:ascii="Arial" w:cs="Arial" w:eastAsia="Arial" w:hAnsi="Arial"/>
                <w:sz w:val="14"/>
                <w:szCs w:val="14"/>
                <w:color w:val="auto"/>
              </w:rPr>
              <w:t>10% of the aggregate number of our issued and outstanding shares on a non-diluted basis.</w:t>
            </w:r>
          </w:p>
        </w:tc>
      </w:tr>
      <w:tr>
        <w:trPr>
          <w:trHeight w:val="160"/>
        </w:trPr>
        <w:tc>
          <w:tcPr>
            <w:tcW w:w="3200" w:type="dxa"/>
            <w:vAlign w:val="bottom"/>
          </w:tcPr>
          <w:p>
            <w:pPr>
              <w:spacing w:after="0"/>
              <w:rPr>
                <w:sz w:val="13"/>
                <w:szCs w:val="13"/>
                <w:color w:val="auto"/>
              </w:rPr>
            </w:pPr>
          </w:p>
        </w:tc>
        <w:tc>
          <w:tcPr>
            <w:tcW w:w="7780" w:type="dxa"/>
            <w:vAlign w:val="bottom"/>
          </w:tcPr>
          <w:p>
            <w:pPr>
              <w:ind w:left="320"/>
              <w:spacing w:after="0" w:line="160" w:lineRule="exact"/>
              <w:rPr>
                <w:sz w:val="20"/>
                <w:szCs w:val="20"/>
                <w:color w:val="auto"/>
              </w:rPr>
            </w:pPr>
            <w:r>
              <w:rPr>
                <w:rFonts w:ascii="Arial" w:cs="Arial" w:eastAsia="Arial" w:hAnsi="Arial"/>
                <w:sz w:val="14"/>
                <w:szCs w:val="14"/>
                <w:color w:val="auto"/>
              </w:rPr>
              <w:t>The maximum number of shares that may be issued through incentive stock options (ISOs) under the plan</w:t>
            </w:r>
          </w:p>
        </w:tc>
      </w:tr>
      <w:tr>
        <w:trPr>
          <w:trHeight w:val="157"/>
        </w:trPr>
        <w:tc>
          <w:tcPr>
            <w:tcW w:w="3200" w:type="dxa"/>
            <w:vAlign w:val="bottom"/>
          </w:tcPr>
          <w:p>
            <w:pPr>
              <w:spacing w:after="0"/>
              <w:rPr>
                <w:sz w:val="13"/>
                <w:szCs w:val="13"/>
                <w:color w:val="auto"/>
              </w:rPr>
            </w:pPr>
          </w:p>
        </w:tc>
        <w:tc>
          <w:tcPr>
            <w:tcW w:w="7780" w:type="dxa"/>
            <w:vAlign w:val="bottom"/>
            <w:tcBorders>
              <w:bottom w:val="single" w:sz="8" w:color="AFAFAF"/>
            </w:tcBorders>
          </w:tcPr>
          <w:p>
            <w:pPr>
              <w:ind w:left="320"/>
              <w:spacing w:after="0" w:line="157" w:lineRule="exact"/>
              <w:rPr>
                <w:sz w:val="20"/>
                <w:szCs w:val="20"/>
                <w:color w:val="auto"/>
              </w:rPr>
            </w:pPr>
            <w:r>
              <w:rPr>
                <w:rFonts w:ascii="Arial" w:cs="Arial" w:eastAsia="Arial" w:hAnsi="Arial"/>
                <w:sz w:val="14"/>
                <w:szCs w:val="14"/>
                <w:color w:val="auto"/>
              </w:rPr>
              <w:t>is 5,000,000. We may not issue ISOs under the plan at this time.</w:t>
            </w:r>
          </w:p>
        </w:tc>
      </w:tr>
      <w:tr>
        <w:trPr>
          <w:trHeight w:val="160"/>
        </w:trPr>
        <w:tc>
          <w:tcPr>
            <w:tcW w:w="3200" w:type="dxa"/>
            <w:vAlign w:val="bottom"/>
          </w:tcPr>
          <w:p>
            <w:pPr>
              <w:spacing w:after="0"/>
              <w:rPr>
                <w:sz w:val="13"/>
                <w:szCs w:val="13"/>
                <w:color w:val="auto"/>
              </w:rPr>
            </w:pPr>
          </w:p>
        </w:tc>
        <w:tc>
          <w:tcPr>
            <w:tcW w:w="7780" w:type="dxa"/>
            <w:vAlign w:val="bottom"/>
          </w:tcPr>
          <w:p>
            <w:pPr>
              <w:ind w:left="320"/>
              <w:spacing w:after="0" w:line="160" w:lineRule="exact"/>
              <w:rPr>
                <w:sz w:val="20"/>
                <w:szCs w:val="20"/>
                <w:color w:val="auto"/>
              </w:rPr>
            </w:pPr>
            <w:r>
              <w:rPr>
                <w:rFonts w:ascii="Arial" w:cs="Arial" w:eastAsia="Arial" w:hAnsi="Arial"/>
                <w:sz w:val="14"/>
                <w:szCs w:val="14"/>
                <w:color w:val="auto"/>
              </w:rPr>
              <w:t>Shares subject to awards which are cancelled, expired, forfeited or terminated without having been exercised</w:t>
            </w:r>
          </w:p>
        </w:tc>
      </w:tr>
      <w:tr>
        <w:trPr>
          <w:trHeight w:val="157"/>
        </w:trPr>
        <w:tc>
          <w:tcPr>
            <w:tcW w:w="3200" w:type="dxa"/>
            <w:vAlign w:val="bottom"/>
            <w:tcBorders>
              <w:bottom w:val="single" w:sz="8" w:color="AFAFAF"/>
            </w:tcBorders>
          </w:tcPr>
          <w:p>
            <w:pPr>
              <w:spacing w:after="0"/>
              <w:rPr>
                <w:sz w:val="13"/>
                <w:szCs w:val="13"/>
                <w:color w:val="auto"/>
              </w:rPr>
            </w:pPr>
          </w:p>
        </w:tc>
        <w:tc>
          <w:tcPr>
            <w:tcW w:w="7780" w:type="dxa"/>
            <w:vAlign w:val="bottom"/>
            <w:tcBorders>
              <w:bottom w:val="single" w:sz="8" w:color="AFAFAF"/>
            </w:tcBorders>
          </w:tcPr>
          <w:p>
            <w:pPr>
              <w:ind w:left="320"/>
              <w:spacing w:after="0" w:line="157" w:lineRule="exact"/>
              <w:rPr>
                <w:sz w:val="20"/>
                <w:szCs w:val="20"/>
                <w:color w:val="auto"/>
              </w:rPr>
            </w:pPr>
            <w:r>
              <w:rPr>
                <w:rFonts w:ascii="Arial" w:cs="Arial" w:eastAsia="Arial" w:hAnsi="Arial"/>
                <w:sz w:val="14"/>
                <w:szCs w:val="14"/>
                <w:color w:val="auto"/>
              </w:rPr>
              <w:t>are available for new awards under the stock incentive plan.</w:t>
            </w:r>
          </w:p>
        </w:tc>
      </w:tr>
      <w:tr>
        <w:trPr>
          <w:trHeight w:val="160"/>
        </w:trPr>
        <w:tc>
          <w:tcPr>
            <w:tcW w:w="3200" w:type="dxa"/>
            <w:vAlign w:val="bottom"/>
          </w:tcPr>
          <w:p>
            <w:pPr>
              <w:spacing w:after="0" w:line="160" w:lineRule="exact"/>
              <w:rPr>
                <w:sz w:val="20"/>
                <w:szCs w:val="20"/>
                <w:color w:val="auto"/>
              </w:rPr>
            </w:pPr>
            <w:r>
              <w:rPr>
                <w:rFonts w:ascii="Arial" w:cs="Arial" w:eastAsia="Arial" w:hAnsi="Arial"/>
                <w:sz w:val="14"/>
                <w:szCs w:val="14"/>
                <w:b w:val="1"/>
                <w:bCs w:val="1"/>
                <w:color w:val="auto"/>
              </w:rPr>
              <w:t>Types of awards that may be issued</w:t>
            </w:r>
          </w:p>
        </w:tc>
        <w:tc>
          <w:tcPr>
            <w:tcW w:w="7780" w:type="dxa"/>
            <w:vAlign w:val="bottom"/>
          </w:tcPr>
          <w:p>
            <w:pPr>
              <w:ind w:left="320"/>
              <w:spacing w:after="0" w:line="160" w:lineRule="exact"/>
              <w:rPr>
                <w:sz w:val="20"/>
                <w:szCs w:val="20"/>
                <w:color w:val="auto"/>
              </w:rPr>
            </w:pPr>
            <w:r>
              <w:rPr>
                <w:rFonts w:ascii="Arial" w:cs="Arial" w:eastAsia="Arial" w:hAnsi="Arial"/>
                <w:sz w:val="14"/>
                <w:szCs w:val="14"/>
                <w:color w:val="auto"/>
              </w:rPr>
              <w:t>Non-qualified stock options, stock appreciation rights (SARs), awards of RSUs and other awards of shares based on</w:t>
            </w:r>
          </w:p>
        </w:tc>
      </w:tr>
      <w:tr>
        <w:trPr>
          <w:trHeight w:val="162"/>
        </w:trPr>
        <w:tc>
          <w:tcPr>
            <w:tcW w:w="3200" w:type="dxa"/>
            <w:vAlign w:val="bottom"/>
          </w:tcPr>
          <w:p>
            <w:pPr>
              <w:spacing w:after="0"/>
              <w:rPr>
                <w:sz w:val="14"/>
                <w:szCs w:val="14"/>
                <w:color w:val="auto"/>
              </w:rPr>
            </w:pPr>
          </w:p>
        </w:tc>
        <w:tc>
          <w:tcPr>
            <w:tcW w:w="7780" w:type="dxa"/>
            <w:vAlign w:val="bottom"/>
          </w:tcPr>
          <w:p>
            <w:pPr>
              <w:ind w:left="320"/>
              <w:spacing w:after="0"/>
              <w:rPr>
                <w:sz w:val="20"/>
                <w:szCs w:val="20"/>
                <w:color w:val="auto"/>
              </w:rPr>
            </w:pPr>
            <w:r>
              <w:rPr>
                <w:rFonts w:ascii="Arial" w:cs="Arial" w:eastAsia="Arial" w:hAnsi="Arial"/>
                <w:sz w:val="14"/>
                <w:szCs w:val="14"/>
                <w:color w:val="auto"/>
              </w:rPr>
              <w:t>the value of shares. Through the date of this circular, we have only issued non-qualified stock options and RSUs</w:t>
            </w:r>
          </w:p>
        </w:tc>
      </w:tr>
      <w:tr>
        <w:trPr>
          <w:trHeight w:val="157"/>
        </w:trPr>
        <w:tc>
          <w:tcPr>
            <w:tcW w:w="3200" w:type="dxa"/>
            <w:vAlign w:val="bottom"/>
            <w:tcBorders>
              <w:bottom w:val="single" w:sz="8" w:color="AFAFAF"/>
            </w:tcBorders>
          </w:tcPr>
          <w:p>
            <w:pPr>
              <w:spacing w:after="0"/>
              <w:rPr>
                <w:sz w:val="13"/>
                <w:szCs w:val="13"/>
                <w:color w:val="auto"/>
              </w:rPr>
            </w:pPr>
          </w:p>
        </w:tc>
        <w:tc>
          <w:tcPr>
            <w:tcW w:w="7780" w:type="dxa"/>
            <w:vAlign w:val="bottom"/>
            <w:tcBorders>
              <w:bottom w:val="single" w:sz="8" w:color="AFAFAF"/>
            </w:tcBorders>
          </w:tcPr>
          <w:p>
            <w:pPr>
              <w:ind w:left="320"/>
              <w:spacing w:after="0" w:line="157" w:lineRule="exact"/>
              <w:rPr>
                <w:sz w:val="20"/>
                <w:szCs w:val="20"/>
                <w:color w:val="auto"/>
              </w:rPr>
            </w:pPr>
            <w:r>
              <w:rPr>
                <w:rFonts w:ascii="Arial" w:cs="Arial" w:eastAsia="Arial" w:hAnsi="Arial"/>
                <w:sz w:val="14"/>
                <w:szCs w:val="14"/>
                <w:color w:val="auto"/>
              </w:rPr>
              <w:t>under this plan. We issue SARs under our separate phantom stock plan.</w:t>
            </w: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Maximum option term</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10-year expiration date from the date of grant.</w:t>
            </w: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Exercise price of options</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Equal to the closing price of our shares on the NYSE on the trading day immediately preceding the date of the grant.</w:t>
            </w:r>
          </w:p>
        </w:tc>
      </w:tr>
      <w:tr>
        <w:trPr>
          <w:trHeight w:val="155"/>
        </w:trPr>
        <w:tc>
          <w:tcPr>
            <w:tcW w:w="3200" w:type="dxa"/>
            <w:vAlign w:val="bottom"/>
            <w:tcBorders>
              <w:bottom w:val="single" w:sz="8" w:color="D95A3B"/>
            </w:tcBorders>
          </w:tcPr>
          <w:p>
            <w:pPr>
              <w:spacing w:after="0" w:line="155" w:lineRule="exact"/>
              <w:rPr>
                <w:sz w:val="20"/>
                <w:szCs w:val="20"/>
                <w:color w:val="auto"/>
              </w:rPr>
            </w:pPr>
            <w:r>
              <w:rPr>
                <w:rFonts w:ascii="Arial" w:cs="Arial" w:eastAsia="Arial" w:hAnsi="Arial"/>
                <w:sz w:val="14"/>
                <w:szCs w:val="14"/>
                <w:b w:val="1"/>
                <w:bCs w:val="1"/>
                <w:color w:val="auto"/>
              </w:rPr>
              <w:t>Vesting and exercise of options</w:t>
            </w:r>
          </w:p>
        </w:tc>
        <w:tc>
          <w:tcPr>
            <w:tcW w:w="7780" w:type="dxa"/>
            <w:vAlign w:val="bottom"/>
            <w:tcBorders>
              <w:bottom w:val="single" w:sz="8" w:color="D95A3B"/>
            </w:tcBorders>
          </w:tcPr>
          <w:p>
            <w:pPr>
              <w:ind w:left="320"/>
              <w:spacing w:after="0" w:line="155" w:lineRule="exact"/>
              <w:rPr>
                <w:sz w:val="20"/>
                <w:szCs w:val="20"/>
                <w:color w:val="auto"/>
              </w:rPr>
            </w:pPr>
            <w:r>
              <w:rPr>
                <w:rFonts w:ascii="Arial" w:cs="Arial" w:eastAsia="Arial" w:hAnsi="Arial"/>
                <w:sz w:val="14"/>
                <w:szCs w:val="14"/>
                <w:color w:val="auto"/>
              </w:rPr>
              <w:t>Stock options must be vested before they can be exercised. Options vest 25% each year over a four year period.</w:t>
            </w:r>
          </w:p>
        </w:tc>
      </w:tr>
      <w:tr>
        <w:trPr>
          <w:trHeight w:val="229"/>
        </w:trPr>
        <w:tc>
          <w:tcPr>
            <w:tcW w:w="3200" w:type="dxa"/>
            <w:vAlign w:val="bottom"/>
            <w:tcBorders>
              <w:bottom w:val="single" w:sz="8" w:color="D95A3B"/>
            </w:tcBorders>
          </w:tcPr>
          <w:p>
            <w:pPr>
              <w:spacing w:after="0"/>
              <w:rPr>
                <w:sz w:val="19"/>
                <w:szCs w:val="19"/>
                <w:color w:val="auto"/>
              </w:rPr>
            </w:pPr>
          </w:p>
        </w:tc>
        <w:tc>
          <w:tcPr>
            <w:tcW w:w="7780" w:type="dxa"/>
            <w:vAlign w:val="bottom"/>
            <w:tcBorders>
              <w:bottom w:val="single" w:sz="8" w:color="D95A3B"/>
            </w:tcBorders>
          </w:tcPr>
          <w:p>
            <w:pPr>
              <w:spacing w:after="0"/>
              <w:rPr>
                <w:sz w:val="19"/>
                <w:szCs w:val="19"/>
                <w:color w:val="auto"/>
              </w:rPr>
            </w:pPr>
          </w:p>
        </w:tc>
      </w:tr>
    </w:tbl>
    <w:p>
      <w:pPr>
        <w:spacing w:after="0" w:line="120" w:lineRule="exact"/>
        <w:rPr>
          <w:sz w:val="20"/>
          <w:szCs w:val="20"/>
          <w:color w:val="auto"/>
        </w:rPr>
      </w:pPr>
    </w:p>
    <w:p>
      <w:pPr>
        <w:ind w:left="220"/>
        <w:spacing w:after="0"/>
        <w:tabs>
          <w:tab w:leader="none" w:pos="920" w:val="left"/>
        </w:tabs>
        <w:rPr>
          <w:sz w:val="20"/>
          <w:szCs w:val="20"/>
          <w:color w:val="auto"/>
        </w:rPr>
      </w:pPr>
      <w:r>
        <w:rPr>
          <w:rFonts w:ascii="Arial" w:cs="Arial" w:eastAsia="Arial" w:hAnsi="Arial"/>
          <w:sz w:val="13"/>
          <w:szCs w:val="13"/>
          <w:color w:val="auto"/>
        </w:rPr>
        <w:t>Page A-1</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4320" w:type="dxa"/>
            <w:vAlign w:val="bottom"/>
            <w:tcBorders>
              <w:bottom w:val="single" w:sz="8" w:color="D95A3B"/>
              <w:right w:val="single" w:sz="8" w:color="CCCCCC"/>
            </w:tcBorders>
          </w:tcPr>
          <w:p>
            <w:pPr>
              <w:spacing w:after="0"/>
              <w:rPr>
                <w:sz w:val="17"/>
                <w:szCs w:val="17"/>
                <w:color w:val="auto"/>
              </w:rPr>
            </w:pPr>
          </w:p>
        </w:tc>
        <w:tc>
          <w:tcPr>
            <w:tcW w:w="6660" w:type="dxa"/>
            <w:vAlign w:val="bottom"/>
            <w:tcBorders>
              <w:bottom w:val="single" w:sz="8" w:color="D95A3B"/>
            </w:tcBorders>
            <w:shd w:val="clear" w:color="auto" w:fill="CCCCCC"/>
          </w:tcPr>
          <w:p>
            <w:pPr>
              <w:jc w:val="center"/>
              <w:ind w:left="250"/>
              <w:spacing w:after="0"/>
              <w:rPr>
                <w:sz w:val="20"/>
                <w:szCs w:val="20"/>
                <w:color w:val="auto"/>
              </w:rPr>
            </w:pPr>
            <w:r>
              <w:rPr>
                <w:rFonts w:ascii="Arial" w:cs="Arial" w:eastAsia="Arial" w:hAnsi="Arial"/>
                <w:sz w:val="15"/>
                <w:szCs w:val="15"/>
                <w:b w:val="1"/>
                <w:bCs w:val="1"/>
                <w:color w:val="auto"/>
              </w:rPr>
              <w:t>As of December 31, 2018</w:t>
            </w:r>
          </w:p>
        </w:tc>
      </w:tr>
      <w:tr>
        <w:trPr>
          <w:trHeight w:val="155"/>
        </w:trPr>
        <w:tc>
          <w:tcPr>
            <w:tcW w:w="4320" w:type="dxa"/>
            <w:vAlign w:val="bottom"/>
            <w:tcBorders>
              <w:bottom w:val="single" w:sz="8" w:color="AFAFAF"/>
              <w:right w:val="single" w:sz="8" w:color="D1D1D1"/>
            </w:tcBorders>
          </w:tcPr>
          <w:p>
            <w:pPr>
              <w:spacing w:after="0" w:line="155" w:lineRule="exact"/>
              <w:rPr>
                <w:sz w:val="20"/>
                <w:szCs w:val="20"/>
                <w:color w:val="auto"/>
              </w:rPr>
            </w:pPr>
            <w:r>
              <w:rPr>
                <w:rFonts w:ascii="Arial" w:cs="Arial" w:eastAsia="Arial" w:hAnsi="Arial"/>
                <w:sz w:val="14"/>
                <w:szCs w:val="14"/>
                <w:b w:val="1"/>
                <w:bCs w:val="1"/>
                <w:color w:val="auto"/>
              </w:rPr>
              <w:t>Common shares issued under the plan</w:t>
            </w:r>
          </w:p>
        </w:tc>
        <w:tc>
          <w:tcPr>
            <w:tcW w:w="6660" w:type="dxa"/>
            <w:vAlign w:val="bottom"/>
            <w:tcBorders>
              <w:bottom w:val="single" w:sz="8" w:color="AFAFAF"/>
            </w:tcBorders>
          </w:tcPr>
          <w:p>
            <w:pPr>
              <w:jc w:val="center"/>
              <w:ind w:right="2630"/>
              <w:spacing w:after="0" w:line="155" w:lineRule="exact"/>
              <w:rPr>
                <w:sz w:val="20"/>
                <w:szCs w:val="20"/>
                <w:color w:val="auto"/>
              </w:rPr>
            </w:pPr>
            <w:r>
              <w:rPr>
                <w:rFonts w:ascii="Arial" w:cs="Arial" w:eastAsia="Arial" w:hAnsi="Arial"/>
                <w:sz w:val="11"/>
                <w:szCs w:val="11"/>
                <w:color w:val="auto"/>
              </w:rPr>
              <w:t xml:space="preserve">42,557,489 </w:t>
            </w:r>
            <w:r>
              <w:rPr>
                <w:rFonts w:ascii="Arial" w:cs="Arial" w:eastAsia="Arial" w:hAnsi="Arial"/>
                <w:sz w:val="17"/>
                <w:szCs w:val="17"/>
                <w:color w:val="auto"/>
                <w:vertAlign w:val="superscript"/>
              </w:rPr>
              <w:t>(1)</w:t>
            </w:r>
          </w:p>
        </w:tc>
      </w:tr>
      <w:tr>
        <w:trPr>
          <w:trHeight w:val="160"/>
        </w:trPr>
        <w:tc>
          <w:tcPr>
            <w:tcW w:w="4320" w:type="dxa"/>
            <w:vAlign w:val="bottom"/>
            <w:tcBorders>
              <w:right w:val="single" w:sz="8" w:color="D1D1D1"/>
            </w:tcBorders>
          </w:tcPr>
          <w:p>
            <w:pPr>
              <w:spacing w:after="0" w:line="160" w:lineRule="exact"/>
              <w:rPr>
                <w:sz w:val="20"/>
                <w:szCs w:val="20"/>
                <w:color w:val="auto"/>
              </w:rPr>
            </w:pPr>
            <w:r>
              <w:rPr>
                <w:rFonts w:ascii="Arial" w:cs="Arial" w:eastAsia="Arial" w:hAnsi="Arial"/>
                <w:sz w:val="14"/>
                <w:szCs w:val="14"/>
                <w:b w:val="1"/>
                <w:bCs w:val="1"/>
                <w:color w:val="auto"/>
              </w:rPr>
              <w:t>Common shares remaining for issuance</w:t>
            </w:r>
          </w:p>
        </w:tc>
        <w:tc>
          <w:tcPr>
            <w:tcW w:w="6660" w:type="dxa"/>
            <w:vAlign w:val="bottom"/>
          </w:tcPr>
          <w:p>
            <w:pPr>
              <w:jc w:val="center"/>
              <w:ind w:left="250"/>
              <w:spacing w:after="0" w:line="160" w:lineRule="exact"/>
              <w:rPr>
                <w:sz w:val="20"/>
                <w:szCs w:val="20"/>
                <w:color w:val="auto"/>
              </w:rPr>
            </w:pPr>
            <w:r>
              <w:rPr>
                <w:rFonts w:ascii="Arial" w:cs="Arial" w:eastAsia="Arial" w:hAnsi="Arial"/>
                <w:sz w:val="14"/>
                <w:szCs w:val="14"/>
                <w:color w:val="auto"/>
              </w:rPr>
              <w:t>26,593,480 (representing approximately 5.30% of our</w:t>
            </w:r>
          </w:p>
        </w:tc>
      </w:tr>
      <w:tr>
        <w:trPr>
          <w:trHeight w:val="170"/>
        </w:trPr>
        <w:tc>
          <w:tcPr>
            <w:tcW w:w="4320" w:type="dxa"/>
            <w:vAlign w:val="bottom"/>
            <w:tcBorders>
              <w:bottom w:val="single" w:sz="8" w:color="AFAFAF"/>
              <w:right w:val="single" w:sz="8" w:color="D1D1D1"/>
            </w:tcBorders>
          </w:tcPr>
          <w:p>
            <w:pPr>
              <w:spacing w:after="0"/>
              <w:rPr>
                <w:sz w:val="14"/>
                <w:szCs w:val="14"/>
                <w:color w:val="auto"/>
              </w:rPr>
            </w:pPr>
          </w:p>
        </w:tc>
        <w:tc>
          <w:tcPr>
            <w:tcW w:w="6660" w:type="dxa"/>
            <w:vAlign w:val="bottom"/>
            <w:tcBorders>
              <w:bottom w:val="single" w:sz="8" w:color="AFAFAF"/>
            </w:tcBorders>
          </w:tcPr>
          <w:p>
            <w:pPr>
              <w:jc w:val="center"/>
              <w:ind w:left="250"/>
              <w:spacing w:after="0"/>
              <w:rPr>
                <w:sz w:val="20"/>
                <w:szCs w:val="20"/>
                <w:color w:val="auto"/>
              </w:rPr>
            </w:pPr>
            <w:r>
              <w:rPr>
                <w:rFonts w:ascii="Arial" w:cs="Arial" w:eastAsia="Arial" w:hAnsi="Arial"/>
                <w:sz w:val="14"/>
                <w:szCs w:val="14"/>
                <w:color w:val="auto"/>
              </w:rPr>
              <w:t>issued and outstanding shares as of year-end)</w:t>
            </w:r>
          </w:p>
        </w:tc>
      </w:tr>
      <w:tr>
        <w:trPr>
          <w:trHeight w:val="160"/>
        </w:trPr>
        <w:tc>
          <w:tcPr>
            <w:tcW w:w="4320" w:type="dxa"/>
            <w:vAlign w:val="bottom"/>
            <w:tcBorders>
              <w:right w:val="single" w:sz="8" w:color="D1D1D1"/>
            </w:tcBorders>
          </w:tcPr>
          <w:p>
            <w:pPr>
              <w:spacing w:after="0" w:line="160" w:lineRule="exact"/>
              <w:rPr>
                <w:sz w:val="20"/>
                <w:szCs w:val="20"/>
                <w:color w:val="auto"/>
              </w:rPr>
            </w:pPr>
            <w:r>
              <w:rPr>
                <w:rFonts w:ascii="Arial" w:cs="Arial" w:eastAsia="Arial" w:hAnsi="Arial"/>
                <w:sz w:val="14"/>
                <w:szCs w:val="14"/>
                <w:b w:val="1"/>
                <w:bCs w:val="1"/>
                <w:color w:val="auto"/>
              </w:rPr>
              <w:t>Stock options and RSUs outstanding</w:t>
            </w:r>
          </w:p>
        </w:tc>
        <w:tc>
          <w:tcPr>
            <w:tcW w:w="6660" w:type="dxa"/>
            <w:vAlign w:val="bottom"/>
          </w:tcPr>
          <w:p>
            <w:pPr>
              <w:jc w:val="center"/>
              <w:ind w:left="250"/>
              <w:spacing w:after="0" w:line="160" w:lineRule="exact"/>
              <w:rPr>
                <w:sz w:val="20"/>
                <w:szCs w:val="20"/>
                <w:color w:val="auto"/>
              </w:rPr>
            </w:pPr>
            <w:r>
              <w:rPr>
                <w:rFonts w:ascii="Arial" w:cs="Arial" w:eastAsia="Arial" w:hAnsi="Arial"/>
                <w:sz w:val="14"/>
                <w:szCs w:val="14"/>
                <w:color w:val="auto"/>
              </w:rPr>
              <w:t>12,391,683 (representing approximately 2.47% of our</w:t>
            </w:r>
          </w:p>
        </w:tc>
      </w:tr>
      <w:tr>
        <w:trPr>
          <w:trHeight w:val="170"/>
        </w:trPr>
        <w:tc>
          <w:tcPr>
            <w:tcW w:w="4320" w:type="dxa"/>
            <w:vAlign w:val="bottom"/>
            <w:tcBorders>
              <w:bottom w:val="single" w:sz="8" w:color="AFAFAF"/>
              <w:right w:val="single" w:sz="8" w:color="D1D1D1"/>
            </w:tcBorders>
          </w:tcPr>
          <w:p>
            <w:pPr>
              <w:spacing w:after="0"/>
              <w:rPr>
                <w:sz w:val="14"/>
                <w:szCs w:val="14"/>
                <w:color w:val="auto"/>
              </w:rPr>
            </w:pPr>
          </w:p>
        </w:tc>
        <w:tc>
          <w:tcPr>
            <w:tcW w:w="6660" w:type="dxa"/>
            <w:vAlign w:val="bottom"/>
            <w:tcBorders>
              <w:bottom w:val="single" w:sz="8" w:color="AFAFAF"/>
            </w:tcBorders>
          </w:tcPr>
          <w:p>
            <w:pPr>
              <w:jc w:val="center"/>
              <w:ind w:left="250"/>
              <w:spacing w:after="0"/>
              <w:rPr>
                <w:sz w:val="20"/>
                <w:szCs w:val="20"/>
                <w:color w:val="auto"/>
              </w:rPr>
            </w:pPr>
            <w:r>
              <w:rPr>
                <w:rFonts w:ascii="Arial" w:cs="Arial" w:eastAsia="Arial" w:hAnsi="Arial"/>
                <w:sz w:val="14"/>
                <w:szCs w:val="14"/>
                <w:color w:val="auto"/>
              </w:rPr>
              <w:t>issued and outstanding shares as of year-end)</w:t>
            </w:r>
          </w:p>
        </w:tc>
      </w:tr>
      <w:tr>
        <w:trPr>
          <w:trHeight w:val="142"/>
        </w:trPr>
        <w:tc>
          <w:tcPr>
            <w:tcW w:w="4320" w:type="dxa"/>
            <w:vAlign w:val="bottom"/>
            <w:tcBorders>
              <w:right w:val="single" w:sz="8" w:color="D1D1D1"/>
            </w:tcBorders>
          </w:tcPr>
          <w:p>
            <w:pPr>
              <w:spacing w:after="0" w:line="142" w:lineRule="exact"/>
              <w:rPr>
                <w:sz w:val="20"/>
                <w:szCs w:val="20"/>
                <w:color w:val="auto"/>
              </w:rPr>
            </w:pPr>
            <w:r>
              <w:rPr>
                <w:rFonts w:ascii="Arial" w:cs="Arial" w:eastAsia="Arial" w:hAnsi="Arial"/>
                <w:sz w:val="14"/>
                <w:szCs w:val="14"/>
                <w:b w:val="1"/>
                <w:bCs w:val="1"/>
                <w:color w:val="auto"/>
              </w:rPr>
              <w:t>Common shares remaining for issuance less outstanding</w:t>
            </w:r>
          </w:p>
        </w:tc>
        <w:tc>
          <w:tcPr>
            <w:tcW w:w="6660" w:type="dxa"/>
            <w:vAlign w:val="bottom"/>
          </w:tcPr>
          <w:p>
            <w:pPr>
              <w:jc w:val="center"/>
              <w:ind w:left="250"/>
              <w:spacing w:after="0" w:line="142" w:lineRule="exact"/>
              <w:rPr>
                <w:sz w:val="20"/>
                <w:szCs w:val="20"/>
                <w:color w:val="auto"/>
              </w:rPr>
            </w:pPr>
            <w:r>
              <w:rPr>
                <w:rFonts w:ascii="Arial" w:cs="Arial" w:eastAsia="Arial" w:hAnsi="Arial"/>
                <w:sz w:val="14"/>
                <w:szCs w:val="14"/>
                <w:color w:val="auto"/>
              </w:rPr>
              <w:t>14,201,797 (representing approximately 2.83% of our</w:t>
            </w:r>
          </w:p>
        </w:tc>
      </w:tr>
      <w:tr>
        <w:trPr>
          <w:trHeight w:val="188"/>
        </w:trPr>
        <w:tc>
          <w:tcPr>
            <w:tcW w:w="4320" w:type="dxa"/>
            <w:vAlign w:val="bottom"/>
            <w:tcBorders>
              <w:bottom w:val="single" w:sz="8" w:color="AFAFAF"/>
              <w:right w:val="single" w:sz="8" w:color="D1D1D1"/>
            </w:tcBorders>
          </w:tcPr>
          <w:p>
            <w:pPr>
              <w:spacing w:after="0"/>
              <w:rPr>
                <w:sz w:val="20"/>
                <w:szCs w:val="20"/>
                <w:color w:val="auto"/>
              </w:rPr>
            </w:pPr>
            <w:r>
              <w:rPr>
                <w:rFonts w:ascii="Arial" w:cs="Arial" w:eastAsia="Arial" w:hAnsi="Arial"/>
                <w:sz w:val="14"/>
                <w:szCs w:val="14"/>
                <w:b w:val="1"/>
                <w:bCs w:val="1"/>
                <w:color w:val="auto"/>
              </w:rPr>
              <w:t>stock options and RSUs</w:t>
            </w:r>
          </w:p>
        </w:tc>
        <w:tc>
          <w:tcPr>
            <w:tcW w:w="6660" w:type="dxa"/>
            <w:vAlign w:val="bottom"/>
            <w:tcBorders>
              <w:bottom w:val="single" w:sz="8" w:color="AFAFAF"/>
            </w:tcBorders>
          </w:tcPr>
          <w:p>
            <w:pPr>
              <w:jc w:val="center"/>
              <w:ind w:left="250"/>
              <w:spacing w:after="0"/>
              <w:rPr>
                <w:sz w:val="20"/>
                <w:szCs w:val="20"/>
                <w:color w:val="auto"/>
              </w:rPr>
            </w:pPr>
            <w:r>
              <w:rPr>
                <w:rFonts w:ascii="Arial" w:cs="Arial" w:eastAsia="Arial" w:hAnsi="Arial"/>
                <w:sz w:val="14"/>
                <w:szCs w:val="14"/>
                <w:color w:val="auto"/>
              </w:rPr>
              <w:t>issued and outstanding shares as of year-end)</w:t>
            </w:r>
          </w:p>
        </w:tc>
      </w:tr>
      <w:tr>
        <w:trPr>
          <w:trHeight w:val="155"/>
        </w:trPr>
        <w:tc>
          <w:tcPr>
            <w:tcW w:w="4320" w:type="dxa"/>
            <w:vAlign w:val="bottom"/>
            <w:tcBorders>
              <w:bottom w:val="single" w:sz="8" w:color="AFAFAF"/>
              <w:right w:val="single" w:sz="8" w:color="D1D1D1"/>
            </w:tcBorders>
          </w:tcPr>
          <w:p>
            <w:pPr>
              <w:spacing w:after="0" w:line="155" w:lineRule="exact"/>
              <w:rPr>
                <w:sz w:val="20"/>
                <w:szCs w:val="20"/>
                <w:color w:val="auto"/>
              </w:rPr>
            </w:pPr>
            <w:r>
              <w:rPr>
                <w:rFonts w:ascii="Arial" w:cs="Arial" w:eastAsia="Arial" w:hAnsi="Arial"/>
                <w:sz w:val="14"/>
                <w:szCs w:val="14"/>
                <w:b w:val="1"/>
                <w:bCs w:val="1"/>
                <w:color w:val="auto"/>
              </w:rPr>
              <w:t>Common shares issued and outstanding</w:t>
            </w:r>
          </w:p>
        </w:tc>
        <w:tc>
          <w:tcPr>
            <w:tcW w:w="6660" w:type="dxa"/>
            <w:vAlign w:val="bottom"/>
            <w:tcBorders>
              <w:bottom w:val="single" w:sz="8" w:color="AFAFAF"/>
            </w:tcBorders>
          </w:tcPr>
          <w:p>
            <w:pPr>
              <w:jc w:val="right"/>
              <w:ind w:right="2710"/>
              <w:spacing w:after="0" w:line="155" w:lineRule="exact"/>
              <w:rPr>
                <w:sz w:val="20"/>
                <w:szCs w:val="20"/>
                <w:color w:val="auto"/>
              </w:rPr>
            </w:pPr>
            <w:r>
              <w:rPr>
                <w:rFonts w:ascii="Arial" w:cs="Arial" w:eastAsia="Arial" w:hAnsi="Arial"/>
                <w:sz w:val="14"/>
                <w:szCs w:val="14"/>
                <w:color w:val="auto"/>
              </w:rPr>
              <w:t>501,493,187</w:t>
            </w:r>
          </w:p>
        </w:tc>
      </w:tr>
      <w:tr>
        <w:trPr>
          <w:trHeight w:val="142"/>
        </w:trPr>
        <w:tc>
          <w:tcPr>
            <w:tcW w:w="4320" w:type="dxa"/>
            <w:vAlign w:val="bottom"/>
            <w:tcBorders>
              <w:right w:val="single" w:sz="8" w:color="D1D1D1"/>
            </w:tcBorders>
          </w:tcPr>
          <w:p>
            <w:pPr>
              <w:spacing w:after="0" w:line="142" w:lineRule="exact"/>
              <w:rPr>
                <w:sz w:val="20"/>
                <w:szCs w:val="20"/>
                <w:color w:val="auto"/>
              </w:rPr>
            </w:pPr>
            <w:r>
              <w:rPr>
                <w:rFonts w:ascii="Arial" w:cs="Arial" w:eastAsia="Arial" w:hAnsi="Arial"/>
                <w:sz w:val="14"/>
                <w:szCs w:val="14"/>
                <w:b w:val="1"/>
                <w:bCs w:val="1"/>
                <w:color w:val="auto"/>
              </w:rPr>
              <w:t>Potential Dilution – the total number of all stock options and</w:t>
            </w:r>
          </w:p>
        </w:tc>
        <w:tc>
          <w:tcPr>
            <w:tcW w:w="6660" w:type="dxa"/>
            <w:vAlign w:val="bottom"/>
          </w:tcPr>
          <w:p>
            <w:pPr>
              <w:jc w:val="right"/>
              <w:ind w:right="2730"/>
              <w:spacing w:after="0" w:line="142" w:lineRule="exact"/>
              <w:rPr>
                <w:sz w:val="20"/>
                <w:szCs w:val="20"/>
                <w:color w:val="auto"/>
              </w:rPr>
            </w:pPr>
            <w:r>
              <w:rPr>
                <w:rFonts w:ascii="Arial" w:cs="Arial" w:eastAsia="Arial" w:hAnsi="Arial"/>
                <w:sz w:val="14"/>
                <w:szCs w:val="14"/>
                <w:color w:val="auto"/>
              </w:rPr>
              <w:t>3.98%</w:t>
            </w:r>
          </w:p>
        </w:tc>
      </w:tr>
      <w:tr>
        <w:trPr>
          <w:trHeight w:val="162"/>
        </w:trPr>
        <w:tc>
          <w:tcPr>
            <w:tcW w:w="432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RSUs available for issue plus all stock options and RSUs</w:t>
            </w:r>
          </w:p>
        </w:tc>
        <w:tc>
          <w:tcPr>
            <w:tcW w:w="6660" w:type="dxa"/>
            <w:vAlign w:val="bottom"/>
          </w:tcPr>
          <w:p>
            <w:pPr>
              <w:spacing w:after="0"/>
              <w:rPr>
                <w:sz w:val="14"/>
                <w:szCs w:val="14"/>
                <w:color w:val="auto"/>
              </w:rPr>
            </w:pPr>
          </w:p>
        </w:tc>
      </w:tr>
      <w:tr>
        <w:trPr>
          <w:trHeight w:val="162"/>
        </w:trPr>
        <w:tc>
          <w:tcPr>
            <w:tcW w:w="432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outstanding, divided by the total weighted average of common</w:t>
            </w:r>
          </w:p>
        </w:tc>
        <w:tc>
          <w:tcPr>
            <w:tcW w:w="6660" w:type="dxa"/>
            <w:vAlign w:val="bottom"/>
          </w:tcPr>
          <w:p>
            <w:pPr>
              <w:spacing w:after="0"/>
              <w:rPr>
                <w:sz w:val="14"/>
                <w:szCs w:val="14"/>
                <w:color w:val="auto"/>
              </w:rPr>
            </w:pPr>
          </w:p>
        </w:tc>
      </w:tr>
      <w:tr>
        <w:trPr>
          <w:trHeight w:val="162"/>
        </w:trPr>
        <w:tc>
          <w:tcPr>
            <w:tcW w:w="432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shares outstanding during the year ended December 31, 2018</w:t>
            </w:r>
          </w:p>
        </w:tc>
        <w:tc>
          <w:tcPr>
            <w:tcW w:w="6660" w:type="dxa"/>
            <w:vAlign w:val="bottom"/>
          </w:tcPr>
          <w:p>
            <w:pPr>
              <w:spacing w:after="0"/>
              <w:rPr>
                <w:sz w:val="14"/>
                <w:szCs w:val="14"/>
                <w:color w:val="auto"/>
              </w:rPr>
            </w:pPr>
          </w:p>
        </w:tc>
      </w:tr>
      <w:tr>
        <w:trPr>
          <w:trHeight w:val="175"/>
        </w:trPr>
        <w:tc>
          <w:tcPr>
            <w:tcW w:w="4320" w:type="dxa"/>
            <w:vAlign w:val="bottom"/>
            <w:tcBorders>
              <w:bottom w:val="single" w:sz="8" w:color="D95A3B"/>
              <w:right w:val="single" w:sz="8" w:color="D1D1D1"/>
            </w:tcBorders>
          </w:tcPr>
          <w:p>
            <w:pPr>
              <w:spacing w:after="0"/>
              <w:rPr>
                <w:sz w:val="20"/>
                <w:szCs w:val="20"/>
                <w:color w:val="auto"/>
              </w:rPr>
            </w:pPr>
            <w:r>
              <w:rPr>
                <w:rFonts w:ascii="Arial" w:cs="Arial" w:eastAsia="Arial" w:hAnsi="Arial"/>
                <w:sz w:val="14"/>
                <w:szCs w:val="14"/>
                <w:b w:val="1"/>
                <w:bCs w:val="1"/>
                <w:color w:val="auto"/>
              </w:rPr>
              <w:t>of 667,586,385</w:t>
            </w:r>
          </w:p>
        </w:tc>
        <w:tc>
          <w:tcPr>
            <w:tcW w:w="6660" w:type="dxa"/>
            <w:vAlign w:val="bottom"/>
            <w:tcBorders>
              <w:bottom w:val="single" w:sz="8" w:color="D95A3B"/>
            </w:tcBorders>
          </w:tcPr>
          <w:p>
            <w:pPr>
              <w:spacing w:after="0"/>
              <w:rPr>
                <w:sz w:val="15"/>
                <w:szCs w:val="15"/>
                <w:color w:val="auto"/>
              </w:rPr>
            </w:pPr>
          </w:p>
        </w:tc>
      </w:tr>
    </w:tbl>
    <w:p>
      <w:pPr>
        <w:spacing w:after="0" w:line="120" w:lineRule="exact"/>
        <w:rPr>
          <w:sz w:val="20"/>
          <w:szCs w:val="20"/>
          <w:color w:val="auto"/>
        </w:rPr>
      </w:pPr>
    </w:p>
    <w:p>
      <w:pPr>
        <w:ind w:left="540" w:right="20" w:hanging="317"/>
        <w:spacing w:after="0" w:line="250" w:lineRule="auto"/>
        <w:tabs>
          <w:tab w:leader="none" w:pos="5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Of the 42,557,489 common shares reflected as being issued under the plan as of December 31, 2018, only 22,205,420 common shares have been actually issued due to net settlement of RSUs and various stock options. When RSUs vest or stock options are exercised, our company deducts the gross amount of the underlying securities from the plan’s share reserve.</w:t>
      </w:r>
    </w:p>
    <w:p>
      <w:pPr>
        <w:spacing w:after="0" w:line="240"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We believe that our stock incentive plan grant practices are conservative relative to applicable benchmarks and our compensation peer group. Based on our analysis of our plan and publicly available information related to our disclosed compensation peer group, the potential dilution under the stock incentive plan would place Thomson Reuters in the bottom quartile of our disclosed compensation peer group for this measure. The following table provides information as of the end of each year indicated related to the stock incentive plan’s share usage, burn rates and potential dilution.</w:t>
      </w:r>
    </w:p>
    <w:p>
      <w:pPr>
        <w:spacing w:after="0" w:line="109"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6020" w:type="dxa"/>
            <w:vAlign w:val="bottom"/>
            <w:tcBorders>
              <w:right w:val="single" w:sz="8" w:color="CCCCCC"/>
            </w:tcBorders>
          </w:tcPr>
          <w:p>
            <w:pPr>
              <w:spacing w:after="0"/>
              <w:rPr>
                <w:sz w:val="16"/>
                <w:szCs w:val="16"/>
                <w:color w:val="auto"/>
              </w:rPr>
            </w:pPr>
          </w:p>
        </w:tc>
        <w:tc>
          <w:tcPr>
            <w:tcW w:w="1460" w:type="dxa"/>
            <w:vAlign w:val="bottom"/>
            <w:tcBorders>
              <w:right w:val="single" w:sz="8" w:color="CCCCCC"/>
            </w:tcBorders>
            <w:shd w:val="clear" w:color="auto" w:fill="CCCCCC"/>
          </w:tcPr>
          <w:p>
            <w:pPr>
              <w:spacing w:after="0"/>
              <w:rPr>
                <w:sz w:val="16"/>
                <w:szCs w:val="16"/>
                <w:color w:val="auto"/>
              </w:rPr>
            </w:pPr>
          </w:p>
        </w:tc>
        <w:tc>
          <w:tcPr>
            <w:tcW w:w="1760" w:type="dxa"/>
            <w:vAlign w:val="bottom"/>
            <w:tcBorders>
              <w:right w:val="single" w:sz="8" w:color="CCCCCC"/>
            </w:tcBorders>
            <w:shd w:val="clear" w:color="auto" w:fill="CCCCCC"/>
          </w:tcPr>
          <w:p>
            <w:pPr>
              <w:jc w:val="right"/>
              <w:ind w:right="46"/>
              <w:spacing w:after="0"/>
              <w:rPr>
                <w:sz w:val="20"/>
                <w:szCs w:val="20"/>
                <w:color w:val="auto"/>
              </w:rPr>
            </w:pPr>
            <w:r>
              <w:rPr>
                <w:rFonts w:ascii="Arial" w:cs="Arial" w:eastAsia="Arial" w:hAnsi="Arial"/>
                <w:sz w:val="15"/>
                <w:szCs w:val="15"/>
                <w:b w:val="1"/>
                <w:bCs w:val="1"/>
                <w:color w:val="auto"/>
              </w:rPr>
              <w:t>As of December 31,</w:t>
            </w:r>
          </w:p>
        </w:tc>
        <w:tc>
          <w:tcPr>
            <w:tcW w:w="1740" w:type="dxa"/>
            <w:vAlign w:val="bottom"/>
            <w:shd w:val="clear" w:color="auto" w:fill="CCCCCC"/>
          </w:tcPr>
          <w:p>
            <w:pPr>
              <w:spacing w:after="0"/>
              <w:rPr>
                <w:sz w:val="16"/>
                <w:szCs w:val="16"/>
                <w:color w:val="auto"/>
              </w:rPr>
            </w:pPr>
          </w:p>
        </w:tc>
      </w:tr>
      <w:tr>
        <w:trPr>
          <w:trHeight w:val="183"/>
        </w:trPr>
        <w:tc>
          <w:tcPr>
            <w:tcW w:w="6020" w:type="dxa"/>
            <w:vAlign w:val="bottom"/>
            <w:tcBorders>
              <w:bottom w:val="single" w:sz="8" w:color="D95A3B"/>
              <w:right w:val="single" w:sz="8" w:color="CCCCCC"/>
            </w:tcBorders>
          </w:tcPr>
          <w:p>
            <w:pPr>
              <w:spacing w:after="0"/>
              <w:rPr>
                <w:sz w:val="15"/>
                <w:szCs w:val="15"/>
                <w:color w:val="auto"/>
              </w:rPr>
            </w:pPr>
          </w:p>
        </w:tc>
        <w:tc>
          <w:tcPr>
            <w:tcW w:w="1460" w:type="dxa"/>
            <w:vAlign w:val="bottom"/>
            <w:tcBorders>
              <w:bottom w:val="single" w:sz="8" w:color="D95A3B"/>
              <w:right w:val="single" w:sz="8" w:color="CCCCCC"/>
            </w:tcBorders>
            <w:shd w:val="clear" w:color="auto" w:fill="CCCCCC"/>
          </w:tcPr>
          <w:p>
            <w:pPr>
              <w:jc w:val="right"/>
              <w:ind w:right="487"/>
              <w:spacing w:after="0"/>
              <w:rPr>
                <w:sz w:val="20"/>
                <w:szCs w:val="20"/>
                <w:color w:val="auto"/>
              </w:rPr>
            </w:pPr>
            <w:r>
              <w:rPr>
                <w:rFonts w:ascii="Arial" w:cs="Arial" w:eastAsia="Arial" w:hAnsi="Arial"/>
                <w:sz w:val="15"/>
                <w:szCs w:val="15"/>
                <w:b w:val="1"/>
                <w:bCs w:val="1"/>
                <w:color w:val="auto"/>
              </w:rPr>
              <w:t>2018</w:t>
            </w:r>
          </w:p>
        </w:tc>
        <w:tc>
          <w:tcPr>
            <w:tcW w:w="1760" w:type="dxa"/>
            <w:vAlign w:val="bottom"/>
            <w:tcBorders>
              <w:bottom w:val="single" w:sz="8" w:color="D95A3B"/>
              <w:right w:val="single" w:sz="8" w:color="CCCCCC"/>
            </w:tcBorders>
            <w:shd w:val="clear" w:color="auto" w:fill="CCCCCC"/>
          </w:tcPr>
          <w:p>
            <w:pPr>
              <w:jc w:val="right"/>
              <w:ind w:right="686"/>
              <w:spacing w:after="0"/>
              <w:rPr>
                <w:sz w:val="20"/>
                <w:szCs w:val="20"/>
                <w:color w:val="auto"/>
              </w:rPr>
            </w:pPr>
            <w:r>
              <w:rPr>
                <w:rFonts w:ascii="Arial" w:cs="Arial" w:eastAsia="Arial" w:hAnsi="Arial"/>
                <w:sz w:val="15"/>
                <w:szCs w:val="15"/>
                <w:b w:val="1"/>
                <w:bCs w:val="1"/>
                <w:color w:val="auto"/>
              </w:rPr>
              <w:t>2017</w:t>
            </w:r>
          </w:p>
        </w:tc>
        <w:tc>
          <w:tcPr>
            <w:tcW w:w="1740" w:type="dxa"/>
            <w:vAlign w:val="bottom"/>
            <w:tcBorders>
              <w:bottom w:val="single" w:sz="8" w:color="D95A3B"/>
            </w:tcBorders>
            <w:shd w:val="clear" w:color="auto" w:fill="CCCCCC"/>
          </w:tcPr>
          <w:p>
            <w:pPr>
              <w:jc w:val="right"/>
              <w:ind w:right="667"/>
              <w:spacing w:after="0"/>
              <w:rPr>
                <w:sz w:val="20"/>
                <w:szCs w:val="20"/>
                <w:color w:val="auto"/>
              </w:rPr>
            </w:pPr>
            <w:r>
              <w:rPr>
                <w:rFonts w:ascii="Arial" w:cs="Arial" w:eastAsia="Arial" w:hAnsi="Arial"/>
                <w:sz w:val="15"/>
                <w:szCs w:val="15"/>
                <w:b w:val="1"/>
                <w:bCs w:val="1"/>
                <w:color w:val="auto"/>
              </w:rPr>
              <w:t>2016</w:t>
            </w:r>
          </w:p>
        </w:tc>
      </w:tr>
      <w:tr>
        <w:trPr>
          <w:trHeight w:val="160"/>
        </w:trPr>
        <w:tc>
          <w:tcPr>
            <w:tcW w:w="602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 xml:space="preserve">Share usage – </w:t>
            </w:r>
            <w:r>
              <w:rPr>
                <w:rFonts w:ascii="Arial" w:cs="Arial" w:eastAsia="Arial" w:hAnsi="Arial"/>
                <w:sz w:val="14"/>
                <w:szCs w:val="14"/>
                <w:color w:val="auto"/>
              </w:rPr>
              <w:t>the total number of stock options and RSUs granted in the applicable year,</w:t>
            </w:r>
          </w:p>
        </w:tc>
        <w:tc>
          <w:tcPr>
            <w:tcW w:w="1460" w:type="dxa"/>
            <w:vAlign w:val="bottom"/>
            <w:tcBorders>
              <w:right w:val="single" w:sz="8" w:color="AFAFAF"/>
            </w:tcBorders>
          </w:tcPr>
          <w:p>
            <w:pPr>
              <w:spacing w:after="0"/>
              <w:rPr>
                <w:sz w:val="13"/>
                <w:szCs w:val="13"/>
                <w:color w:val="auto"/>
              </w:rPr>
            </w:pPr>
          </w:p>
        </w:tc>
        <w:tc>
          <w:tcPr>
            <w:tcW w:w="1760" w:type="dxa"/>
            <w:vAlign w:val="bottom"/>
            <w:tcBorders>
              <w:right w:val="single" w:sz="8" w:color="AFAFAF"/>
            </w:tcBorders>
          </w:tcPr>
          <w:p>
            <w:pPr>
              <w:spacing w:after="0"/>
              <w:rPr>
                <w:sz w:val="13"/>
                <w:szCs w:val="13"/>
                <w:color w:val="auto"/>
              </w:rPr>
            </w:pPr>
          </w:p>
        </w:tc>
        <w:tc>
          <w:tcPr>
            <w:tcW w:w="1740" w:type="dxa"/>
            <w:vAlign w:val="bottom"/>
          </w:tcPr>
          <w:p>
            <w:pPr>
              <w:spacing w:after="0"/>
              <w:rPr>
                <w:sz w:val="13"/>
                <w:szCs w:val="13"/>
                <w:color w:val="auto"/>
              </w:rPr>
            </w:pPr>
          </w:p>
        </w:tc>
      </w:tr>
      <w:tr>
        <w:trPr>
          <w:trHeight w:val="157"/>
        </w:trPr>
        <w:tc>
          <w:tcPr>
            <w:tcW w:w="6020" w:type="dxa"/>
            <w:vAlign w:val="bottom"/>
            <w:tcBorders>
              <w:bottom w:val="single" w:sz="8" w:color="AFAFAF"/>
              <w:right w:val="single" w:sz="8" w:color="AFAFAF"/>
            </w:tcBorders>
          </w:tcPr>
          <w:p>
            <w:pPr>
              <w:spacing w:after="0" w:line="157" w:lineRule="exact"/>
              <w:rPr>
                <w:sz w:val="20"/>
                <w:szCs w:val="20"/>
                <w:color w:val="auto"/>
              </w:rPr>
            </w:pPr>
            <w:r>
              <w:rPr>
                <w:rFonts w:ascii="Arial" w:cs="Arial" w:eastAsia="Arial" w:hAnsi="Arial"/>
                <w:sz w:val="14"/>
                <w:szCs w:val="14"/>
                <w:color w:val="auto"/>
              </w:rPr>
              <w:t>divided by the total weighted average of common shares outstanding during the year</w:t>
            </w:r>
          </w:p>
        </w:tc>
        <w:tc>
          <w:tcPr>
            <w:tcW w:w="1460" w:type="dxa"/>
            <w:vAlign w:val="bottom"/>
            <w:tcBorders>
              <w:bottom w:val="single" w:sz="8" w:color="AFAFAF"/>
              <w:right w:val="single" w:sz="8" w:color="AFAFAF"/>
            </w:tcBorders>
          </w:tcPr>
          <w:p>
            <w:pPr>
              <w:jc w:val="right"/>
              <w:ind w:right="347"/>
              <w:spacing w:after="0" w:line="157" w:lineRule="exact"/>
              <w:rPr>
                <w:sz w:val="20"/>
                <w:szCs w:val="20"/>
                <w:color w:val="auto"/>
              </w:rPr>
            </w:pPr>
            <w:r>
              <w:rPr>
                <w:rFonts w:ascii="Arial" w:cs="Arial" w:eastAsia="Arial" w:hAnsi="Arial"/>
                <w:sz w:val="14"/>
                <w:szCs w:val="14"/>
                <w:color w:val="auto"/>
              </w:rPr>
              <w:t>0.59%</w:t>
            </w:r>
          </w:p>
        </w:tc>
        <w:tc>
          <w:tcPr>
            <w:tcW w:w="1760" w:type="dxa"/>
            <w:vAlign w:val="bottom"/>
            <w:tcBorders>
              <w:bottom w:val="single" w:sz="8" w:color="AFAFAF"/>
              <w:right w:val="single" w:sz="8" w:color="AFAFAF"/>
            </w:tcBorders>
          </w:tcPr>
          <w:p>
            <w:pPr>
              <w:jc w:val="right"/>
              <w:ind w:right="566"/>
              <w:spacing w:after="0" w:line="157" w:lineRule="exact"/>
              <w:rPr>
                <w:sz w:val="20"/>
                <w:szCs w:val="20"/>
                <w:color w:val="auto"/>
              </w:rPr>
            </w:pPr>
            <w:r>
              <w:rPr>
                <w:rFonts w:ascii="Arial" w:cs="Arial" w:eastAsia="Arial" w:hAnsi="Arial"/>
                <w:sz w:val="14"/>
                <w:szCs w:val="14"/>
                <w:color w:val="auto"/>
              </w:rPr>
              <w:t>0.74%</w:t>
            </w:r>
          </w:p>
        </w:tc>
        <w:tc>
          <w:tcPr>
            <w:tcW w:w="1740" w:type="dxa"/>
            <w:vAlign w:val="bottom"/>
            <w:tcBorders>
              <w:bottom w:val="single" w:sz="8" w:color="AFAFAF"/>
            </w:tcBorders>
          </w:tcPr>
          <w:p>
            <w:pPr>
              <w:jc w:val="right"/>
              <w:ind w:right="527"/>
              <w:spacing w:after="0" w:line="157" w:lineRule="exact"/>
              <w:rPr>
                <w:sz w:val="20"/>
                <w:szCs w:val="20"/>
                <w:color w:val="auto"/>
              </w:rPr>
            </w:pPr>
            <w:r>
              <w:rPr>
                <w:rFonts w:ascii="Arial" w:cs="Arial" w:eastAsia="Arial" w:hAnsi="Arial"/>
                <w:sz w:val="14"/>
                <w:szCs w:val="14"/>
                <w:color w:val="auto"/>
              </w:rPr>
              <w:t>0.69%</w:t>
            </w:r>
          </w:p>
        </w:tc>
      </w:tr>
      <w:tr>
        <w:trPr>
          <w:trHeight w:val="160"/>
        </w:trPr>
        <w:tc>
          <w:tcPr>
            <w:tcW w:w="602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 xml:space="preserve">Burn rate – </w:t>
            </w:r>
            <w:r>
              <w:rPr>
                <w:rFonts w:ascii="Arial" w:cs="Arial" w:eastAsia="Arial" w:hAnsi="Arial"/>
                <w:sz w:val="14"/>
                <w:szCs w:val="14"/>
                <w:color w:val="auto"/>
              </w:rPr>
              <w:t>the total number of stock options and RSUs granted in the applicable year,</w:t>
            </w:r>
          </w:p>
        </w:tc>
        <w:tc>
          <w:tcPr>
            <w:tcW w:w="1460" w:type="dxa"/>
            <w:vAlign w:val="bottom"/>
            <w:tcBorders>
              <w:right w:val="single" w:sz="8" w:color="AFAFAF"/>
            </w:tcBorders>
          </w:tcPr>
          <w:p>
            <w:pPr>
              <w:spacing w:after="0"/>
              <w:rPr>
                <w:sz w:val="13"/>
                <w:szCs w:val="13"/>
                <w:color w:val="auto"/>
              </w:rPr>
            </w:pPr>
          </w:p>
        </w:tc>
        <w:tc>
          <w:tcPr>
            <w:tcW w:w="1760" w:type="dxa"/>
            <w:vAlign w:val="bottom"/>
            <w:tcBorders>
              <w:right w:val="single" w:sz="8" w:color="AFAFAF"/>
            </w:tcBorders>
          </w:tcPr>
          <w:p>
            <w:pPr>
              <w:spacing w:after="0"/>
              <w:rPr>
                <w:sz w:val="13"/>
                <w:szCs w:val="13"/>
                <w:color w:val="auto"/>
              </w:rPr>
            </w:pPr>
          </w:p>
        </w:tc>
        <w:tc>
          <w:tcPr>
            <w:tcW w:w="1740" w:type="dxa"/>
            <w:vAlign w:val="bottom"/>
          </w:tcPr>
          <w:p>
            <w:pPr>
              <w:spacing w:after="0"/>
              <w:rPr>
                <w:sz w:val="13"/>
                <w:szCs w:val="13"/>
                <w:color w:val="auto"/>
              </w:rPr>
            </w:pPr>
          </w:p>
        </w:tc>
      </w:tr>
      <w:tr>
        <w:trPr>
          <w:trHeight w:val="157"/>
        </w:trPr>
        <w:tc>
          <w:tcPr>
            <w:tcW w:w="6020" w:type="dxa"/>
            <w:vAlign w:val="bottom"/>
            <w:tcBorders>
              <w:bottom w:val="single" w:sz="8" w:color="AFAFAF"/>
              <w:right w:val="single" w:sz="8" w:color="AFAFAF"/>
            </w:tcBorders>
          </w:tcPr>
          <w:p>
            <w:pPr>
              <w:spacing w:after="0" w:line="157" w:lineRule="exact"/>
              <w:rPr>
                <w:sz w:val="20"/>
                <w:szCs w:val="20"/>
                <w:color w:val="auto"/>
              </w:rPr>
            </w:pPr>
            <w:r>
              <w:rPr>
                <w:rFonts w:ascii="Arial" w:cs="Arial" w:eastAsia="Arial" w:hAnsi="Arial"/>
                <w:sz w:val="14"/>
                <w:szCs w:val="14"/>
                <w:color w:val="auto"/>
              </w:rPr>
              <w:t>divided by the total weighted average of common shares outstanding during the year</w:t>
            </w:r>
          </w:p>
        </w:tc>
        <w:tc>
          <w:tcPr>
            <w:tcW w:w="1460" w:type="dxa"/>
            <w:vAlign w:val="bottom"/>
            <w:tcBorders>
              <w:bottom w:val="single" w:sz="8" w:color="AFAFAF"/>
              <w:right w:val="single" w:sz="8" w:color="AFAFAF"/>
            </w:tcBorders>
          </w:tcPr>
          <w:p>
            <w:pPr>
              <w:jc w:val="right"/>
              <w:ind w:right="347"/>
              <w:spacing w:after="0" w:line="157" w:lineRule="exact"/>
              <w:rPr>
                <w:sz w:val="20"/>
                <w:szCs w:val="20"/>
                <w:color w:val="auto"/>
              </w:rPr>
            </w:pPr>
            <w:r>
              <w:rPr>
                <w:rFonts w:ascii="Arial" w:cs="Arial" w:eastAsia="Arial" w:hAnsi="Arial"/>
                <w:sz w:val="14"/>
                <w:szCs w:val="14"/>
                <w:color w:val="auto"/>
              </w:rPr>
              <w:t>0.59%</w:t>
            </w:r>
          </w:p>
        </w:tc>
        <w:tc>
          <w:tcPr>
            <w:tcW w:w="1760" w:type="dxa"/>
            <w:vAlign w:val="bottom"/>
            <w:tcBorders>
              <w:bottom w:val="single" w:sz="8" w:color="AFAFAF"/>
              <w:right w:val="single" w:sz="8" w:color="AFAFAF"/>
            </w:tcBorders>
          </w:tcPr>
          <w:p>
            <w:pPr>
              <w:jc w:val="right"/>
              <w:ind w:right="566"/>
              <w:spacing w:after="0" w:line="157" w:lineRule="exact"/>
              <w:rPr>
                <w:sz w:val="20"/>
                <w:szCs w:val="20"/>
                <w:color w:val="auto"/>
              </w:rPr>
            </w:pPr>
            <w:r>
              <w:rPr>
                <w:rFonts w:ascii="Arial" w:cs="Arial" w:eastAsia="Arial" w:hAnsi="Arial"/>
                <w:sz w:val="14"/>
                <w:szCs w:val="14"/>
                <w:color w:val="auto"/>
              </w:rPr>
              <w:t>0.74%</w:t>
            </w:r>
          </w:p>
        </w:tc>
        <w:tc>
          <w:tcPr>
            <w:tcW w:w="1740" w:type="dxa"/>
            <w:vAlign w:val="bottom"/>
            <w:tcBorders>
              <w:bottom w:val="single" w:sz="8" w:color="AFAFAF"/>
            </w:tcBorders>
          </w:tcPr>
          <w:p>
            <w:pPr>
              <w:jc w:val="right"/>
              <w:ind w:right="527"/>
              <w:spacing w:after="0" w:line="157" w:lineRule="exact"/>
              <w:rPr>
                <w:sz w:val="20"/>
                <w:szCs w:val="20"/>
                <w:color w:val="auto"/>
              </w:rPr>
            </w:pPr>
            <w:r>
              <w:rPr>
                <w:rFonts w:ascii="Arial" w:cs="Arial" w:eastAsia="Arial" w:hAnsi="Arial"/>
                <w:sz w:val="14"/>
                <w:szCs w:val="14"/>
                <w:color w:val="auto"/>
              </w:rPr>
              <w:t>0.69%</w:t>
            </w:r>
          </w:p>
        </w:tc>
      </w:tr>
      <w:tr>
        <w:trPr>
          <w:trHeight w:val="160"/>
        </w:trPr>
        <w:tc>
          <w:tcPr>
            <w:tcW w:w="602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 xml:space="preserve">Potential Dilution – </w:t>
            </w:r>
            <w:r>
              <w:rPr>
                <w:rFonts w:ascii="Arial" w:cs="Arial" w:eastAsia="Arial" w:hAnsi="Arial"/>
                <w:sz w:val="14"/>
                <w:szCs w:val="14"/>
                <w:color w:val="auto"/>
              </w:rPr>
              <w:t>the total number of all stock options and RSUs available for issue plus all</w:t>
            </w:r>
          </w:p>
        </w:tc>
        <w:tc>
          <w:tcPr>
            <w:tcW w:w="1460" w:type="dxa"/>
            <w:vAlign w:val="bottom"/>
            <w:tcBorders>
              <w:right w:val="single" w:sz="8" w:color="AFAFAF"/>
            </w:tcBorders>
          </w:tcPr>
          <w:p>
            <w:pPr>
              <w:spacing w:after="0"/>
              <w:rPr>
                <w:sz w:val="13"/>
                <w:szCs w:val="13"/>
                <w:color w:val="auto"/>
              </w:rPr>
            </w:pPr>
          </w:p>
        </w:tc>
        <w:tc>
          <w:tcPr>
            <w:tcW w:w="1760" w:type="dxa"/>
            <w:vAlign w:val="bottom"/>
            <w:tcBorders>
              <w:right w:val="single" w:sz="8" w:color="AFAFAF"/>
            </w:tcBorders>
          </w:tcPr>
          <w:p>
            <w:pPr>
              <w:spacing w:after="0"/>
              <w:rPr>
                <w:sz w:val="13"/>
                <w:szCs w:val="13"/>
                <w:color w:val="auto"/>
              </w:rPr>
            </w:pPr>
          </w:p>
        </w:tc>
        <w:tc>
          <w:tcPr>
            <w:tcW w:w="1740" w:type="dxa"/>
            <w:vAlign w:val="bottom"/>
          </w:tcPr>
          <w:p>
            <w:pPr>
              <w:spacing w:after="0"/>
              <w:rPr>
                <w:sz w:val="13"/>
                <w:szCs w:val="13"/>
                <w:color w:val="auto"/>
              </w:rPr>
            </w:pPr>
          </w:p>
        </w:tc>
      </w:tr>
      <w:tr>
        <w:trPr>
          <w:trHeight w:val="162"/>
        </w:trPr>
        <w:tc>
          <w:tcPr>
            <w:tcW w:w="6020" w:type="dxa"/>
            <w:vAlign w:val="bottom"/>
            <w:tcBorders>
              <w:right w:val="single" w:sz="8" w:color="AFAFAF"/>
            </w:tcBorders>
          </w:tcPr>
          <w:p>
            <w:pPr>
              <w:spacing w:after="0"/>
              <w:rPr>
                <w:sz w:val="20"/>
                <w:szCs w:val="20"/>
                <w:color w:val="auto"/>
              </w:rPr>
            </w:pPr>
            <w:r>
              <w:rPr>
                <w:rFonts w:ascii="Arial" w:cs="Arial" w:eastAsia="Arial" w:hAnsi="Arial"/>
                <w:sz w:val="14"/>
                <w:szCs w:val="14"/>
                <w:color w:val="auto"/>
              </w:rPr>
              <w:t>stock options and RSUs outstanding, divided by the total weighted average of common shares</w:t>
            </w:r>
          </w:p>
        </w:tc>
        <w:tc>
          <w:tcPr>
            <w:tcW w:w="1460" w:type="dxa"/>
            <w:vAlign w:val="bottom"/>
            <w:tcBorders>
              <w:right w:val="single" w:sz="8" w:color="AFAFAF"/>
            </w:tcBorders>
          </w:tcPr>
          <w:p>
            <w:pPr>
              <w:spacing w:after="0"/>
              <w:rPr>
                <w:sz w:val="14"/>
                <w:szCs w:val="14"/>
                <w:color w:val="auto"/>
              </w:rPr>
            </w:pPr>
          </w:p>
        </w:tc>
        <w:tc>
          <w:tcPr>
            <w:tcW w:w="1760" w:type="dxa"/>
            <w:vAlign w:val="bottom"/>
            <w:tcBorders>
              <w:right w:val="single" w:sz="8" w:color="AFAFAF"/>
            </w:tcBorders>
          </w:tcPr>
          <w:p>
            <w:pPr>
              <w:spacing w:after="0"/>
              <w:rPr>
                <w:sz w:val="14"/>
                <w:szCs w:val="14"/>
                <w:color w:val="auto"/>
              </w:rPr>
            </w:pPr>
          </w:p>
        </w:tc>
        <w:tc>
          <w:tcPr>
            <w:tcW w:w="1740" w:type="dxa"/>
            <w:vAlign w:val="bottom"/>
          </w:tcPr>
          <w:p>
            <w:pPr>
              <w:spacing w:after="0"/>
              <w:rPr>
                <w:sz w:val="14"/>
                <w:szCs w:val="14"/>
                <w:color w:val="auto"/>
              </w:rPr>
            </w:pPr>
          </w:p>
        </w:tc>
      </w:tr>
      <w:tr>
        <w:trPr>
          <w:trHeight w:val="157"/>
        </w:trPr>
        <w:tc>
          <w:tcPr>
            <w:tcW w:w="6020" w:type="dxa"/>
            <w:vAlign w:val="bottom"/>
            <w:tcBorders>
              <w:bottom w:val="single" w:sz="8" w:color="D95A3B"/>
              <w:right w:val="single" w:sz="8" w:color="AFAFAF"/>
            </w:tcBorders>
          </w:tcPr>
          <w:p>
            <w:pPr>
              <w:spacing w:after="0" w:line="157" w:lineRule="exact"/>
              <w:rPr>
                <w:sz w:val="20"/>
                <w:szCs w:val="20"/>
                <w:color w:val="auto"/>
              </w:rPr>
            </w:pPr>
            <w:r>
              <w:rPr>
                <w:rFonts w:ascii="Arial" w:cs="Arial" w:eastAsia="Arial" w:hAnsi="Arial"/>
                <w:sz w:val="14"/>
                <w:szCs w:val="14"/>
                <w:color w:val="auto"/>
              </w:rPr>
              <w:t>outstanding during the year</w:t>
            </w:r>
          </w:p>
        </w:tc>
        <w:tc>
          <w:tcPr>
            <w:tcW w:w="1460" w:type="dxa"/>
            <w:vAlign w:val="bottom"/>
            <w:tcBorders>
              <w:bottom w:val="single" w:sz="8" w:color="D95A3B"/>
              <w:right w:val="single" w:sz="8" w:color="AFAFAF"/>
            </w:tcBorders>
          </w:tcPr>
          <w:p>
            <w:pPr>
              <w:jc w:val="right"/>
              <w:ind w:right="347"/>
              <w:spacing w:after="0" w:line="157" w:lineRule="exact"/>
              <w:rPr>
                <w:sz w:val="20"/>
                <w:szCs w:val="20"/>
                <w:color w:val="auto"/>
              </w:rPr>
            </w:pPr>
            <w:r>
              <w:rPr>
                <w:rFonts w:ascii="Arial" w:cs="Arial" w:eastAsia="Arial" w:hAnsi="Arial"/>
                <w:sz w:val="14"/>
                <w:szCs w:val="14"/>
                <w:color w:val="auto"/>
              </w:rPr>
              <w:t>3.98%</w:t>
            </w:r>
          </w:p>
        </w:tc>
        <w:tc>
          <w:tcPr>
            <w:tcW w:w="1760" w:type="dxa"/>
            <w:vAlign w:val="bottom"/>
            <w:tcBorders>
              <w:bottom w:val="single" w:sz="8" w:color="D95A3B"/>
              <w:right w:val="single" w:sz="8" w:color="AFAFAF"/>
            </w:tcBorders>
          </w:tcPr>
          <w:p>
            <w:pPr>
              <w:jc w:val="right"/>
              <w:ind w:right="566"/>
              <w:spacing w:after="0" w:line="157" w:lineRule="exact"/>
              <w:rPr>
                <w:sz w:val="20"/>
                <w:szCs w:val="20"/>
                <w:color w:val="auto"/>
              </w:rPr>
            </w:pPr>
            <w:r>
              <w:rPr>
                <w:rFonts w:ascii="Arial" w:cs="Arial" w:eastAsia="Arial" w:hAnsi="Arial"/>
                <w:sz w:val="14"/>
                <w:szCs w:val="14"/>
                <w:color w:val="auto"/>
              </w:rPr>
              <w:t>4.90%</w:t>
            </w:r>
          </w:p>
        </w:tc>
        <w:tc>
          <w:tcPr>
            <w:tcW w:w="1740" w:type="dxa"/>
            <w:vAlign w:val="bottom"/>
            <w:tcBorders>
              <w:bottom w:val="single" w:sz="8" w:color="D95A3B"/>
            </w:tcBorders>
          </w:tcPr>
          <w:p>
            <w:pPr>
              <w:jc w:val="right"/>
              <w:ind w:right="527"/>
              <w:spacing w:after="0" w:line="157" w:lineRule="exact"/>
              <w:rPr>
                <w:sz w:val="20"/>
                <w:szCs w:val="20"/>
                <w:color w:val="auto"/>
              </w:rPr>
            </w:pPr>
            <w:r>
              <w:rPr>
                <w:rFonts w:ascii="Arial" w:cs="Arial" w:eastAsia="Arial" w:hAnsi="Arial"/>
                <w:sz w:val="14"/>
                <w:szCs w:val="14"/>
                <w:color w:val="auto"/>
              </w:rPr>
              <w:t>2.43%</w:t>
            </w:r>
          </w:p>
        </w:tc>
      </w:tr>
      <w:tr>
        <w:trPr>
          <w:trHeight w:val="229"/>
        </w:trPr>
        <w:tc>
          <w:tcPr>
            <w:tcW w:w="6020" w:type="dxa"/>
            <w:vAlign w:val="bottom"/>
            <w:tcBorders>
              <w:bottom w:val="single" w:sz="8" w:color="D95A3B"/>
            </w:tcBorders>
          </w:tcPr>
          <w:p>
            <w:pPr>
              <w:spacing w:after="0"/>
              <w:rPr>
                <w:sz w:val="19"/>
                <w:szCs w:val="19"/>
                <w:color w:val="auto"/>
              </w:rPr>
            </w:pPr>
          </w:p>
        </w:tc>
        <w:tc>
          <w:tcPr>
            <w:tcW w:w="1460" w:type="dxa"/>
            <w:vAlign w:val="bottom"/>
            <w:tcBorders>
              <w:bottom w:val="single" w:sz="8" w:color="D95A3B"/>
            </w:tcBorders>
          </w:tcPr>
          <w:p>
            <w:pPr>
              <w:spacing w:after="0"/>
              <w:rPr>
                <w:sz w:val="19"/>
                <w:szCs w:val="19"/>
                <w:color w:val="auto"/>
              </w:rPr>
            </w:pPr>
          </w:p>
        </w:tc>
        <w:tc>
          <w:tcPr>
            <w:tcW w:w="1760" w:type="dxa"/>
            <w:vAlign w:val="bottom"/>
            <w:tcBorders>
              <w:bottom w:val="single" w:sz="8" w:color="D95A3B"/>
            </w:tcBorders>
          </w:tcPr>
          <w:p>
            <w:pPr>
              <w:spacing w:after="0"/>
              <w:rPr>
                <w:sz w:val="19"/>
                <w:szCs w:val="19"/>
                <w:color w:val="auto"/>
              </w:rPr>
            </w:pPr>
          </w:p>
        </w:tc>
        <w:tc>
          <w:tcPr>
            <w:tcW w:w="1740" w:type="dxa"/>
            <w:vAlign w:val="bottom"/>
            <w:tcBorders>
              <w:bottom w:val="single" w:sz="8" w:color="D95A3B"/>
            </w:tcBorders>
          </w:tcPr>
          <w:p>
            <w:pPr>
              <w:spacing w:after="0"/>
              <w:rPr>
                <w:sz w:val="19"/>
                <w:szCs w:val="19"/>
                <w:color w:val="auto"/>
              </w:rPr>
            </w:pPr>
          </w:p>
        </w:tc>
      </w:tr>
    </w:tbl>
    <w:p>
      <w:pPr>
        <w:spacing w:after="0" w:line="120"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A-2</w:t>
      </w:r>
    </w:p>
    <w:p>
      <w:pPr>
        <w:sectPr>
          <w:pgSz w:w="11900" w:h="16838" w:orient="portrait"/>
          <w:cols w:equalWidth="0" w:num="1">
            <w:col w:w="11200"/>
          </w:cols>
          <w:pgMar w:left="240" w:top="458"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2840" w:type="dxa"/>
            <w:vAlign w:val="bottom"/>
            <w:tcBorders>
              <w:top w:val="single" w:sz="8" w:color="D95A3B"/>
            </w:tcBorders>
          </w:tcPr>
          <w:p>
            <w:pPr>
              <w:spacing w:after="0"/>
              <w:rPr>
                <w:sz w:val="20"/>
                <w:szCs w:val="20"/>
                <w:color w:val="auto"/>
              </w:rPr>
            </w:pPr>
            <w:r>
              <w:rPr>
                <w:rFonts w:ascii="Arial" w:cs="Arial" w:eastAsia="Arial" w:hAnsi="Arial"/>
                <w:sz w:val="14"/>
                <w:szCs w:val="14"/>
                <w:b w:val="1"/>
                <w:bCs w:val="1"/>
                <w:color w:val="auto"/>
              </w:rPr>
              <w:t>Expiration of options</w:t>
            </w:r>
          </w:p>
        </w:tc>
        <w:tc>
          <w:tcPr>
            <w:tcW w:w="8140" w:type="dxa"/>
            <w:vAlign w:val="bottom"/>
            <w:tcBorders>
              <w:top w:val="single" w:sz="8" w:color="D95A3B"/>
            </w:tcBorders>
            <w:gridSpan w:val="2"/>
          </w:tcPr>
          <w:p>
            <w:pPr>
              <w:ind w:left="680"/>
              <w:spacing w:after="0"/>
              <w:rPr>
                <w:sz w:val="20"/>
                <w:szCs w:val="20"/>
                <w:color w:val="auto"/>
              </w:rPr>
            </w:pPr>
            <w:r>
              <w:rPr>
                <w:rFonts w:ascii="Arial" w:cs="Arial" w:eastAsia="Arial" w:hAnsi="Arial"/>
                <w:sz w:val="14"/>
                <w:szCs w:val="14"/>
                <w:color w:val="auto"/>
              </w:rPr>
              <w:t>Options, SARs and RSUs cease to be exercisable according to the terms of the applicable award agreement, or as</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140" w:type="dxa"/>
            <w:vAlign w:val="bottom"/>
            <w:gridSpan w:val="2"/>
          </w:tcPr>
          <w:p>
            <w:pPr>
              <w:ind w:left="680"/>
              <w:spacing w:after="0"/>
              <w:rPr>
                <w:sz w:val="20"/>
                <w:szCs w:val="20"/>
                <w:color w:val="auto"/>
              </w:rPr>
            </w:pPr>
            <w:r>
              <w:rPr>
                <w:rFonts w:ascii="Arial" w:cs="Arial" w:eastAsia="Arial" w:hAnsi="Arial"/>
                <w:sz w:val="14"/>
                <w:szCs w:val="14"/>
                <w:color w:val="auto"/>
              </w:rPr>
              <w:t>may be determined by the HR Committee, in the event that a participant ceases to be an employee or officer of</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8140" w:type="dxa"/>
            <w:vAlign w:val="bottom"/>
            <w:gridSpan w:val="2"/>
          </w:tcPr>
          <w:p>
            <w:pPr>
              <w:ind w:left="680"/>
              <w:spacing w:after="0"/>
              <w:rPr>
                <w:sz w:val="20"/>
                <w:szCs w:val="20"/>
                <w:color w:val="auto"/>
              </w:rPr>
            </w:pPr>
            <w:r>
              <w:rPr>
                <w:rFonts w:ascii="Arial" w:cs="Arial" w:eastAsia="Arial" w:hAnsi="Arial"/>
                <w:sz w:val="14"/>
                <w:szCs w:val="14"/>
                <w:color w:val="auto"/>
              </w:rPr>
              <w:t>Thomson Reuters. Options and RSUs granted in 2018 are subject to early expiration or vesting in certain</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140" w:type="dxa"/>
            <w:vAlign w:val="bottom"/>
            <w:gridSpan w:val="2"/>
          </w:tcPr>
          <w:p>
            <w:pPr>
              <w:ind w:left="680"/>
              <w:spacing w:after="0"/>
              <w:rPr>
                <w:sz w:val="20"/>
                <w:szCs w:val="20"/>
                <w:color w:val="auto"/>
              </w:rPr>
            </w:pPr>
            <w:r>
              <w:rPr>
                <w:rFonts w:ascii="Arial" w:cs="Arial" w:eastAsia="Arial" w:hAnsi="Arial"/>
                <w:sz w:val="14"/>
                <w:szCs w:val="14"/>
                <w:color w:val="auto"/>
              </w:rPr>
              <w:t>circumstances, including death, disability, retirement and termination. If options or SARs would otherwise expire</w:t>
            </w:r>
          </w:p>
        </w:tc>
        <w:tc>
          <w:tcPr>
            <w:tcW w:w="0" w:type="dxa"/>
            <w:vAlign w:val="bottom"/>
          </w:tcPr>
          <w:p>
            <w:pPr>
              <w:spacing w:after="0"/>
              <w:rPr>
                <w:sz w:val="1"/>
                <w:szCs w:val="1"/>
                <w:color w:val="auto"/>
              </w:rPr>
            </w:pPr>
          </w:p>
        </w:tc>
      </w:tr>
      <w:tr>
        <w:trPr>
          <w:trHeight w:val="157"/>
        </w:trPr>
        <w:tc>
          <w:tcPr>
            <w:tcW w:w="2840" w:type="dxa"/>
            <w:vAlign w:val="bottom"/>
            <w:tcBorders>
              <w:bottom w:val="single" w:sz="8" w:color="AFAFAF"/>
            </w:tcBorders>
          </w:tcPr>
          <w:p>
            <w:pPr>
              <w:spacing w:after="0"/>
              <w:rPr>
                <w:sz w:val="13"/>
                <w:szCs w:val="13"/>
                <w:color w:val="auto"/>
              </w:rPr>
            </w:pPr>
          </w:p>
        </w:tc>
        <w:tc>
          <w:tcPr>
            <w:tcW w:w="8140" w:type="dxa"/>
            <w:vAlign w:val="bottom"/>
            <w:tcBorders>
              <w:bottom w:val="single" w:sz="8" w:color="AFAFAF"/>
            </w:tcBorders>
            <w:gridSpan w:val="2"/>
          </w:tcPr>
          <w:p>
            <w:pPr>
              <w:ind w:left="680"/>
              <w:spacing w:after="0" w:line="157" w:lineRule="exact"/>
              <w:rPr>
                <w:sz w:val="20"/>
                <w:szCs w:val="20"/>
                <w:color w:val="auto"/>
              </w:rPr>
            </w:pPr>
            <w:r>
              <w:rPr>
                <w:rFonts w:ascii="Arial" w:cs="Arial" w:eastAsia="Arial" w:hAnsi="Arial"/>
                <w:sz w:val="14"/>
                <w:szCs w:val="14"/>
                <w:color w:val="auto"/>
              </w:rPr>
              <w:t>during a blackout period, the term will be extended until 10 business days after conclusion of such blackout period.</w:t>
            </w:r>
          </w:p>
        </w:tc>
        <w:tc>
          <w:tcPr>
            <w:tcW w:w="0" w:type="dxa"/>
            <w:vAlign w:val="bottom"/>
          </w:tcPr>
          <w:p>
            <w:pPr>
              <w:spacing w:after="0"/>
              <w:rPr>
                <w:sz w:val="1"/>
                <w:szCs w:val="1"/>
                <w:color w:val="auto"/>
              </w:rPr>
            </w:pPr>
          </w:p>
        </w:tc>
      </w:tr>
      <w:tr>
        <w:trPr>
          <w:trHeight w:val="160"/>
        </w:trPr>
        <w:tc>
          <w:tcPr>
            <w:tcW w:w="2840" w:type="dxa"/>
            <w:vAlign w:val="bottom"/>
          </w:tcPr>
          <w:p>
            <w:pPr>
              <w:spacing w:after="0" w:line="160" w:lineRule="exact"/>
              <w:rPr>
                <w:sz w:val="20"/>
                <w:szCs w:val="20"/>
                <w:color w:val="auto"/>
              </w:rPr>
            </w:pPr>
            <w:r>
              <w:rPr>
                <w:rFonts w:ascii="Arial" w:cs="Arial" w:eastAsia="Arial" w:hAnsi="Arial"/>
                <w:sz w:val="14"/>
                <w:szCs w:val="14"/>
                <w:b w:val="1"/>
                <w:bCs w:val="1"/>
                <w:color w:val="auto"/>
              </w:rPr>
              <w:t>Plan amendments and changes</w:t>
            </w:r>
          </w:p>
        </w:tc>
        <w:tc>
          <w:tcPr>
            <w:tcW w:w="8140" w:type="dxa"/>
            <w:vAlign w:val="bottom"/>
            <w:gridSpan w:val="2"/>
          </w:tcPr>
          <w:p>
            <w:pPr>
              <w:ind w:left="680"/>
              <w:spacing w:after="0" w:line="160" w:lineRule="exact"/>
              <w:rPr>
                <w:sz w:val="20"/>
                <w:szCs w:val="20"/>
                <w:color w:val="auto"/>
              </w:rPr>
            </w:pPr>
            <w:r>
              <w:rPr>
                <w:rFonts w:ascii="Arial" w:cs="Arial" w:eastAsia="Arial" w:hAnsi="Arial"/>
                <w:sz w:val="14"/>
                <w:szCs w:val="14"/>
                <w:color w:val="auto"/>
              </w:rPr>
              <w:t>The board and/or the HR Committee may make any amendments to the plan or any outstanding award without</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140" w:type="dxa"/>
            <w:vAlign w:val="bottom"/>
            <w:gridSpan w:val="2"/>
          </w:tcPr>
          <w:p>
            <w:pPr>
              <w:ind w:left="680"/>
              <w:spacing w:after="0"/>
              <w:rPr>
                <w:sz w:val="20"/>
                <w:szCs w:val="20"/>
                <w:color w:val="auto"/>
              </w:rPr>
            </w:pPr>
            <w:r>
              <w:rPr>
                <w:rFonts w:ascii="Arial" w:cs="Arial" w:eastAsia="Arial" w:hAnsi="Arial"/>
                <w:sz w:val="14"/>
                <w:szCs w:val="14"/>
                <w:color w:val="auto"/>
              </w:rPr>
              <w:t>seeking shareholder approval (including, but not limited to, minor “housekeeping” changes, changes to comply with</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8140" w:type="dxa"/>
            <w:vAlign w:val="bottom"/>
            <w:gridSpan w:val="2"/>
          </w:tcPr>
          <w:p>
            <w:pPr>
              <w:ind w:left="680"/>
              <w:spacing w:after="0" w:line="146" w:lineRule="exact"/>
              <w:rPr>
                <w:sz w:val="20"/>
                <w:szCs w:val="20"/>
                <w:color w:val="auto"/>
              </w:rPr>
            </w:pPr>
            <w:r>
              <w:rPr>
                <w:rFonts w:ascii="Arial" w:cs="Arial" w:eastAsia="Arial" w:hAnsi="Arial"/>
                <w:sz w:val="14"/>
                <w:szCs w:val="14"/>
                <w:color w:val="auto"/>
              </w:rPr>
              <w:t>applicable laws and changes to vesting provisions of awards), except for an amendment which:</w:t>
            </w:r>
          </w:p>
        </w:tc>
        <w:tc>
          <w:tcPr>
            <w:tcW w:w="0" w:type="dxa"/>
            <w:vAlign w:val="bottom"/>
          </w:tcPr>
          <w:p>
            <w:pPr>
              <w:spacing w:after="0"/>
              <w:rPr>
                <w:sz w:val="1"/>
                <w:szCs w:val="1"/>
                <w:color w:val="auto"/>
              </w:rPr>
            </w:pPr>
          </w:p>
        </w:tc>
      </w:tr>
      <w:tr>
        <w:trPr>
          <w:trHeight w:val="177"/>
        </w:trPr>
        <w:tc>
          <w:tcPr>
            <w:tcW w:w="2840" w:type="dxa"/>
            <w:vAlign w:val="bottom"/>
          </w:tcPr>
          <w:p>
            <w:pPr>
              <w:spacing w:after="0"/>
              <w:rPr>
                <w:sz w:val="15"/>
                <w:szCs w:val="15"/>
                <w:color w:val="auto"/>
              </w:rPr>
            </w:pPr>
          </w:p>
        </w:tc>
        <w:tc>
          <w:tcPr>
            <w:tcW w:w="820" w:type="dxa"/>
            <w:vAlign w:val="bottom"/>
          </w:tcPr>
          <w:p>
            <w:pPr>
              <w:ind w:left="680"/>
              <w:spacing w:after="0"/>
              <w:rPr>
                <w:sz w:val="20"/>
                <w:szCs w:val="20"/>
                <w:color w:val="auto"/>
              </w:rPr>
            </w:pPr>
            <w:r>
              <w:rPr>
                <w:rFonts w:ascii="Arial" w:cs="Arial" w:eastAsia="Arial" w:hAnsi="Arial"/>
                <w:sz w:val="12"/>
                <w:szCs w:val="12"/>
                <w:color w:val="auto"/>
              </w:rPr>
              <w:t>●</w:t>
            </w:r>
          </w:p>
        </w:tc>
        <w:tc>
          <w:tcPr>
            <w:tcW w:w="7320" w:type="dxa"/>
            <w:vAlign w:val="bottom"/>
          </w:tcPr>
          <w:p>
            <w:pPr>
              <w:ind w:left="80"/>
              <w:spacing w:after="0"/>
              <w:rPr>
                <w:sz w:val="20"/>
                <w:szCs w:val="20"/>
                <w:color w:val="auto"/>
              </w:rPr>
            </w:pPr>
            <w:r>
              <w:rPr>
                <w:rFonts w:ascii="Arial" w:cs="Arial" w:eastAsia="Arial" w:hAnsi="Arial"/>
                <w:sz w:val="14"/>
                <w:szCs w:val="14"/>
                <w:color w:val="auto"/>
              </w:rPr>
              <w:t>increases the maximum number of shares that can be issued under the plan, including an increase to a fixed</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20" w:type="dxa"/>
            <w:vAlign w:val="bottom"/>
            <w:vMerge w:val="restart"/>
          </w:tcPr>
          <w:p>
            <w:pPr>
              <w:ind w:left="680"/>
              <w:spacing w:after="0"/>
              <w:rPr>
                <w:sz w:val="20"/>
                <w:szCs w:val="20"/>
                <w:color w:val="auto"/>
              </w:rPr>
            </w:pPr>
            <w:r>
              <w:rPr>
                <w:rFonts w:ascii="Arial" w:cs="Arial" w:eastAsia="Arial" w:hAnsi="Arial"/>
                <w:sz w:val="12"/>
                <w:szCs w:val="12"/>
                <w:color w:val="auto"/>
              </w:rPr>
              <w:t>●</w:t>
            </w:r>
          </w:p>
        </w:tc>
        <w:tc>
          <w:tcPr>
            <w:tcW w:w="7320" w:type="dxa"/>
            <w:vAlign w:val="bottom"/>
          </w:tcPr>
          <w:p>
            <w:pPr>
              <w:ind w:left="60"/>
              <w:spacing w:after="0"/>
              <w:rPr>
                <w:sz w:val="20"/>
                <w:szCs w:val="20"/>
                <w:color w:val="auto"/>
              </w:rPr>
            </w:pPr>
            <w:r>
              <w:rPr>
                <w:rFonts w:ascii="Arial" w:cs="Arial" w:eastAsia="Arial" w:hAnsi="Arial"/>
                <w:sz w:val="14"/>
                <w:szCs w:val="14"/>
                <w:color w:val="auto"/>
              </w:rPr>
              <w:t>number of such shares or a change from a fixed number of such shares to a fixed maximum percentage;</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320" w:type="dxa"/>
            <w:vAlign w:val="bottom"/>
          </w:tcPr>
          <w:p>
            <w:pPr>
              <w:ind w:left="80"/>
              <w:spacing w:after="0" w:line="146" w:lineRule="exact"/>
              <w:rPr>
                <w:sz w:val="20"/>
                <w:szCs w:val="20"/>
                <w:color w:val="auto"/>
              </w:rPr>
            </w:pPr>
            <w:r>
              <w:rPr>
                <w:rFonts w:ascii="Arial" w:cs="Arial" w:eastAsia="Arial" w:hAnsi="Arial"/>
                <w:sz w:val="14"/>
                <w:szCs w:val="14"/>
                <w:color w:val="auto"/>
              </w:rPr>
              <w:t>Increases the maximum number of shares that can be issued pursuant to RSUs;</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Arial" w:cs="Arial" w:eastAsia="Arial" w:hAnsi="Arial"/>
                <w:sz w:val="12"/>
                <w:szCs w:val="12"/>
                <w:color w:val="auto"/>
              </w:rPr>
              <w:t>●</w:t>
            </w:r>
          </w:p>
        </w:tc>
        <w:tc>
          <w:tcPr>
            <w:tcW w:w="7320" w:type="dxa"/>
            <w:vAlign w:val="bottom"/>
          </w:tcPr>
          <w:p>
            <w:pPr>
              <w:ind w:left="80"/>
              <w:spacing w:after="0"/>
              <w:rPr>
                <w:sz w:val="20"/>
                <w:szCs w:val="20"/>
                <w:color w:val="auto"/>
              </w:rPr>
            </w:pPr>
            <w:r>
              <w:rPr>
                <w:rFonts w:ascii="Arial" w:cs="Arial" w:eastAsia="Arial" w:hAnsi="Arial"/>
                <w:sz w:val="14"/>
                <w:szCs w:val="14"/>
                <w:color w:val="auto"/>
              </w:rPr>
              <w:t>increases the maximum number of shares which may be issued under the awards held by a participant;</w:t>
            </w:r>
          </w:p>
        </w:tc>
        <w:tc>
          <w:tcPr>
            <w:tcW w:w="0" w:type="dxa"/>
            <w:vAlign w:val="bottom"/>
          </w:tcPr>
          <w:p>
            <w:pPr>
              <w:spacing w:after="0"/>
              <w:rPr>
                <w:sz w:val="1"/>
                <w:szCs w:val="1"/>
                <w:color w:val="auto"/>
              </w:rPr>
            </w:pPr>
          </w:p>
        </w:tc>
      </w:tr>
      <w:tr>
        <w:trPr>
          <w:trHeight w:val="177"/>
        </w:trPr>
        <w:tc>
          <w:tcPr>
            <w:tcW w:w="2840" w:type="dxa"/>
            <w:vAlign w:val="bottom"/>
          </w:tcPr>
          <w:p>
            <w:pPr>
              <w:spacing w:after="0"/>
              <w:rPr>
                <w:sz w:val="15"/>
                <w:szCs w:val="15"/>
                <w:color w:val="auto"/>
              </w:rPr>
            </w:pPr>
          </w:p>
        </w:tc>
        <w:tc>
          <w:tcPr>
            <w:tcW w:w="820" w:type="dxa"/>
            <w:vAlign w:val="bottom"/>
          </w:tcPr>
          <w:p>
            <w:pPr>
              <w:ind w:left="680"/>
              <w:spacing w:after="0"/>
              <w:rPr>
                <w:sz w:val="20"/>
                <w:szCs w:val="20"/>
                <w:color w:val="auto"/>
              </w:rPr>
            </w:pPr>
            <w:r>
              <w:rPr>
                <w:rFonts w:ascii="Arial" w:cs="Arial" w:eastAsia="Arial" w:hAnsi="Arial"/>
                <w:sz w:val="12"/>
                <w:szCs w:val="12"/>
                <w:color w:val="auto"/>
              </w:rPr>
              <w:t>●</w:t>
            </w:r>
          </w:p>
        </w:tc>
        <w:tc>
          <w:tcPr>
            <w:tcW w:w="7320" w:type="dxa"/>
            <w:vAlign w:val="bottom"/>
          </w:tcPr>
          <w:p>
            <w:pPr>
              <w:ind w:left="80"/>
              <w:spacing w:after="0"/>
              <w:rPr>
                <w:sz w:val="20"/>
                <w:szCs w:val="20"/>
                <w:color w:val="auto"/>
              </w:rPr>
            </w:pPr>
            <w:r>
              <w:rPr>
                <w:rFonts w:ascii="Arial" w:cs="Arial" w:eastAsia="Arial" w:hAnsi="Arial"/>
                <w:sz w:val="14"/>
                <w:szCs w:val="14"/>
                <w:color w:val="auto"/>
              </w:rPr>
              <w:t>reduces the exercise price of an award (including a cancellation and re-grant of an award, constituting a reduction</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Arial" w:cs="Arial" w:eastAsia="Arial" w:hAnsi="Arial"/>
                <w:sz w:val="14"/>
                <w:szCs w:val="14"/>
                <w:color w:val="auto"/>
              </w:rPr>
              <w:t>of the exercise price of such award), except in connection with maintaining the value of an award in connection</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Arial" w:cs="Arial" w:eastAsia="Arial" w:hAnsi="Arial"/>
                <w:sz w:val="14"/>
                <w:szCs w:val="14"/>
                <w:color w:val="auto"/>
              </w:rPr>
              <w:t>with a change in the number of the outstanding common shares by reason of a stock dividend or split,</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Arial" w:cs="Arial" w:eastAsia="Arial" w:hAnsi="Arial"/>
                <w:sz w:val="14"/>
                <w:szCs w:val="14"/>
                <w:color w:val="auto"/>
              </w:rPr>
              <w:t>recapitalization, reorganization, merger, amalgamation, consolidation, combination or exchange of shares or other</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20" w:type="dxa"/>
            <w:vAlign w:val="bottom"/>
            <w:vMerge w:val="restart"/>
          </w:tcPr>
          <w:p>
            <w:pPr>
              <w:ind w:left="680"/>
              <w:spacing w:after="0"/>
              <w:rPr>
                <w:sz w:val="20"/>
                <w:szCs w:val="20"/>
                <w:color w:val="auto"/>
              </w:rPr>
            </w:pPr>
            <w:r>
              <w:rPr>
                <w:rFonts w:ascii="Arial" w:cs="Arial" w:eastAsia="Arial" w:hAnsi="Arial"/>
                <w:sz w:val="12"/>
                <w:szCs w:val="12"/>
                <w:color w:val="auto"/>
              </w:rPr>
              <w:t>●</w:t>
            </w:r>
          </w:p>
        </w:tc>
        <w:tc>
          <w:tcPr>
            <w:tcW w:w="7320" w:type="dxa"/>
            <w:vAlign w:val="bottom"/>
          </w:tcPr>
          <w:p>
            <w:pPr>
              <w:ind w:left="60"/>
              <w:spacing w:after="0"/>
              <w:rPr>
                <w:sz w:val="20"/>
                <w:szCs w:val="20"/>
                <w:color w:val="auto"/>
              </w:rPr>
            </w:pPr>
            <w:r>
              <w:rPr>
                <w:rFonts w:ascii="Arial" w:cs="Arial" w:eastAsia="Arial" w:hAnsi="Arial"/>
                <w:sz w:val="14"/>
                <w:szCs w:val="14"/>
                <w:color w:val="auto"/>
              </w:rPr>
              <w:t>corporate change affecting such shares;</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320" w:type="dxa"/>
            <w:vAlign w:val="bottom"/>
          </w:tcPr>
          <w:p>
            <w:pPr>
              <w:ind w:left="80"/>
              <w:spacing w:after="0"/>
              <w:rPr>
                <w:sz w:val="20"/>
                <w:szCs w:val="20"/>
                <w:color w:val="auto"/>
              </w:rPr>
            </w:pPr>
            <w:r>
              <w:rPr>
                <w:rFonts w:ascii="Arial" w:cs="Arial" w:eastAsia="Arial" w:hAnsi="Arial"/>
                <w:sz w:val="14"/>
                <w:szCs w:val="14"/>
                <w:color w:val="auto"/>
              </w:rPr>
              <w:t>extends the term of an award beyond its original expiry date, except where the expiry date would have occurred in</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20" w:type="dxa"/>
            <w:vAlign w:val="bottom"/>
            <w:vMerge w:val="restart"/>
          </w:tcPr>
          <w:p>
            <w:pPr>
              <w:ind w:left="680"/>
              <w:spacing w:after="0"/>
              <w:rPr>
                <w:sz w:val="20"/>
                <w:szCs w:val="20"/>
                <w:color w:val="auto"/>
              </w:rPr>
            </w:pPr>
            <w:r>
              <w:rPr>
                <w:rFonts w:ascii="Arial" w:cs="Arial" w:eastAsia="Arial" w:hAnsi="Arial"/>
                <w:sz w:val="12"/>
                <w:szCs w:val="12"/>
                <w:color w:val="auto"/>
              </w:rPr>
              <w:t>●</w:t>
            </w:r>
          </w:p>
        </w:tc>
        <w:tc>
          <w:tcPr>
            <w:tcW w:w="7320" w:type="dxa"/>
            <w:vAlign w:val="bottom"/>
          </w:tcPr>
          <w:p>
            <w:pPr>
              <w:ind w:left="60"/>
              <w:spacing w:after="0"/>
              <w:rPr>
                <w:sz w:val="20"/>
                <w:szCs w:val="20"/>
                <w:color w:val="auto"/>
              </w:rPr>
            </w:pPr>
            <w:r>
              <w:rPr>
                <w:rFonts w:ascii="Arial" w:cs="Arial" w:eastAsia="Arial" w:hAnsi="Arial"/>
                <w:sz w:val="14"/>
                <w:szCs w:val="14"/>
                <w:color w:val="auto"/>
              </w:rPr>
              <w:t>a blackout period;</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320" w:type="dxa"/>
            <w:vAlign w:val="bottom"/>
          </w:tcPr>
          <w:p>
            <w:pPr>
              <w:ind w:left="80"/>
              <w:spacing w:after="0"/>
              <w:rPr>
                <w:sz w:val="20"/>
                <w:szCs w:val="20"/>
                <w:color w:val="auto"/>
              </w:rPr>
            </w:pPr>
            <w:r>
              <w:rPr>
                <w:rFonts w:ascii="Arial" w:cs="Arial" w:eastAsia="Arial" w:hAnsi="Arial"/>
                <w:sz w:val="14"/>
                <w:szCs w:val="14"/>
                <w:color w:val="auto"/>
              </w:rPr>
              <w:t>changes the provisions relating to the transferability of an award, other than for a transfer by will or the laws of</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Arial" w:cs="Arial" w:eastAsia="Arial" w:hAnsi="Arial"/>
                <w:sz w:val="14"/>
                <w:szCs w:val="14"/>
                <w:color w:val="auto"/>
              </w:rPr>
              <w:t>descent and distribution, a transfer by a grantee to an entity which is controlled by the grantee or a transfer to a</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20" w:type="dxa"/>
            <w:vAlign w:val="bottom"/>
            <w:vMerge w:val="restart"/>
          </w:tcPr>
          <w:p>
            <w:pPr>
              <w:ind w:left="680"/>
              <w:spacing w:after="0"/>
              <w:rPr>
                <w:sz w:val="20"/>
                <w:szCs w:val="20"/>
                <w:color w:val="auto"/>
              </w:rPr>
            </w:pPr>
            <w:r>
              <w:rPr>
                <w:rFonts w:ascii="Arial" w:cs="Arial" w:eastAsia="Arial" w:hAnsi="Arial"/>
                <w:sz w:val="12"/>
                <w:szCs w:val="12"/>
                <w:color w:val="auto"/>
              </w:rPr>
              <w:t>●</w:t>
            </w:r>
          </w:p>
        </w:tc>
        <w:tc>
          <w:tcPr>
            <w:tcW w:w="7320" w:type="dxa"/>
            <w:vAlign w:val="bottom"/>
          </w:tcPr>
          <w:p>
            <w:pPr>
              <w:ind w:left="60"/>
              <w:spacing w:after="0"/>
              <w:rPr>
                <w:sz w:val="20"/>
                <w:szCs w:val="20"/>
                <w:color w:val="auto"/>
              </w:rPr>
            </w:pPr>
            <w:r>
              <w:rPr>
                <w:rFonts w:ascii="Arial" w:cs="Arial" w:eastAsia="Arial" w:hAnsi="Arial"/>
                <w:sz w:val="14"/>
                <w:szCs w:val="14"/>
                <w:color w:val="auto"/>
              </w:rPr>
              <w:t>former spouse or domestic partner in connection with a legal obligation or settlement;</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320" w:type="dxa"/>
            <w:vAlign w:val="bottom"/>
          </w:tcPr>
          <w:p>
            <w:pPr>
              <w:ind w:left="80"/>
              <w:spacing w:after="0"/>
              <w:rPr>
                <w:sz w:val="20"/>
                <w:szCs w:val="20"/>
                <w:color w:val="auto"/>
              </w:rPr>
            </w:pPr>
            <w:r>
              <w:rPr>
                <w:rFonts w:ascii="Arial" w:cs="Arial" w:eastAsia="Arial" w:hAnsi="Arial"/>
                <w:sz w:val="14"/>
                <w:szCs w:val="14"/>
                <w:color w:val="auto"/>
              </w:rPr>
              <w:t>changes the provisions relating to adjustments in the number or kind of shares or securities reserved for issuance</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Arial" w:cs="Arial" w:eastAsia="Arial" w:hAnsi="Arial"/>
                <w:sz w:val="14"/>
                <w:szCs w:val="14"/>
                <w:color w:val="auto"/>
              </w:rPr>
              <w:t>or subject to outstanding awards or the exercise price, in the event of any change in the number of the outstanding</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Arial" w:cs="Arial" w:eastAsia="Arial" w:hAnsi="Arial"/>
                <w:sz w:val="14"/>
                <w:szCs w:val="14"/>
                <w:color w:val="auto"/>
              </w:rPr>
              <w:t>common shares by reason of a stock dividend or split, recapitalization, reorganization, merger, amalgamation,</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20" w:type="dxa"/>
            <w:vAlign w:val="bottom"/>
            <w:vMerge w:val="restart"/>
          </w:tcPr>
          <w:p>
            <w:pPr>
              <w:ind w:left="680"/>
              <w:spacing w:after="0"/>
              <w:rPr>
                <w:sz w:val="20"/>
                <w:szCs w:val="20"/>
                <w:color w:val="auto"/>
              </w:rPr>
            </w:pPr>
            <w:r>
              <w:rPr>
                <w:rFonts w:ascii="Arial" w:cs="Arial" w:eastAsia="Arial" w:hAnsi="Arial"/>
                <w:sz w:val="12"/>
                <w:szCs w:val="12"/>
                <w:color w:val="auto"/>
              </w:rPr>
              <w:t>●</w:t>
            </w:r>
          </w:p>
        </w:tc>
        <w:tc>
          <w:tcPr>
            <w:tcW w:w="7320" w:type="dxa"/>
            <w:vAlign w:val="bottom"/>
          </w:tcPr>
          <w:p>
            <w:pPr>
              <w:ind w:left="60"/>
              <w:spacing w:after="0"/>
              <w:rPr>
                <w:sz w:val="20"/>
                <w:szCs w:val="20"/>
                <w:color w:val="auto"/>
              </w:rPr>
            </w:pPr>
            <w:r>
              <w:rPr>
                <w:rFonts w:ascii="Arial" w:cs="Arial" w:eastAsia="Arial" w:hAnsi="Arial"/>
                <w:sz w:val="14"/>
                <w:szCs w:val="14"/>
                <w:color w:val="auto"/>
              </w:rPr>
              <w:t>consolidation, combination or exchange of shares or other corporate change affecting such shares;</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320" w:type="dxa"/>
            <w:vAlign w:val="bottom"/>
          </w:tcPr>
          <w:p>
            <w:pPr>
              <w:ind w:left="80"/>
              <w:spacing w:after="0"/>
              <w:rPr>
                <w:sz w:val="20"/>
                <w:szCs w:val="20"/>
                <w:color w:val="auto"/>
              </w:rPr>
            </w:pPr>
            <w:r>
              <w:rPr>
                <w:rFonts w:ascii="Arial" w:cs="Arial" w:eastAsia="Arial" w:hAnsi="Arial"/>
                <w:sz w:val="14"/>
                <w:szCs w:val="14"/>
                <w:color w:val="auto"/>
              </w:rPr>
              <w:t>extends eligibility to participate in the stock incentive plan to a director who is not an employee or officer of our</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820" w:type="dxa"/>
            <w:vAlign w:val="bottom"/>
            <w:vMerge w:val="restart"/>
          </w:tcPr>
          <w:p>
            <w:pPr>
              <w:ind w:left="680"/>
              <w:spacing w:after="0"/>
              <w:rPr>
                <w:sz w:val="20"/>
                <w:szCs w:val="20"/>
                <w:color w:val="auto"/>
              </w:rPr>
            </w:pPr>
            <w:r>
              <w:rPr>
                <w:rFonts w:ascii="Arial" w:cs="Arial" w:eastAsia="Arial" w:hAnsi="Arial"/>
                <w:sz w:val="12"/>
                <w:szCs w:val="12"/>
                <w:color w:val="auto"/>
              </w:rPr>
              <w:t>●</w:t>
            </w:r>
          </w:p>
        </w:tc>
        <w:tc>
          <w:tcPr>
            <w:tcW w:w="7320" w:type="dxa"/>
            <w:vAlign w:val="bottom"/>
          </w:tcPr>
          <w:p>
            <w:pPr>
              <w:ind w:left="60"/>
              <w:spacing w:after="0"/>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320" w:type="dxa"/>
            <w:vAlign w:val="bottom"/>
          </w:tcPr>
          <w:p>
            <w:pPr>
              <w:ind w:left="80"/>
              <w:spacing w:after="0" w:line="146" w:lineRule="exact"/>
              <w:rPr>
                <w:sz w:val="20"/>
                <w:szCs w:val="20"/>
                <w:color w:val="auto"/>
              </w:rPr>
            </w:pPr>
            <w:r>
              <w:rPr>
                <w:rFonts w:ascii="Arial" w:cs="Arial" w:eastAsia="Arial" w:hAnsi="Arial"/>
                <w:sz w:val="14"/>
                <w:szCs w:val="14"/>
                <w:color w:val="auto"/>
              </w:rPr>
              <w:t>changes the rights attaching to our common shares;</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Arial" w:cs="Arial" w:eastAsia="Arial" w:hAnsi="Arial"/>
                <w:sz w:val="12"/>
                <w:szCs w:val="12"/>
                <w:color w:val="auto"/>
              </w:rPr>
              <w:t>●</w:t>
            </w:r>
          </w:p>
        </w:tc>
        <w:tc>
          <w:tcPr>
            <w:tcW w:w="7320" w:type="dxa"/>
            <w:vAlign w:val="bottom"/>
          </w:tcPr>
          <w:p>
            <w:pPr>
              <w:ind w:left="80"/>
              <w:spacing w:after="0"/>
              <w:rPr>
                <w:sz w:val="20"/>
                <w:szCs w:val="20"/>
                <w:color w:val="auto"/>
              </w:rPr>
            </w:pPr>
            <w:r>
              <w:rPr>
                <w:rFonts w:ascii="Arial" w:cs="Arial" w:eastAsia="Arial" w:hAnsi="Arial"/>
                <w:sz w:val="14"/>
                <w:szCs w:val="14"/>
                <w:color w:val="auto"/>
              </w:rPr>
              <w:t>changes the amending provisions of the plan;</w:t>
            </w:r>
          </w:p>
        </w:tc>
        <w:tc>
          <w:tcPr>
            <w:tcW w:w="0" w:type="dxa"/>
            <w:vAlign w:val="bottom"/>
          </w:tcPr>
          <w:p>
            <w:pPr>
              <w:spacing w:after="0"/>
              <w:rPr>
                <w:sz w:val="1"/>
                <w:szCs w:val="1"/>
                <w:color w:val="auto"/>
              </w:rPr>
            </w:pPr>
          </w:p>
        </w:tc>
      </w:tr>
      <w:tr>
        <w:trPr>
          <w:trHeight w:val="177"/>
        </w:trPr>
        <w:tc>
          <w:tcPr>
            <w:tcW w:w="2840" w:type="dxa"/>
            <w:vAlign w:val="bottom"/>
          </w:tcPr>
          <w:p>
            <w:pPr>
              <w:spacing w:after="0"/>
              <w:rPr>
                <w:sz w:val="15"/>
                <w:szCs w:val="15"/>
                <w:color w:val="auto"/>
              </w:rPr>
            </w:pPr>
          </w:p>
        </w:tc>
        <w:tc>
          <w:tcPr>
            <w:tcW w:w="820" w:type="dxa"/>
            <w:vAlign w:val="bottom"/>
          </w:tcPr>
          <w:p>
            <w:pPr>
              <w:ind w:left="680"/>
              <w:spacing w:after="0"/>
              <w:rPr>
                <w:sz w:val="20"/>
                <w:szCs w:val="20"/>
                <w:color w:val="auto"/>
              </w:rPr>
            </w:pPr>
            <w:r>
              <w:rPr>
                <w:rFonts w:ascii="Arial" w:cs="Arial" w:eastAsia="Arial" w:hAnsi="Arial"/>
                <w:sz w:val="12"/>
                <w:szCs w:val="12"/>
                <w:color w:val="auto"/>
              </w:rPr>
              <w:t>●</w:t>
            </w:r>
          </w:p>
        </w:tc>
        <w:tc>
          <w:tcPr>
            <w:tcW w:w="7320" w:type="dxa"/>
            <w:vAlign w:val="bottom"/>
          </w:tcPr>
          <w:p>
            <w:pPr>
              <w:ind w:left="80"/>
              <w:spacing w:after="0"/>
              <w:rPr>
                <w:sz w:val="20"/>
                <w:szCs w:val="20"/>
                <w:color w:val="auto"/>
              </w:rPr>
            </w:pPr>
            <w:r>
              <w:rPr>
                <w:rFonts w:ascii="Arial" w:cs="Arial" w:eastAsia="Arial" w:hAnsi="Arial"/>
                <w:sz w:val="14"/>
                <w:szCs w:val="14"/>
                <w:color w:val="auto"/>
              </w:rPr>
              <w:t>removes or exceeds the insider participation limit under the plan (as defined in the TSX Company Manual), as</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820" w:type="dxa"/>
            <w:vAlign w:val="bottom"/>
            <w:vMerge w:val="restart"/>
          </w:tcPr>
          <w:p>
            <w:pPr>
              <w:ind w:left="680"/>
              <w:spacing w:after="0"/>
              <w:rPr>
                <w:sz w:val="20"/>
                <w:szCs w:val="20"/>
                <w:color w:val="auto"/>
              </w:rPr>
            </w:pPr>
            <w:r>
              <w:rPr>
                <w:rFonts w:ascii="Arial" w:cs="Arial" w:eastAsia="Arial" w:hAnsi="Arial"/>
                <w:sz w:val="12"/>
                <w:szCs w:val="12"/>
                <w:color w:val="auto"/>
              </w:rPr>
              <w:t>●</w:t>
            </w:r>
          </w:p>
        </w:tc>
        <w:tc>
          <w:tcPr>
            <w:tcW w:w="7320" w:type="dxa"/>
            <w:vAlign w:val="bottom"/>
          </w:tcPr>
          <w:p>
            <w:pPr>
              <w:ind w:left="60"/>
              <w:spacing w:after="0"/>
              <w:rPr>
                <w:sz w:val="20"/>
                <w:szCs w:val="20"/>
                <w:color w:val="auto"/>
              </w:rPr>
            </w:pPr>
            <w:r>
              <w:rPr>
                <w:rFonts w:ascii="Arial" w:cs="Arial" w:eastAsia="Arial" w:hAnsi="Arial"/>
                <w:sz w:val="14"/>
                <w:szCs w:val="14"/>
                <w:color w:val="auto"/>
              </w:rPr>
              <w:t>amended from time to time; or</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320" w:type="dxa"/>
            <w:vAlign w:val="bottom"/>
          </w:tcPr>
          <w:p>
            <w:pPr>
              <w:ind w:left="80"/>
              <w:spacing w:after="0"/>
              <w:rPr>
                <w:sz w:val="20"/>
                <w:szCs w:val="20"/>
                <w:color w:val="auto"/>
              </w:rPr>
            </w:pPr>
            <w:r>
              <w:rPr>
                <w:rFonts w:ascii="Arial" w:cs="Arial" w:eastAsia="Arial" w:hAnsi="Arial"/>
                <w:sz w:val="14"/>
                <w:szCs w:val="14"/>
                <w:color w:val="auto"/>
              </w:rPr>
              <w:t>is required to be approved by shareholders under applicable laws, regulations or stock exchange rules.</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8140" w:type="dxa"/>
            <w:vAlign w:val="bottom"/>
            <w:gridSpan w:val="2"/>
          </w:tcPr>
          <w:p>
            <w:pPr>
              <w:ind w:left="680"/>
              <w:spacing w:after="0"/>
              <w:rPr>
                <w:sz w:val="20"/>
                <w:szCs w:val="20"/>
                <w:color w:val="auto"/>
              </w:rPr>
            </w:pPr>
            <w:r>
              <w:rPr>
                <w:rFonts w:ascii="Arial" w:cs="Arial" w:eastAsia="Arial" w:hAnsi="Arial"/>
                <w:sz w:val="14"/>
                <w:szCs w:val="14"/>
                <w:color w:val="auto"/>
              </w:rPr>
              <w:t>Subject to certain exceptions, no such amendment may materially and adversely affect the rights of any participant in</w:t>
            </w:r>
          </w:p>
        </w:tc>
        <w:tc>
          <w:tcPr>
            <w:tcW w:w="0" w:type="dxa"/>
            <w:vAlign w:val="bottom"/>
          </w:tcPr>
          <w:p>
            <w:pPr>
              <w:spacing w:after="0"/>
              <w:rPr>
                <w:sz w:val="1"/>
                <w:szCs w:val="1"/>
                <w:color w:val="auto"/>
              </w:rPr>
            </w:pPr>
          </w:p>
        </w:tc>
      </w:tr>
      <w:tr>
        <w:trPr>
          <w:trHeight w:val="170"/>
        </w:trPr>
        <w:tc>
          <w:tcPr>
            <w:tcW w:w="2840" w:type="dxa"/>
            <w:vAlign w:val="bottom"/>
            <w:tcBorders>
              <w:bottom w:val="single" w:sz="8" w:color="AFAFAF"/>
            </w:tcBorders>
          </w:tcPr>
          <w:p>
            <w:pPr>
              <w:spacing w:after="0"/>
              <w:rPr>
                <w:sz w:val="14"/>
                <w:szCs w:val="14"/>
                <w:color w:val="auto"/>
              </w:rPr>
            </w:pPr>
          </w:p>
        </w:tc>
        <w:tc>
          <w:tcPr>
            <w:tcW w:w="8140" w:type="dxa"/>
            <w:vAlign w:val="bottom"/>
            <w:tcBorders>
              <w:bottom w:val="single" w:sz="8" w:color="AFAFAF"/>
            </w:tcBorders>
            <w:gridSpan w:val="2"/>
          </w:tcPr>
          <w:p>
            <w:pPr>
              <w:ind w:left="680"/>
              <w:spacing w:after="0"/>
              <w:rPr>
                <w:sz w:val="20"/>
                <w:szCs w:val="20"/>
                <w:color w:val="auto"/>
              </w:rPr>
            </w:pPr>
            <w:r>
              <w:rPr>
                <w:rFonts w:ascii="Arial" w:cs="Arial" w:eastAsia="Arial" w:hAnsi="Arial"/>
                <w:sz w:val="14"/>
                <w:szCs w:val="14"/>
                <w:color w:val="auto"/>
              </w:rPr>
              <w:t>relation to any outstanding award granted under the plan without the consent of the affected participant.</w:t>
            </w:r>
          </w:p>
        </w:tc>
        <w:tc>
          <w:tcPr>
            <w:tcW w:w="0" w:type="dxa"/>
            <w:vAlign w:val="bottom"/>
          </w:tcPr>
          <w:p>
            <w:pPr>
              <w:spacing w:after="0"/>
              <w:rPr>
                <w:sz w:val="1"/>
                <w:szCs w:val="1"/>
                <w:color w:val="auto"/>
              </w:rPr>
            </w:pPr>
          </w:p>
        </w:tc>
      </w:tr>
      <w:tr>
        <w:trPr>
          <w:trHeight w:val="160"/>
        </w:trPr>
        <w:tc>
          <w:tcPr>
            <w:tcW w:w="2840" w:type="dxa"/>
            <w:vAlign w:val="bottom"/>
          </w:tcPr>
          <w:p>
            <w:pPr>
              <w:spacing w:after="0" w:line="160" w:lineRule="exact"/>
              <w:rPr>
                <w:sz w:val="20"/>
                <w:szCs w:val="20"/>
                <w:color w:val="auto"/>
              </w:rPr>
            </w:pPr>
            <w:r>
              <w:rPr>
                <w:rFonts w:ascii="Arial" w:cs="Arial" w:eastAsia="Arial" w:hAnsi="Arial"/>
                <w:sz w:val="14"/>
                <w:szCs w:val="14"/>
                <w:b w:val="1"/>
                <w:bCs w:val="1"/>
                <w:color w:val="auto"/>
              </w:rPr>
              <w:t>Exercise process</w:t>
            </w:r>
          </w:p>
        </w:tc>
        <w:tc>
          <w:tcPr>
            <w:tcW w:w="8140" w:type="dxa"/>
            <w:vAlign w:val="bottom"/>
            <w:gridSpan w:val="2"/>
          </w:tcPr>
          <w:p>
            <w:pPr>
              <w:ind w:left="680"/>
              <w:spacing w:after="0" w:line="160" w:lineRule="exact"/>
              <w:rPr>
                <w:sz w:val="20"/>
                <w:szCs w:val="20"/>
                <w:color w:val="auto"/>
              </w:rPr>
            </w:pPr>
            <w:r>
              <w:rPr>
                <w:rFonts w:ascii="Arial" w:cs="Arial" w:eastAsia="Arial" w:hAnsi="Arial"/>
                <w:sz w:val="14"/>
                <w:szCs w:val="14"/>
                <w:color w:val="auto"/>
              </w:rPr>
              <w:t>Cashless exercises permitted, as well as cash payments. For a cashless exercise of options, the participant will</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8140" w:type="dxa"/>
            <w:vAlign w:val="bottom"/>
            <w:gridSpan w:val="2"/>
          </w:tcPr>
          <w:p>
            <w:pPr>
              <w:ind w:left="680"/>
              <w:spacing w:after="0"/>
              <w:rPr>
                <w:sz w:val="20"/>
                <w:szCs w:val="20"/>
                <w:color w:val="auto"/>
              </w:rPr>
            </w:pPr>
            <w:r>
              <w:rPr>
                <w:rFonts w:ascii="Arial" w:cs="Arial" w:eastAsia="Arial" w:hAnsi="Arial"/>
                <w:sz w:val="14"/>
                <w:szCs w:val="14"/>
                <w:color w:val="auto"/>
              </w:rPr>
              <w:t>receive the net number of shares equal to the in-the-money amount of the options (less applicable taxes). The</w:t>
            </w:r>
          </w:p>
        </w:tc>
        <w:tc>
          <w:tcPr>
            <w:tcW w:w="0" w:type="dxa"/>
            <w:vAlign w:val="bottom"/>
          </w:tcPr>
          <w:p>
            <w:pPr>
              <w:spacing w:after="0"/>
              <w:rPr>
                <w:sz w:val="1"/>
                <w:szCs w:val="1"/>
                <w:color w:val="auto"/>
              </w:rPr>
            </w:pPr>
          </w:p>
        </w:tc>
      </w:tr>
      <w:tr>
        <w:trPr>
          <w:trHeight w:val="157"/>
        </w:trPr>
        <w:tc>
          <w:tcPr>
            <w:tcW w:w="2840" w:type="dxa"/>
            <w:vAlign w:val="bottom"/>
            <w:tcBorders>
              <w:bottom w:val="single" w:sz="8" w:color="AFAFAF"/>
            </w:tcBorders>
          </w:tcPr>
          <w:p>
            <w:pPr>
              <w:spacing w:after="0"/>
              <w:rPr>
                <w:sz w:val="13"/>
                <w:szCs w:val="13"/>
                <w:color w:val="auto"/>
              </w:rPr>
            </w:pPr>
          </w:p>
        </w:tc>
        <w:tc>
          <w:tcPr>
            <w:tcW w:w="8140" w:type="dxa"/>
            <w:vAlign w:val="bottom"/>
            <w:tcBorders>
              <w:bottom w:val="single" w:sz="8" w:color="AFAFAF"/>
            </w:tcBorders>
            <w:gridSpan w:val="2"/>
          </w:tcPr>
          <w:p>
            <w:pPr>
              <w:ind w:left="680"/>
              <w:spacing w:after="0" w:line="157" w:lineRule="exact"/>
              <w:rPr>
                <w:sz w:val="20"/>
                <w:szCs w:val="20"/>
                <w:color w:val="auto"/>
              </w:rPr>
            </w:pPr>
            <w:r>
              <w:rPr>
                <w:rFonts w:ascii="Arial" w:cs="Arial" w:eastAsia="Arial" w:hAnsi="Arial"/>
                <w:sz w:val="14"/>
                <w:szCs w:val="14"/>
                <w:color w:val="auto"/>
              </w:rPr>
              <w:t>number of options exercised will be deducted from the share reserve.</w:t>
            </w:r>
          </w:p>
        </w:tc>
        <w:tc>
          <w:tcPr>
            <w:tcW w:w="0" w:type="dxa"/>
            <w:vAlign w:val="bottom"/>
          </w:tcPr>
          <w:p>
            <w:pPr>
              <w:spacing w:after="0"/>
              <w:rPr>
                <w:sz w:val="1"/>
                <w:szCs w:val="1"/>
                <w:color w:val="auto"/>
              </w:rPr>
            </w:pPr>
          </w:p>
        </w:tc>
      </w:tr>
      <w:tr>
        <w:trPr>
          <w:trHeight w:val="160"/>
        </w:trPr>
        <w:tc>
          <w:tcPr>
            <w:tcW w:w="2840" w:type="dxa"/>
            <w:vAlign w:val="bottom"/>
          </w:tcPr>
          <w:p>
            <w:pPr>
              <w:spacing w:after="0" w:line="160" w:lineRule="exact"/>
              <w:rPr>
                <w:sz w:val="20"/>
                <w:szCs w:val="20"/>
                <w:color w:val="auto"/>
              </w:rPr>
            </w:pPr>
            <w:r>
              <w:rPr>
                <w:rFonts w:ascii="Arial" w:cs="Arial" w:eastAsia="Arial" w:hAnsi="Arial"/>
                <w:sz w:val="14"/>
                <w:szCs w:val="14"/>
                <w:b w:val="1"/>
                <w:bCs w:val="1"/>
                <w:color w:val="auto"/>
              </w:rPr>
              <w:t>Transfers and assignments</w:t>
            </w:r>
          </w:p>
        </w:tc>
        <w:tc>
          <w:tcPr>
            <w:tcW w:w="8140" w:type="dxa"/>
            <w:vAlign w:val="bottom"/>
            <w:gridSpan w:val="2"/>
          </w:tcPr>
          <w:p>
            <w:pPr>
              <w:ind w:left="680"/>
              <w:spacing w:after="0" w:line="160" w:lineRule="exact"/>
              <w:rPr>
                <w:sz w:val="20"/>
                <w:szCs w:val="20"/>
                <w:color w:val="auto"/>
              </w:rPr>
            </w:pPr>
            <w:r>
              <w:rPr>
                <w:rFonts w:ascii="Arial" w:cs="Arial" w:eastAsia="Arial" w:hAnsi="Arial"/>
                <w:sz w:val="14"/>
                <w:szCs w:val="14"/>
                <w:color w:val="auto"/>
              </w:rPr>
              <w:t>Not possible other than by will or the laws of descent and distribution, a transfer by a participant to an entity which is</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140" w:type="dxa"/>
            <w:vAlign w:val="bottom"/>
            <w:gridSpan w:val="2"/>
          </w:tcPr>
          <w:p>
            <w:pPr>
              <w:ind w:left="680"/>
              <w:spacing w:after="0"/>
              <w:rPr>
                <w:sz w:val="20"/>
                <w:szCs w:val="20"/>
                <w:color w:val="auto"/>
              </w:rPr>
            </w:pPr>
            <w:r>
              <w:rPr>
                <w:rFonts w:ascii="Arial" w:cs="Arial" w:eastAsia="Arial" w:hAnsi="Arial"/>
                <w:sz w:val="14"/>
                <w:szCs w:val="14"/>
                <w:color w:val="auto"/>
              </w:rPr>
              <w:t>controlled by a participant or a transfer to a former spouse or domestic partner of a participant in connection with a</w:t>
            </w:r>
          </w:p>
        </w:tc>
        <w:tc>
          <w:tcPr>
            <w:tcW w:w="0" w:type="dxa"/>
            <w:vAlign w:val="bottom"/>
          </w:tcPr>
          <w:p>
            <w:pPr>
              <w:spacing w:after="0"/>
              <w:rPr>
                <w:sz w:val="1"/>
                <w:szCs w:val="1"/>
                <w:color w:val="auto"/>
              </w:rPr>
            </w:pPr>
          </w:p>
        </w:tc>
      </w:tr>
      <w:tr>
        <w:trPr>
          <w:trHeight w:val="157"/>
        </w:trPr>
        <w:tc>
          <w:tcPr>
            <w:tcW w:w="2840" w:type="dxa"/>
            <w:vAlign w:val="bottom"/>
            <w:tcBorders>
              <w:bottom w:val="single" w:sz="8" w:color="D95A3B"/>
            </w:tcBorders>
          </w:tcPr>
          <w:p>
            <w:pPr>
              <w:spacing w:after="0"/>
              <w:rPr>
                <w:sz w:val="13"/>
                <w:szCs w:val="13"/>
                <w:color w:val="auto"/>
              </w:rPr>
            </w:pPr>
          </w:p>
        </w:tc>
        <w:tc>
          <w:tcPr>
            <w:tcW w:w="8140" w:type="dxa"/>
            <w:vAlign w:val="bottom"/>
            <w:tcBorders>
              <w:bottom w:val="single" w:sz="8" w:color="D95A3B"/>
            </w:tcBorders>
            <w:gridSpan w:val="2"/>
          </w:tcPr>
          <w:p>
            <w:pPr>
              <w:ind w:left="680"/>
              <w:spacing w:after="0" w:line="157" w:lineRule="exact"/>
              <w:rPr>
                <w:sz w:val="20"/>
                <w:szCs w:val="20"/>
                <w:color w:val="auto"/>
              </w:rPr>
            </w:pPr>
            <w:r>
              <w:rPr>
                <w:rFonts w:ascii="Arial" w:cs="Arial" w:eastAsia="Arial" w:hAnsi="Arial"/>
                <w:sz w:val="14"/>
                <w:szCs w:val="14"/>
                <w:color w:val="auto"/>
              </w:rPr>
              <w:t>legal obligation or settlement.</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D95A3B"/>
            </w:tcBorders>
          </w:tcPr>
          <w:p>
            <w:pPr>
              <w:spacing w:after="0"/>
              <w:rPr>
                <w:sz w:val="19"/>
                <w:szCs w:val="19"/>
                <w:color w:val="auto"/>
              </w:rPr>
            </w:pPr>
          </w:p>
        </w:tc>
        <w:tc>
          <w:tcPr>
            <w:tcW w:w="820" w:type="dxa"/>
            <w:vAlign w:val="bottom"/>
            <w:tcBorders>
              <w:bottom w:val="single" w:sz="8" w:color="D95A3B"/>
            </w:tcBorders>
          </w:tcPr>
          <w:p>
            <w:pPr>
              <w:spacing w:after="0"/>
              <w:rPr>
                <w:sz w:val="19"/>
                <w:szCs w:val="19"/>
                <w:color w:val="auto"/>
              </w:rPr>
            </w:pPr>
          </w:p>
        </w:tc>
        <w:tc>
          <w:tcPr>
            <w:tcW w:w="7320" w:type="dxa"/>
            <w:vAlign w:val="bottom"/>
            <w:tcBorders>
              <w:bottom w:val="single" w:sz="8" w:color="D95A3B"/>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20"/>
        <w:spacing w:after="0"/>
        <w:tabs>
          <w:tab w:leader="none" w:pos="920" w:val="left"/>
        </w:tabs>
        <w:rPr>
          <w:sz w:val="20"/>
          <w:szCs w:val="20"/>
          <w:color w:val="auto"/>
        </w:rPr>
      </w:pPr>
      <w:r>
        <w:rPr>
          <w:rFonts w:ascii="Arial" w:cs="Arial" w:eastAsia="Arial" w:hAnsi="Arial"/>
          <w:sz w:val="13"/>
          <w:szCs w:val="13"/>
          <w:color w:val="auto"/>
        </w:rPr>
        <w:t>Page A-3</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204470</wp:posOffset>
            </wp:positionV>
            <wp:extent cx="6973570" cy="1193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73570" cy="119380"/>
                    </a:xfrm>
                    <a:prstGeom prst="rect">
                      <a:avLst/>
                    </a:prstGeom>
                    <a:noFill/>
                  </pic:spPr>
                </pic:pic>
              </a:graphicData>
            </a:graphic>
          </wp:anchor>
        </w:drawing>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Phantom Stock Plan</w:t>
      </w:r>
    </w:p>
    <w:p>
      <w:pPr>
        <w:spacing w:after="0" w:line="10" w:lineRule="exact"/>
        <w:rPr>
          <w:sz w:val="20"/>
          <w:szCs w:val="20"/>
          <w:color w:val="auto"/>
        </w:rPr>
      </w:pPr>
    </w:p>
    <w:tbl>
      <w:tblPr>
        <w:tblLayout w:type="fixed"/>
        <w:tblInd w:w="220" w:type="dxa"/>
        <w:tblCellMar>
          <w:top w:w="0" w:type="dxa"/>
          <w:left w:w="0" w:type="dxa"/>
          <w:bottom w:w="0" w:type="dxa"/>
          <w:right w:w="0" w:type="dxa"/>
        </w:tblCellMar>
      </w:tblPr>
      <w:tr>
        <w:trPr>
          <w:trHeight w:val="160"/>
        </w:trPr>
        <w:tc>
          <w:tcPr>
            <w:tcW w:w="3260" w:type="dxa"/>
            <w:vAlign w:val="bottom"/>
            <w:tcBorders>
              <w:top w:val="single" w:sz="8" w:color="D95A3B"/>
            </w:tcBorders>
          </w:tcPr>
          <w:p>
            <w:pPr>
              <w:spacing w:after="0" w:line="160" w:lineRule="exact"/>
              <w:rPr>
                <w:sz w:val="20"/>
                <w:szCs w:val="20"/>
                <w:color w:val="auto"/>
              </w:rPr>
            </w:pPr>
            <w:r>
              <w:rPr>
                <w:rFonts w:ascii="Arial" w:cs="Arial" w:eastAsia="Arial" w:hAnsi="Arial"/>
                <w:sz w:val="14"/>
                <w:szCs w:val="14"/>
                <w:b w:val="1"/>
                <w:bCs w:val="1"/>
                <w:color w:val="auto"/>
              </w:rPr>
              <w:t>Eligibility</w:t>
            </w:r>
          </w:p>
        </w:tc>
        <w:tc>
          <w:tcPr>
            <w:tcW w:w="7720" w:type="dxa"/>
            <w:vAlign w:val="bottom"/>
            <w:tcBorders>
              <w:top w:val="single" w:sz="8" w:color="D95A3B"/>
            </w:tcBorders>
          </w:tcPr>
          <w:p>
            <w:pPr>
              <w:ind w:left="260"/>
              <w:spacing w:after="0" w:line="160" w:lineRule="exact"/>
              <w:rPr>
                <w:sz w:val="20"/>
                <w:szCs w:val="20"/>
                <w:color w:val="auto"/>
              </w:rPr>
            </w:pPr>
            <w:r>
              <w:rPr>
                <w:rFonts w:ascii="Arial" w:cs="Arial" w:eastAsia="Arial" w:hAnsi="Arial"/>
                <w:sz w:val="14"/>
                <w:szCs w:val="14"/>
                <w:color w:val="auto"/>
              </w:rPr>
              <w:t>Any employee or officer of Thomson Reuters (as may be determined by the HR Committee). Non-employee directors</w:t>
            </w:r>
          </w:p>
        </w:tc>
      </w:tr>
      <w:tr>
        <w:trPr>
          <w:trHeight w:val="157"/>
        </w:trPr>
        <w:tc>
          <w:tcPr>
            <w:tcW w:w="3260" w:type="dxa"/>
            <w:vAlign w:val="bottom"/>
            <w:tcBorders>
              <w:bottom w:val="single" w:sz="8" w:color="AFAFAF"/>
            </w:tcBorders>
          </w:tcPr>
          <w:p>
            <w:pPr>
              <w:spacing w:after="0"/>
              <w:rPr>
                <w:sz w:val="13"/>
                <w:szCs w:val="13"/>
                <w:color w:val="auto"/>
              </w:rPr>
            </w:pPr>
          </w:p>
        </w:tc>
        <w:tc>
          <w:tcPr>
            <w:tcW w:w="7720" w:type="dxa"/>
            <w:vAlign w:val="bottom"/>
            <w:tcBorders>
              <w:bottom w:val="single" w:sz="8" w:color="AFAFAF"/>
            </w:tcBorders>
          </w:tcPr>
          <w:p>
            <w:pPr>
              <w:ind w:left="260"/>
              <w:spacing w:after="0" w:line="157" w:lineRule="exact"/>
              <w:rPr>
                <w:sz w:val="20"/>
                <w:szCs w:val="20"/>
                <w:color w:val="auto"/>
              </w:rPr>
            </w:pPr>
            <w:r>
              <w:rPr>
                <w:rFonts w:ascii="Arial" w:cs="Arial" w:eastAsia="Arial" w:hAnsi="Arial"/>
                <w:sz w:val="14"/>
                <w:szCs w:val="14"/>
                <w:color w:val="auto"/>
              </w:rPr>
              <w:t>are not eligible to participate in the plan.</w:t>
            </w:r>
          </w:p>
        </w:tc>
      </w:tr>
      <w:tr>
        <w:trPr>
          <w:trHeight w:val="160"/>
        </w:trPr>
        <w:tc>
          <w:tcPr>
            <w:tcW w:w="3260" w:type="dxa"/>
            <w:vAlign w:val="bottom"/>
          </w:tcPr>
          <w:p>
            <w:pPr>
              <w:spacing w:after="0" w:line="160" w:lineRule="exact"/>
              <w:rPr>
                <w:sz w:val="20"/>
                <w:szCs w:val="20"/>
                <w:color w:val="auto"/>
              </w:rPr>
            </w:pPr>
            <w:r>
              <w:rPr>
                <w:rFonts w:ascii="Arial" w:cs="Arial" w:eastAsia="Arial" w:hAnsi="Arial"/>
                <w:sz w:val="14"/>
                <w:szCs w:val="14"/>
                <w:b w:val="1"/>
                <w:bCs w:val="1"/>
                <w:color w:val="auto"/>
              </w:rPr>
              <w:t>Purpose</w:t>
            </w:r>
          </w:p>
        </w:tc>
        <w:tc>
          <w:tcPr>
            <w:tcW w:w="7720" w:type="dxa"/>
            <w:vAlign w:val="bottom"/>
          </w:tcPr>
          <w:p>
            <w:pPr>
              <w:ind w:left="260"/>
              <w:spacing w:after="0" w:line="160" w:lineRule="exact"/>
              <w:rPr>
                <w:sz w:val="20"/>
                <w:szCs w:val="20"/>
                <w:color w:val="auto"/>
              </w:rPr>
            </w:pPr>
            <w:r>
              <w:rPr>
                <w:rFonts w:ascii="Arial" w:cs="Arial" w:eastAsia="Arial" w:hAnsi="Arial"/>
                <w:sz w:val="14"/>
                <w:szCs w:val="14"/>
                <w:color w:val="auto"/>
              </w:rPr>
              <w:t>If tax or securities regulations make it impracticable or inefficient to make grants under the stock incentive plan, we</w:t>
            </w:r>
          </w:p>
        </w:tc>
      </w:tr>
      <w:tr>
        <w:trPr>
          <w:trHeight w:val="157"/>
        </w:trPr>
        <w:tc>
          <w:tcPr>
            <w:tcW w:w="3260" w:type="dxa"/>
            <w:vAlign w:val="bottom"/>
            <w:tcBorders>
              <w:bottom w:val="single" w:sz="8" w:color="AFAFAF"/>
            </w:tcBorders>
          </w:tcPr>
          <w:p>
            <w:pPr>
              <w:spacing w:after="0"/>
              <w:rPr>
                <w:sz w:val="13"/>
                <w:szCs w:val="13"/>
                <w:color w:val="auto"/>
              </w:rPr>
            </w:pPr>
          </w:p>
        </w:tc>
        <w:tc>
          <w:tcPr>
            <w:tcW w:w="7720" w:type="dxa"/>
            <w:vAlign w:val="bottom"/>
            <w:tcBorders>
              <w:bottom w:val="single" w:sz="8" w:color="AFAFAF"/>
            </w:tcBorders>
          </w:tcPr>
          <w:p>
            <w:pPr>
              <w:ind w:left="260"/>
              <w:spacing w:after="0" w:line="157" w:lineRule="exact"/>
              <w:rPr>
                <w:sz w:val="20"/>
                <w:szCs w:val="20"/>
                <w:color w:val="auto"/>
              </w:rPr>
            </w:pPr>
            <w:r>
              <w:rPr>
                <w:rFonts w:ascii="Arial" w:cs="Arial" w:eastAsia="Arial" w:hAnsi="Arial"/>
                <w:sz w:val="14"/>
                <w:szCs w:val="14"/>
                <w:color w:val="auto"/>
              </w:rPr>
              <w:t>may allocate units under this plan to executive officers and senior employees.</w:t>
            </w:r>
          </w:p>
        </w:tc>
      </w:tr>
      <w:tr>
        <w:trPr>
          <w:trHeight w:val="155"/>
        </w:trPr>
        <w:tc>
          <w:tcPr>
            <w:tcW w:w="326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Maximum number of shares issuable</w:t>
            </w:r>
          </w:p>
        </w:tc>
        <w:tc>
          <w:tcPr>
            <w:tcW w:w="7720" w:type="dxa"/>
            <w:vAlign w:val="bottom"/>
            <w:tcBorders>
              <w:bottom w:val="single" w:sz="8" w:color="AFAFAF"/>
            </w:tcBorders>
          </w:tcPr>
          <w:p>
            <w:pPr>
              <w:ind w:left="260"/>
              <w:spacing w:after="0" w:line="155" w:lineRule="exact"/>
              <w:rPr>
                <w:sz w:val="20"/>
                <w:szCs w:val="20"/>
                <w:color w:val="auto"/>
              </w:rPr>
            </w:pPr>
            <w:r>
              <w:rPr>
                <w:rFonts w:ascii="Arial" w:cs="Arial" w:eastAsia="Arial" w:hAnsi="Arial"/>
                <w:sz w:val="14"/>
                <w:szCs w:val="14"/>
                <w:color w:val="auto"/>
              </w:rPr>
              <w:t>Not applicable, since all awards are cash-based.</w:t>
            </w:r>
          </w:p>
        </w:tc>
      </w:tr>
      <w:tr>
        <w:trPr>
          <w:trHeight w:val="155"/>
        </w:trPr>
        <w:tc>
          <w:tcPr>
            <w:tcW w:w="326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Issued as of December 31, 2018</w:t>
            </w:r>
          </w:p>
        </w:tc>
        <w:tc>
          <w:tcPr>
            <w:tcW w:w="7720" w:type="dxa"/>
            <w:vAlign w:val="bottom"/>
            <w:tcBorders>
              <w:bottom w:val="single" w:sz="8" w:color="AFAFAF"/>
            </w:tcBorders>
          </w:tcPr>
          <w:p>
            <w:pPr>
              <w:ind w:left="260"/>
              <w:spacing w:after="0" w:line="155" w:lineRule="exact"/>
              <w:rPr>
                <w:sz w:val="20"/>
                <w:szCs w:val="20"/>
                <w:color w:val="auto"/>
              </w:rPr>
            </w:pPr>
            <w:r>
              <w:rPr>
                <w:rFonts w:ascii="Arial" w:cs="Arial" w:eastAsia="Arial" w:hAnsi="Arial"/>
                <w:sz w:val="14"/>
                <w:szCs w:val="14"/>
                <w:color w:val="auto"/>
              </w:rPr>
              <w:t>Not applicable, since all awards are cash-based.</w:t>
            </w:r>
          </w:p>
        </w:tc>
      </w:tr>
      <w:tr>
        <w:trPr>
          <w:trHeight w:val="155"/>
        </w:trPr>
        <w:tc>
          <w:tcPr>
            <w:tcW w:w="326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Available for issue as of December 31, 2018</w:t>
            </w:r>
          </w:p>
        </w:tc>
        <w:tc>
          <w:tcPr>
            <w:tcW w:w="7720" w:type="dxa"/>
            <w:vAlign w:val="bottom"/>
            <w:tcBorders>
              <w:bottom w:val="single" w:sz="8" w:color="AFAFAF"/>
            </w:tcBorders>
          </w:tcPr>
          <w:p>
            <w:pPr>
              <w:ind w:left="260"/>
              <w:spacing w:after="0" w:line="155" w:lineRule="exact"/>
              <w:rPr>
                <w:sz w:val="20"/>
                <w:szCs w:val="20"/>
                <w:color w:val="auto"/>
              </w:rPr>
            </w:pPr>
            <w:r>
              <w:rPr>
                <w:rFonts w:ascii="Arial" w:cs="Arial" w:eastAsia="Arial" w:hAnsi="Arial"/>
                <w:sz w:val="14"/>
                <w:szCs w:val="14"/>
                <w:color w:val="auto"/>
              </w:rPr>
              <w:t>Not applicable, since all awards are cash-based.</w:t>
            </w:r>
          </w:p>
        </w:tc>
      </w:tr>
      <w:tr>
        <w:trPr>
          <w:trHeight w:val="142"/>
        </w:trPr>
        <w:tc>
          <w:tcPr>
            <w:tcW w:w="3260" w:type="dxa"/>
            <w:vAlign w:val="bottom"/>
          </w:tcPr>
          <w:p>
            <w:pPr>
              <w:spacing w:after="0" w:line="142" w:lineRule="exact"/>
              <w:rPr>
                <w:sz w:val="20"/>
                <w:szCs w:val="20"/>
                <w:color w:val="auto"/>
              </w:rPr>
            </w:pPr>
            <w:r>
              <w:rPr>
                <w:rFonts w:ascii="Arial" w:cs="Arial" w:eastAsia="Arial" w:hAnsi="Arial"/>
                <w:sz w:val="14"/>
                <w:szCs w:val="14"/>
                <w:b w:val="1"/>
                <w:bCs w:val="1"/>
                <w:color w:val="auto"/>
              </w:rPr>
              <w:t>Total SARs outstanding</w:t>
            </w:r>
          </w:p>
        </w:tc>
        <w:tc>
          <w:tcPr>
            <w:tcW w:w="7720" w:type="dxa"/>
            <w:vAlign w:val="bottom"/>
          </w:tcPr>
          <w:p>
            <w:pPr>
              <w:ind w:left="260"/>
              <w:spacing w:after="0" w:line="142" w:lineRule="exact"/>
              <w:rPr>
                <w:sz w:val="20"/>
                <w:szCs w:val="20"/>
                <w:color w:val="auto"/>
              </w:rPr>
            </w:pPr>
            <w:r>
              <w:rPr>
                <w:rFonts w:ascii="Arial" w:cs="Arial" w:eastAsia="Arial" w:hAnsi="Arial"/>
                <w:sz w:val="14"/>
                <w:szCs w:val="14"/>
                <w:color w:val="auto"/>
              </w:rPr>
              <w:t>Not applicable, since all awards are cash-based.</w:t>
            </w:r>
          </w:p>
        </w:tc>
      </w:tr>
      <w:tr>
        <w:trPr>
          <w:trHeight w:val="190"/>
        </w:trPr>
        <w:tc>
          <w:tcPr>
            <w:tcW w:w="3260" w:type="dxa"/>
            <w:vAlign w:val="bottom"/>
          </w:tcPr>
          <w:p>
            <w:pPr>
              <w:spacing w:after="0"/>
              <w:rPr>
                <w:sz w:val="20"/>
                <w:szCs w:val="20"/>
                <w:color w:val="auto"/>
              </w:rPr>
            </w:pPr>
            <w:r>
              <w:rPr>
                <w:rFonts w:ascii="Arial" w:cs="Arial" w:eastAsia="Arial" w:hAnsi="Arial"/>
                <w:sz w:val="14"/>
                <w:szCs w:val="14"/>
                <w:b w:val="1"/>
                <w:bCs w:val="1"/>
                <w:color w:val="auto"/>
              </w:rPr>
              <w:t>as of December 31, 2018</w:t>
            </w:r>
          </w:p>
        </w:tc>
        <w:tc>
          <w:tcPr>
            <w:tcW w:w="7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-635</wp:posOffset>
            </wp:positionV>
            <wp:extent cx="69735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ectPr>
          <w:pgSz w:w="11900" w:h="16838" w:orient="portrait"/>
          <w:cols w:equalWidth="0" w:num="1">
            <w:col w:w="11200"/>
          </w:cols>
          <w:pgMar w:left="240" w:top="458" w:right="459" w:bottom="1440" w:gutter="0" w:footer="0" w:header="0"/>
        </w:sectPr>
      </w:pPr>
    </w:p>
    <w:p>
      <w:pPr>
        <w:ind w:left="220"/>
        <w:spacing w:after="0" w:line="246" w:lineRule="auto"/>
        <w:rPr>
          <w:sz w:val="20"/>
          <w:szCs w:val="20"/>
          <w:color w:val="auto"/>
        </w:rPr>
      </w:pPr>
      <w:r>
        <w:rPr>
          <w:rFonts w:ascii="Arial" w:cs="Arial" w:eastAsia="Arial" w:hAnsi="Arial"/>
          <w:sz w:val="14"/>
          <w:szCs w:val="14"/>
          <w:b w:val="1"/>
          <w:bCs w:val="1"/>
          <w:color w:val="auto"/>
        </w:rPr>
        <w:t>Burn rate – the total number of SARs granted in the applicable year, divided by the total weighted average of common shares outstanding during the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Not applicable, since all awards are cash-based.</w:t>
      </w:r>
    </w:p>
    <w:p>
      <w:pPr>
        <w:spacing w:after="0" w:line="483" w:lineRule="exact"/>
        <w:rPr>
          <w:sz w:val="20"/>
          <w:szCs w:val="20"/>
          <w:color w:val="auto"/>
        </w:rPr>
      </w:pPr>
    </w:p>
    <w:p>
      <w:pPr>
        <w:sectPr>
          <w:pgSz w:w="11900" w:h="16838" w:orient="portrait"/>
          <w:cols w:equalWidth="0" w:num="2">
            <w:col w:w="3300" w:space="440"/>
            <w:col w:w="7460"/>
          </w:cols>
          <w:pgMar w:left="240" w:top="458" w:right="459" w:bottom="1440" w:gutter="0" w:footer="0" w:header="0"/>
          <w:type w:val="continuous"/>
        </w:sectPr>
      </w:pPr>
    </w:p>
    <w:tbl>
      <w:tblPr>
        <w:tblLayout w:type="fixed"/>
        <w:tblInd w:w="220" w:type="dxa"/>
        <w:tblCellMar>
          <w:top w:w="0" w:type="dxa"/>
          <w:left w:w="0" w:type="dxa"/>
          <w:bottom w:w="0" w:type="dxa"/>
          <w:right w:w="0" w:type="dxa"/>
        </w:tblCellMar>
      </w:tblPr>
      <w:tr>
        <w:trPr>
          <w:trHeight w:val="153"/>
        </w:trPr>
        <w:tc>
          <w:tcPr>
            <w:tcW w:w="3200" w:type="dxa"/>
            <w:vAlign w:val="bottom"/>
            <w:tcBorders>
              <w:top w:val="single" w:sz="8" w:color="AFAFAF"/>
              <w:bottom w:val="single" w:sz="8" w:color="AFAFAF"/>
            </w:tcBorders>
          </w:tcPr>
          <w:p>
            <w:pPr>
              <w:spacing w:after="0" w:line="153" w:lineRule="exact"/>
              <w:rPr>
                <w:sz w:val="20"/>
                <w:szCs w:val="20"/>
                <w:color w:val="auto"/>
              </w:rPr>
            </w:pPr>
            <w:r>
              <w:rPr>
                <w:rFonts w:ascii="Arial" w:cs="Arial" w:eastAsia="Arial" w:hAnsi="Arial"/>
                <w:sz w:val="14"/>
                <w:szCs w:val="14"/>
                <w:b w:val="1"/>
                <w:bCs w:val="1"/>
                <w:color w:val="auto"/>
              </w:rPr>
              <w:t>Types of awards that may be issued</w:t>
            </w:r>
          </w:p>
        </w:tc>
        <w:tc>
          <w:tcPr>
            <w:tcW w:w="7780" w:type="dxa"/>
            <w:vAlign w:val="bottom"/>
            <w:tcBorders>
              <w:top w:val="single" w:sz="8" w:color="AFAFAF"/>
              <w:bottom w:val="single" w:sz="8" w:color="AFAFAF"/>
            </w:tcBorders>
          </w:tcPr>
          <w:p>
            <w:pPr>
              <w:ind w:left="320"/>
              <w:spacing w:after="0" w:line="153" w:lineRule="exact"/>
              <w:rPr>
                <w:sz w:val="20"/>
                <w:szCs w:val="20"/>
                <w:color w:val="auto"/>
              </w:rPr>
            </w:pPr>
            <w:r>
              <w:rPr>
                <w:rFonts w:ascii="Arial" w:cs="Arial" w:eastAsia="Arial" w:hAnsi="Arial"/>
                <w:sz w:val="14"/>
                <w:szCs w:val="14"/>
                <w:color w:val="auto"/>
              </w:rPr>
              <w:t>SARs and other cash-based awards.</w:t>
            </w: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Maximum SAR term</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10-year expiration date from the date of grant.</w:t>
            </w: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Exercise price of SARs</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Equal to the closing price of our shares on the trading day immediately preceding the date of the grant.</w:t>
            </w: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Vesting and exercise of SARs</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SARs must be vested before they can be exercised. SARs vest 25% each year over a four year period.</w:t>
            </w: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Expiration of SARs</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Identical to the provisions of the stock incentive plan described above.</w:t>
            </w: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Plan amendments and changes</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Substantially similar to the provisions of the stock incentive plan described above.</w:t>
            </w: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Exercise process</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Election made to Corporate Human Resources Department; no payments due upon exercise.</w:t>
            </w:r>
          </w:p>
        </w:tc>
      </w:tr>
      <w:tr>
        <w:trPr>
          <w:trHeight w:val="155"/>
        </w:trPr>
        <w:tc>
          <w:tcPr>
            <w:tcW w:w="3200" w:type="dxa"/>
            <w:vAlign w:val="bottom"/>
            <w:tcBorders>
              <w:bottom w:val="single" w:sz="8" w:color="D95A3B"/>
            </w:tcBorders>
          </w:tcPr>
          <w:p>
            <w:pPr>
              <w:spacing w:after="0" w:line="155" w:lineRule="exact"/>
              <w:rPr>
                <w:sz w:val="20"/>
                <w:szCs w:val="20"/>
                <w:color w:val="auto"/>
              </w:rPr>
            </w:pPr>
            <w:r>
              <w:rPr>
                <w:rFonts w:ascii="Arial" w:cs="Arial" w:eastAsia="Arial" w:hAnsi="Arial"/>
                <w:sz w:val="14"/>
                <w:szCs w:val="14"/>
                <w:b w:val="1"/>
                <w:bCs w:val="1"/>
                <w:color w:val="auto"/>
              </w:rPr>
              <w:t>Transfers and assignments</w:t>
            </w:r>
          </w:p>
        </w:tc>
        <w:tc>
          <w:tcPr>
            <w:tcW w:w="7780" w:type="dxa"/>
            <w:vAlign w:val="bottom"/>
            <w:tcBorders>
              <w:bottom w:val="single" w:sz="8" w:color="D95A3B"/>
            </w:tcBorders>
          </w:tcPr>
          <w:p>
            <w:pPr>
              <w:ind w:left="320"/>
              <w:spacing w:after="0" w:line="155" w:lineRule="exact"/>
              <w:rPr>
                <w:sz w:val="20"/>
                <w:szCs w:val="20"/>
                <w:color w:val="auto"/>
              </w:rPr>
            </w:pPr>
            <w:r>
              <w:rPr>
                <w:rFonts w:ascii="Arial" w:cs="Arial" w:eastAsia="Arial" w:hAnsi="Arial"/>
                <w:sz w:val="14"/>
                <w:szCs w:val="14"/>
                <w:color w:val="auto"/>
              </w:rPr>
              <w:t>Identical to the provisions of the stock incentive plan described above.</w:t>
            </w:r>
          </w:p>
        </w:tc>
      </w:tr>
      <w:tr>
        <w:trPr>
          <w:trHeight w:val="236"/>
        </w:trPr>
        <w:tc>
          <w:tcPr>
            <w:tcW w:w="3200" w:type="dxa"/>
            <w:vAlign w:val="bottom"/>
          </w:tcPr>
          <w:p>
            <w:pPr>
              <w:spacing w:after="0"/>
              <w:rPr>
                <w:sz w:val="20"/>
                <w:szCs w:val="20"/>
                <w:color w:val="auto"/>
              </w:rPr>
            </w:pPr>
          </w:p>
        </w:tc>
        <w:tc>
          <w:tcPr>
            <w:tcW w:w="7780" w:type="dxa"/>
            <w:vAlign w:val="bottom"/>
          </w:tcPr>
          <w:p>
            <w:pPr>
              <w:spacing w:after="0"/>
              <w:rPr>
                <w:sz w:val="20"/>
                <w:szCs w:val="20"/>
                <w:color w:val="auto"/>
              </w:rPr>
            </w:pPr>
          </w:p>
        </w:tc>
      </w:tr>
      <w:tr>
        <w:trPr>
          <w:trHeight w:val="188"/>
        </w:trPr>
        <w:tc>
          <w:tcPr>
            <w:tcW w:w="3200" w:type="dxa"/>
            <w:vAlign w:val="bottom"/>
            <w:tcBorders>
              <w:bottom w:val="single" w:sz="8" w:color="D95A3B"/>
            </w:tcBorders>
            <w:shd w:val="clear" w:color="auto" w:fill="CCCCCC"/>
          </w:tcPr>
          <w:p>
            <w:pPr>
              <w:spacing w:after="0"/>
              <w:rPr>
                <w:sz w:val="20"/>
                <w:szCs w:val="20"/>
                <w:color w:val="auto"/>
              </w:rPr>
            </w:pPr>
            <w:r>
              <w:rPr>
                <w:rFonts w:ascii="Arial" w:cs="Arial" w:eastAsia="Arial" w:hAnsi="Arial"/>
                <w:sz w:val="15"/>
                <w:szCs w:val="15"/>
                <w:b w:val="1"/>
                <w:bCs w:val="1"/>
                <w:color w:val="auto"/>
              </w:rPr>
              <w:t>Deferred Compensation Plan</w:t>
            </w:r>
          </w:p>
        </w:tc>
        <w:tc>
          <w:tcPr>
            <w:tcW w:w="7780" w:type="dxa"/>
            <w:vAlign w:val="bottom"/>
            <w:tcBorders>
              <w:bottom w:val="single" w:sz="8" w:color="D95A3B"/>
            </w:tcBorders>
            <w:shd w:val="clear" w:color="auto" w:fill="CCCCCC"/>
          </w:tcPr>
          <w:p>
            <w:pPr>
              <w:spacing w:after="0"/>
              <w:rPr>
                <w:sz w:val="16"/>
                <w:szCs w:val="16"/>
                <w:color w:val="auto"/>
              </w:rPr>
            </w:pP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Eligibility</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Limited number of key executives in the United States.</w:t>
            </w:r>
          </w:p>
        </w:tc>
      </w:tr>
      <w:tr>
        <w:trPr>
          <w:trHeight w:val="160"/>
        </w:trPr>
        <w:tc>
          <w:tcPr>
            <w:tcW w:w="3200" w:type="dxa"/>
            <w:vAlign w:val="bottom"/>
          </w:tcPr>
          <w:p>
            <w:pPr>
              <w:spacing w:after="0" w:line="160" w:lineRule="exact"/>
              <w:rPr>
                <w:sz w:val="20"/>
                <w:szCs w:val="20"/>
                <w:color w:val="auto"/>
              </w:rPr>
            </w:pPr>
            <w:r>
              <w:rPr>
                <w:rFonts w:ascii="Arial" w:cs="Arial" w:eastAsia="Arial" w:hAnsi="Arial"/>
                <w:sz w:val="14"/>
                <w:szCs w:val="14"/>
                <w:b w:val="1"/>
                <w:bCs w:val="1"/>
                <w:color w:val="auto"/>
              </w:rPr>
              <w:t>Purpose</w:t>
            </w:r>
          </w:p>
        </w:tc>
        <w:tc>
          <w:tcPr>
            <w:tcW w:w="7780" w:type="dxa"/>
            <w:vAlign w:val="bottom"/>
          </w:tcPr>
          <w:p>
            <w:pPr>
              <w:ind w:left="320"/>
              <w:spacing w:after="0" w:line="160" w:lineRule="exact"/>
              <w:rPr>
                <w:sz w:val="20"/>
                <w:szCs w:val="20"/>
                <w:color w:val="auto"/>
              </w:rPr>
            </w:pPr>
            <w:r>
              <w:rPr>
                <w:rFonts w:ascii="Arial" w:cs="Arial" w:eastAsia="Arial" w:hAnsi="Arial"/>
                <w:sz w:val="14"/>
                <w:szCs w:val="14"/>
                <w:color w:val="auto"/>
              </w:rPr>
              <w:t>Provide specified benefits to a select group of senior management who contribute materially to the continued growth,</w:t>
            </w:r>
          </w:p>
        </w:tc>
      </w:tr>
      <w:tr>
        <w:trPr>
          <w:trHeight w:val="157"/>
        </w:trPr>
        <w:tc>
          <w:tcPr>
            <w:tcW w:w="3200" w:type="dxa"/>
            <w:vAlign w:val="bottom"/>
            <w:tcBorders>
              <w:bottom w:val="single" w:sz="8" w:color="AFAFAF"/>
            </w:tcBorders>
          </w:tcPr>
          <w:p>
            <w:pPr>
              <w:spacing w:after="0"/>
              <w:rPr>
                <w:sz w:val="13"/>
                <w:szCs w:val="13"/>
                <w:color w:val="auto"/>
              </w:rPr>
            </w:pPr>
          </w:p>
        </w:tc>
        <w:tc>
          <w:tcPr>
            <w:tcW w:w="7780" w:type="dxa"/>
            <w:vAlign w:val="bottom"/>
            <w:tcBorders>
              <w:bottom w:val="single" w:sz="8" w:color="AFAFAF"/>
            </w:tcBorders>
          </w:tcPr>
          <w:p>
            <w:pPr>
              <w:ind w:left="320"/>
              <w:spacing w:after="0" w:line="157" w:lineRule="exact"/>
              <w:rPr>
                <w:sz w:val="20"/>
                <w:szCs w:val="20"/>
                <w:color w:val="auto"/>
              </w:rPr>
            </w:pPr>
            <w:r>
              <w:rPr>
                <w:rFonts w:ascii="Arial" w:cs="Arial" w:eastAsia="Arial" w:hAnsi="Arial"/>
                <w:sz w:val="14"/>
                <w:szCs w:val="14"/>
                <w:color w:val="auto"/>
              </w:rPr>
              <w:t>development and future business success of Thomson Reuters.</w:t>
            </w: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Maximum number of shares issuable</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6,488,478 shares, representing approximately 1.29% of our total issued and outstanding shares as of year end.</w:t>
            </w: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Shares issued as of December 31, 2018</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1,447,536 shares, representing approximately 0.29% of our total issued and outstanding shares.</w:t>
            </w:r>
          </w:p>
        </w:tc>
      </w:tr>
      <w:tr>
        <w:trPr>
          <w:trHeight w:val="142"/>
        </w:trPr>
        <w:tc>
          <w:tcPr>
            <w:tcW w:w="3200" w:type="dxa"/>
            <w:vAlign w:val="bottom"/>
          </w:tcPr>
          <w:p>
            <w:pPr>
              <w:spacing w:after="0" w:line="142" w:lineRule="exact"/>
              <w:rPr>
                <w:sz w:val="20"/>
                <w:szCs w:val="20"/>
                <w:color w:val="auto"/>
              </w:rPr>
            </w:pPr>
            <w:r>
              <w:rPr>
                <w:rFonts w:ascii="Arial" w:cs="Arial" w:eastAsia="Arial" w:hAnsi="Arial"/>
                <w:sz w:val="14"/>
                <w:szCs w:val="14"/>
                <w:b w:val="1"/>
                <w:bCs w:val="1"/>
                <w:color w:val="auto"/>
              </w:rPr>
              <w:t>Total DSUs outstanding</w:t>
            </w:r>
          </w:p>
        </w:tc>
        <w:tc>
          <w:tcPr>
            <w:tcW w:w="7780" w:type="dxa"/>
            <w:vAlign w:val="bottom"/>
          </w:tcPr>
          <w:p>
            <w:pPr>
              <w:ind w:left="320"/>
              <w:spacing w:after="0" w:line="142" w:lineRule="exact"/>
              <w:rPr>
                <w:sz w:val="20"/>
                <w:szCs w:val="20"/>
                <w:color w:val="auto"/>
              </w:rPr>
            </w:pPr>
            <w:r>
              <w:rPr>
                <w:rFonts w:ascii="Arial" w:cs="Arial" w:eastAsia="Arial" w:hAnsi="Arial"/>
                <w:sz w:val="14"/>
                <w:szCs w:val="14"/>
                <w:color w:val="auto"/>
              </w:rPr>
              <w:t>Total DSUs outstanding of 736,758 as of year-end 2018 represented approximately 0.15% of our total issued and</w:t>
            </w:r>
          </w:p>
        </w:tc>
      </w:tr>
      <w:tr>
        <w:trPr>
          <w:trHeight w:val="188"/>
        </w:trPr>
        <w:tc>
          <w:tcPr>
            <w:tcW w:w="320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as of December 31, 2018</w:t>
            </w:r>
          </w:p>
        </w:tc>
        <w:tc>
          <w:tcPr>
            <w:tcW w:w="7780" w:type="dxa"/>
            <w:vAlign w:val="bottom"/>
            <w:tcBorders>
              <w:bottom w:val="single" w:sz="8" w:color="AFAFAF"/>
            </w:tcBorders>
          </w:tcPr>
          <w:p>
            <w:pPr>
              <w:ind w:left="320"/>
              <w:spacing w:after="0"/>
              <w:rPr>
                <w:sz w:val="20"/>
                <w:szCs w:val="20"/>
                <w:color w:val="auto"/>
              </w:rPr>
            </w:pPr>
            <w:r>
              <w:rPr>
                <w:rFonts w:ascii="Arial" w:cs="Arial" w:eastAsia="Arial" w:hAnsi="Arial"/>
                <w:sz w:val="14"/>
                <w:szCs w:val="14"/>
                <w:color w:val="auto"/>
              </w:rPr>
              <w:t>outstanding shares.</w:t>
            </w:r>
          </w:p>
        </w:tc>
      </w:tr>
      <w:tr>
        <w:trPr>
          <w:trHeight w:val="142"/>
        </w:trPr>
        <w:tc>
          <w:tcPr>
            <w:tcW w:w="3200" w:type="dxa"/>
            <w:vAlign w:val="bottom"/>
          </w:tcPr>
          <w:p>
            <w:pPr>
              <w:spacing w:after="0" w:line="142" w:lineRule="exact"/>
              <w:rPr>
                <w:sz w:val="20"/>
                <w:szCs w:val="20"/>
                <w:color w:val="auto"/>
              </w:rPr>
            </w:pPr>
            <w:r>
              <w:rPr>
                <w:rFonts w:ascii="Arial" w:cs="Arial" w:eastAsia="Arial" w:hAnsi="Arial"/>
                <w:sz w:val="14"/>
                <w:szCs w:val="14"/>
                <w:b w:val="1"/>
                <w:bCs w:val="1"/>
                <w:color w:val="auto"/>
              </w:rPr>
              <w:t>Shares available for grant as of</w:t>
            </w:r>
          </w:p>
        </w:tc>
        <w:tc>
          <w:tcPr>
            <w:tcW w:w="7780" w:type="dxa"/>
            <w:vAlign w:val="bottom"/>
          </w:tcPr>
          <w:p>
            <w:pPr>
              <w:ind w:left="320"/>
              <w:spacing w:after="0" w:line="142" w:lineRule="exact"/>
              <w:rPr>
                <w:sz w:val="20"/>
                <w:szCs w:val="20"/>
                <w:color w:val="auto"/>
              </w:rPr>
            </w:pPr>
            <w:r>
              <w:rPr>
                <w:rFonts w:ascii="Arial" w:cs="Arial" w:eastAsia="Arial" w:hAnsi="Arial"/>
                <w:sz w:val="14"/>
                <w:szCs w:val="14"/>
                <w:color w:val="auto"/>
              </w:rPr>
              <w:t>3,792,663 shares, representing approximately 0.76% of our total issues and outstanding shares.</w:t>
            </w:r>
          </w:p>
        </w:tc>
      </w:tr>
      <w:tr>
        <w:trPr>
          <w:trHeight w:val="188"/>
        </w:trPr>
        <w:tc>
          <w:tcPr>
            <w:tcW w:w="320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December 31, 2018</w:t>
            </w:r>
          </w:p>
        </w:tc>
        <w:tc>
          <w:tcPr>
            <w:tcW w:w="7780" w:type="dxa"/>
            <w:vAlign w:val="bottom"/>
            <w:tcBorders>
              <w:bottom w:val="single" w:sz="8" w:color="AFAFAF"/>
            </w:tcBorders>
          </w:tcPr>
          <w:p>
            <w:pPr>
              <w:spacing w:after="0"/>
              <w:rPr>
                <w:sz w:val="16"/>
                <w:szCs w:val="16"/>
                <w:color w:val="auto"/>
              </w:rPr>
            </w:pPr>
          </w:p>
        </w:tc>
      </w:tr>
      <w:tr>
        <w:trPr>
          <w:trHeight w:val="142"/>
        </w:trPr>
        <w:tc>
          <w:tcPr>
            <w:tcW w:w="3200" w:type="dxa"/>
            <w:vAlign w:val="bottom"/>
          </w:tcPr>
          <w:p>
            <w:pPr>
              <w:spacing w:after="0" w:line="142" w:lineRule="exact"/>
              <w:rPr>
                <w:sz w:val="20"/>
                <w:szCs w:val="20"/>
                <w:color w:val="auto"/>
              </w:rPr>
            </w:pPr>
            <w:r>
              <w:rPr>
                <w:rFonts w:ascii="Arial" w:cs="Arial" w:eastAsia="Arial" w:hAnsi="Arial"/>
                <w:sz w:val="14"/>
                <w:szCs w:val="14"/>
                <w:b w:val="1"/>
                <w:bCs w:val="1"/>
                <w:color w:val="auto"/>
              </w:rPr>
              <w:t>Types of equity-based awards that may be</w:t>
            </w:r>
          </w:p>
        </w:tc>
        <w:tc>
          <w:tcPr>
            <w:tcW w:w="7780" w:type="dxa"/>
            <w:vAlign w:val="bottom"/>
          </w:tcPr>
          <w:p>
            <w:pPr>
              <w:ind w:left="320"/>
              <w:spacing w:after="0" w:line="142" w:lineRule="exact"/>
              <w:rPr>
                <w:sz w:val="20"/>
                <w:szCs w:val="20"/>
                <w:color w:val="auto"/>
              </w:rPr>
            </w:pPr>
            <w:r>
              <w:rPr>
                <w:rFonts w:ascii="Arial" w:cs="Arial" w:eastAsia="Arial" w:hAnsi="Arial"/>
                <w:sz w:val="14"/>
                <w:szCs w:val="14"/>
                <w:color w:val="auto"/>
              </w:rPr>
              <w:t>Deferred share units (DSUs)</w:t>
            </w:r>
          </w:p>
        </w:tc>
      </w:tr>
      <w:tr>
        <w:trPr>
          <w:trHeight w:val="188"/>
        </w:trPr>
        <w:tc>
          <w:tcPr>
            <w:tcW w:w="320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issued</w:t>
            </w:r>
          </w:p>
        </w:tc>
        <w:tc>
          <w:tcPr>
            <w:tcW w:w="7780" w:type="dxa"/>
            <w:vAlign w:val="bottom"/>
            <w:tcBorders>
              <w:bottom w:val="single" w:sz="8" w:color="AFAFAF"/>
            </w:tcBorders>
          </w:tcPr>
          <w:p>
            <w:pPr>
              <w:spacing w:after="0"/>
              <w:rPr>
                <w:sz w:val="16"/>
                <w:szCs w:val="16"/>
                <w:color w:val="auto"/>
              </w:rPr>
            </w:pP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Types of deferrals</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Annual base salary as well as annual/long-term incentive awards.</w:t>
            </w: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Election process</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Irrevocable elections to participate in the plan are made before the beginning of the year.</w:t>
            </w:r>
          </w:p>
        </w:tc>
      </w:tr>
      <w:tr>
        <w:trPr>
          <w:trHeight w:val="160"/>
        </w:trPr>
        <w:tc>
          <w:tcPr>
            <w:tcW w:w="3200" w:type="dxa"/>
            <w:vAlign w:val="bottom"/>
          </w:tcPr>
          <w:p>
            <w:pPr>
              <w:spacing w:after="0" w:line="160" w:lineRule="exact"/>
              <w:rPr>
                <w:sz w:val="20"/>
                <w:szCs w:val="20"/>
                <w:color w:val="auto"/>
              </w:rPr>
            </w:pPr>
            <w:r>
              <w:rPr>
                <w:rFonts w:ascii="Arial" w:cs="Arial" w:eastAsia="Arial" w:hAnsi="Arial"/>
                <w:sz w:val="14"/>
                <w:szCs w:val="14"/>
                <w:b w:val="1"/>
                <w:bCs w:val="1"/>
                <w:color w:val="auto"/>
              </w:rPr>
              <w:t>Value of DSUs</w:t>
            </w:r>
          </w:p>
        </w:tc>
        <w:tc>
          <w:tcPr>
            <w:tcW w:w="7780" w:type="dxa"/>
            <w:vAlign w:val="bottom"/>
          </w:tcPr>
          <w:p>
            <w:pPr>
              <w:ind w:left="320"/>
              <w:spacing w:after="0" w:line="160" w:lineRule="exact"/>
              <w:rPr>
                <w:sz w:val="20"/>
                <w:szCs w:val="20"/>
                <w:color w:val="auto"/>
              </w:rPr>
            </w:pPr>
            <w:r>
              <w:rPr>
                <w:rFonts w:ascii="Arial" w:cs="Arial" w:eastAsia="Arial" w:hAnsi="Arial"/>
                <w:sz w:val="14"/>
                <w:szCs w:val="14"/>
                <w:color w:val="auto"/>
              </w:rPr>
              <w:t>Deferred cash can be converted into DSUs based on the closing price of our common shares on the day before the</w:t>
            </w:r>
          </w:p>
        </w:tc>
      </w:tr>
      <w:tr>
        <w:trPr>
          <w:trHeight w:val="161"/>
        </w:trPr>
        <w:tc>
          <w:tcPr>
            <w:tcW w:w="3200" w:type="dxa"/>
            <w:vAlign w:val="bottom"/>
          </w:tcPr>
          <w:p>
            <w:pPr>
              <w:spacing w:after="0"/>
              <w:rPr>
                <w:sz w:val="14"/>
                <w:szCs w:val="14"/>
                <w:color w:val="auto"/>
              </w:rPr>
            </w:pPr>
          </w:p>
        </w:tc>
        <w:tc>
          <w:tcPr>
            <w:tcW w:w="7780" w:type="dxa"/>
            <w:vAlign w:val="bottom"/>
          </w:tcPr>
          <w:p>
            <w:pPr>
              <w:ind w:left="320"/>
              <w:spacing w:after="0"/>
              <w:rPr>
                <w:sz w:val="20"/>
                <w:szCs w:val="20"/>
                <w:color w:val="auto"/>
              </w:rPr>
            </w:pPr>
            <w:r>
              <w:rPr>
                <w:rFonts w:ascii="Arial" w:cs="Arial" w:eastAsia="Arial" w:hAnsi="Arial"/>
                <w:sz w:val="14"/>
                <w:szCs w:val="14"/>
                <w:color w:val="auto"/>
              </w:rPr>
              <w:t>deferral or conversion. If a participant elects to hold DSUs, we credit his or her plan account with a 10% DSU match,</w:t>
            </w:r>
          </w:p>
        </w:tc>
      </w:tr>
      <w:tr>
        <w:trPr>
          <w:trHeight w:val="162"/>
        </w:trPr>
        <w:tc>
          <w:tcPr>
            <w:tcW w:w="3200" w:type="dxa"/>
            <w:vAlign w:val="bottom"/>
          </w:tcPr>
          <w:p>
            <w:pPr>
              <w:spacing w:after="0"/>
              <w:rPr>
                <w:sz w:val="14"/>
                <w:szCs w:val="14"/>
                <w:color w:val="auto"/>
              </w:rPr>
            </w:pPr>
          </w:p>
        </w:tc>
        <w:tc>
          <w:tcPr>
            <w:tcW w:w="7780" w:type="dxa"/>
            <w:vAlign w:val="bottom"/>
          </w:tcPr>
          <w:p>
            <w:pPr>
              <w:ind w:left="320"/>
              <w:spacing w:after="0"/>
              <w:rPr>
                <w:sz w:val="20"/>
                <w:szCs w:val="20"/>
                <w:color w:val="auto"/>
              </w:rPr>
            </w:pPr>
            <w:r>
              <w:rPr>
                <w:rFonts w:ascii="Arial" w:cs="Arial" w:eastAsia="Arial" w:hAnsi="Arial"/>
                <w:sz w:val="14"/>
                <w:szCs w:val="14"/>
                <w:color w:val="auto"/>
              </w:rPr>
              <w:t>which matching units generally vest over a period of four years. DSUs accumulate notional equivalents of dividends</w:t>
            </w:r>
          </w:p>
        </w:tc>
      </w:tr>
      <w:tr>
        <w:trPr>
          <w:trHeight w:val="157"/>
        </w:trPr>
        <w:tc>
          <w:tcPr>
            <w:tcW w:w="3200" w:type="dxa"/>
            <w:vAlign w:val="bottom"/>
            <w:tcBorders>
              <w:bottom w:val="single" w:sz="8" w:color="AFAFAF"/>
            </w:tcBorders>
          </w:tcPr>
          <w:p>
            <w:pPr>
              <w:spacing w:after="0"/>
              <w:rPr>
                <w:sz w:val="13"/>
                <w:szCs w:val="13"/>
                <w:color w:val="auto"/>
              </w:rPr>
            </w:pPr>
          </w:p>
        </w:tc>
        <w:tc>
          <w:tcPr>
            <w:tcW w:w="7780" w:type="dxa"/>
            <w:vAlign w:val="bottom"/>
            <w:tcBorders>
              <w:bottom w:val="single" w:sz="8" w:color="AFAFAF"/>
            </w:tcBorders>
          </w:tcPr>
          <w:p>
            <w:pPr>
              <w:ind w:left="320"/>
              <w:spacing w:after="0" w:line="157" w:lineRule="exact"/>
              <w:rPr>
                <w:sz w:val="20"/>
                <w:szCs w:val="20"/>
                <w:color w:val="auto"/>
              </w:rPr>
            </w:pPr>
            <w:r>
              <w:rPr>
                <w:rFonts w:ascii="Arial" w:cs="Arial" w:eastAsia="Arial" w:hAnsi="Arial"/>
                <w:sz w:val="14"/>
                <w:szCs w:val="14"/>
                <w:color w:val="auto"/>
              </w:rPr>
              <w:t>paid on our common shares.</w:t>
            </w: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Plan amendments and changes</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Substantially similar to the provisions of the stock incentive plan described above.</w:t>
            </w: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Vesting process</w:t>
            </w:r>
          </w:p>
        </w:tc>
        <w:tc>
          <w:tcPr>
            <w:tcW w:w="7780" w:type="dxa"/>
            <w:vAlign w:val="bottom"/>
            <w:tcBorders>
              <w:bottom w:val="single" w:sz="8" w:color="AFAFAF"/>
            </w:tcBorders>
          </w:tcPr>
          <w:p>
            <w:pPr>
              <w:ind w:left="320"/>
              <w:spacing w:after="0" w:line="155" w:lineRule="exact"/>
              <w:rPr>
                <w:sz w:val="20"/>
                <w:szCs w:val="20"/>
                <w:color w:val="auto"/>
              </w:rPr>
            </w:pPr>
            <w:r>
              <w:rPr>
                <w:rFonts w:ascii="Arial" w:cs="Arial" w:eastAsia="Arial" w:hAnsi="Arial"/>
                <w:sz w:val="14"/>
                <w:szCs w:val="14"/>
                <w:color w:val="auto"/>
              </w:rPr>
              <w:t>Participants are automatically vested in their DSUs. Matching DSUs vest as described above.</w:t>
            </w:r>
          </w:p>
        </w:tc>
      </w:tr>
      <w:tr>
        <w:trPr>
          <w:trHeight w:val="155"/>
        </w:trPr>
        <w:tc>
          <w:tcPr>
            <w:tcW w:w="3200" w:type="dxa"/>
            <w:vAlign w:val="bottom"/>
            <w:tcBorders>
              <w:bottom w:val="single" w:sz="8" w:color="D95A3B"/>
            </w:tcBorders>
          </w:tcPr>
          <w:p>
            <w:pPr>
              <w:spacing w:after="0" w:line="155" w:lineRule="exact"/>
              <w:rPr>
                <w:sz w:val="20"/>
                <w:szCs w:val="20"/>
                <w:color w:val="auto"/>
              </w:rPr>
            </w:pPr>
            <w:r>
              <w:rPr>
                <w:rFonts w:ascii="Arial" w:cs="Arial" w:eastAsia="Arial" w:hAnsi="Arial"/>
                <w:sz w:val="14"/>
                <w:szCs w:val="14"/>
                <w:b w:val="1"/>
                <w:bCs w:val="1"/>
                <w:color w:val="auto"/>
              </w:rPr>
              <w:t>Transfers and assignments</w:t>
            </w:r>
          </w:p>
        </w:tc>
        <w:tc>
          <w:tcPr>
            <w:tcW w:w="7780" w:type="dxa"/>
            <w:vAlign w:val="bottom"/>
            <w:tcBorders>
              <w:bottom w:val="single" w:sz="8" w:color="D95A3B"/>
            </w:tcBorders>
          </w:tcPr>
          <w:p>
            <w:pPr>
              <w:ind w:left="320"/>
              <w:spacing w:after="0" w:line="155" w:lineRule="exact"/>
              <w:rPr>
                <w:sz w:val="20"/>
                <w:szCs w:val="20"/>
                <w:color w:val="auto"/>
              </w:rPr>
            </w:pPr>
            <w:r>
              <w:rPr>
                <w:rFonts w:ascii="Arial" w:cs="Arial" w:eastAsia="Arial" w:hAnsi="Arial"/>
                <w:sz w:val="14"/>
                <w:szCs w:val="14"/>
                <w:color w:val="auto"/>
              </w:rPr>
              <w:t>Substantially similar to the provisions of the stock incentive plan described above.</w:t>
            </w:r>
          </w:p>
        </w:tc>
      </w:tr>
      <w:tr>
        <w:trPr>
          <w:trHeight w:val="229"/>
        </w:trPr>
        <w:tc>
          <w:tcPr>
            <w:tcW w:w="3200" w:type="dxa"/>
            <w:vAlign w:val="bottom"/>
            <w:tcBorders>
              <w:bottom w:val="single" w:sz="8" w:color="D95A3B"/>
            </w:tcBorders>
          </w:tcPr>
          <w:p>
            <w:pPr>
              <w:spacing w:after="0"/>
              <w:rPr>
                <w:sz w:val="19"/>
                <w:szCs w:val="19"/>
                <w:color w:val="auto"/>
              </w:rPr>
            </w:pPr>
          </w:p>
        </w:tc>
        <w:tc>
          <w:tcPr>
            <w:tcW w:w="7780" w:type="dxa"/>
            <w:vAlign w:val="bottom"/>
            <w:tcBorders>
              <w:bottom w:val="single" w:sz="8" w:color="D95A3B"/>
            </w:tcBorders>
          </w:tcPr>
          <w:p>
            <w:pPr>
              <w:spacing w:after="0"/>
              <w:rPr>
                <w:sz w:val="19"/>
                <w:szCs w:val="19"/>
                <w:color w:val="auto"/>
              </w:rPr>
            </w:pPr>
          </w:p>
        </w:tc>
      </w:tr>
      <w:tr>
        <w:trPr>
          <w:trHeight w:val="282"/>
        </w:trPr>
        <w:tc>
          <w:tcPr>
            <w:tcW w:w="3200" w:type="dxa"/>
            <w:vAlign w:val="bottom"/>
          </w:tcPr>
          <w:p>
            <w:pPr>
              <w:spacing w:after="0"/>
              <w:rPr>
                <w:sz w:val="24"/>
                <w:szCs w:val="24"/>
                <w:color w:val="auto"/>
              </w:rPr>
            </w:pPr>
          </w:p>
        </w:tc>
        <w:tc>
          <w:tcPr>
            <w:tcW w:w="7780" w:type="dxa"/>
            <w:vAlign w:val="bottom"/>
          </w:tcPr>
          <w:p>
            <w:pPr>
              <w:ind w:left="2620"/>
              <w:spacing w:after="0"/>
              <w:rPr>
                <w:sz w:val="20"/>
                <w:szCs w:val="20"/>
                <w:color w:val="auto"/>
              </w:rPr>
            </w:pPr>
            <w:r>
              <w:rPr>
                <w:rFonts w:ascii="Arial" w:cs="Arial" w:eastAsia="Arial" w:hAnsi="Arial"/>
                <w:sz w:val="13"/>
                <w:szCs w:val="13"/>
                <w:color w:val="D95A3B"/>
              </w:rPr>
              <w:t xml:space="preserve">Management Proxy Circular and Notice of Annual Meeting of Shareholders  </w:t>
            </w:r>
            <w:r>
              <w:rPr>
                <w:rFonts w:ascii="Arial" w:cs="Arial" w:eastAsia="Arial" w:hAnsi="Arial"/>
                <w:sz w:val="13"/>
                <w:szCs w:val="13"/>
                <w:color w:val="000000"/>
              </w:rPr>
              <w:t>Page A-4</w:t>
            </w:r>
          </w:p>
        </w:tc>
      </w:tr>
    </w:tbl>
    <w:p>
      <w:pPr>
        <w:sectPr>
          <w:pgSz w:w="11900" w:h="16838" w:orient="portrait"/>
          <w:cols w:equalWidth="0" w:num="1">
            <w:col w:w="11200"/>
          </w:cols>
          <w:pgMar w:left="240" w:top="458" w:right="45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right="340"/>
        <w:spacing w:after="0" w:line="244" w:lineRule="auto"/>
        <w:rPr>
          <w:sz w:val="20"/>
          <w:szCs w:val="20"/>
          <w:color w:val="auto"/>
        </w:rPr>
      </w:pPr>
      <w:r>
        <w:rPr>
          <w:rFonts w:ascii="Arial" w:cs="Arial" w:eastAsia="Arial" w:hAnsi="Arial"/>
          <w:sz w:val="18"/>
          <w:szCs w:val="18"/>
          <w:color w:val="auto"/>
        </w:rPr>
        <w:t>The following table provides information as of the end of each year indicated related to the deferred compensation plan’s share usage, burn rates and potential dilution.</w:t>
      </w:r>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3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40" w:type="dxa"/>
            <w:vAlign w:val="bottom"/>
            <w:tcBorders>
              <w:right w:val="single" w:sz="8" w:color="CCCCCC"/>
            </w:tcBorders>
          </w:tcPr>
          <w:p>
            <w:pPr>
              <w:spacing w:after="0"/>
              <w:rPr>
                <w:sz w:val="16"/>
                <w:szCs w:val="16"/>
                <w:color w:val="auto"/>
              </w:rPr>
            </w:pPr>
          </w:p>
        </w:tc>
        <w:tc>
          <w:tcPr>
            <w:tcW w:w="1380" w:type="dxa"/>
            <w:vAlign w:val="bottom"/>
            <w:tcBorders>
              <w:right w:val="single" w:sz="8" w:color="CCCCCC"/>
            </w:tcBorders>
            <w:shd w:val="clear" w:color="auto" w:fill="CCCCCC"/>
          </w:tcPr>
          <w:p>
            <w:pPr>
              <w:spacing w:after="0"/>
              <w:rPr>
                <w:sz w:val="16"/>
                <w:szCs w:val="16"/>
                <w:color w:val="auto"/>
              </w:rPr>
            </w:pPr>
          </w:p>
        </w:tc>
        <w:tc>
          <w:tcPr>
            <w:tcW w:w="2260" w:type="dxa"/>
            <w:vAlign w:val="bottom"/>
            <w:gridSpan w:val="2"/>
            <w:shd w:val="clear" w:color="auto" w:fill="CCCCCC"/>
          </w:tcPr>
          <w:p>
            <w:pPr>
              <w:ind w:left="220"/>
              <w:spacing w:after="0"/>
              <w:rPr>
                <w:sz w:val="20"/>
                <w:szCs w:val="20"/>
                <w:color w:val="auto"/>
              </w:rPr>
            </w:pPr>
            <w:r>
              <w:rPr>
                <w:rFonts w:ascii="Arial" w:cs="Arial" w:eastAsia="Arial" w:hAnsi="Arial"/>
                <w:sz w:val="15"/>
                <w:szCs w:val="15"/>
                <w:b w:val="1"/>
                <w:bCs w:val="1"/>
                <w:color w:val="auto"/>
              </w:rPr>
              <w:t>As of December 31,</w:t>
            </w:r>
          </w:p>
        </w:tc>
        <w:tc>
          <w:tcPr>
            <w:tcW w:w="1140" w:type="dxa"/>
            <w:vAlign w:val="bottom"/>
            <w:shd w:val="clear" w:color="auto" w:fill="CCCCCC"/>
          </w:tcPr>
          <w:p>
            <w:pPr>
              <w:spacing w:after="0"/>
              <w:rPr>
                <w:sz w:val="16"/>
                <w:szCs w:val="16"/>
                <w:color w:val="auto"/>
              </w:rPr>
            </w:pPr>
          </w:p>
        </w:tc>
      </w:tr>
      <w:tr>
        <w:trPr>
          <w:trHeight w:val="183"/>
        </w:trPr>
        <w:tc>
          <w:tcPr>
            <w:tcW w:w="3200" w:type="dxa"/>
            <w:vAlign w:val="bottom"/>
            <w:tcBorders>
              <w:bottom w:val="single" w:sz="8" w:color="D95A3B"/>
            </w:tcBorders>
          </w:tcPr>
          <w:p>
            <w:pPr>
              <w:spacing w:after="0"/>
              <w:rPr>
                <w:sz w:val="15"/>
                <w:szCs w:val="15"/>
                <w:color w:val="auto"/>
              </w:rPr>
            </w:pPr>
          </w:p>
        </w:tc>
        <w:tc>
          <w:tcPr>
            <w:tcW w:w="460" w:type="dxa"/>
            <w:vAlign w:val="bottom"/>
            <w:tcBorders>
              <w:bottom w:val="single" w:sz="8" w:color="D95A3B"/>
            </w:tcBorders>
          </w:tcPr>
          <w:p>
            <w:pPr>
              <w:spacing w:after="0"/>
              <w:rPr>
                <w:sz w:val="15"/>
                <w:szCs w:val="15"/>
                <w:color w:val="auto"/>
              </w:rPr>
            </w:pPr>
          </w:p>
        </w:tc>
        <w:tc>
          <w:tcPr>
            <w:tcW w:w="2540" w:type="dxa"/>
            <w:vAlign w:val="bottom"/>
            <w:tcBorders>
              <w:bottom w:val="single" w:sz="8" w:color="D95A3B"/>
              <w:right w:val="single" w:sz="8" w:color="CCCCCC"/>
            </w:tcBorders>
          </w:tcPr>
          <w:p>
            <w:pPr>
              <w:spacing w:after="0"/>
              <w:rPr>
                <w:sz w:val="15"/>
                <w:szCs w:val="15"/>
                <w:color w:val="auto"/>
              </w:rPr>
            </w:pPr>
          </w:p>
        </w:tc>
        <w:tc>
          <w:tcPr>
            <w:tcW w:w="1380" w:type="dxa"/>
            <w:vAlign w:val="bottom"/>
            <w:tcBorders>
              <w:bottom w:val="single" w:sz="8" w:color="D95A3B"/>
              <w:right w:val="single" w:sz="8" w:color="CCCCCC"/>
            </w:tcBorders>
            <w:shd w:val="clear" w:color="auto" w:fill="CCCCCC"/>
          </w:tcPr>
          <w:p>
            <w:pPr>
              <w:ind w:left="480"/>
              <w:spacing w:after="0"/>
              <w:rPr>
                <w:sz w:val="20"/>
                <w:szCs w:val="20"/>
                <w:color w:val="auto"/>
              </w:rPr>
            </w:pPr>
            <w:r>
              <w:rPr>
                <w:rFonts w:ascii="Arial" w:cs="Arial" w:eastAsia="Arial" w:hAnsi="Arial"/>
                <w:sz w:val="15"/>
                <w:szCs w:val="15"/>
                <w:b w:val="1"/>
                <w:bCs w:val="1"/>
                <w:color w:val="auto"/>
              </w:rPr>
              <w:t>2018</w:t>
            </w:r>
          </w:p>
        </w:tc>
        <w:tc>
          <w:tcPr>
            <w:tcW w:w="1720" w:type="dxa"/>
            <w:vAlign w:val="bottom"/>
            <w:tcBorders>
              <w:bottom w:val="single" w:sz="8" w:color="D95A3B"/>
              <w:right w:val="single" w:sz="8" w:color="CCCCCC"/>
            </w:tcBorders>
            <w:shd w:val="clear" w:color="auto" w:fill="CCCCCC"/>
          </w:tcPr>
          <w:p>
            <w:pPr>
              <w:ind w:left="700"/>
              <w:spacing w:after="0"/>
              <w:rPr>
                <w:sz w:val="20"/>
                <w:szCs w:val="20"/>
                <w:color w:val="auto"/>
              </w:rPr>
            </w:pPr>
            <w:r>
              <w:rPr>
                <w:rFonts w:ascii="Arial" w:cs="Arial" w:eastAsia="Arial" w:hAnsi="Arial"/>
                <w:sz w:val="15"/>
                <w:szCs w:val="15"/>
                <w:b w:val="1"/>
                <w:bCs w:val="1"/>
                <w:color w:val="auto"/>
              </w:rPr>
              <w:t>2017</w:t>
            </w:r>
          </w:p>
        </w:tc>
        <w:tc>
          <w:tcPr>
            <w:tcW w:w="540" w:type="dxa"/>
            <w:vAlign w:val="bottom"/>
            <w:tcBorders>
              <w:bottom w:val="single" w:sz="8" w:color="D95A3B"/>
            </w:tcBorders>
            <w:shd w:val="clear" w:color="auto" w:fill="CCCCCC"/>
          </w:tcPr>
          <w:p>
            <w:pPr>
              <w:spacing w:after="0"/>
              <w:rPr>
                <w:sz w:val="15"/>
                <w:szCs w:val="15"/>
                <w:color w:val="auto"/>
              </w:rPr>
            </w:pPr>
          </w:p>
        </w:tc>
        <w:tc>
          <w:tcPr>
            <w:tcW w:w="1140" w:type="dxa"/>
            <w:vAlign w:val="bottom"/>
            <w:tcBorders>
              <w:bottom w:val="single" w:sz="8" w:color="D95A3B"/>
            </w:tcBorders>
            <w:shd w:val="clear" w:color="auto" w:fill="CCCCCC"/>
          </w:tcPr>
          <w:p>
            <w:pPr>
              <w:ind w:left="140"/>
              <w:spacing w:after="0"/>
              <w:rPr>
                <w:sz w:val="20"/>
                <w:szCs w:val="20"/>
                <w:color w:val="auto"/>
              </w:rPr>
            </w:pPr>
            <w:r>
              <w:rPr>
                <w:rFonts w:ascii="Arial" w:cs="Arial" w:eastAsia="Arial" w:hAnsi="Arial"/>
                <w:sz w:val="15"/>
                <w:szCs w:val="15"/>
                <w:b w:val="1"/>
                <w:bCs w:val="1"/>
                <w:color w:val="auto"/>
              </w:rPr>
              <w:t>2016</w:t>
            </w:r>
          </w:p>
        </w:tc>
      </w:tr>
      <w:tr>
        <w:trPr>
          <w:trHeight w:val="160"/>
        </w:trPr>
        <w:tc>
          <w:tcPr>
            <w:tcW w:w="6200" w:type="dxa"/>
            <w:vAlign w:val="bottom"/>
            <w:tcBorders>
              <w:right w:val="single" w:sz="8" w:color="AFAFAF"/>
            </w:tcBorders>
            <w:gridSpan w:val="3"/>
          </w:tcPr>
          <w:p>
            <w:pPr>
              <w:spacing w:after="0" w:line="160" w:lineRule="exact"/>
              <w:rPr>
                <w:sz w:val="20"/>
                <w:szCs w:val="20"/>
                <w:color w:val="auto"/>
              </w:rPr>
            </w:pPr>
            <w:r>
              <w:rPr>
                <w:rFonts w:ascii="Arial" w:cs="Arial" w:eastAsia="Arial" w:hAnsi="Arial"/>
                <w:sz w:val="14"/>
                <w:szCs w:val="14"/>
                <w:b w:val="1"/>
                <w:bCs w:val="1"/>
                <w:color w:val="auto"/>
              </w:rPr>
              <w:t xml:space="preserve">Share usage – </w:t>
            </w:r>
            <w:r>
              <w:rPr>
                <w:rFonts w:ascii="Arial" w:cs="Arial" w:eastAsia="Arial" w:hAnsi="Arial"/>
                <w:sz w:val="14"/>
                <w:szCs w:val="14"/>
                <w:color w:val="auto"/>
              </w:rPr>
              <w:t>the total number of shares issued pursuant to DSUs in the applicable year,</w:t>
            </w:r>
          </w:p>
        </w:tc>
        <w:tc>
          <w:tcPr>
            <w:tcW w:w="1380" w:type="dxa"/>
            <w:vAlign w:val="bottom"/>
            <w:tcBorders>
              <w:right w:val="single" w:sz="8" w:color="AFAFAF"/>
            </w:tcBorders>
          </w:tcPr>
          <w:p>
            <w:pPr>
              <w:spacing w:after="0"/>
              <w:rPr>
                <w:sz w:val="13"/>
                <w:szCs w:val="13"/>
                <w:color w:val="auto"/>
              </w:rPr>
            </w:pPr>
          </w:p>
        </w:tc>
        <w:tc>
          <w:tcPr>
            <w:tcW w:w="1720" w:type="dxa"/>
            <w:vAlign w:val="bottom"/>
            <w:tcBorders>
              <w:right w:val="single" w:sz="8" w:color="AFAFAF"/>
            </w:tcBorders>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7"/>
        </w:trPr>
        <w:tc>
          <w:tcPr>
            <w:tcW w:w="6200" w:type="dxa"/>
            <w:vAlign w:val="bottom"/>
            <w:tcBorders>
              <w:bottom w:val="single" w:sz="8" w:color="AFAFAF"/>
              <w:right w:val="single" w:sz="8" w:color="AFAFAF"/>
            </w:tcBorders>
            <w:gridSpan w:val="3"/>
          </w:tcPr>
          <w:p>
            <w:pPr>
              <w:spacing w:after="0" w:line="157" w:lineRule="exact"/>
              <w:rPr>
                <w:sz w:val="20"/>
                <w:szCs w:val="20"/>
                <w:color w:val="auto"/>
              </w:rPr>
            </w:pPr>
            <w:r>
              <w:rPr>
                <w:rFonts w:ascii="Arial" w:cs="Arial" w:eastAsia="Arial" w:hAnsi="Arial"/>
                <w:sz w:val="14"/>
                <w:szCs w:val="14"/>
                <w:color w:val="auto"/>
              </w:rPr>
              <w:t>divided by the total weighted average of common shares outstanding during the year</w:t>
            </w:r>
          </w:p>
        </w:tc>
        <w:tc>
          <w:tcPr>
            <w:tcW w:w="1380" w:type="dxa"/>
            <w:vAlign w:val="bottom"/>
            <w:tcBorders>
              <w:bottom w:val="single" w:sz="8" w:color="AFAFAF"/>
              <w:right w:val="single" w:sz="8" w:color="AFAFAF"/>
            </w:tcBorders>
          </w:tcPr>
          <w:p>
            <w:pPr>
              <w:ind w:left="460"/>
              <w:spacing w:after="0" w:line="157" w:lineRule="exact"/>
              <w:rPr>
                <w:sz w:val="20"/>
                <w:szCs w:val="20"/>
                <w:color w:val="auto"/>
              </w:rPr>
            </w:pPr>
            <w:r>
              <w:rPr>
                <w:rFonts w:ascii="Arial" w:cs="Arial" w:eastAsia="Arial" w:hAnsi="Arial"/>
                <w:sz w:val="14"/>
                <w:szCs w:val="14"/>
                <w:color w:val="auto"/>
              </w:rPr>
              <w:t>0.047%</w:t>
            </w:r>
          </w:p>
        </w:tc>
        <w:tc>
          <w:tcPr>
            <w:tcW w:w="1720" w:type="dxa"/>
            <w:vAlign w:val="bottom"/>
            <w:tcBorders>
              <w:bottom w:val="single" w:sz="8" w:color="AFAFAF"/>
              <w:right w:val="single" w:sz="8" w:color="AFAFAF"/>
            </w:tcBorders>
          </w:tcPr>
          <w:p>
            <w:pPr>
              <w:ind w:left="700"/>
              <w:spacing w:after="0" w:line="157" w:lineRule="exact"/>
              <w:rPr>
                <w:sz w:val="20"/>
                <w:szCs w:val="20"/>
                <w:color w:val="auto"/>
              </w:rPr>
            </w:pPr>
            <w:r>
              <w:rPr>
                <w:rFonts w:ascii="Arial" w:cs="Arial" w:eastAsia="Arial" w:hAnsi="Arial"/>
                <w:sz w:val="14"/>
                <w:szCs w:val="14"/>
                <w:color w:val="auto"/>
              </w:rPr>
              <w:t>0.002%</w:t>
            </w:r>
          </w:p>
        </w:tc>
        <w:tc>
          <w:tcPr>
            <w:tcW w:w="540" w:type="dxa"/>
            <w:vAlign w:val="bottom"/>
            <w:tcBorders>
              <w:bottom w:val="single" w:sz="8" w:color="AFAFAF"/>
            </w:tcBorders>
          </w:tcPr>
          <w:p>
            <w:pPr>
              <w:spacing w:after="0"/>
              <w:rPr>
                <w:sz w:val="13"/>
                <w:szCs w:val="13"/>
                <w:color w:val="auto"/>
              </w:rPr>
            </w:pPr>
          </w:p>
        </w:tc>
        <w:tc>
          <w:tcPr>
            <w:tcW w:w="1140" w:type="dxa"/>
            <w:vAlign w:val="bottom"/>
            <w:tcBorders>
              <w:bottom w:val="single" w:sz="8" w:color="AFAFAF"/>
            </w:tcBorders>
          </w:tcPr>
          <w:p>
            <w:pPr>
              <w:ind w:left="140"/>
              <w:spacing w:after="0" w:line="157" w:lineRule="exact"/>
              <w:rPr>
                <w:sz w:val="20"/>
                <w:szCs w:val="20"/>
                <w:color w:val="auto"/>
              </w:rPr>
            </w:pPr>
            <w:r>
              <w:rPr>
                <w:rFonts w:ascii="Arial" w:cs="Arial" w:eastAsia="Arial" w:hAnsi="Arial"/>
                <w:sz w:val="14"/>
                <w:szCs w:val="14"/>
                <w:color w:val="auto"/>
              </w:rPr>
              <w:t>0.003%</w:t>
            </w:r>
          </w:p>
        </w:tc>
      </w:tr>
      <w:tr>
        <w:trPr>
          <w:trHeight w:val="160"/>
        </w:trPr>
        <w:tc>
          <w:tcPr>
            <w:tcW w:w="6200" w:type="dxa"/>
            <w:vAlign w:val="bottom"/>
            <w:tcBorders>
              <w:right w:val="single" w:sz="8" w:color="AFAFAF"/>
            </w:tcBorders>
            <w:gridSpan w:val="3"/>
          </w:tcPr>
          <w:p>
            <w:pPr>
              <w:spacing w:after="0" w:line="160" w:lineRule="exact"/>
              <w:rPr>
                <w:sz w:val="20"/>
                <w:szCs w:val="20"/>
                <w:color w:val="auto"/>
              </w:rPr>
            </w:pPr>
            <w:r>
              <w:rPr>
                <w:rFonts w:ascii="Arial" w:cs="Arial" w:eastAsia="Arial" w:hAnsi="Arial"/>
                <w:sz w:val="14"/>
                <w:szCs w:val="14"/>
                <w:b w:val="1"/>
                <w:bCs w:val="1"/>
                <w:color w:val="auto"/>
              </w:rPr>
              <w:t xml:space="preserve">Burn rate – </w:t>
            </w:r>
            <w:r>
              <w:rPr>
                <w:rFonts w:ascii="Arial" w:cs="Arial" w:eastAsia="Arial" w:hAnsi="Arial"/>
                <w:sz w:val="14"/>
                <w:szCs w:val="14"/>
                <w:color w:val="auto"/>
              </w:rPr>
              <w:t>the total number of DSUs granted in the applicable year, divided by the total</w:t>
            </w:r>
          </w:p>
        </w:tc>
        <w:tc>
          <w:tcPr>
            <w:tcW w:w="1380" w:type="dxa"/>
            <w:vAlign w:val="bottom"/>
            <w:tcBorders>
              <w:right w:val="single" w:sz="8" w:color="AFAFAF"/>
            </w:tcBorders>
          </w:tcPr>
          <w:p>
            <w:pPr>
              <w:spacing w:after="0"/>
              <w:rPr>
                <w:sz w:val="13"/>
                <w:szCs w:val="13"/>
                <w:color w:val="auto"/>
              </w:rPr>
            </w:pPr>
          </w:p>
        </w:tc>
        <w:tc>
          <w:tcPr>
            <w:tcW w:w="1720" w:type="dxa"/>
            <w:vAlign w:val="bottom"/>
            <w:tcBorders>
              <w:right w:val="single" w:sz="8" w:color="AFAFAF"/>
            </w:tcBorders>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7"/>
        </w:trPr>
        <w:tc>
          <w:tcPr>
            <w:tcW w:w="6200" w:type="dxa"/>
            <w:vAlign w:val="bottom"/>
            <w:tcBorders>
              <w:bottom w:val="single" w:sz="8" w:color="AFAFAF"/>
              <w:right w:val="single" w:sz="8" w:color="AFAFAF"/>
            </w:tcBorders>
            <w:gridSpan w:val="3"/>
          </w:tcPr>
          <w:p>
            <w:pPr>
              <w:spacing w:after="0" w:line="157" w:lineRule="exact"/>
              <w:rPr>
                <w:sz w:val="20"/>
                <w:szCs w:val="20"/>
                <w:color w:val="auto"/>
              </w:rPr>
            </w:pPr>
            <w:r>
              <w:rPr>
                <w:rFonts w:ascii="Arial" w:cs="Arial" w:eastAsia="Arial" w:hAnsi="Arial"/>
                <w:sz w:val="14"/>
                <w:szCs w:val="14"/>
                <w:color w:val="auto"/>
              </w:rPr>
              <w:t>weighted average of common shares outstanding during the year</w:t>
            </w:r>
          </w:p>
        </w:tc>
        <w:tc>
          <w:tcPr>
            <w:tcW w:w="1380" w:type="dxa"/>
            <w:vAlign w:val="bottom"/>
            <w:tcBorders>
              <w:bottom w:val="single" w:sz="8" w:color="AFAFAF"/>
              <w:right w:val="single" w:sz="8" w:color="AFAFAF"/>
            </w:tcBorders>
          </w:tcPr>
          <w:p>
            <w:pPr>
              <w:ind w:left="460"/>
              <w:spacing w:after="0" w:line="157" w:lineRule="exact"/>
              <w:rPr>
                <w:sz w:val="20"/>
                <w:szCs w:val="20"/>
                <w:color w:val="auto"/>
              </w:rPr>
            </w:pPr>
            <w:r>
              <w:rPr>
                <w:rFonts w:ascii="Arial" w:cs="Arial" w:eastAsia="Arial" w:hAnsi="Arial"/>
                <w:sz w:val="14"/>
                <w:szCs w:val="14"/>
                <w:color w:val="auto"/>
              </w:rPr>
              <w:t>0.011%</w:t>
            </w:r>
          </w:p>
        </w:tc>
        <w:tc>
          <w:tcPr>
            <w:tcW w:w="1720" w:type="dxa"/>
            <w:vAlign w:val="bottom"/>
            <w:tcBorders>
              <w:bottom w:val="single" w:sz="8" w:color="AFAFAF"/>
              <w:right w:val="single" w:sz="8" w:color="AFAFAF"/>
            </w:tcBorders>
          </w:tcPr>
          <w:p>
            <w:pPr>
              <w:ind w:left="700"/>
              <w:spacing w:after="0" w:line="157" w:lineRule="exact"/>
              <w:rPr>
                <w:sz w:val="20"/>
                <w:szCs w:val="20"/>
                <w:color w:val="auto"/>
              </w:rPr>
            </w:pPr>
            <w:r>
              <w:rPr>
                <w:rFonts w:ascii="Arial" w:cs="Arial" w:eastAsia="Arial" w:hAnsi="Arial"/>
                <w:sz w:val="14"/>
                <w:szCs w:val="14"/>
                <w:color w:val="auto"/>
              </w:rPr>
              <w:t>0.018%</w:t>
            </w:r>
          </w:p>
        </w:tc>
        <w:tc>
          <w:tcPr>
            <w:tcW w:w="540" w:type="dxa"/>
            <w:vAlign w:val="bottom"/>
            <w:tcBorders>
              <w:bottom w:val="single" w:sz="8" w:color="AFAFAF"/>
            </w:tcBorders>
          </w:tcPr>
          <w:p>
            <w:pPr>
              <w:spacing w:after="0"/>
              <w:rPr>
                <w:sz w:val="13"/>
                <w:szCs w:val="13"/>
                <w:color w:val="auto"/>
              </w:rPr>
            </w:pPr>
          </w:p>
        </w:tc>
        <w:tc>
          <w:tcPr>
            <w:tcW w:w="1140" w:type="dxa"/>
            <w:vAlign w:val="bottom"/>
            <w:tcBorders>
              <w:bottom w:val="single" w:sz="8" w:color="AFAFAF"/>
            </w:tcBorders>
          </w:tcPr>
          <w:p>
            <w:pPr>
              <w:ind w:left="140"/>
              <w:spacing w:after="0" w:line="157" w:lineRule="exact"/>
              <w:rPr>
                <w:sz w:val="20"/>
                <w:szCs w:val="20"/>
                <w:color w:val="auto"/>
              </w:rPr>
            </w:pPr>
            <w:r>
              <w:rPr>
                <w:rFonts w:ascii="Arial" w:cs="Arial" w:eastAsia="Arial" w:hAnsi="Arial"/>
                <w:sz w:val="14"/>
                <w:szCs w:val="14"/>
                <w:color w:val="auto"/>
              </w:rPr>
              <w:t>0.014%</w:t>
            </w:r>
          </w:p>
        </w:tc>
      </w:tr>
      <w:tr>
        <w:trPr>
          <w:trHeight w:val="160"/>
        </w:trPr>
        <w:tc>
          <w:tcPr>
            <w:tcW w:w="6200" w:type="dxa"/>
            <w:vAlign w:val="bottom"/>
            <w:tcBorders>
              <w:right w:val="single" w:sz="8" w:color="AFAFAF"/>
            </w:tcBorders>
            <w:gridSpan w:val="3"/>
          </w:tcPr>
          <w:p>
            <w:pPr>
              <w:spacing w:after="0" w:line="160" w:lineRule="exact"/>
              <w:rPr>
                <w:sz w:val="20"/>
                <w:szCs w:val="20"/>
                <w:color w:val="auto"/>
              </w:rPr>
            </w:pPr>
            <w:r>
              <w:rPr>
                <w:rFonts w:ascii="Arial" w:cs="Arial" w:eastAsia="Arial" w:hAnsi="Arial"/>
                <w:sz w:val="14"/>
                <w:szCs w:val="14"/>
                <w:b w:val="1"/>
                <w:bCs w:val="1"/>
                <w:color w:val="auto"/>
              </w:rPr>
              <w:t xml:space="preserve">Potential Dilution – </w:t>
            </w:r>
            <w:r>
              <w:rPr>
                <w:rFonts w:ascii="Arial" w:cs="Arial" w:eastAsia="Arial" w:hAnsi="Arial"/>
                <w:sz w:val="14"/>
                <w:szCs w:val="14"/>
                <w:color w:val="auto"/>
              </w:rPr>
              <w:t>the total number of all DSUs available for issue, divided by the total</w:t>
            </w:r>
          </w:p>
        </w:tc>
        <w:tc>
          <w:tcPr>
            <w:tcW w:w="1380" w:type="dxa"/>
            <w:vAlign w:val="bottom"/>
            <w:tcBorders>
              <w:right w:val="single" w:sz="8" w:color="AFAFAF"/>
            </w:tcBorders>
          </w:tcPr>
          <w:p>
            <w:pPr>
              <w:spacing w:after="0"/>
              <w:rPr>
                <w:sz w:val="13"/>
                <w:szCs w:val="13"/>
                <w:color w:val="auto"/>
              </w:rPr>
            </w:pPr>
          </w:p>
        </w:tc>
        <w:tc>
          <w:tcPr>
            <w:tcW w:w="1720" w:type="dxa"/>
            <w:vAlign w:val="bottom"/>
            <w:tcBorders>
              <w:right w:val="single" w:sz="8" w:color="AFAFAF"/>
            </w:tcBorders>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7"/>
        </w:trPr>
        <w:tc>
          <w:tcPr>
            <w:tcW w:w="6200" w:type="dxa"/>
            <w:vAlign w:val="bottom"/>
            <w:tcBorders>
              <w:bottom w:val="single" w:sz="8" w:color="D95A3B"/>
              <w:right w:val="single" w:sz="8" w:color="AFAFAF"/>
            </w:tcBorders>
            <w:gridSpan w:val="3"/>
          </w:tcPr>
          <w:p>
            <w:pPr>
              <w:spacing w:after="0" w:line="157" w:lineRule="exact"/>
              <w:rPr>
                <w:sz w:val="20"/>
                <w:szCs w:val="20"/>
                <w:color w:val="auto"/>
              </w:rPr>
            </w:pPr>
            <w:r>
              <w:rPr>
                <w:rFonts w:ascii="Arial" w:cs="Arial" w:eastAsia="Arial" w:hAnsi="Arial"/>
                <w:sz w:val="14"/>
                <w:szCs w:val="14"/>
                <w:color w:val="auto"/>
              </w:rPr>
              <w:t>weighted average of common shares outstanding during the year</w:t>
            </w:r>
          </w:p>
        </w:tc>
        <w:tc>
          <w:tcPr>
            <w:tcW w:w="1380" w:type="dxa"/>
            <w:vAlign w:val="bottom"/>
            <w:tcBorders>
              <w:bottom w:val="single" w:sz="8" w:color="D95A3B"/>
              <w:right w:val="single" w:sz="8" w:color="AFAFAF"/>
            </w:tcBorders>
          </w:tcPr>
          <w:p>
            <w:pPr>
              <w:ind w:left="460"/>
              <w:spacing w:after="0" w:line="157" w:lineRule="exact"/>
              <w:rPr>
                <w:sz w:val="20"/>
                <w:szCs w:val="20"/>
                <w:color w:val="auto"/>
              </w:rPr>
            </w:pPr>
            <w:r>
              <w:rPr>
                <w:rFonts w:ascii="Arial" w:cs="Arial" w:eastAsia="Arial" w:hAnsi="Arial"/>
                <w:sz w:val="14"/>
                <w:szCs w:val="14"/>
                <w:color w:val="auto"/>
              </w:rPr>
              <w:t>0.679%</w:t>
            </w:r>
          </w:p>
        </w:tc>
        <w:tc>
          <w:tcPr>
            <w:tcW w:w="1720" w:type="dxa"/>
            <w:vAlign w:val="bottom"/>
            <w:tcBorders>
              <w:bottom w:val="single" w:sz="8" w:color="D95A3B"/>
              <w:right w:val="single" w:sz="8" w:color="AFAFAF"/>
            </w:tcBorders>
          </w:tcPr>
          <w:p>
            <w:pPr>
              <w:ind w:left="700"/>
              <w:spacing w:after="0" w:line="157" w:lineRule="exact"/>
              <w:rPr>
                <w:sz w:val="20"/>
                <w:szCs w:val="20"/>
                <w:color w:val="auto"/>
              </w:rPr>
            </w:pPr>
            <w:r>
              <w:rPr>
                <w:rFonts w:ascii="Arial" w:cs="Arial" w:eastAsia="Arial" w:hAnsi="Arial"/>
                <w:sz w:val="14"/>
                <w:szCs w:val="14"/>
                <w:color w:val="auto"/>
              </w:rPr>
              <w:t>0.816%</w:t>
            </w:r>
          </w:p>
        </w:tc>
        <w:tc>
          <w:tcPr>
            <w:tcW w:w="540" w:type="dxa"/>
            <w:vAlign w:val="bottom"/>
            <w:tcBorders>
              <w:bottom w:val="single" w:sz="8" w:color="D95A3B"/>
            </w:tcBorders>
          </w:tcPr>
          <w:p>
            <w:pPr>
              <w:spacing w:after="0"/>
              <w:rPr>
                <w:sz w:val="13"/>
                <w:szCs w:val="13"/>
                <w:color w:val="auto"/>
              </w:rPr>
            </w:pPr>
          </w:p>
        </w:tc>
        <w:tc>
          <w:tcPr>
            <w:tcW w:w="1140" w:type="dxa"/>
            <w:vAlign w:val="bottom"/>
            <w:tcBorders>
              <w:bottom w:val="single" w:sz="8" w:color="D95A3B"/>
            </w:tcBorders>
          </w:tcPr>
          <w:p>
            <w:pPr>
              <w:ind w:left="140"/>
              <w:spacing w:after="0" w:line="157" w:lineRule="exact"/>
              <w:rPr>
                <w:sz w:val="20"/>
                <w:szCs w:val="20"/>
                <w:color w:val="auto"/>
              </w:rPr>
            </w:pPr>
            <w:r>
              <w:rPr>
                <w:rFonts w:ascii="Arial" w:cs="Arial" w:eastAsia="Arial" w:hAnsi="Arial"/>
                <w:sz w:val="14"/>
                <w:szCs w:val="14"/>
                <w:color w:val="auto"/>
              </w:rPr>
              <w:t>0.787%</w:t>
            </w:r>
          </w:p>
        </w:tc>
      </w:tr>
      <w:tr>
        <w:trPr>
          <w:trHeight w:val="236"/>
        </w:trPr>
        <w:tc>
          <w:tcPr>
            <w:tcW w:w="3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8"/>
        </w:trPr>
        <w:tc>
          <w:tcPr>
            <w:tcW w:w="3200" w:type="dxa"/>
            <w:vAlign w:val="bottom"/>
            <w:tcBorders>
              <w:bottom w:val="single" w:sz="8" w:color="D95A3B"/>
            </w:tcBorders>
            <w:shd w:val="clear" w:color="auto" w:fill="CCCCCC"/>
          </w:tcPr>
          <w:p>
            <w:pPr>
              <w:spacing w:after="0"/>
              <w:rPr>
                <w:sz w:val="20"/>
                <w:szCs w:val="20"/>
                <w:color w:val="auto"/>
              </w:rPr>
            </w:pPr>
            <w:r>
              <w:rPr>
                <w:rFonts w:ascii="Arial" w:cs="Arial" w:eastAsia="Arial" w:hAnsi="Arial"/>
                <w:sz w:val="15"/>
                <w:szCs w:val="15"/>
                <w:b w:val="1"/>
                <w:bCs w:val="1"/>
                <w:color w:val="auto"/>
              </w:rPr>
              <w:t>Employee Stock Purchase Plans</w:t>
            </w:r>
          </w:p>
        </w:tc>
        <w:tc>
          <w:tcPr>
            <w:tcW w:w="460" w:type="dxa"/>
            <w:vAlign w:val="bottom"/>
            <w:tcBorders>
              <w:bottom w:val="single" w:sz="8" w:color="D95A3B"/>
            </w:tcBorders>
            <w:shd w:val="clear" w:color="auto" w:fill="CCCCCC"/>
          </w:tcPr>
          <w:p>
            <w:pPr>
              <w:spacing w:after="0"/>
              <w:rPr>
                <w:sz w:val="16"/>
                <w:szCs w:val="16"/>
                <w:color w:val="auto"/>
              </w:rPr>
            </w:pPr>
          </w:p>
        </w:tc>
        <w:tc>
          <w:tcPr>
            <w:tcW w:w="2540" w:type="dxa"/>
            <w:vAlign w:val="bottom"/>
            <w:tcBorders>
              <w:bottom w:val="single" w:sz="8" w:color="D95A3B"/>
              <w:right w:val="single" w:sz="8" w:color="CCCCCC"/>
            </w:tcBorders>
            <w:shd w:val="clear" w:color="auto" w:fill="CCCCCC"/>
          </w:tcPr>
          <w:p>
            <w:pPr>
              <w:spacing w:after="0"/>
              <w:rPr>
                <w:sz w:val="16"/>
                <w:szCs w:val="16"/>
                <w:color w:val="auto"/>
              </w:rPr>
            </w:pPr>
          </w:p>
        </w:tc>
        <w:tc>
          <w:tcPr>
            <w:tcW w:w="1380" w:type="dxa"/>
            <w:vAlign w:val="bottom"/>
            <w:tcBorders>
              <w:bottom w:val="single" w:sz="8" w:color="D95A3B"/>
              <w:right w:val="single" w:sz="8" w:color="CCCCCC"/>
            </w:tcBorders>
            <w:shd w:val="clear" w:color="auto" w:fill="CCCCCC"/>
          </w:tcPr>
          <w:p>
            <w:pPr>
              <w:spacing w:after="0"/>
              <w:rPr>
                <w:sz w:val="16"/>
                <w:szCs w:val="16"/>
                <w:color w:val="auto"/>
              </w:rPr>
            </w:pPr>
          </w:p>
        </w:tc>
        <w:tc>
          <w:tcPr>
            <w:tcW w:w="1720" w:type="dxa"/>
            <w:vAlign w:val="bottom"/>
            <w:tcBorders>
              <w:bottom w:val="single" w:sz="8" w:color="D95A3B"/>
              <w:right w:val="single" w:sz="8" w:color="CCCCCC"/>
            </w:tcBorders>
            <w:shd w:val="clear" w:color="auto" w:fill="CCCCCC"/>
          </w:tcPr>
          <w:p>
            <w:pPr>
              <w:spacing w:after="0"/>
              <w:rPr>
                <w:sz w:val="16"/>
                <w:szCs w:val="16"/>
                <w:color w:val="auto"/>
              </w:rPr>
            </w:pPr>
          </w:p>
        </w:tc>
        <w:tc>
          <w:tcPr>
            <w:tcW w:w="540" w:type="dxa"/>
            <w:vAlign w:val="bottom"/>
            <w:tcBorders>
              <w:bottom w:val="single" w:sz="8" w:color="D95A3B"/>
            </w:tcBorders>
            <w:shd w:val="clear" w:color="auto" w:fill="CCCCCC"/>
          </w:tcPr>
          <w:p>
            <w:pPr>
              <w:spacing w:after="0"/>
              <w:rPr>
                <w:sz w:val="16"/>
                <w:szCs w:val="16"/>
                <w:color w:val="auto"/>
              </w:rPr>
            </w:pPr>
          </w:p>
        </w:tc>
        <w:tc>
          <w:tcPr>
            <w:tcW w:w="1140" w:type="dxa"/>
            <w:vAlign w:val="bottom"/>
            <w:tcBorders>
              <w:bottom w:val="single" w:sz="8" w:color="D95A3B"/>
            </w:tcBorders>
            <w:shd w:val="clear" w:color="auto" w:fill="CCCCCC"/>
          </w:tcPr>
          <w:p>
            <w:pPr>
              <w:spacing w:after="0"/>
              <w:rPr>
                <w:sz w:val="16"/>
                <w:szCs w:val="16"/>
                <w:color w:val="auto"/>
              </w:rPr>
            </w:pP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Eligibility</w:t>
            </w:r>
          </w:p>
        </w:tc>
        <w:tc>
          <w:tcPr>
            <w:tcW w:w="6640" w:type="dxa"/>
            <w:vAlign w:val="bottom"/>
            <w:tcBorders>
              <w:bottom w:val="single" w:sz="8" w:color="AFAFAF"/>
            </w:tcBorders>
            <w:gridSpan w:val="5"/>
          </w:tcPr>
          <w:p>
            <w:pPr>
              <w:ind w:left="320"/>
              <w:spacing w:after="0" w:line="155" w:lineRule="exact"/>
              <w:rPr>
                <w:sz w:val="20"/>
                <w:szCs w:val="20"/>
                <w:color w:val="auto"/>
              </w:rPr>
            </w:pPr>
            <w:r>
              <w:rPr>
                <w:rFonts w:ascii="Arial" w:cs="Arial" w:eastAsia="Arial" w:hAnsi="Arial"/>
                <w:sz w:val="14"/>
                <w:szCs w:val="14"/>
                <w:color w:val="auto"/>
              </w:rPr>
              <w:t>Designated employees in the United States, United Kingdom, Canada and other countries.</w:t>
            </w:r>
          </w:p>
        </w:tc>
        <w:tc>
          <w:tcPr>
            <w:tcW w:w="1140" w:type="dxa"/>
            <w:vAlign w:val="bottom"/>
            <w:tcBorders>
              <w:bottom w:val="single" w:sz="8" w:color="AFAFAF"/>
            </w:tcBorders>
          </w:tcPr>
          <w:p>
            <w:pPr>
              <w:spacing w:after="0"/>
              <w:rPr>
                <w:sz w:val="13"/>
                <w:szCs w:val="13"/>
                <w:color w:val="auto"/>
              </w:rPr>
            </w:pPr>
          </w:p>
        </w:tc>
      </w:tr>
      <w:tr>
        <w:trPr>
          <w:trHeight w:val="160"/>
        </w:trPr>
        <w:tc>
          <w:tcPr>
            <w:tcW w:w="3200" w:type="dxa"/>
            <w:vAlign w:val="bottom"/>
          </w:tcPr>
          <w:p>
            <w:pPr>
              <w:spacing w:after="0" w:line="160" w:lineRule="exact"/>
              <w:rPr>
                <w:sz w:val="20"/>
                <w:szCs w:val="20"/>
                <w:color w:val="auto"/>
              </w:rPr>
            </w:pPr>
            <w:r>
              <w:rPr>
                <w:rFonts w:ascii="Arial" w:cs="Arial" w:eastAsia="Arial" w:hAnsi="Arial"/>
                <w:sz w:val="14"/>
                <w:szCs w:val="14"/>
                <w:b w:val="1"/>
                <w:bCs w:val="1"/>
                <w:color w:val="auto"/>
              </w:rPr>
              <w:t>Purpose</w:t>
            </w:r>
          </w:p>
        </w:tc>
        <w:tc>
          <w:tcPr>
            <w:tcW w:w="7780" w:type="dxa"/>
            <w:vAlign w:val="bottom"/>
            <w:gridSpan w:val="6"/>
          </w:tcPr>
          <w:p>
            <w:pPr>
              <w:ind w:left="320"/>
              <w:spacing w:after="0" w:line="160" w:lineRule="exact"/>
              <w:rPr>
                <w:sz w:val="20"/>
                <w:szCs w:val="20"/>
                <w:color w:val="auto"/>
              </w:rPr>
            </w:pPr>
            <w:r>
              <w:rPr>
                <w:rFonts w:ascii="Arial" w:cs="Arial" w:eastAsia="Arial" w:hAnsi="Arial"/>
                <w:sz w:val="14"/>
                <w:szCs w:val="14"/>
                <w:color w:val="auto"/>
              </w:rPr>
              <w:t>Provide eligible employees with an opportunity to purchase shares and to further align their interests with those of our</w:t>
            </w:r>
          </w:p>
        </w:tc>
      </w:tr>
      <w:tr>
        <w:trPr>
          <w:trHeight w:val="157"/>
        </w:trPr>
        <w:tc>
          <w:tcPr>
            <w:tcW w:w="3200" w:type="dxa"/>
            <w:vAlign w:val="bottom"/>
            <w:tcBorders>
              <w:bottom w:val="single" w:sz="8" w:color="AFAFAF"/>
            </w:tcBorders>
          </w:tcPr>
          <w:p>
            <w:pPr>
              <w:spacing w:after="0"/>
              <w:rPr>
                <w:sz w:val="13"/>
                <w:szCs w:val="13"/>
                <w:color w:val="auto"/>
              </w:rPr>
            </w:pPr>
          </w:p>
        </w:tc>
        <w:tc>
          <w:tcPr>
            <w:tcW w:w="3000" w:type="dxa"/>
            <w:vAlign w:val="bottom"/>
            <w:tcBorders>
              <w:bottom w:val="single" w:sz="8" w:color="AFAFAF"/>
            </w:tcBorders>
            <w:gridSpan w:val="2"/>
          </w:tcPr>
          <w:p>
            <w:pPr>
              <w:ind w:left="320"/>
              <w:spacing w:after="0" w:line="157" w:lineRule="exact"/>
              <w:rPr>
                <w:sz w:val="20"/>
                <w:szCs w:val="20"/>
                <w:color w:val="auto"/>
              </w:rPr>
            </w:pPr>
            <w:r>
              <w:rPr>
                <w:rFonts w:ascii="Arial" w:cs="Arial" w:eastAsia="Arial" w:hAnsi="Arial"/>
                <w:sz w:val="14"/>
                <w:szCs w:val="14"/>
                <w:color w:val="auto"/>
              </w:rPr>
              <w:t>shareholders.</w:t>
            </w:r>
          </w:p>
        </w:tc>
        <w:tc>
          <w:tcPr>
            <w:tcW w:w="1380" w:type="dxa"/>
            <w:vAlign w:val="bottom"/>
            <w:tcBorders>
              <w:bottom w:val="single" w:sz="8" w:color="AFAFAF"/>
            </w:tcBorders>
          </w:tcPr>
          <w:p>
            <w:pPr>
              <w:spacing w:after="0"/>
              <w:rPr>
                <w:sz w:val="13"/>
                <w:szCs w:val="13"/>
                <w:color w:val="auto"/>
              </w:rPr>
            </w:pPr>
          </w:p>
        </w:tc>
        <w:tc>
          <w:tcPr>
            <w:tcW w:w="1720" w:type="dxa"/>
            <w:vAlign w:val="bottom"/>
            <w:tcBorders>
              <w:bottom w:val="single" w:sz="8" w:color="AFAFAF"/>
            </w:tcBorders>
          </w:tcPr>
          <w:p>
            <w:pPr>
              <w:spacing w:after="0"/>
              <w:rPr>
                <w:sz w:val="13"/>
                <w:szCs w:val="13"/>
                <w:color w:val="auto"/>
              </w:rPr>
            </w:pPr>
          </w:p>
        </w:tc>
        <w:tc>
          <w:tcPr>
            <w:tcW w:w="540" w:type="dxa"/>
            <w:vAlign w:val="bottom"/>
            <w:tcBorders>
              <w:bottom w:val="single" w:sz="8" w:color="AFAFAF"/>
            </w:tcBorders>
          </w:tcPr>
          <w:p>
            <w:pPr>
              <w:spacing w:after="0"/>
              <w:rPr>
                <w:sz w:val="13"/>
                <w:szCs w:val="13"/>
                <w:color w:val="auto"/>
              </w:rPr>
            </w:pPr>
          </w:p>
        </w:tc>
        <w:tc>
          <w:tcPr>
            <w:tcW w:w="1140" w:type="dxa"/>
            <w:vAlign w:val="bottom"/>
            <w:tcBorders>
              <w:bottom w:val="single" w:sz="8" w:color="AFAFAF"/>
            </w:tcBorders>
          </w:tcPr>
          <w:p>
            <w:pPr>
              <w:spacing w:after="0"/>
              <w:rPr>
                <w:sz w:val="13"/>
                <w:szCs w:val="13"/>
                <w:color w:val="auto"/>
              </w:rPr>
            </w:pPr>
          </w:p>
        </w:tc>
      </w:tr>
      <w:tr>
        <w:trPr>
          <w:trHeight w:val="160"/>
        </w:trPr>
        <w:tc>
          <w:tcPr>
            <w:tcW w:w="3200" w:type="dxa"/>
            <w:vAlign w:val="bottom"/>
          </w:tcPr>
          <w:p>
            <w:pPr>
              <w:spacing w:after="0" w:line="160" w:lineRule="exact"/>
              <w:rPr>
                <w:sz w:val="20"/>
                <w:szCs w:val="20"/>
                <w:color w:val="auto"/>
              </w:rPr>
            </w:pPr>
            <w:r>
              <w:rPr>
                <w:rFonts w:ascii="Arial" w:cs="Arial" w:eastAsia="Arial" w:hAnsi="Arial"/>
                <w:sz w:val="14"/>
                <w:szCs w:val="14"/>
                <w:b w:val="1"/>
                <w:bCs w:val="1"/>
                <w:color w:val="auto"/>
              </w:rPr>
              <w:t>Maximum number of shares issuable</w:t>
            </w:r>
          </w:p>
        </w:tc>
        <w:tc>
          <w:tcPr>
            <w:tcW w:w="7780" w:type="dxa"/>
            <w:vAlign w:val="bottom"/>
            <w:gridSpan w:val="6"/>
          </w:tcPr>
          <w:p>
            <w:pPr>
              <w:ind w:left="320"/>
              <w:spacing w:after="0" w:line="160" w:lineRule="exact"/>
              <w:rPr>
                <w:sz w:val="20"/>
                <w:szCs w:val="20"/>
                <w:color w:val="auto"/>
              </w:rPr>
            </w:pPr>
            <w:r>
              <w:rPr>
                <w:rFonts w:ascii="Arial" w:cs="Arial" w:eastAsia="Arial" w:hAnsi="Arial"/>
                <w:sz w:val="14"/>
                <w:szCs w:val="14"/>
                <w:color w:val="auto"/>
              </w:rPr>
              <w:t>20,388,909 shares (comprised of 14,633,208 for U.S. employee stock purchase plan and 5,755,701 for global</w:t>
            </w:r>
          </w:p>
        </w:tc>
      </w:tr>
      <w:tr>
        <w:trPr>
          <w:trHeight w:val="162"/>
        </w:trPr>
        <w:tc>
          <w:tcPr>
            <w:tcW w:w="3200" w:type="dxa"/>
            <w:vAlign w:val="bottom"/>
          </w:tcPr>
          <w:p>
            <w:pPr>
              <w:spacing w:after="0"/>
              <w:rPr>
                <w:sz w:val="14"/>
                <w:szCs w:val="14"/>
                <w:color w:val="auto"/>
              </w:rPr>
            </w:pPr>
          </w:p>
        </w:tc>
        <w:tc>
          <w:tcPr>
            <w:tcW w:w="7780" w:type="dxa"/>
            <w:vAlign w:val="bottom"/>
            <w:gridSpan w:val="6"/>
          </w:tcPr>
          <w:p>
            <w:pPr>
              <w:ind w:left="320"/>
              <w:spacing w:after="0"/>
              <w:rPr>
                <w:sz w:val="20"/>
                <w:szCs w:val="20"/>
                <w:color w:val="auto"/>
              </w:rPr>
            </w:pPr>
            <w:r>
              <w:rPr>
                <w:rFonts w:ascii="Arial" w:cs="Arial" w:eastAsia="Arial" w:hAnsi="Arial"/>
                <w:sz w:val="14"/>
                <w:szCs w:val="14"/>
                <w:color w:val="auto"/>
              </w:rPr>
              <w:t>employee stock purchase plan), representing approximately 4.07% of our total issued and outstanding shares as of</w:t>
            </w:r>
          </w:p>
        </w:tc>
      </w:tr>
      <w:tr>
        <w:trPr>
          <w:trHeight w:val="157"/>
        </w:trPr>
        <w:tc>
          <w:tcPr>
            <w:tcW w:w="3200" w:type="dxa"/>
            <w:vAlign w:val="bottom"/>
            <w:tcBorders>
              <w:bottom w:val="single" w:sz="8" w:color="AFAFAF"/>
            </w:tcBorders>
          </w:tcPr>
          <w:p>
            <w:pPr>
              <w:spacing w:after="0"/>
              <w:rPr>
                <w:sz w:val="13"/>
                <w:szCs w:val="13"/>
                <w:color w:val="auto"/>
              </w:rPr>
            </w:pPr>
          </w:p>
        </w:tc>
        <w:tc>
          <w:tcPr>
            <w:tcW w:w="3000" w:type="dxa"/>
            <w:vAlign w:val="bottom"/>
            <w:tcBorders>
              <w:bottom w:val="single" w:sz="8" w:color="AFAFAF"/>
            </w:tcBorders>
            <w:gridSpan w:val="2"/>
          </w:tcPr>
          <w:p>
            <w:pPr>
              <w:ind w:left="320"/>
              <w:spacing w:after="0" w:line="157" w:lineRule="exact"/>
              <w:rPr>
                <w:sz w:val="20"/>
                <w:szCs w:val="20"/>
                <w:color w:val="auto"/>
              </w:rPr>
            </w:pPr>
            <w:r>
              <w:rPr>
                <w:rFonts w:ascii="Arial" w:cs="Arial" w:eastAsia="Arial" w:hAnsi="Arial"/>
                <w:sz w:val="14"/>
                <w:szCs w:val="14"/>
                <w:color w:val="auto"/>
              </w:rPr>
              <w:t>year end.</w:t>
            </w:r>
          </w:p>
        </w:tc>
        <w:tc>
          <w:tcPr>
            <w:tcW w:w="1380" w:type="dxa"/>
            <w:vAlign w:val="bottom"/>
            <w:tcBorders>
              <w:bottom w:val="single" w:sz="8" w:color="AFAFAF"/>
            </w:tcBorders>
          </w:tcPr>
          <w:p>
            <w:pPr>
              <w:spacing w:after="0"/>
              <w:rPr>
                <w:sz w:val="13"/>
                <w:szCs w:val="13"/>
                <w:color w:val="auto"/>
              </w:rPr>
            </w:pPr>
          </w:p>
        </w:tc>
        <w:tc>
          <w:tcPr>
            <w:tcW w:w="1720" w:type="dxa"/>
            <w:vAlign w:val="bottom"/>
            <w:tcBorders>
              <w:bottom w:val="single" w:sz="8" w:color="AFAFAF"/>
            </w:tcBorders>
          </w:tcPr>
          <w:p>
            <w:pPr>
              <w:spacing w:after="0"/>
              <w:rPr>
                <w:sz w:val="13"/>
                <w:szCs w:val="13"/>
                <w:color w:val="auto"/>
              </w:rPr>
            </w:pPr>
          </w:p>
        </w:tc>
        <w:tc>
          <w:tcPr>
            <w:tcW w:w="540" w:type="dxa"/>
            <w:vAlign w:val="bottom"/>
            <w:tcBorders>
              <w:bottom w:val="single" w:sz="8" w:color="AFAFAF"/>
            </w:tcBorders>
          </w:tcPr>
          <w:p>
            <w:pPr>
              <w:spacing w:after="0"/>
              <w:rPr>
                <w:sz w:val="13"/>
                <w:szCs w:val="13"/>
                <w:color w:val="auto"/>
              </w:rPr>
            </w:pPr>
          </w:p>
        </w:tc>
        <w:tc>
          <w:tcPr>
            <w:tcW w:w="1140" w:type="dxa"/>
            <w:vAlign w:val="bottom"/>
            <w:tcBorders>
              <w:bottom w:val="single" w:sz="8" w:color="AFAFAF"/>
            </w:tcBorders>
          </w:tcPr>
          <w:p>
            <w:pPr>
              <w:spacing w:after="0"/>
              <w:rPr>
                <w:sz w:val="13"/>
                <w:szCs w:val="13"/>
                <w:color w:val="auto"/>
              </w:rPr>
            </w:pP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Shares issued as of December 31, 2018</w:t>
            </w:r>
          </w:p>
        </w:tc>
        <w:tc>
          <w:tcPr>
            <w:tcW w:w="6640" w:type="dxa"/>
            <w:vAlign w:val="bottom"/>
            <w:tcBorders>
              <w:bottom w:val="single" w:sz="8" w:color="AFAFAF"/>
            </w:tcBorders>
            <w:gridSpan w:val="5"/>
          </w:tcPr>
          <w:p>
            <w:pPr>
              <w:ind w:left="320"/>
              <w:spacing w:after="0" w:line="155" w:lineRule="exact"/>
              <w:rPr>
                <w:sz w:val="20"/>
                <w:szCs w:val="20"/>
                <w:color w:val="auto"/>
              </w:rPr>
            </w:pPr>
            <w:r>
              <w:rPr>
                <w:rFonts w:ascii="Arial" w:cs="Arial" w:eastAsia="Arial" w:hAnsi="Arial"/>
                <w:sz w:val="14"/>
                <w:szCs w:val="14"/>
                <w:color w:val="auto"/>
              </w:rPr>
              <w:t>14,365,635 shares, representing approximately 2.86% of our total issued and outstanding shares.</w:t>
            </w:r>
          </w:p>
        </w:tc>
        <w:tc>
          <w:tcPr>
            <w:tcW w:w="1140" w:type="dxa"/>
            <w:vAlign w:val="bottom"/>
            <w:tcBorders>
              <w:bottom w:val="single" w:sz="8" w:color="AFAFAF"/>
            </w:tcBorders>
          </w:tcPr>
          <w:p>
            <w:pPr>
              <w:spacing w:after="0"/>
              <w:rPr>
                <w:sz w:val="13"/>
                <w:szCs w:val="13"/>
                <w:color w:val="auto"/>
              </w:rPr>
            </w:pPr>
          </w:p>
        </w:tc>
      </w:tr>
      <w:tr>
        <w:trPr>
          <w:trHeight w:val="142"/>
        </w:trPr>
        <w:tc>
          <w:tcPr>
            <w:tcW w:w="3200" w:type="dxa"/>
            <w:vAlign w:val="bottom"/>
          </w:tcPr>
          <w:p>
            <w:pPr>
              <w:spacing w:after="0" w:line="142" w:lineRule="exact"/>
              <w:rPr>
                <w:sz w:val="20"/>
                <w:szCs w:val="20"/>
                <w:color w:val="auto"/>
              </w:rPr>
            </w:pPr>
            <w:r>
              <w:rPr>
                <w:rFonts w:ascii="Arial" w:cs="Arial" w:eastAsia="Arial" w:hAnsi="Arial"/>
                <w:sz w:val="14"/>
                <w:szCs w:val="14"/>
                <w:b w:val="1"/>
                <w:bCs w:val="1"/>
                <w:color w:val="auto"/>
              </w:rPr>
              <w:t>Shares available for issue as of</w:t>
            </w:r>
          </w:p>
        </w:tc>
        <w:tc>
          <w:tcPr>
            <w:tcW w:w="7780" w:type="dxa"/>
            <w:vAlign w:val="bottom"/>
            <w:gridSpan w:val="6"/>
          </w:tcPr>
          <w:p>
            <w:pPr>
              <w:ind w:left="320"/>
              <w:spacing w:after="0" w:line="142" w:lineRule="exact"/>
              <w:rPr>
                <w:sz w:val="20"/>
                <w:szCs w:val="20"/>
                <w:color w:val="auto"/>
              </w:rPr>
            </w:pPr>
            <w:r>
              <w:rPr>
                <w:rFonts w:ascii="Arial" w:cs="Arial" w:eastAsia="Arial" w:hAnsi="Arial"/>
                <w:sz w:val="14"/>
                <w:szCs w:val="14"/>
                <w:color w:val="auto"/>
              </w:rPr>
              <w:t>6,023,274 shares, comprised of 3,615,746 shares for the U.S. ESPP and 2,407,528 for the global ESPP, representing</w:t>
            </w:r>
          </w:p>
        </w:tc>
      </w:tr>
      <w:tr>
        <w:trPr>
          <w:trHeight w:val="180"/>
        </w:trPr>
        <w:tc>
          <w:tcPr>
            <w:tcW w:w="3200" w:type="dxa"/>
            <w:vAlign w:val="bottom"/>
          </w:tcPr>
          <w:p>
            <w:pPr>
              <w:spacing w:after="0"/>
              <w:rPr>
                <w:sz w:val="20"/>
                <w:szCs w:val="20"/>
                <w:color w:val="auto"/>
              </w:rPr>
            </w:pPr>
            <w:r>
              <w:rPr>
                <w:rFonts w:ascii="Arial" w:cs="Arial" w:eastAsia="Arial" w:hAnsi="Arial"/>
                <w:sz w:val="14"/>
                <w:szCs w:val="14"/>
                <w:b w:val="1"/>
                <w:bCs w:val="1"/>
                <w:color w:val="auto"/>
              </w:rPr>
              <w:t>December 31, 2018</w:t>
            </w:r>
          </w:p>
        </w:tc>
        <w:tc>
          <w:tcPr>
            <w:tcW w:w="7780" w:type="dxa"/>
            <w:vAlign w:val="bottom"/>
            <w:gridSpan w:val="6"/>
          </w:tcPr>
          <w:p>
            <w:pPr>
              <w:ind w:left="320"/>
              <w:spacing w:after="0"/>
              <w:rPr>
                <w:sz w:val="20"/>
                <w:szCs w:val="20"/>
                <w:color w:val="auto"/>
              </w:rPr>
            </w:pPr>
            <w:r>
              <w:rPr>
                <w:rFonts w:ascii="Arial" w:cs="Arial" w:eastAsia="Arial" w:hAnsi="Arial"/>
                <w:sz w:val="14"/>
                <w:szCs w:val="14"/>
                <w:color w:val="auto"/>
              </w:rPr>
              <w:t>approximately 1.20% of our total issued and outstanding shares (0.72% for the U.S. ESPP and 0.48% for the global</w:t>
            </w:r>
          </w:p>
        </w:tc>
      </w:tr>
      <w:tr>
        <w:trPr>
          <w:trHeight w:val="157"/>
        </w:trPr>
        <w:tc>
          <w:tcPr>
            <w:tcW w:w="3200" w:type="dxa"/>
            <w:vAlign w:val="bottom"/>
            <w:tcBorders>
              <w:bottom w:val="single" w:sz="8" w:color="AFAFAF"/>
            </w:tcBorders>
          </w:tcPr>
          <w:p>
            <w:pPr>
              <w:spacing w:after="0"/>
              <w:rPr>
                <w:sz w:val="13"/>
                <w:szCs w:val="13"/>
                <w:color w:val="auto"/>
              </w:rPr>
            </w:pPr>
          </w:p>
        </w:tc>
        <w:tc>
          <w:tcPr>
            <w:tcW w:w="3000" w:type="dxa"/>
            <w:vAlign w:val="bottom"/>
            <w:tcBorders>
              <w:bottom w:val="single" w:sz="8" w:color="AFAFAF"/>
            </w:tcBorders>
            <w:gridSpan w:val="2"/>
          </w:tcPr>
          <w:p>
            <w:pPr>
              <w:ind w:left="320"/>
              <w:spacing w:after="0" w:line="157" w:lineRule="exact"/>
              <w:rPr>
                <w:sz w:val="20"/>
                <w:szCs w:val="20"/>
                <w:color w:val="auto"/>
              </w:rPr>
            </w:pPr>
            <w:r>
              <w:rPr>
                <w:rFonts w:ascii="Arial" w:cs="Arial" w:eastAsia="Arial" w:hAnsi="Arial"/>
                <w:sz w:val="14"/>
                <w:szCs w:val="14"/>
                <w:color w:val="auto"/>
              </w:rPr>
              <w:t>ESPP).</w:t>
            </w:r>
          </w:p>
        </w:tc>
        <w:tc>
          <w:tcPr>
            <w:tcW w:w="1380" w:type="dxa"/>
            <w:vAlign w:val="bottom"/>
            <w:tcBorders>
              <w:bottom w:val="single" w:sz="8" w:color="AFAFAF"/>
            </w:tcBorders>
          </w:tcPr>
          <w:p>
            <w:pPr>
              <w:spacing w:after="0"/>
              <w:rPr>
                <w:sz w:val="13"/>
                <w:szCs w:val="13"/>
                <w:color w:val="auto"/>
              </w:rPr>
            </w:pPr>
          </w:p>
        </w:tc>
        <w:tc>
          <w:tcPr>
            <w:tcW w:w="1720" w:type="dxa"/>
            <w:vAlign w:val="bottom"/>
            <w:tcBorders>
              <w:bottom w:val="single" w:sz="8" w:color="AFAFAF"/>
            </w:tcBorders>
          </w:tcPr>
          <w:p>
            <w:pPr>
              <w:spacing w:after="0"/>
              <w:rPr>
                <w:sz w:val="13"/>
                <w:szCs w:val="13"/>
                <w:color w:val="auto"/>
              </w:rPr>
            </w:pPr>
          </w:p>
        </w:tc>
        <w:tc>
          <w:tcPr>
            <w:tcW w:w="540" w:type="dxa"/>
            <w:vAlign w:val="bottom"/>
            <w:tcBorders>
              <w:bottom w:val="single" w:sz="8" w:color="AFAFAF"/>
            </w:tcBorders>
          </w:tcPr>
          <w:p>
            <w:pPr>
              <w:spacing w:after="0"/>
              <w:rPr>
                <w:sz w:val="13"/>
                <w:szCs w:val="13"/>
                <w:color w:val="auto"/>
              </w:rPr>
            </w:pPr>
          </w:p>
        </w:tc>
        <w:tc>
          <w:tcPr>
            <w:tcW w:w="1140" w:type="dxa"/>
            <w:vAlign w:val="bottom"/>
            <w:tcBorders>
              <w:bottom w:val="single" w:sz="8" w:color="AFAFAF"/>
            </w:tcBorders>
          </w:tcPr>
          <w:p>
            <w:pPr>
              <w:spacing w:after="0"/>
              <w:rPr>
                <w:sz w:val="13"/>
                <w:szCs w:val="13"/>
                <w:color w:val="auto"/>
              </w:rPr>
            </w:pPr>
          </w:p>
        </w:tc>
      </w:tr>
      <w:tr>
        <w:trPr>
          <w:trHeight w:val="142"/>
        </w:trPr>
        <w:tc>
          <w:tcPr>
            <w:tcW w:w="3200" w:type="dxa"/>
            <w:vAlign w:val="bottom"/>
          </w:tcPr>
          <w:p>
            <w:pPr>
              <w:spacing w:after="0" w:line="142" w:lineRule="exact"/>
              <w:rPr>
                <w:sz w:val="20"/>
                <w:szCs w:val="20"/>
                <w:color w:val="auto"/>
              </w:rPr>
            </w:pPr>
            <w:r>
              <w:rPr>
                <w:rFonts w:ascii="Arial" w:cs="Arial" w:eastAsia="Arial" w:hAnsi="Arial"/>
                <w:sz w:val="14"/>
                <w:szCs w:val="14"/>
                <w:b w:val="1"/>
                <w:bCs w:val="1"/>
                <w:color w:val="auto"/>
              </w:rPr>
              <w:t>Total ESPP shares outstanding</w:t>
            </w:r>
          </w:p>
        </w:tc>
        <w:tc>
          <w:tcPr>
            <w:tcW w:w="7780" w:type="dxa"/>
            <w:vAlign w:val="bottom"/>
            <w:gridSpan w:val="6"/>
          </w:tcPr>
          <w:p>
            <w:pPr>
              <w:ind w:left="320"/>
              <w:spacing w:after="0" w:line="142" w:lineRule="exact"/>
              <w:rPr>
                <w:sz w:val="20"/>
                <w:szCs w:val="20"/>
                <w:color w:val="auto"/>
              </w:rPr>
            </w:pPr>
            <w:r>
              <w:rPr>
                <w:rFonts w:ascii="Arial" w:cs="Arial" w:eastAsia="Arial" w:hAnsi="Arial"/>
                <w:sz w:val="14"/>
                <w:szCs w:val="14"/>
                <w:color w:val="auto"/>
              </w:rPr>
              <w:t>Total shares outstanding of 129,976 as of year-end 2018 represented approximately 0.03% of our total issued and</w:t>
            </w:r>
          </w:p>
        </w:tc>
      </w:tr>
      <w:tr>
        <w:trPr>
          <w:trHeight w:val="188"/>
        </w:trPr>
        <w:tc>
          <w:tcPr>
            <w:tcW w:w="320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as of December 31, 2018</w:t>
            </w:r>
          </w:p>
        </w:tc>
        <w:tc>
          <w:tcPr>
            <w:tcW w:w="3000" w:type="dxa"/>
            <w:vAlign w:val="bottom"/>
            <w:tcBorders>
              <w:bottom w:val="single" w:sz="8" w:color="AFAFAF"/>
            </w:tcBorders>
            <w:gridSpan w:val="2"/>
          </w:tcPr>
          <w:p>
            <w:pPr>
              <w:ind w:left="320"/>
              <w:spacing w:after="0"/>
              <w:rPr>
                <w:sz w:val="20"/>
                <w:szCs w:val="20"/>
                <w:color w:val="auto"/>
              </w:rPr>
            </w:pPr>
            <w:r>
              <w:rPr>
                <w:rFonts w:ascii="Arial" w:cs="Arial" w:eastAsia="Arial" w:hAnsi="Arial"/>
                <w:sz w:val="14"/>
                <w:szCs w:val="14"/>
                <w:color w:val="auto"/>
              </w:rPr>
              <w:t>outstanding shares.</w:t>
            </w:r>
          </w:p>
        </w:tc>
        <w:tc>
          <w:tcPr>
            <w:tcW w:w="1380" w:type="dxa"/>
            <w:vAlign w:val="bottom"/>
            <w:tcBorders>
              <w:bottom w:val="single" w:sz="8" w:color="AFAFAF"/>
            </w:tcBorders>
          </w:tcPr>
          <w:p>
            <w:pPr>
              <w:spacing w:after="0"/>
              <w:rPr>
                <w:sz w:val="16"/>
                <w:szCs w:val="16"/>
                <w:color w:val="auto"/>
              </w:rPr>
            </w:pPr>
          </w:p>
        </w:tc>
        <w:tc>
          <w:tcPr>
            <w:tcW w:w="1720" w:type="dxa"/>
            <w:vAlign w:val="bottom"/>
            <w:tcBorders>
              <w:bottom w:val="single" w:sz="8" w:color="AFAFAF"/>
            </w:tcBorders>
          </w:tcPr>
          <w:p>
            <w:pPr>
              <w:spacing w:after="0"/>
              <w:rPr>
                <w:sz w:val="16"/>
                <w:szCs w:val="16"/>
                <w:color w:val="auto"/>
              </w:rPr>
            </w:pPr>
          </w:p>
        </w:tc>
        <w:tc>
          <w:tcPr>
            <w:tcW w:w="540" w:type="dxa"/>
            <w:vAlign w:val="bottom"/>
            <w:tcBorders>
              <w:bottom w:val="single" w:sz="8" w:color="AFAFAF"/>
            </w:tcBorders>
          </w:tcPr>
          <w:p>
            <w:pPr>
              <w:spacing w:after="0"/>
              <w:rPr>
                <w:sz w:val="16"/>
                <w:szCs w:val="16"/>
                <w:color w:val="auto"/>
              </w:rPr>
            </w:pPr>
          </w:p>
        </w:tc>
        <w:tc>
          <w:tcPr>
            <w:tcW w:w="1140" w:type="dxa"/>
            <w:vAlign w:val="bottom"/>
            <w:tcBorders>
              <w:bottom w:val="single" w:sz="8" w:color="AFAFAF"/>
            </w:tcBorders>
          </w:tcPr>
          <w:p>
            <w:pPr>
              <w:spacing w:after="0"/>
              <w:rPr>
                <w:sz w:val="16"/>
                <w:szCs w:val="16"/>
                <w:color w:val="auto"/>
              </w:rPr>
            </w:pPr>
          </w:p>
        </w:tc>
      </w:tr>
      <w:tr>
        <w:trPr>
          <w:trHeight w:val="142"/>
        </w:trPr>
        <w:tc>
          <w:tcPr>
            <w:tcW w:w="3200" w:type="dxa"/>
            <w:vAlign w:val="bottom"/>
          </w:tcPr>
          <w:p>
            <w:pPr>
              <w:spacing w:after="0" w:line="142" w:lineRule="exact"/>
              <w:rPr>
                <w:sz w:val="20"/>
                <w:szCs w:val="20"/>
                <w:color w:val="auto"/>
              </w:rPr>
            </w:pPr>
            <w:r>
              <w:rPr>
                <w:rFonts w:ascii="Arial" w:cs="Arial" w:eastAsia="Arial" w:hAnsi="Arial"/>
                <w:sz w:val="14"/>
                <w:szCs w:val="14"/>
                <w:b w:val="1"/>
                <w:bCs w:val="1"/>
                <w:color w:val="auto"/>
              </w:rPr>
              <w:t>Types of equity-based awards that</w:t>
            </w:r>
          </w:p>
        </w:tc>
        <w:tc>
          <w:tcPr>
            <w:tcW w:w="3000" w:type="dxa"/>
            <w:vAlign w:val="bottom"/>
            <w:gridSpan w:val="2"/>
          </w:tcPr>
          <w:p>
            <w:pPr>
              <w:ind w:left="320"/>
              <w:spacing w:after="0" w:line="142" w:lineRule="exact"/>
              <w:rPr>
                <w:sz w:val="20"/>
                <w:szCs w:val="20"/>
                <w:color w:val="auto"/>
              </w:rPr>
            </w:pPr>
            <w:r>
              <w:rPr>
                <w:rFonts w:ascii="Arial" w:cs="Arial" w:eastAsia="Arial" w:hAnsi="Arial"/>
                <w:sz w:val="14"/>
                <w:szCs w:val="14"/>
                <w:color w:val="auto"/>
              </w:rPr>
              <w:t>Common shares</w:t>
            </w:r>
          </w:p>
        </w:tc>
        <w:tc>
          <w:tcPr>
            <w:tcW w:w="1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88"/>
        </w:trPr>
        <w:tc>
          <w:tcPr>
            <w:tcW w:w="320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may be issued</w:t>
            </w:r>
          </w:p>
        </w:tc>
        <w:tc>
          <w:tcPr>
            <w:tcW w:w="460" w:type="dxa"/>
            <w:vAlign w:val="bottom"/>
            <w:tcBorders>
              <w:bottom w:val="single" w:sz="8" w:color="AFAFAF"/>
            </w:tcBorders>
          </w:tcPr>
          <w:p>
            <w:pPr>
              <w:spacing w:after="0"/>
              <w:rPr>
                <w:sz w:val="16"/>
                <w:szCs w:val="16"/>
                <w:color w:val="auto"/>
              </w:rPr>
            </w:pPr>
          </w:p>
        </w:tc>
        <w:tc>
          <w:tcPr>
            <w:tcW w:w="2540" w:type="dxa"/>
            <w:vAlign w:val="bottom"/>
            <w:tcBorders>
              <w:bottom w:val="single" w:sz="8" w:color="AFAFAF"/>
            </w:tcBorders>
          </w:tcPr>
          <w:p>
            <w:pPr>
              <w:spacing w:after="0"/>
              <w:rPr>
                <w:sz w:val="16"/>
                <w:szCs w:val="16"/>
                <w:color w:val="auto"/>
              </w:rPr>
            </w:pPr>
          </w:p>
        </w:tc>
        <w:tc>
          <w:tcPr>
            <w:tcW w:w="1380" w:type="dxa"/>
            <w:vAlign w:val="bottom"/>
            <w:tcBorders>
              <w:bottom w:val="single" w:sz="8" w:color="AFAFAF"/>
            </w:tcBorders>
          </w:tcPr>
          <w:p>
            <w:pPr>
              <w:spacing w:after="0"/>
              <w:rPr>
                <w:sz w:val="16"/>
                <w:szCs w:val="16"/>
                <w:color w:val="auto"/>
              </w:rPr>
            </w:pPr>
          </w:p>
        </w:tc>
        <w:tc>
          <w:tcPr>
            <w:tcW w:w="1720" w:type="dxa"/>
            <w:vAlign w:val="bottom"/>
            <w:tcBorders>
              <w:bottom w:val="single" w:sz="8" w:color="AFAFAF"/>
            </w:tcBorders>
          </w:tcPr>
          <w:p>
            <w:pPr>
              <w:spacing w:after="0"/>
              <w:rPr>
                <w:sz w:val="16"/>
                <w:szCs w:val="16"/>
                <w:color w:val="auto"/>
              </w:rPr>
            </w:pPr>
          </w:p>
        </w:tc>
        <w:tc>
          <w:tcPr>
            <w:tcW w:w="540" w:type="dxa"/>
            <w:vAlign w:val="bottom"/>
            <w:tcBorders>
              <w:bottom w:val="single" w:sz="8" w:color="AFAFAF"/>
            </w:tcBorders>
          </w:tcPr>
          <w:p>
            <w:pPr>
              <w:spacing w:after="0"/>
              <w:rPr>
                <w:sz w:val="16"/>
                <w:szCs w:val="16"/>
                <w:color w:val="auto"/>
              </w:rPr>
            </w:pPr>
          </w:p>
        </w:tc>
        <w:tc>
          <w:tcPr>
            <w:tcW w:w="1140" w:type="dxa"/>
            <w:vAlign w:val="bottom"/>
            <w:tcBorders>
              <w:bottom w:val="single" w:sz="8" w:color="AFAFAF"/>
            </w:tcBorders>
          </w:tcPr>
          <w:p>
            <w:pPr>
              <w:spacing w:after="0"/>
              <w:rPr>
                <w:sz w:val="16"/>
                <w:szCs w:val="16"/>
                <w:color w:val="auto"/>
              </w:rPr>
            </w:pPr>
          </w:p>
        </w:tc>
      </w:tr>
      <w:tr>
        <w:trPr>
          <w:trHeight w:val="160"/>
        </w:trPr>
        <w:tc>
          <w:tcPr>
            <w:tcW w:w="3200" w:type="dxa"/>
            <w:vAlign w:val="bottom"/>
          </w:tcPr>
          <w:p>
            <w:pPr>
              <w:spacing w:after="0" w:line="160" w:lineRule="exact"/>
              <w:rPr>
                <w:sz w:val="20"/>
                <w:szCs w:val="20"/>
                <w:color w:val="auto"/>
              </w:rPr>
            </w:pPr>
            <w:r>
              <w:rPr>
                <w:rFonts w:ascii="Arial" w:cs="Arial" w:eastAsia="Arial" w:hAnsi="Arial"/>
                <w:sz w:val="14"/>
                <w:szCs w:val="14"/>
                <w:b w:val="1"/>
                <w:bCs w:val="1"/>
                <w:color w:val="auto"/>
              </w:rPr>
              <w:t>ESPP—key terms</w:t>
            </w:r>
          </w:p>
        </w:tc>
        <w:tc>
          <w:tcPr>
            <w:tcW w:w="460" w:type="dxa"/>
            <w:vAlign w:val="bottom"/>
          </w:tcPr>
          <w:p>
            <w:pPr>
              <w:ind w:left="320"/>
              <w:spacing w:after="0"/>
              <w:rPr>
                <w:sz w:val="20"/>
                <w:szCs w:val="20"/>
                <w:color w:val="auto"/>
              </w:rPr>
            </w:pPr>
            <w:r>
              <w:rPr>
                <w:rFonts w:ascii="Arial" w:cs="Arial" w:eastAsia="Arial" w:hAnsi="Arial"/>
                <w:sz w:val="12"/>
                <w:szCs w:val="12"/>
                <w:color w:val="auto"/>
              </w:rPr>
              <w:t>●</w:t>
            </w:r>
          </w:p>
        </w:tc>
        <w:tc>
          <w:tcPr>
            <w:tcW w:w="7320" w:type="dxa"/>
            <w:vAlign w:val="bottom"/>
            <w:gridSpan w:val="5"/>
          </w:tcPr>
          <w:p>
            <w:pPr>
              <w:ind w:left="60"/>
              <w:spacing w:after="0" w:line="160" w:lineRule="exact"/>
              <w:rPr>
                <w:sz w:val="20"/>
                <w:szCs w:val="20"/>
                <w:color w:val="auto"/>
              </w:rPr>
            </w:pPr>
            <w:r>
              <w:rPr>
                <w:rFonts w:ascii="Arial" w:cs="Arial" w:eastAsia="Arial" w:hAnsi="Arial"/>
                <w:sz w:val="14"/>
                <w:szCs w:val="14"/>
                <w:color w:val="auto"/>
              </w:rPr>
              <w:t>The ESPP is voluntary. Eligible employees contribute to the ESPP through payroll deductions by designating from</w:t>
            </w:r>
          </w:p>
        </w:tc>
      </w:tr>
      <w:tr>
        <w:trPr>
          <w:trHeight w:val="157"/>
        </w:trPr>
        <w:tc>
          <w:tcPr>
            <w:tcW w:w="3200" w:type="dxa"/>
            <w:vAlign w:val="bottom"/>
          </w:tcPr>
          <w:p>
            <w:pPr>
              <w:spacing w:after="0"/>
              <w:rPr>
                <w:sz w:val="13"/>
                <w:szCs w:val="13"/>
                <w:color w:val="auto"/>
              </w:rPr>
            </w:pPr>
          </w:p>
        </w:tc>
        <w:tc>
          <w:tcPr>
            <w:tcW w:w="460" w:type="dxa"/>
            <w:vAlign w:val="bottom"/>
            <w:tcBorders>
              <w:bottom w:val="single" w:sz="8" w:color="AFAFAF"/>
            </w:tcBorders>
          </w:tcPr>
          <w:p>
            <w:pPr>
              <w:spacing w:after="0"/>
              <w:rPr>
                <w:sz w:val="13"/>
                <w:szCs w:val="13"/>
                <w:color w:val="auto"/>
              </w:rPr>
            </w:pPr>
          </w:p>
        </w:tc>
        <w:tc>
          <w:tcPr>
            <w:tcW w:w="3920" w:type="dxa"/>
            <w:vAlign w:val="bottom"/>
            <w:tcBorders>
              <w:bottom w:val="single" w:sz="8" w:color="AFAFAF"/>
            </w:tcBorders>
            <w:gridSpan w:val="2"/>
          </w:tcPr>
          <w:p>
            <w:pPr>
              <w:ind w:left="60"/>
              <w:spacing w:after="0" w:line="157" w:lineRule="exact"/>
              <w:rPr>
                <w:sz w:val="20"/>
                <w:szCs w:val="20"/>
                <w:color w:val="auto"/>
              </w:rPr>
            </w:pPr>
            <w:r>
              <w:rPr>
                <w:rFonts w:ascii="Arial" w:cs="Arial" w:eastAsia="Arial" w:hAnsi="Arial"/>
                <w:sz w:val="14"/>
                <w:szCs w:val="14"/>
                <w:color w:val="auto"/>
              </w:rPr>
              <w:t>1% to 10% of eligible compensation to be withheld.</w:t>
            </w:r>
          </w:p>
        </w:tc>
        <w:tc>
          <w:tcPr>
            <w:tcW w:w="1720" w:type="dxa"/>
            <w:vAlign w:val="bottom"/>
            <w:tcBorders>
              <w:bottom w:val="single" w:sz="8" w:color="AFAFAF"/>
            </w:tcBorders>
          </w:tcPr>
          <w:p>
            <w:pPr>
              <w:spacing w:after="0"/>
              <w:rPr>
                <w:sz w:val="13"/>
                <w:szCs w:val="13"/>
                <w:color w:val="auto"/>
              </w:rPr>
            </w:pPr>
          </w:p>
        </w:tc>
        <w:tc>
          <w:tcPr>
            <w:tcW w:w="540" w:type="dxa"/>
            <w:vAlign w:val="bottom"/>
            <w:tcBorders>
              <w:bottom w:val="single" w:sz="8" w:color="AFAFAF"/>
            </w:tcBorders>
          </w:tcPr>
          <w:p>
            <w:pPr>
              <w:spacing w:after="0"/>
              <w:rPr>
                <w:sz w:val="13"/>
                <w:szCs w:val="13"/>
                <w:color w:val="auto"/>
              </w:rPr>
            </w:pPr>
          </w:p>
        </w:tc>
        <w:tc>
          <w:tcPr>
            <w:tcW w:w="1140" w:type="dxa"/>
            <w:vAlign w:val="bottom"/>
            <w:tcBorders>
              <w:bottom w:val="single" w:sz="8" w:color="AFAFAF"/>
            </w:tcBorders>
          </w:tcPr>
          <w:p>
            <w:pPr>
              <w:spacing w:after="0"/>
              <w:rPr>
                <w:sz w:val="13"/>
                <w:szCs w:val="13"/>
                <w:color w:val="auto"/>
              </w:rPr>
            </w:pPr>
          </w:p>
        </w:tc>
      </w:tr>
      <w:tr>
        <w:trPr>
          <w:trHeight w:val="160"/>
        </w:trPr>
        <w:tc>
          <w:tcPr>
            <w:tcW w:w="3200" w:type="dxa"/>
            <w:vAlign w:val="bottom"/>
          </w:tcPr>
          <w:p>
            <w:pPr>
              <w:spacing w:after="0"/>
              <w:rPr>
                <w:sz w:val="13"/>
                <w:szCs w:val="13"/>
                <w:color w:val="auto"/>
              </w:rPr>
            </w:pPr>
          </w:p>
        </w:tc>
        <w:tc>
          <w:tcPr>
            <w:tcW w:w="460" w:type="dxa"/>
            <w:vAlign w:val="bottom"/>
          </w:tcPr>
          <w:p>
            <w:pPr>
              <w:ind w:left="320"/>
              <w:spacing w:after="0"/>
              <w:rPr>
                <w:sz w:val="20"/>
                <w:szCs w:val="20"/>
                <w:color w:val="auto"/>
              </w:rPr>
            </w:pPr>
            <w:r>
              <w:rPr>
                <w:rFonts w:ascii="Arial" w:cs="Arial" w:eastAsia="Arial" w:hAnsi="Arial"/>
                <w:sz w:val="12"/>
                <w:szCs w:val="12"/>
                <w:color w:val="auto"/>
              </w:rPr>
              <w:t>●</w:t>
            </w:r>
          </w:p>
        </w:tc>
        <w:tc>
          <w:tcPr>
            <w:tcW w:w="7320" w:type="dxa"/>
            <w:vAlign w:val="bottom"/>
            <w:gridSpan w:val="5"/>
          </w:tcPr>
          <w:p>
            <w:pPr>
              <w:ind w:left="80"/>
              <w:spacing w:after="0" w:line="160" w:lineRule="exact"/>
              <w:rPr>
                <w:sz w:val="20"/>
                <w:szCs w:val="20"/>
                <w:color w:val="auto"/>
              </w:rPr>
            </w:pPr>
            <w:r>
              <w:rPr>
                <w:rFonts w:ascii="Arial" w:cs="Arial" w:eastAsia="Arial" w:hAnsi="Arial"/>
                <w:sz w:val="14"/>
                <w:szCs w:val="14"/>
                <w:color w:val="auto"/>
              </w:rPr>
              <w:t>On the last business day of each calendar quarter, we use accumulated payroll deductions to buy common shares</w:t>
            </w:r>
          </w:p>
        </w:tc>
      </w:tr>
      <w:tr>
        <w:trPr>
          <w:trHeight w:val="162"/>
        </w:trPr>
        <w:tc>
          <w:tcPr>
            <w:tcW w:w="3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320" w:type="dxa"/>
            <w:vAlign w:val="bottom"/>
            <w:gridSpan w:val="5"/>
          </w:tcPr>
          <w:p>
            <w:pPr>
              <w:ind w:left="60"/>
              <w:spacing w:after="0"/>
              <w:rPr>
                <w:sz w:val="20"/>
                <w:szCs w:val="20"/>
                <w:color w:val="auto"/>
              </w:rPr>
            </w:pPr>
            <w:r>
              <w:rPr>
                <w:rFonts w:ascii="Arial" w:cs="Arial" w:eastAsia="Arial" w:hAnsi="Arial"/>
                <w:sz w:val="14"/>
                <w:szCs w:val="14"/>
                <w:color w:val="auto"/>
              </w:rPr>
              <w:t>for participants. The price paid for shares is 85% of the closing price (i.e., a 15% discount) of our common shares</w:t>
            </w:r>
          </w:p>
        </w:tc>
      </w:tr>
      <w:tr>
        <w:trPr>
          <w:trHeight w:val="161"/>
        </w:trPr>
        <w:tc>
          <w:tcPr>
            <w:tcW w:w="3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320" w:type="dxa"/>
            <w:vAlign w:val="bottom"/>
            <w:gridSpan w:val="5"/>
          </w:tcPr>
          <w:p>
            <w:pPr>
              <w:ind w:left="60"/>
              <w:spacing w:after="0"/>
              <w:rPr>
                <w:sz w:val="20"/>
                <w:szCs w:val="20"/>
                <w:color w:val="auto"/>
              </w:rPr>
            </w:pPr>
            <w:r>
              <w:rPr>
                <w:rFonts w:ascii="Arial" w:cs="Arial" w:eastAsia="Arial" w:hAnsi="Arial"/>
                <w:sz w:val="14"/>
                <w:szCs w:val="14"/>
                <w:color w:val="auto"/>
              </w:rPr>
              <w:t>on the NYSE on the last trading day of the quarter. Non-U.S. participants purchase shares in the local foreign</w:t>
            </w:r>
          </w:p>
        </w:tc>
      </w:tr>
      <w:tr>
        <w:trPr>
          <w:trHeight w:val="157"/>
        </w:trPr>
        <w:tc>
          <w:tcPr>
            <w:tcW w:w="3200" w:type="dxa"/>
            <w:vAlign w:val="bottom"/>
          </w:tcPr>
          <w:p>
            <w:pPr>
              <w:spacing w:after="0"/>
              <w:rPr>
                <w:sz w:val="13"/>
                <w:szCs w:val="13"/>
                <w:color w:val="auto"/>
              </w:rPr>
            </w:pPr>
          </w:p>
        </w:tc>
        <w:tc>
          <w:tcPr>
            <w:tcW w:w="460" w:type="dxa"/>
            <w:vAlign w:val="bottom"/>
            <w:tcBorders>
              <w:bottom w:val="single" w:sz="8" w:color="AFAFAF"/>
            </w:tcBorders>
          </w:tcPr>
          <w:p>
            <w:pPr>
              <w:spacing w:after="0"/>
              <w:rPr>
                <w:sz w:val="13"/>
                <w:szCs w:val="13"/>
                <w:color w:val="auto"/>
              </w:rPr>
            </w:pPr>
          </w:p>
        </w:tc>
        <w:tc>
          <w:tcPr>
            <w:tcW w:w="2540" w:type="dxa"/>
            <w:vAlign w:val="bottom"/>
            <w:tcBorders>
              <w:bottom w:val="single" w:sz="8" w:color="AFAFAF"/>
            </w:tcBorders>
          </w:tcPr>
          <w:p>
            <w:pPr>
              <w:ind w:left="60"/>
              <w:spacing w:after="0" w:line="157" w:lineRule="exact"/>
              <w:rPr>
                <w:sz w:val="20"/>
                <w:szCs w:val="20"/>
                <w:color w:val="auto"/>
              </w:rPr>
            </w:pPr>
            <w:r>
              <w:rPr>
                <w:rFonts w:ascii="Arial" w:cs="Arial" w:eastAsia="Arial" w:hAnsi="Arial"/>
                <w:sz w:val="14"/>
                <w:szCs w:val="14"/>
                <w:color w:val="auto"/>
              </w:rPr>
              <w:t>currency equivalent of this amount.</w:t>
            </w:r>
          </w:p>
        </w:tc>
        <w:tc>
          <w:tcPr>
            <w:tcW w:w="1380" w:type="dxa"/>
            <w:vAlign w:val="bottom"/>
            <w:tcBorders>
              <w:bottom w:val="single" w:sz="8" w:color="AFAFAF"/>
            </w:tcBorders>
          </w:tcPr>
          <w:p>
            <w:pPr>
              <w:spacing w:after="0"/>
              <w:rPr>
                <w:sz w:val="13"/>
                <w:szCs w:val="13"/>
                <w:color w:val="auto"/>
              </w:rPr>
            </w:pPr>
          </w:p>
        </w:tc>
        <w:tc>
          <w:tcPr>
            <w:tcW w:w="1720" w:type="dxa"/>
            <w:vAlign w:val="bottom"/>
            <w:tcBorders>
              <w:bottom w:val="single" w:sz="8" w:color="AFAFAF"/>
            </w:tcBorders>
          </w:tcPr>
          <w:p>
            <w:pPr>
              <w:spacing w:after="0"/>
              <w:rPr>
                <w:sz w:val="13"/>
                <w:szCs w:val="13"/>
                <w:color w:val="auto"/>
              </w:rPr>
            </w:pPr>
          </w:p>
        </w:tc>
        <w:tc>
          <w:tcPr>
            <w:tcW w:w="540" w:type="dxa"/>
            <w:vAlign w:val="bottom"/>
            <w:tcBorders>
              <w:bottom w:val="single" w:sz="8" w:color="AFAFAF"/>
            </w:tcBorders>
          </w:tcPr>
          <w:p>
            <w:pPr>
              <w:spacing w:after="0"/>
              <w:rPr>
                <w:sz w:val="13"/>
                <w:szCs w:val="13"/>
                <w:color w:val="auto"/>
              </w:rPr>
            </w:pPr>
          </w:p>
        </w:tc>
        <w:tc>
          <w:tcPr>
            <w:tcW w:w="1140" w:type="dxa"/>
            <w:vAlign w:val="bottom"/>
            <w:tcBorders>
              <w:bottom w:val="single" w:sz="8" w:color="AFAFAF"/>
            </w:tcBorders>
          </w:tcPr>
          <w:p>
            <w:pPr>
              <w:spacing w:after="0"/>
              <w:rPr>
                <w:sz w:val="13"/>
                <w:szCs w:val="13"/>
                <w:color w:val="auto"/>
              </w:rPr>
            </w:pPr>
          </w:p>
        </w:tc>
      </w:tr>
      <w:tr>
        <w:trPr>
          <w:trHeight w:val="160"/>
        </w:trPr>
        <w:tc>
          <w:tcPr>
            <w:tcW w:w="3200" w:type="dxa"/>
            <w:vAlign w:val="bottom"/>
          </w:tcPr>
          <w:p>
            <w:pPr>
              <w:spacing w:after="0"/>
              <w:rPr>
                <w:sz w:val="13"/>
                <w:szCs w:val="13"/>
                <w:color w:val="auto"/>
              </w:rPr>
            </w:pPr>
          </w:p>
        </w:tc>
        <w:tc>
          <w:tcPr>
            <w:tcW w:w="460" w:type="dxa"/>
            <w:vAlign w:val="bottom"/>
          </w:tcPr>
          <w:p>
            <w:pPr>
              <w:ind w:left="320"/>
              <w:spacing w:after="0"/>
              <w:rPr>
                <w:sz w:val="20"/>
                <w:szCs w:val="20"/>
                <w:color w:val="auto"/>
              </w:rPr>
            </w:pPr>
            <w:r>
              <w:rPr>
                <w:rFonts w:ascii="Arial" w:cs="Arial" w:eastAsia="Arial" w:hAnsi="Arial"/>
                <w:sz w:val="12"/>
                <w:szCs w:val="12"/>
                <w:color w:val="auto"/>
              </w:rPr>
              <w:t>●</w:t>
            </w:r>
          </w:p>
        </w:tc>
        <w:tc>
          <w:tcPr>
            <w:tcW w:w="7320" w:type="dxa"/>
            <w:vAlign w:val="bottom"/>
            <w:gridSpan w:val="5"/>
          </w:tcPr>
          <w:p>
            <w:pPr>
              <w:ind w:left="60"/>
              <w:spacing w:after="0" w:line="160" w:lineRule="exact"/>
              <w:rPr>
                <w:sz w:val="20"/>
                <w:szCs w:val="20"/>
                <w:color w:val="auto"/>
              </w:rPr>
            </w:pPr>
            <w:r>
              <w:rPr>
                <w:rFonts w:ascii="Arial" w:cs="Arial" w:eastAsia="Arial" w:hAnsi="Arial"/>
                <w:sz w:val="14"/>
                <w:szCs w:val="14"/>
                <w:color w:val="auto"/>
              </w:rPr>
              <w:t>A minimum holding period applies to all shares purchased under the ESPP, unless participants in a particular</w:t>
            </w:r>
          </w:p>
        </w:tc>
      </w:tr>
      <w:tr>
        <w:trPr>
          <w:trHeight w:val="162"/>
        </w:trPr>
        <w:tc>
          <w:tcPr>
            <w:tcW w:w="3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320" w:type="dxa"/>
            <w:vAlign w:val="bottom"/>
            <w:gridSpan w:val="5"/>
          </w:tcPr>
          <w:p>
            <w:pPr>
              <w:ind w:left="60"/>
              <w:spacing w:after="0"/>
              <w:rPr>
                <w:sz w:val="20"/>
                <w:szCs w:val="20"/>
                <w:color w:val="auto"/>
              </w:rPr>
            </w:pPr>
            <w:r>
              <w:rPr>
                <w:rFonts w:ascii="Arial" w:cs="Arial" w:eastAsia="Arial" w:hAnsi="Arial"/>
                <w:sz w:val="14"/>
                <w:szCs w:val="14"/>
                <w:color w:val="auto"/>
              </w:rPr>
              <w:t>country are exempted from this requirement due to legal, regulatory or tax considerations. While a participant is a</w:t>
            </w:r>
          </w:p>
        </w:tc>
      </w:tr>
      <w:tr>
        <w:trPr>
          <w:trHeight w:val="162"/>
        </w:trPr>
        <w:tc>
          <w:tcPr>
            <w:tcW w:w="3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320" w:type="dxa"/>
            <w:vAlign w:val="bottom"/>
            <w:gridSpan w:val="5"/>
          </w:tcPr>
          <w:p>
            <w:pPr>
              <w:ind w:left="60"/>
              <w:spacing w:after="0"/>
              <w:rPr>
                <w:sz w:val="20"/>
                <w:szCs w:val="20"/>
                <w:color w:val="auto"/>
              </w:rPr>
            </w:pPr>
            <w:r>
              <w:rPr>
                <w:rFonts w:ascii="Arial" w:cs="Arial" w:eastAsia="Arial" w:hAnsi="Arial"/>
                <w:sz w:val="14"/>
                <w:szCs w:val="14"/>
                <w:color w:val="auto"/>
              </w:rPr>
              <w:t>Thomson Reuters employee, if he or she is subject to a holding period, then shares purchased at the end of a</w:t>
            </w:r>
          </w:p>
        </w:tc>
      </w:tr>
      <w:tr>
        <w:trPr>
          <w:trHeight w:val="157"/>
        </w:trPr>
        <w:tc>
          <w:tcPr>
            <w:tcW w:w="3200" w:type="dxa"/>
            <w:vAlign w:val="bottom"/>
          </w:tcPr>
          <w:p>
            <w:pPr>
              <w:spacing w:after="0"/>
              <w:rPr>
                <w:sz w:val="13"/>
                <w:szCs w:val="13"/>
                <w:color w:val="auto"/>
              </w:rPr>
            </w:pPr>
          </w:p>
        </w:tc>
        <w:tc>
          <w:tcPr>
            <w:tcW w:w="460" w:type="dxa"/>
            <w:vAlign w:val="bottom"/>
            <w:tcBorders>
              <w:bottom w:val="single" w:sz="8" w:color="AFAFAF"/>
            </w:tcBorders>
          </w:tcPr>
          <w:p>
            <w:pPr>
              <w:spacing w:after="0"/>
              <w:rPr>
                <w:sz w:val="13"/>
                <w:szCs w:val="13"/>
                <w:color w:val="auto"/>
              </w:rPr>
            </w:pPr>
          </w:p>
        </w:tc>
        <w:tc>
          <w:tcPr>
            <w:tcW w:w="6180" w:type="dxa"/>
            <w:vAlign w:val="bottom"/>
            <w:tcBorders>
              <w:bottom w:val="single" w:sz="8" w:color="AFAFAF"/>
            </w:tcBorders>
            <w:gridSpan w:val="4"/>
          </w:tcPr>
          <w:p>
            <w:pPr>
              <w:ind w:left="60"/>
              <w:spacing w:after="0" w:line="157" w:lineRule="exact"/>
              <w:rPr>
                <w:sz w:val="20"/>
                <w:szCs w:val="20"/>
                <w:color w:val="auto"/>
              </w:rPr>
            </w:pPr>
            <w:r>
              <w:rPr>
                <w:rFonts w:ascii="Arial" w:cs="Arial" w:eastAsia="Arial" w:hAnsi="Arial"/>
                <w:sz w:val="14"/>
                <w:szCs w:val="14"/>
                <w:color w:val="auto"/>
              </w:rPr>
              <w:t>calendar quarter may not be sold until the next quarterly offering period ends.</w:t>
            </w:r>
          </w:p>
        </w:tc>
        <w:tc>
          <w:tcPr>
            <w:tcW w:w="1140" w:type="dxa"/>
            <w:vAlign w:val="bottom"/>
            <w:tcBorders>
              <w:bottom w:val="single" w:sz="8" w:color="AFAFAF"/>
            </w:tcBorders>
          </w:tcPr>
          <w:p>
            <w:pPr>
              <w:spacing w:after="0"/>
              <w:rPr>
                <w:sz w:val="13"/>
                <w:szCs w:val="13"/>
                <w:color w:val="auto"/>
              </w:rPr>
            </w:pPr>
          </w:p>
        </w:tc>
      </w:tr>
      <w:tr>
        <w:trPr>
          <w:trHeight w:val="160"/>
        </w:trPr>
        <w:tc>
          <w:tcPr>
            <w:tcW w:w="3200" w:type="dxa"/>
            <w:vAlign w:val="bottom"/>
          </w:tcPr>
          <w:p>
            <w:pPr>
              <w:spacing w:after="0"/>
              <w:rPr>
                <w:sz w:val="13"/>
                <w:szCs w:val="13"/>
                <w:color w:val="auto"/>
              </w:rPr>
            </w:pPr>
          </w:p>
        </w:tc>
        <w:tc>
          <w:tcPr>
            <w:tcW w:w="460" w:type="dxa"/>
            <w:vAlign w:val="bottom"/>
          </w:tcPr>
          <w:p>
            <w:pPr>
              <w:ind w:left="320"/>
              <w:spacing w:after="0"/>
              <w:rPr>
                <w:sz w:val="20"/>
                <w:szCs w:val="20"/>
                <w:color w:val="auto"/>
              </w:rPr>
            </w:pPr>
            <w:r>
              <w:rPr>
                <w:rFonts w:ascii="Arial" w:cs="Arial" w:eastAsia="Arial" w:hAnsi="Arial"/>
                <w:sz w:val="12"/>
                <w:szCs w:val="12"/>
                <w:color w:val="auto"/>
              </w:rPr>
              <w:t>●</w:t>
            </w:r>
          </w:p>
        </w:tc>
        <w:tc>
          <w:tcPr>
            <w:tcW w:w="7320" w:type="dxa"/>
            <w:vAlign w:val="bottom"/>
            <w:gridSpan w:val="5"/>
          </w:tcPr>
          <w:p>
            <w:pPr>
              <w:ind w:left="80"/>
              <w:spacing w:after="0" w:line="160" w:lineRule="exact"/>
              <w:rPr>
                <w:sz w:val="20"/>
                <w:szCs w:val="20"/>
                <w:color w:val="auto"/>
              </w:rPr>
            </w:pPr>
            <w:r>
              <w:rPr>
                <w:rFonts w:ascii="Arial" w:cs="Arial" w:eastAsia="Arial" w:hAnsi="Arial"/>
                <w:sz w:val="14"/>
                <w:szCs w:val="14"/>
                <w:color w:val="auto"/>
              </w:rPr>
              <w:t>Employees may elect to change or suspend payroll deductions during each quarterly offering period and may elect</w:t>
            </w:r>
          </w:p>
        </w:tc>
      </w:tr>
      <w:tr>
        <w:trPr>
          <w:trHeight w:val="161"/>
        </w:trPr>
        <w:tc>
          <w:tcPr>
            <w:tcW w:w="3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320" w:type="dxa"/>
            <w:vAlign w:val="bottom"/>
            <w:gridSpan w:val="5"/>
          </w:tcPr>
          <w:p>
            <w:pPr>
              <w:ind w:left="60"/>
              <w:spacing w:after="0"/>
              <w:rPr>
                <w:sz w:val="20"/>
                <w:szCs w:val="20"/>
                <w:color w:val="auto"/>
              </w:rPr>
            </w:pPr>
            <w:r>
              <w:rPr>
                <w:rFonts w:ascii="Arial" w:cs="Arial" w:eastAsia="Arial" w:hAnsi="Arial"/>
                <w:sz w:val="14"/>
                <w:szCs w:val="14"/>
                <w:color w:val="auto"/>
              </w:rPr>
              <w:t>to withdraw from the ESPP at least 10 business days before a quarterly purchase date. If an individual ceases to</w:t>
            </w:r>
          </w:p>
        </w:tc>
      </w:tr>
      <w:tr>
        <w:trPr>
          <w:trHeight w:val="162"/>
        </w:trPr>
        <w:tc>
          <w:tcPr>
            <w:tcW w:w="3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320" w:type="dxa"/>
            <w:vAlign w:val="bottom"/>
            <w:gridSpan w:val="5"/>
          </w:tcPr>
          <w:p>
            <w:pPr>
              <w:ind w:left="60"/>
              <w:spacing w:after="0"/>
              <w:rPr>
                <w:sz w:val="20"/>
                <w:szCs w:val="20"/>
                <w:color w:val="auto"/>
              </w:rPr>
            </w:pPr>
            <w:r>
              <w:rPr>
                <w:rFonts w:ascii="Arial" w:cs="Arial" w:eastAsia="Arial" w:hAnsi="Arial"/>
                <w:sz w:val="14"/>
                <w:szCs w:val="14"/>
                <w:color w:val="auto"/>
              </w:rPr>
              <w:t>be an eligible employee of Thomson Reuters, he or she is considered to have withdrawn from the ESPP. If ESPP</w:t>
            </w:r>
          </w:p>
        </w:tc>
      </w:tr>
      <w:tr>
        <w:trPr>
          <w:trHeight w:val="162"/>
        </w:trPr>
        <w:tc>
          <w:tcPr>
            <w:tcW w:w="3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320" w:type="dxa"/>
            <w:vAlign w:val="bottom"/>
            <w:gridSpan w:val="5"/>
          </w:tcPr>
          <w:p>
            <w:pPr>
              <w:ind w:left="60"/>
              <w:spacing w:after="0"/>
              <w:rPr>
                <w:sz w:val="20"/>
                <w:szCs w:val="20"/>
                <w:color w:val="auto"/>
              </w:rPr>
            </w:pPr>
            <w:r>
              <w:rPr>
                <w:rFonts w:ascii="Arial" w:cs="Arial" w:eastAsia="Arial" w:hAnsi="Arial"/>
                <w:sz w:val="14"/>
                <w:szCs w:val="14"/>
                <w:color w:val="auto"/>
              </w:rPr>
              <w:t>enrollment is cancelled, an employee may withdraw all of his or her payroll deductions from the ESPP that have</w:t>
            </w:r>
          </w:p>
        </w:tc>
      </w:tr>
      <w:tr>
        <w:trPr>
          <w:trHeight w:val="157"/>
        </w:trPr>
        <w:tc>
          <w:tcPr>
            <w:tcW w:w="3200" w:type="dxa"/>
            <w:vAlign w:val="bottom"/>
            <w:tcBorders>
              <w:bottom w:val="single" w:sz="8" w:color="AFAFAF"/>
            </w:tcBorders>
          </w:tcPr>
          <w:p>
            <w:pPr>
              <w:spacing w:after="0"/>
              <w:rPr>
                <w:sz w:val="13"/>
                <w:szCs w:val="13"/>
                <w:color w:val="auto"/>
              </w:rPr>
            </w:pPr>
          </w:p>
        </w:tc>
        <w:tc>
          <w:tcPr>
            <w:tcW w:w="460" w:type="dxa"/>
            <w:vAlign w:val="bottom"/>
            <w:tcBorders>
              <w:bottom w:val="single" w:sz="8" w:color="AFAFAF"/>
            </w:tcBorders>
          </w:tcPr>
          <w:p>
            <w:pPr>
              <w:spacing w:after="0"/>
              <w:rPr>
                <w:sz w:val="13"/>
                <w:szCs w:val="13"/>
                <w:color w:val="auto"/>
              </w:rPr>
            </w:pPr>
          </w:p>
        </w:tc>
        <w:tc>
          <w:tcPr>
            <w:tcW w:w="2540" w:type="dxa"/>
            <w:vAlign w:val="bottom"/>
            <w:tcBorders>
              <w:bottom w:val="single" w:sz="8" w:color="AFAFAF"/>
            </w:tcBorders>
          </w:tcPr>
          <w:p>
            <w:pPr>
              <w:ind w:left="60"/>
              <w:spacing w:after="0" w:line="157" w:lineRule="exact"/>
              <w:rPr>
                <w:sz w:val="20"/>
                <w:szCs w:val="20"/>
                <w:color w:val="auto"/>
              </w:rPr>
            </w:pPr>
            <w:r>
              <w:rPr>
                <w:rFonts w:ascii="Arial" w:cs="Arial" w:eastAsia="Arial" w:hAnsi="Arial"/>
                <w:sz w:val="14"/>
                <w:szCs w:val="14"/>
                <w:color w:val="auto"/>
              </w:rPr>
              <w:t>not been used to purchase shares.</w:t>
            </w:r>
          </w:p>
        </w:tc>
        <w:tc>
          <w:tcPr>
            <w:tcW w:w="1380" w:type="dxa"/>
            <w:vAlign w:val="bottom"/>
            <w:tcBorders>
              <w:bottom w:val="single" w:sz="8" w:color="AFAFAF"/>
            </w:tcBorders>
          </w:tcPr>
          <w:p>
            <w:pPr>
              <w:spacing w:after="0"/>
              <w:rPr>
                <w:sz w:val="13"/>
                <w:szCs w:val="13"/>
                <w:color w:val="auto"/>
              </w:rPr>
            </w:pPr>
          </w:p>
        </w:tc>
        <w:tc>
          <w:tcPr>
            <w:tcW w:w="1720" w:type="dxa"/>
            <w:vAlign w:val="bottom"/>
            <w:tcBorders>
              <w:bottom w:val="single" w:sz="8" w:color="AFAFAF"/>
            </w:tcBorders>
          </w:tcPr>
          <w:p>
            <w:pPr>
              <w:spacing w:after="0"/>
              <w:rPr>
                <w:sz w:val="13"/>
                <w:szCs w:val="13"/>
                <w:color w:val="auto"/>
              </w:rPr>
            </w:pPr>
          </w:p>
        </w:tc>
        <w:tc>
          <w:tcPr>
            <w:tcW w:w="540" w:type="dxa"/>
            <w:vAlign w:val="bottom"/>
            <w:tcBorders>
              <w:bottom w:val="single" w:sz="8" w:color="AFAFAF"/>
            </w:tcBorders>
          </w:tcPr>
          <w:p>
            <w:pPr>
              <w:spacing w:after="0"/>
              <w:rPr>
                <w:sz w:val="13"/>
                <w:szCs w:val="13"/>
                <w:color w:val="auto"/>
              </w:rPr>
            </w:pPr>
          </w:p>
        </w:tc>
        <w:tc>
          <w:tcPr>
            <w:tcW w:w="1140" w:type="dxa"/>
            <w:vAlign w:val="bottom"/>
            <w:tcBorders>
              <w:bottom w:val="single" w:sz="8" w:color="AFAFAF"/>
            </w:tcBorders>
          </w:tcPr>
          <w:p>
            <w:pPr>
              <w:spacing w:after="0"/>
              <w:rPr>
                <w:sz w:val="13"/>
                <w:szCs w:val="13"/>
                <w:color w:val="auto"/>
              </w:rPr>
            </w:pPr>
          </w:p>
        </w:tc>
      </w:tr>
      <w:tr>
        <w:trPr>
          <w:trHeight w:val="155"/>
        </w:trPr>
        <w:tc>
          <w:tcPr>
            <w:tcW w:w="3200" w:type="dxa"/>
            <w:vAlign w:val="bottom"/>
            <w:tcBorders>
              <w:bottom w:val="single" w:sz="8" w:color="AFAFAF"/>
            </w:tcBorders>
          </w:tcPr>
          <w:p>
            <w:pPr>
              <w:spacing w:after="0" w:line="155" w:lineRule="exact"/>
              <w:rPr>
                <w:sz w:val="20"/>
                <w:szCs w:val="20"/>
                <w:color w:val="auto"/>
              </w:rPr>
            </w:pPr>
            <w:r>
              <w:rPr>
                <w:rFonts w:ascii="Arial" w:cs="Arial" w:eastAsia="Arial" w:hAnsi="Arial"/>
                <w:sz w:val="14"/>
                <w:szCs w:val="14"/>
                <w:b w:val="1"/>
                <w:bCs w:val="1"/>
                <w:color w:val="auto"/>
              </w:rPr>
              <w:t>Plan amendments and changes</w:t>
            </w:r>
          </w:p>
        </w:tc>
        <w:tc>
          <w:tcPr>
            <w:tcW w:w="6640" w:type="dxa"/>
            <w:vAlign w:val="bottom"/>
            <w:tcBorders>
              <w:bottom w:val="single" w:sz="8" w:color="AFAFAF"/>
            </w:tcBorders>
            <w:gridSpan w:val="5"/>
          </w:tcPr>
          <w:p>
            <w:pPr>
              <w:ind w:left="320"/>
              <w:spacing w:after="0" w:line="155" w:lineRule="exact"/>
              <w:rPr>
                <w:sz w:val="20"/>
                <w:szCs w:val="20"/>
                <w:color w:val="auto"/>
              </w:rPr>
            </w:pPr>
            <w:r>
              <w:rPr>
                <w:rFonts w:ascii="Arial" w:cs="Arial" w:eastAsia="Arial" w:hAnsi="Arial"/>
                <w:sz w:val="14"/>
                <w:szCs w:val="14"/>
                <w:color w:val="auto"/>
              </w:rPr>
              <w:t>Substantially similar to the provisions of the stock incentive plan described above.</w:t>
            </w:r>
          </w:p>
        </w:tc>
        <w:tc>
          <w:tcPr>
            <w:tcW w:w="1140" w:type="dxa"/>
            <w:vAlign w:val="bottom"/>
            <w:tcBorders>
              <w:bottom w:val="single" w:sz="8" w:color="AFAFAF"/>
            </w:tcBorders>
          </w:tcPr>
          <w:p>
            <w:pPr>
              <w:spacing w:after="0"/>
              <w:rPr>
                <w:sz w:val="13"/>
                <w:szCs w:val="13"/>
                <w:color w:val="auto"/>
              </w:rPr>
            </w:pPr>
          </w:p>
        </w:tc>
      </w:tr>
      <w:tr>
        <w:trPr>
          <w:trHeight w:val="155"/>
        </w:trPr>
        <w:tc>
          <w:tcPr>
            <w:tcW w:w="3200" w:type="dxa"/>
            <w:vAlign w:val="bottom"/>
            <w:tcBorders>
              <w:bottom w:val="single" w:sz="8" w:color="D95A3B"/>
            </w:tcBorders>
          </w:tcPr>
          <w:p>
            <w:pPr>
              <w:spacing w:after="0" w:line="155" w:lineRule="exact"/>
              <w:rPr>
                <w:sz w:val="20"/>
                <w:szCs w:val="20"/>
                <w:color w:val="auto"/>
              </w:rPr>
            </w:pPr>
            <w:r>
              <w:rPr>
                <w:rFonts w:ascii="Arial" w:cs="Arial" w:eastAsia="Arial" w:hAnsi="Arial"/>
                <w:sz w:val="14"/>
                <w:szCs w:val="14"/>
                <w:b w:val="1"/>
                <w:bCs w:val="1"/>
                <w:color w:val="auto"/>
              </w:rPr>
              <w:t>Transfers and assignments</w:t>
            </w:r>
          </w:p>
        </w:tc>
        <w:tc>
          <w:tcPr>
            <w:tcW w:w="4380" w:type="dxa"/>
            <w:vAlign w:val="bottom"/>
            <w:tcBorders>
              <w:bottom w:val="single" w:sz="8" w:color="D95A3B"/>
            </w:tcBorders>
            <w:gridSpan w:val="3"/>
          </w:tcPr>
          <w:p>
            <w:pPr>
              <w:ind w:left="320"/>
              <w:spacing w:after="0" w:line="155" w:lineRule="exact"/>
              <w:rPr>
                <w:sz w:val="20"/>
                <w:szCs w:val="20"/>
                <w:color w:val="auto"/>
              </w:rPr>
            </w:pPr>
            <w:r>
              <w:rPr>
                <w:rFonts w:ascii="Arial" w:cs="Arial" w:eastAsia="Arial" w:hAnsi="Arial"/>
                <w:sz w:val="14"/>
                <w:szCs w:val="14"/>
                <w:color w:val="auto"/>
              </w:rPr>
              <w:t>Not possible other than by the laws of descent and distribution.</w:t>
            </w:r>
          </w:p>
        </w:tc>
        <w:tc>
          <w:tcPr>
            <w:tcW w:w="1720" w:type="dxa"/>
            <w:vAlign w:val="bottom"/>
            <w:tcBorders>
              <w:bottom w:val="single" w:sz="8" w:color="D95A3B"/>
            </w:tcBorders>
          </w:tcPr>
          <w:p>
            <w:pPr>
              <w:spacing w:after="0"/>
              <w:rPr>
                <w:sz w:val="13"/>
                <w:szCs w:val="13"/>
                <w:color w:val="auto"/>
              </w:rPr>
            </w:pPr>
          </w:p>
        </w:tc>
        <w:tc>
          <w:tcPr>
            <w:tcW w:w="540" w:type="dxa"/>
            <w:vAlign w:val="bottom"/>
            <w:tcBorders>
              <w:bottom w:val="single" w:sz="8" w:color="D95A3B"/>
            </w:tcBorders>
          </w:tcPr>
          <w:p>
            <w:pPr>
              <w:spacing w:after="0"/>
              <w:rPr>
                <w:sz w:val="13"/>
                <w:szCs w:val="13"/>
                <w:color w:val="auto"/>
              </w:rPr>
            </w:pPr>
          </w:p>
        </w:tc>
        <w:tc>
          <w:tcPr>
            <w:tcW w:w="1140" w:type="dxa"/>
            <w:vAlign w:val="bottom"/>
            <w:tcBorders>
              <w:bottom w:val="single" w:sz="8" w:color="D95A3B"/>
            </w:tcBorders>
          </w:tcPr>
          <w:p>
            <w:pPr>
              <w:spacing w:after="0"/>
              <w:rPr>
                <w:sz w:val="13"/>
                <w:szCs w:val="13"/>
                <w:color w:val="auto"/>
              </w:rPr>
            </w:pPr>
          </w:p>
        </w:tc>
      </w:tr>
      <w:tr>
        <w:trPr>
          <w:trHeight w:val="229"/>
        </w:trPr>
        <w:tc>
          <w:tcPr>
            <w:tcW w:w="3200" w:type="dxa"/>
            <w:vAlign w:val="bottom"/>
            <w:tcBorders>
              <w:bottom w:val="single" w:sz="8" w:color="D95A3B"/>
            </w:tcBorders>
          </w:tcPr>
          <w:p>
            <w:pPr>
              <w:spacing w:after="0"/>
              <w:rPr>
                <w:sz w:val="19"/>
                <w:szCs w:val="19"/>
                <w:color w:val="auto"/>
              </w:rPr>
            </w:pPr>
          </w:p>
        </w:tc>
        <w:tc>
          <w:tcPr>
            <w:tcW w:w="460" w:type="dxa"/>
            <w:vAlign w:val="bottom"/>
            <w:tcBorders>
              <w:bottom w:val="single" w:sz="8" w:color="D95A3B"/>
            </w:tcBorders>
          </w:tcPr>
          <w:p>
            <w:pPr>
              <w:spacing w:after="0"/>
              <w:rPr>
                <w:sz w:val="19"/>
                <w:szCs w:val="19"/>
                <w:color w:val="auto"/>
              </w:rPr>
            </w:pPr>
          </w:p>
        </w:tc>
        <w:tc>
          <w:tcPr>
            <w:tcW w:w="2540" w:type="dxa"/>
            <w:vAlign w:val="bottom"/>
            <w:tcBorders>
              <w:bottom w:val="single" w:sz="8" w:color="D95A3B"/>
            </w:tcBorders>
          </w:tcPr>
          <w:p>
            <w:pPr>
              <w:spacing w:after="0"/>
              <w:rPr>
                <w:sz w:val="19"/>
                <w:szCs w:val="19"/>
                <w:color w:val="auto"/>
              </w:rPr>
            </w:pPr>
          </w:p>
        </w:tc>
        <w:tc>
          <w:tcPr>
            <w:tcW w:w="1380" w:type="dxa"/>
            <w:vAlign w:val="bottom"/>
            <w:tcBorders>
              <w:bottom w:val="single" w:sz="8" w:color="D95A3B"/>
            </w:tcBorders>
          </w:tcPr>
          <w:p>
            <w:pPr>
              <w:spacing w:after="0"/>
              <w:rPr>
                <w:sz w:val="19"/>
                <w:szCs w:val="19"/>
                <w:color w:val="auto"/>
              </w:rPr>
            </w:pPr>
          </w:p>
        </w:tc>
        <w:tc>
          <w:tcPr>
            <w:tcW w:w="1720" w:type="dxa"/>
            <w:vAlign w:val="bottom"/>
            <w:tcBorders>
              <w:bottom w:val="single" w:sz="8" w:color="D95A3B"/>
            </w:tcBorders>
          </w:tcPr>
          <w:p>
            <w:pPr>
              <w:spacing w:after="0"/>
              <w:rPr>
                <w:sz w:val="19"/>
                <w:szCs w:val="19"/>
                <w:color w:val="auto"/>
              </w:rPr>
            </w:pPr>
          </w:p>
        </w:tc>
        <w:tc>
          <w:tcPr>
            <w:tcW w:w="540" w:type="dxa"/>
            <w:vAlign w:val="bottom"/>
            <w:tcBorders>
              <w:bottom w:val="single" w:sz="8" w:color="D95A3B"/>
            </w:tcBorders>
          </w:tcPr>
          <w:p>
            <w:pPr>
              <w:spacing w:after="0"/>
              <w:rPr>
                <w:sz w:val="19"/>
                <w:szCs w:val="19"/>
                <w:color w:val="auto"/>
              </w:rPr>
            </w:pPr>
          </w:p>
        </w:tc>
        <w:tc>
          <w:tcPr>
            <w:tcW w:w="1140" w:type="dxa"/>
            <w:vAlign w:val="bottom"/>
            <w:tcBorders>
              <w:bottom w:val="single" w:sz="8" w:color="D95A3B"/>
            </w:tcBorders>
          </w:tcPr>
          <w:p>
            <w:pPr>
              <w:spacing w:after="0"/>
              <w:rPr>
                <w:sz w:val="19"/>
                <w:szCs w:val="19"/>
                <w:color w:val="auto"/>
              </w:rPr>
            </w:pPr>
          </w:p>
        </w:tc>
      </w:tr>
    </w:tbl>
    <w:p>
      <w:pPr>
        <w:spacing w:after="0" w:line="120" w:lineRule="exact"/>
        <w:rPr>
          <w:sz w:val="20"/>
          <w:szCs w:val="20"/>
          <w:color w:val="auto"/>
        </w:rPr>
      </w:pPr>
    </w:p>
    <w:p>
      <w:pPr>
        <w:ind w:left="220"/>
        <w:spacing w:after="0"/>
        <w:tabs>
          <w:tab w:leader="none" w:pos="920" w:val="left"/>
        </w:tabs>
        <w:rPr>
          <w:sz w:val="20"/>
          <w:szCs w:val="20"/>
          <w:color w:val="auto"/>
        </w:rPr>
      </w:pPr>
      <w:r>
        <w:rPr>
          <w:rFonts w:ascii="Arial" w:cs="Arial" w:eastAsia="Arial" w:hAnsi="Arial"/>
          <w:sz w:val="13"/>
          <w:szCs w:val="13"/>
          <w:color w:val="auto"/>
        </w:rPr>
        <w:t>Page A-5</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20" w:right="160"/>
        <w:spacing w:after="0" w:line="244" w:lineRule="auto"/>
        <w:rPr>
          <w:sz w:val="20"/>
          <w:szCs w:val="20"/>
          <w:color w:val="auto"/>
        </w:rPr>
      </w:pPr>
      <w:r>
        <w:rPr>
          <w:rFonts w:ascii="Arial" w:cs="Arial" w:eastAsia="Arial" w:hAnsi="Arial"/>
          <w:sz w:val="18"/>
          <w:szCs w:val="18"/>
          <w:color w:val="auto"/>
        </w:rPr>
        <w:t>The following table provides information as of the end of each year indicated related to the ESPP’s share usage, burn rates and potential dilution.</w:t>
      </w:r>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6020" w:type="dxa"/>
            <w:vAlign w:val="bottom"/>
            <w:tcBorders>
              <w:right w:val="single" w:sz="8" w:color="CCCCCC"/>
            </w:tcBorders>
          </w:tcPr>
          <w:p>
            <w:pPr>
              <w:spacing w:after="0"/>
              <w:rPr>
                <w:sz w:val="16"/>
                <w:szCs w:val="16"/>
                <w:color w:val="auto"/>
              </w:rPr>
            </w:pPr>
          </w:p>
        </w:tc>
        <w:tc>
          <w:tcPr>
            <w:tcW w:w="1460" w:type="dxa"/>
            <w:vAlign w:val="bottom"/>
            <w:tcBorders>
              <w:right w:val="single" w:sz="8" w:color="CCCCCC"/>
            </w:tcBorders>
            <w:shd w:val="clear" w:color="auto" w:fill="CCCCCC"/>
          </w:tcPr>
          <w:p>
            <w:pPr>
              <w:spacing w:after="0"/>
              <w:rPr>
                <w:sz w:val="16"/>
                <w:szCs w:val="16"/>
                <w:color w:val="auto"/>
              </w:rPr>
            </w:pPr>
          </w:p>
        </w:tc>
        <w:tc>
          <w:tcPr>
            <w:tcW w:w="1760" w:type="dxa"/>
            <w:vAlign w:val="bottom"/>
            <w:tcBorders>
              <w:right w:val="single" w:sz="8" w:color="CCCCCC"/>
            </w:tcBorders>
            <w:shd w:val="clear" w:color="auto" w:fill="CCCCCC"/>
          </w:tcPr>
          <w:p>
            <w:pPr>
              <w:jc w:val="right"/>
              <w:ind w:right="46"/>
              <w:spacing w:after="0"/>
              <w:rPr>
                <w:sz w:val="20"/>
                <w:szCs w:val="20"/>
                <w:color w:val="auto"/>
              </w:rPr>
            </w:pPr>
            <w:r>
              <w:rPr>
                <w:rFonts w:ascii="Arial" w:cs="Arial" w:eastAsia="Arial" w:hAnsi="Arial"/>
                <w:sz w:val="15"/>
                <w:szCs w:val="15"/>
                <w:b w:val="1"/>
                <w:bCs w:val="1"/>
                <w:color w:val="auto"/>
              </w:rPr>
              <w:t>As of December 31,</w:t>
            </w:r>
          </w:p>
        </w:tc>
        <w:tc>
          <w:tcPr>
            <w:tcW w:w="1740" w:type="dxa"/>
            <w:vAlign w:val="bottom"/>
            <w:shd w:val="clear" w:color="auto" w:fill="CCCCCC"/>
          </w:tcPr>
          <w:p>
            <w:pPr>
              <w:spacing w:after="0"/>
              <w:rPr>
                <w:sz w:val="16"/>
                <w:szCs w:val="16"/>
                <w:color w:val="auto"/>
              </w:rPr>
            </w:pPr>
          </w:p>
        </w:tc>
      </w:tr>
      <w:tr>
        <w:trPr>
          <w:trHeight w:val="183"/>
        </w:trPr>
        <w:tc>
          <w:tcPr>
            <w:tcW w:w="6020" w:type="dxa"/>
            <w:vAlign w:val="bottom"/>
            <w:tcBorders>
              <w:bottom w:val="single" w:sz="8" w:color="D95A3B"/>
              <w:right w:val="single" w:sz="8" w:color="CCCCCC"/>
            </w:tcBorders>
          </w:tcPr>
          <w:p>
            <w:pPr>
              <w:spacing w:after="0"/>
              <w:rPr>
                <w:sz w:val="15"/>
                <w:szCs w:val="15"/>
                <w:color w:val="auto"/>
              </w:rPr>
            </w:pPr>
          </w:p>
        </w:tc>
        <w:tc>
          <w:tcPr>
            <w:tcW w:w="1460" w:type="dxa"/>
            <w:vAlign w:val="bottom"/>
            <w:tcBorders>
              <w:bottom w:val="single" w:sz="8" w:color="D95A3B"/>
              <w:right w:val="single" w:sz="8" w:color="CCCCCC"/>
            </w:tcBorders>
            <w:shd w:val="clear" w:color="auto" w:fill="CCCCCC"/>
          </w:tcPr>
          <w:p>
            <w:pPr>
              <w:jc w:val="right"/>
              <w:ind w:right="487"/>
              <w:spacing w:after="0"/>
              <w:rPr>
                <w:sz w:val="20"/>
                <w:szCs w:val="20"/>
                <w:color w:val="auto"/>
              </w:rPr>
            </w:pPr>
            <w:r>
              <w:rPr>
                <w:rFonts w:ascii="Arial" w:cs="Arial" w:eastAsia="Arial" w:hAnsi="Arial"/>
                <w:sz w:val="15"/>
                <w:szCs w:val="15"/>
                <w:b w:val="1"/>
                <w:bCs w:val="1"/>
                <w:color w:val="auto"/>
              </w:rPr>
              <w:t>2018</w:t>
            </w:r>
          </w:p>
        </w:tc>
        <w:tc>
          <w:tcPr>
            <w:tcW w:w="1760" w:type="dxa"/>
            <w:vAlign w:val="bottom"/>
            <w:tcBorders>
              <w:bottom w:val="single" w:sz="8" w:color="D95A3B"/>
              <w:right w:val="single" w:sz="8" w:color="CCCCCC"/>
            </w:tcBorders>
            <w:shd w:val="clear" w:color="auto" w:fill="CCCCCC"/>
          </w:tcPr>
          <w:p>
            <w:pPr>
              <w:jc w:val="right"/>
              <w:ind w:right="686"/>
              <w:spacing w:after="0"/>
              <w:rPr>
                <w:sz w:val="20"/>
                <w:szCs w:val="20"/>
                <w:color w:val="auto"/>
              </w:rPr>
            </w:pPr>
            <w:r>
              <w:rPr>
                <w:rFonts w:ascii="Arial" w:cs="Arial" w:eastAsia="Arial" w:hAnsi="Arial"/>
                <w:sz w:val="15"/>
                <w:szCs w:val="15"/>
                <w:b w:val="1"/>
                <w:bCs w:val="1"/>
                <w:color w:val="auto"/>
              </w:rPr>
              <w:t>2017</w:t>
            </w:r>
          </w:p>
        </w:tc>
        <w:tc>
          <w:tcPr>
            <w:tcW w:w="1740" w:type="dxa"/>
            <w:vAlign w:val="bottom"/>
            <w:tcBorders>
              <w:bottom w:val="single" w:sz="8" w:color="D95A3B"/>
            </w:tcBorders>
            <w:shd w:val="clear" w:color="auto" w:fill="CCCCCC"/>
          </w:tcPr>
          <w:p>
            <w:pPr>
              <w:jc w:val="right"/>
              <w:ind w:right="667"/>
              <w:spacing w:after="0"/>
              <w:rPr>
                <w:sz w:val="20"/>
                <w:szCs w:val="20"/>
                <w:color w:val="auto"/>
              </w:rPr>
            </w:pPr>
            <w:r>
              <w:rPr>
                <w:rFonts w:ascii="Arial" w:cs="Arial" w:eastAsia="Arial" w:hAnsi="Arial"/>
                <w:sz w:val="15"/>
                <w:szCs w:val="15"/>
                <w:b w:val="1"/>
                <w:bCs w:val="1"/>
                <w:color w:val="auto"/>
              </w:rPr>
              <w:t>2016</w:t>
            </w:r>
          </w:p>
        </w:tc>
      </w:tr>
      <w:tr>
        <w:trPr>
          <w:trHeight w:val="160"/>
        </w:trPr>
        <w:tc>
          <w:tcPr>
            <w:tcW w:w="602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 xml:space="preserve">Share usage – </w:t>
            </w:r>
            <w:r>
              <w:rPr>
                <w:rFonts w:ascii="Arial" w:cs="Arial" w:eastAsia="Arial" w:hAnsi="Arial"/>
                <w:sz w:val="14"/>
                <w:szCs w:val="14"/>
                <w:color w:val="auto"/>
              </w:rPr>
              <w:t>the total number of common shares issued in the applicable year, divided by</w:t>
            </w:r>
          </w:p>
        </w:tc>
        <w:tc>
          <w:tcPr>
            <w:tcW w:w="1460" w:type="dxa"/>
            <w:vAlign w:val="bottom"/>
            <w:tcBorders>
              <w:right w:val="single" w:sz="8" w:color="AFAFAF"/>
            </w:tcBorders>
          </w:tcPr>
          <w:p>
            <w:pPr>
              <w:spacing w:after="0"/>
              <w:rPr>
                <w:sz w:val="13"/>
                <w:szCs w:val="13"/>
                <w:color w:val="auto"/>
              </w:rPr>
            </w:pPr>
          </w:p>
        </w:tc>
        <w:tc>
          <w:tcPr>
            <w:tcW w:w="1760" w:type="dxa"/>
            <w:vAlign w:val="bottom"/>
            <w:tcBorders>
              <w:right w:val="single" w:sz="8" w:color="AFAFAF"/>
            </w:tcBorders>
          </w:tcPr>
          <w:p>
            <w:pPr>
              <w:spacing w:after="0"/>
              <w:rPr>
                <w:sz w:val="13"/>
                <w:szCs w:val="13"/>
                <w:color w:val="auto"/>
              </w:rPr>
            </w:pPr>
          </w:p>
        </w:tc>
        <w:tc>
          <w:tcPr>
            <w:tcW w:w="1740" w:type="dxa"/>
            <w:vAlign w:val="bottom"/>
          </w:tcPr>
          <w:p>
            <w:pPr>
              <w:spacing w:after="0"/>
              <w:rPr>
                <w:sz w:val="13"/>
                <w:szCs w:val="13"/>
                <w:color w:val="auto"/>
              </w:rPr>
            </w:pPr>
          </w:p>
        </w:tc>
      </w:tr>
      <w:tr>
        <w:trPr>
          <w:trHeight w:val="157"/>
        </w:trPr>
        <w:tc>
          <w:tcPr>
            <w:tcW w:w="6020" w:type="dxa"/>
            <w:vAlign w:val="bottom"/>
            <w:tcBorders>
              <w:bottom w:val="single" w:sz="8" w:color="AFAFAF"/>
              <w:right w:val="single" w:sz="8" w:color="AFAFAF"/>
            </w:tcBorders>
          </w:tcPr>
          <w:p>
            <w:pPr>
              <w:spacing w:after="0" w:line="157" w:lineRule="exact"/>
              <w:rPr>
                <w:sz w:val="20"/>
                <w:szCs w:val="20"/>
                <w:color w:val="auto"/>
              </w:rPr>
            </w:pPr>
            <w:r>
              <w:rPr>
                <w:rFonts w:ascii="Arial" w:cs="Arial" w:eastAsia="Arial" w:hAnsi="Arial"/>
                <w:sz w:val="14"/>
                <w:szCs w:val="14"/>
                <w:color w:val="auto"/>
              </w:rPr>
              <w:t>the total weighted average of common shares outstanding during the year</w:t>
            </w:r>
          </w:p>
        </w:tc>
        <w:tc>
          <w:tcPr>
            <w:tcW w:w="1460" w:type="dxa"/>
            <w:vAlign w:val="bottom"/>
            <w:tcBorders>
              <w:bottom w:val="single" w:sz="8" w:color="AFAFAF"/>
              <w:right w:val="single" w:sz="8" w:color="AFAFAF"/>
            </w:tcBorders>
          </w:tcPr>
          <w:p>
            <w:pPr>
              <w:jc w:val="right"/>
              <w:ind w:right="347"/>
              <w:spacing w:after="0" w:line="157" w:lineRule="exact"/>
              <w:rPr>
                <w:sz w:val="20"/>
                <w:szCs w:val="20"/>
                <w:color w:val="auto"/>
              </w:rPr>
            </w:pPr>
            <w:r>
              <w:rPr>
                <w:rFonts w:ascii="Arial" w:cs="Arial" w:eastAsia="Arial" w:hAnsi="Arial"/>
                <w:sz w:val="14"/>
                <w:szCs w:val="14"/>
                <w:color w:val="auto"/>
              </w:rPr>
              <w:t>0.15%</w:t>
            </w:r>
          </w:p>
        </w:tc>
        <w:tc>
          <w:tcPr>
            <w:tcW w:w="1760" w:type="dxa"/>
            <w:vAlign w:val="bottom"/>
            <w:tcBorders>
              <w:bottom w:val="single" w:sz="8" w:color="AFAFAF"/>
              <w:right w:val="single" w:sz="8" w:color="AFAFAF"/>
            </w:tcBorders>
          </w:tcPr>
          <w:p>
            <w:pPr>
              <w:jc w:val="right"/>
              <w:ind w:right="566"/>
              <w:spacing w:after="0" w:line="157" w:lineRule="exact"/>
              <w:rPr>
                <w:sz w:val="20"/>
                <w:szCs w:val="20"/>
                <w:color w:val="auto"/>
              </w:rPr>
            </w:pPr>
            <w:r>
              <w:rPr>
                <w:rFonts w:ascii="Arial" w:cs="Arial" w:eastAsia="Arial" w:hAnsi="Arial"/>
                <w:sz w:val="14"/>
                <w:szCs w:val="14"/>
                <w:color w:val="auto"/>
              </w:rPr>
              <w:t>0.13%</w:t>
            </w:r>
          </w:p>
        </w:tc>
        <w:tc>
          <w:tcPr>
            <w:tcW w:w="1740" w:type="dxa"/>
            <w:vAlign w:val="bottom"/>
            <w:tcBorders>
              <w:bottom w:val="single" w:sz="8" w:color="AFAFAF"/>
            </w:tcBorders>
          </w:tcPr>
          <w:p>
            <w:pPr>
              <w:jc w:val="right"/>
              <w:ind w:right="527"/>
              <w:spacing w:after="0" w:line="157" w:lineRule="exact"/>
              <w:rPr>
                <w:sz w:val="20"/>
                <w:szCs w:val="20"/>
                <w:color w:val="auto"/>
              </w:rPr>
            </w:pPr>
            <w:r>
              <w:rPr>
                <w:rFonts w:ascii="Arial" w:cs="Arial" w:eastAsia="Arial" w:hAnsi="Arial"/>
                <w:sz w:val="14"/>
                <w:szCs w:val="14"/>
                <w:color w:val="auto"/>
              </w:rPr>
              <w:t>0.14%</w:t>
            </w:r>
          </w:p>
        </w:tc>
      </w:tr>
      <w:tr>
        <w:trPr>
          <w:trHeight w:val="160"/>
        </w:trPr>
        <w:tc>
          <w:tcPr>
            <w:tcW w:w="602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 xml:space="preserve">Burn rate – </w:t>
            </w:r>
            <w:r>
              <w:rPr>
                <w:rFonts w:ascii="Arial" w:cs="Arial" w:eastAsia="Arial" w:hAnsi="Arial"/>
                <w:sz w:val="14"/>
                <w:szCs w:val="14"/>
                <w:color w:val="auto"/>
              </w:rPr>
              <w:t>the total number of common shares granted in the applicable year, divided by the</w:t>
            </w:r>
          </w:p>
        </w:tc>
        <w:tc>
          <w:tcPr>
            <w:tcW w:w="1460" w:type="dxa"/>
            <w:vAlign w:val="bottom"/>
            <w:tcBorders>
              <w:right w:val="single" w:sz="8" w:color="AFAFAF"/>
            </w:tcBorders>
          </w:tcPr>
          <w:p>
            <w:pPr>
              <w:spacing w:after="0"/>
              <w:rPr>
                <w:sz w:val="13"/>
                <w:szCs w:val="13"/>
                <w:color w:val="auto"/>
              </w:rPr>
            </w:pPr>
          </w:p>
        </w:tc>
        <w:tc>
          <w:tcPr>
            <w:tcW w:w="1760" w:type="dxa"/>
            <w:vAlign w:val="bottom"/>
            <w:tcBorders>
              <w:right w:val="single" w:sz="8" w:color="AFAFAF"/>
            </w:tcBorders>
          </w:tcPr>
          <w:p>
            <w:pPr>
              <w:spacing w:after="0"/>
              <w:rPr>
                <w:sz w:val="13"/>
                <w:szCs w:val="13"/>
                <w:color w:val="auto"/>
              </w:rPr>
            </w:pPr>
          </w:p>
        </w:tc>
        <w:tc>
          <w:tcPr>
            <w:tcW w:w="1740" w:type="dxa"/>
            <w:vAlign w:val="bottom"/>
          </w:tcPr>
          <w:p>
            <w:pPr>
              <w:spacing w:after="0"/>
              <w:rPr>
                <w:sz w:val="13"/>
                <w:szCs w:val="13"/>
                <w:color w:val="auto"/>
              </w:rPr>
            </w:pPr>
          </w:p>
        </w:tc>
      </w:tr>
      <w:tr>
        <w:trPr>
          <w:trHeight w:val="157"/>
        </w:trPr>
        <w:tc>
          <w:tcPr>
            <w:tcW w:w="6020" w:type="dxa"/>
            <w:vAlign w:val="bottom"/>
            <w:tcBorders>
              <w:bottom w:val="single" w:sz="8" w:color="AFAFAF"/>
              <w:right w:val="single" w:sz="8" w:color="AFAFAF"/>
            </w:tcBorders>
          </w:tcPr>
          <w:p>
            <w:pPr>
              <w:spacing w:after="0" w:line="157" w:lineRule="exact"/>
              <w:rPr>
                <w:sz w:val="20"/>
                <w:szCs w:val="20"/>
                <w:color w:val="auto"/>
              </w:rPr>
            </w:pPr>
            <w:r>
              <w:rPr>
                <w:rFonts w:ascii="Arial" w:cs="Arial" w:eastAsia="Arial" w:hAnsi="Arial"/>
                <w:sz w:val="14"/>
                <w:szCs w:val="14"/>
                <w:color w:val="auto"/>
              </w:rPr>
              <w:t>total weighted average of common shares outstanding during the year</w:t>
            </w:r>
          </w:p>
        </w:tc>
        <w:tc>
          <w:tcPr>
            <w:tcW w:w="1460" w:type="dxa"/>
            <w:vAlign w:val="bottom"/>
            <w:tcBorders>
              <w:bottom w:val="single" w:sz="8" w:color="AFAFAF"/>
              <w:right w:val="single" w:sz="8" w:color="AFAFAF"/>
            </w:tcBorders>
          </w:tcPr>
          <w:p>
            <w:pPr>
              <w:jc w:val="right"/>
              <w:ind w:right="347"/>
              <w:spacing w:after="0" w:line="157" w:lineRule="exact"/>
              <w:rPr>
                <w:sz w:val="20"/>
                <w:szCs w:val="20"/>
                <w:color w:val="auto"/>
              </w:rPr>
            </w:pPr>
            <w:r>
              <w:rPr>
                <w:rFonts w:ascii="Arial" w:cs="Arial" w:eastAsia="Arial" w:hAnsi="Arial"/>
                <w:sz w:val="14"/>
                <w:szCs w:val="14"/>
                <w:color w:val="auto"/>
              </w:rPr>
              <w:t>0.15%</w:t>
            </w:r>
          </w:p>
        </w:tc>
        <w:tc>
          <w:tcPr>
            <w:tcW w:w="1760" w:type="dxa"/>
            <w:vAlign w:val="bottom"/>
            <w:tcBorders>
              <w:bottom w:val="single" w:sz="8" w:color="AFAFAF"/>
              <w:right w:val="single" w:sz="8" w:color="AFAFAF"/>
            </w:tcBorders>
          </w:tcPr>
          <w:p>
            <w:pPr>
              <w:jc w:val="right"/>
              <w:ind w:right="566"/>
              <w:spacing w:after="0" w:line="157" w:lineRule="exact"/>
              <w:rPr>
                <w:sz w:val="20"/>
                <w:szCs w:val="20"/>
                <w:color w:val="auto"/>
              </w:rPr>
            </w:pPr>
            <w:r>
              <w:rPr>
                <w:rFonts w:ascii="Arial" w:cs="Arial" w:eastAsia="Arial" w:hAnsi="Arial"/>
                <w:sz w:val="14"/>
                <w:szCs w:val="14"/>
                <w:color w:val="auto"/>
              </w:rPr>
              <w:t>0.13%</w:t>
            </w:r>
          </w:p>
        </w:tc>
        <w:tc>
          <w:tcPr>
            <w:tcW w:w="1740" w:type="dxa"/>
            <w:vAlign w:val="bottom"/>
            <w:tcBorders>
              <w:bottom w:val="single" w:sz="8" w:color="AFAFAF"/>
            </w:tcBorders>
          </w:tcPr>
          <w:p>
            <w:pPr>
              <w:jc w:val="right"/>
              <w:ind w:right="527"/>
              <w:spacing w:after="0" w:line="157" w:lineRule="exact"/>
              <w:rPr>
                <w:sz w:val="20"/>
                <w:szCs w:val="20"/>
                <w:color w:val="auto"/>
              </w:rPr>
            </w:pPr>
            <w:r>
              <w:rPr>
                <w:rFonts w:ascii="Arial" w:cs="Arial" w:eastAsia="Arial" w:hAnsi="Arial"/>
                <w:sz w:val="14"/>
                <w:szCs w:val="14"/>
                <w:color w:val="auto"/>
              </w:rPr>
              <w:t>0.14%</w:t>
            </w:r>
          </w:p>
        </w:tc>
      </w:tr>
      <w:tr>
        <w:trPr>
          <w:trHeight w:val="160"/>
        </w:trPr>
        <w:tc>
          <w:tcPr>
            <w:tcW w:w="6020" w:type="dxa"/>
            <w:vAlign w:val="bottom"/>
            <w:tcBorders>
              <w:right w:val="single" w:sz="8" w:color="AFAFAF"/>
            </w:tcBorders>
          </w:tcPr>
          <w:p>
            <w:pPr>
              <w:spacing w:after="0" w:line="160" w:lineRule="exact"/>
              <w:rPr>
                <w:sz w:val="20"/>
                <w:szCs w:val="20"/>
                <w:color w:val="auto"/>
              </w:rPr>
            </w:pPr>
            <w:r>
              <w:rPr>
                <w:rFonts w:ascii="Arial" w:cs="Arial" w:eastAsia="Arial" w:hAnsi="Arial"/>
                <w:sz w:val="14"/>
                <w:szCs w:val="14"/>
                <w:b w:val="1"/>
                <w:bCs w:val="1"/>
                <w:color w:val="auto"/>
              </w:rPr>
              <w:t xml:space="preserve">Potential Dilution – </w:t>
            </w:r>
            <w:r>
              <w:rPr>
                <w:rFonts w:ascii="Arial" w:cs="Arial" w:eastAsia="Arial" w:hAnsi="Arial"/>
                <w:sz w:val="14"/>
                <w:szCs w:val="14"/>
                <w:color w:val="auto"/>
              </w:rPr>
              <w:t>the total number of all common shares available for issue, divided by the</w:t>
            </w:r>
          </w:p>
        </w:tc>
        <w:tc>
          <w:tcPr>
            <w:tcW w:w="1460" w:type="dxa"/>
            <w:vAlign w:val="bottom"/>
            <w:tcBorders>
              <w:right w:val="single" w:sz="8" w:color="AFAFAF"/>
            </w:tcBorders>
          </w:tcPr>
          <w:p>
            <w:pPr>
              <w:spacing w:after="0"/>
              <w:rPr>
                <w:sz w:val="13"/>
                <w:szCs w:val="13"/>
                <w:color w:val="auto"/>
              </w:rPr>
            </w:pPr>
          </w:p>
        </w:tc>
        <w:tc>
          <w:tcPr>
            <w:tcW w:w="1760" w:type="dxa"/>
            <w:vAlign w:val="bottom"/>
            <w:tcBorders>
              <w:right w:val="single" w:sz="8" w:color="AFAFAF"/>
            </w:tcBorders>
          </w:tcPr>
          <w:p>
            <w:pPr>
              <w:spacing w:after="0"/>
              <w:rPr>
                <w:sz w:val="13"/>
                <w:szCs w:val="13"/>
                <w:color w:val="auto"/>
              </w:rPr>
            </w:pPr>
          </w:p>
        </w:tc>
        <w:tc>
          <w:tcPr>
            <w:tcW w:w="1740" w:type="dxa"/>
            <w:vAlign w:val="bottom"/>
          </w:tcPr>
          <w:p>
            <w:pPr>
              <w:spacing w:after="0"/>
              <w:rPr>
                <w:sz w:val="13"/>
                <w:szCs w:val="13"/>
                <w:color w:val="auto"/>
              </w:rPr>
            </w:pPr>
          </w:p>
        </w:tc>
      </w:tr>
      <w:tr>
        <w:trPr>
          <w:trHeight w:val="157"/>
        </w:trPr>
        <w:tc>
          <w:tcPr>
            <w:tcW w:w="6020" w:type="dxa"/>
            <w:vAlign w:val="bottom"/>
            <w:tcBorders>
              <w:bottom w:val="single" w:sz="8" w:color="D95A3B"/>
              <w:right w:val="single" w:sz="8" w:color="AFAFAF"/>
            </w:tcBorders>
          </w:tcPr>
          <w:p>
            <w:pPr>
              <w:spacing w:after="0" w:line="157" w:lineRule="exact"/>
              <w:rPr>
                <w:sz w:val="20"/>
                <w:szCs w:val="20"/>
                <w:color w:val="auto"/>
              </w:rPr>
            </w:pPr>
            <w:r>
              <w:rPr>
                <w:rFonts w:ascii="Arial" w:cs="Arial" w:eastAsia="Arial" w:hAnsi="Arial"/>
                <w:sz w:val="14"/>
                <w:szCs w:val="14"/>
                <w:color w:val="auto"/>
              </w:rPr>
              <w:t>total weighted average of common shares outstanding during the year</w:t>
            </w:r>
          </w:p>
        </w:tc>
        <w:tc>
          <w:tcPr>
            <w:tcW w:w="1460" w:type="dxa"/>
            <w:vAlign w:val="bottom"/>
            <w:tcBorders>
              <w:bottom w:val="single" w:sz="8" w:color="D95A3B"/>
              <w:right w:val="single" w:sz="8" w:color="AFAFAF"/>
            </w:tcBorders>
          </w:tcPr>
          <w:p>
            <w:pPr>
              <w:jc w:val="right"/>
              <w:ind w:right="347"/>
              <w:spacing w:after="0" w:line="157" w:lineRule="exact"/>
              <w:rPr>
                <w:sz w:val="20"/>
                <w:szCs w:val="20"/>
                <w:color w:val="auto"/>
              </w:rPr>
            </w:pPr>
            <w:r>
              <w:rPr>
                <w:rFonts w:ascii="Arial" w:cs="Arial" w:eastAsia="Arial" w:hAnsi="Arial"/>
                <w:sz w:val="14"/>
                <w:szCs w:val="14"/>
                <w:color w:val="auto"/>
              </w:rPr>
              <w:t>0.90%</w:t>
            </w:r>
          </w:p>
        </w:tc>
        <w:tc>
          <w:tcPr>
            <w:tcW w:w="1760" w:type="dxa"/>
            <w:vAlign w:val="bottom"/>
            <w:tcBorders>
              <w:bottom w:val="single" w:sz="8" w:color="D95A3B"/>
              <w:right w:val="single" w:sz="8" w:color="AFAFAF"/>
            </w:tcBorders>
          </w:tcPr>
          <w:p>
            <w:pPr>
              <w:jc w:val="right"/>
              <w:ind w:right="566"/>
              <w:spacing w:after="0" w:line="157" w:lineRule="exact"/>
              <w:rPr>
                <w:sz w:val="20"/>
                <w:szCs w:val="20"/>
                <w:color w:val="auto"/>
              </w:rPr>
            </w:pPr>
            <w:r>
              <w:rPr>
                <w:rFonts w:ascii="Arial" w:cs="Arial" w:eastAsia="Arial" w:hAnsi="Arial"/>
                <w:sz w:val="14"/>
                <w:szCs w:val="14"/>
                <w:color w:val="auto"/>
              </w:rPr>
              <w:t>1.06%</w:t>
            </w:r>
          </w:p>
        </w:tc>
        <w:tc>
          <w:tcPr>
            <w:tcW w:w="1740" w:type="dxa"/>
            <w:vAlign w:val="bottom"/>
            <w:tcBorders>
              <w:bottom w:val="single" w:sz="8" w:color="D95A3B"/>
            </w:tcBorders>
          </w:tcPr>
          <w:p>
            <w:pPr>
              <w:jc w:val="right"/>
              <w:ind w:right="527"/>
              <w:spacing w:after="0" w:line="157" w:lineRule="exact"/>
              <w:rPr>
                <w:sz w:val="20"/>
                <w:szCs w:val="20"/>
                <w:color w:val="auto"/>
              </w:rPr>
            </w:pPr>
            <w:r>
              <w:rPr>
                <w:rFonts w:ascii="Arial" w:cs="Arial" w:eastAsia="Arial" w:hAnsi="Arial"/>
                <w:sz w:val="14"/>
                <w:szCs w:val="14"/>
                <w:color w:val="auto"/>
              </w:rPr>
              <w:t>1.14%</w:t>
            </w:r>
          </w:p>
        </w:tc>
      </w:tr>
      <w:tr>
        <w:trPr>
          <w:trHeight w:val="229"/>
        </w:trPr>
        <w:tc>
          <w:tcPr>
            <w:tcW w:w="6020" w:type="dxa"/>
            <w:vAlign w:val="bottom"/>
            <w:tcBorders>
              <w:bottom w:val="single" w:sz="8" w:color="D95A3B"/>
            </w:tcBorders>
          </w:tcPr>
          <w:p>
            <w:pPr>
              <w:spacing w:after="0"/>
              <w:rPr>
                <w:sz w:val="19"/>
                <w:szCs w:val="19"/>
                <w:color w:val="auto"/>
              </w:rPr>
            </w:pPr>
          </w:p>
        </w:tc>
        <w:tc>
          <w:tcPr>
            <w:tcW w:w="1460" w:type="dxa"/>
            <w:vAlign w:val="bottom"/>
            <w:tcBorders>
              <w:bottom w:val="single" w:sz="8" w:color="D95A3B"/>
            </w:tcBorders>
          </w:tcPr>
          <w:p>
            <w:pPr>
              <w:spacing w:after="0"/>
              <w:rPr>
                <w:sz w:val="19"/>
                <w:szCs w:val="19"/>
                <w:color w:val="auto"/>
              </w:rPr>
            </w:pPr>
          </w:p>
        </w:tc>
        <w:tc>
          <w:tcPr>
            <w:tcW w:w="1760" w:type="dxa"/>
            <w:vAlign w:val="bottom"/>
            <w:tcBorders>
              <w:bottom w:val="single" w:sz="8" w:color="D95A3B"/>
            </w:tcBorders>
          </w:tcPr>
          <w:p>
            <w:pPr>
              <w:spacing w:after="0"/>
              <w:rPr>
                <w:sz w:val="19"/>
                <w:szCs w:val="19"/>
                <w:color w:val="auto"/>
              </w:rPr>
            </w:pPr>
          </w:p>
        </w:tc>
        <w:tc>
          <w:tcPr>
            <w:tcW w:w="1740" w:type="dxa"/>
            <w:vAlign w:val="bottom"/>
            <w:tcBorders>
              <w:bottom w:val="single" w:sz="8" w:color="D95A3B"/>
            </w:tcBorders>
          </w:tcPr>
          <w:p>
            <w:pPr>
              <w:spacing w:after="0"/>
              <w:rPr>
                <w:sz w:val="19"/>
                <w:szCs w:val="19"/>
                <w:color w:val="auto"/>
              </w:rPr>
            </w:pPr>
          </w:p>
        </w:tc>
      </w:tr>
    </w:tbl>
    <w:p>
      <w:pPr>
        <w:spacing w:after="0" w:line="120"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A-6</w:t>
      </w:r>
    </w:p>
    <w:p>
      <w:pPr>
        <w:sectPr>
          <w:pgSz w:w="11900" w:h="16838" w:orient="portrait"/>
          <w:cols w:equalWidth="0" w:num="1">
            <w:col w:w="11200"/>
          </w:cols>
          <w:pgMar w:left="240" w:top="458"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47"/>
          <w:szCs w:val="47"/>
          <w:color w:val="D95A3B"/>
        </w:rPr>
        <w:t>Appendix B – Shareholder Proposal</w:t>
      </w:r>
    </w:p>
    <w:p>
      <w:pPr>
        <w:spacing w:after="0" w:line="200" w:lineRule="exact"/>
        <w:rPr>
          <w:sz w:val="20"/>
          <w:szCs w:val="20"/>
          <w:color w:val="auto"/>
        </w:rPr>
      </w:pPr>
    </w:p>
    <w:p>
      <w:pPr>
        <w:spacing w:after="0" w:line="221" w:lineRule="exact"/>
        <w:rPr>
          <w:sz w:val="20"/>
          <w:szCs w:val="20"/>
          <w:color w:val="auto"/>
        </w:rPr>
      </w:pPr>
    </w:p>
    <w:p>
      <w:pPr>
        <w:ind w:left="220" w:right="140"/>
        <w:spacing w:after="0" w:line="238" w:lineRule="auto"/>
        <w:rPr>
          <w:sz w:val="20"/>
          <w:szCs w:val="20"/>
          <w:color w:val="auto"/>
        </w:rPr>
      </w:pPr>
      <w:r>
        <w:rPr>
          <w:rFonts w:ascii="Arial" w:cs="Arial" w:eastAsia="Arial" w:hAnsi="Arial"/>
          <w:sz w:val="18"/>
          <w:szCs w:val="18"/>
          <w:color w:val="auto"/>
        </w:rPr>
        <w:t>The following proposal has been submitted by the Congregation of the Sisters of Mercy of Newfoundland of Waterford Bridge Road, P.O. Box 1757, St. John’s, Newfoundland &amp; Labrador A1C 5P5, Canada, and The Daly Foundation of 101 Thorncliffe Park Drive, Toronto, Ontario M4H 1M2, Canada, for consideration at the annual meeting of shareholders. The board of directors opposes this proposal for the reasons set out below.</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95A3B"/>
        </w:rPr>
        <w:t>Shareholder Proposal</w:t>
      </w:r>
    </w:p>
    <w:p>
      <w:pPr>
        <w:spacing w:after="0" w:line="57" w:lineRule="exact"/>
        <w:rPr>
          <w:sz w:val="20"/>
          <w:szCs w:val="20"/>
          <w:color w:val="auto"/>
        </w:rPr>
      </w:pPr>
    </w:p>
    <w:p>
      <w:pPr>
        <w:ind w:left="220" w:right="60"/>
        <w:spacing w:after="0" w:line="243" w:lineRule="auto"/>
        <w:rPr>
          <w:sz w:val="20"/>
          <w:szCs w:val="20"/>
          <w:color w:val="auto"/>
        </w:rPr>
      </w:pPr>
      <w:r>
        <w:rPr>
          <w:rFonts w:ascii="Arial" w:cs="Arial" w:eastAsia="Arial" w:hAnsi="Arial"/>
          <w:sz w:val="18"/>
          <w:szCs w:val="18"/>
          <w:b w:val="1"/>
          <w:bCs w:val="1"/>
          <w:color w:val="auto"/>
        </w:rPr>
        <w:t xml:space="preserve">RESOLVED THAT </w:t>
      </w:r>
      <w:r>
        <w:rPr>
          <w:rFonts w:ascii="Arial" w:cs="Arial" w:eastAsia="Arial" w:hAnsi="Arial"/>
          <w:sz w:val="18"/>
          <w:szCs w:val="18"/>
          <w:i w:val="1"/>
          <w:iCs w:val="1"/>
          <w:color w:val="auto"/>
        </w:rPr>
        <w:t>the Human Resources Committee (“HRC”) of the Board of Directors commission a report, on an annual basis, on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pay grades and/or salary ranges of all classifications of Company employees, to be considered by the HRC when setting target amounts for compensation of Named Executive Officers (“NEOs”). We also ask that the Board of Directors describe in the company’s proxy circular how it takes compensation, advancement and retention practices throughout the organization into consideration in setting NEO compensation, and ensures that the company’s approach to rewarding and retaining talent is consistently applied.</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Supporting Statement</w:t>
      </w:r>
    </w:p>
    <w:p>
      <w:pPr>
        <w:spacing w:after="0" w:line="17" w:lineRule="exact"/>
        <w:rPr>
          <w:sz w:val="20"/>
          <w:szCs w:val="20"/>
          <w:color w:val="auto"/>
        </w:rPr>
      </w:pPr>
    </w:p>
    <w:p>
      <w:pPr>
        <w:ind w:left="220" w:right="280"/>
        <w:spacing w:after="0" w:line="246" w:lineRule="auto"/>
        <w:rPr>
          <w:sz w:val="20"/>
          <w:szCs w:val="20"/>
          <w:color w:val="auto"/>
        </w:rPr>
      </w:pPr>
      <w:r>
        <w:rPr>
          <w:rFonts w:ascii="Arial" w:cs="Arial" w:eastAsia="Arial" w:hAnsi="Arial"/>
          <w:sz w:val="18"/>
          <w:szCs w:val="18"/>
          <w:i w:val="1"/>
          <w:iCs w:val="1"/>
          <w:color w:val="auto"/>
        </w:rPr>
        <w:t>Thomson Reuters’ HRC uses peer group benchmarks to set its target NEO compensation. While these benchmarks may be relevant to certain aspects of executive compensation, the use of horizontal benchmarking can skew compensation practices at the top end of a company’s pay structure and lead to high CEO-to-median-worker pay ratios.</w:t>
      </w:r>
    </w:p>
    <w:p>
      <w:pPr>
        <w:spacing w:after="0" w:line="2" w:lineRule="exact"/>
        <w:rPr>
          <w:sz w:val="20"/>
          <w:szCs w:val="20"/>
          <w:color w:val="auto"/>
        </w:rPr>
      </w:pPr>
    </w:p>
    <w:p>
      <w:pPr>
        <w:ind w:left="220" w:right="600"/>
        <w:spacing w:after="0" w:line="254" w:lineRule="auto"/>
        <w:rPr>
          <w:sz w:val="20"/>
          <w:szCs w:val="20"/>
          <w:color w:val="auto"/>
        </w:rPr>
      </w:pPr>
      <w:r>
        <w:rPr>
          <w:rFonts w:ascii="Arial" w:cs="Arial" w:eastAsia="Arial" w:hAnsi="Arial"/>
          <w:sz w:val="18"/>
          <w:szCs w:val="18"/>
          <w:i w:val="1"/>
          <w:iCs w:val="1"/>
          <w:color w:val="auto"/>
        </w:rPr>
        <w:t>Over-reliance on horizontal benchmarking can also produce a disconnect between the retention and incentive practices used at the top-end of the pay structure and those used to motivate and retain employees in the rest of the company.</w:t>
      </w:r>
    </w:p>
    <w:p>
      <w:pPr>
        <w:ind w:left="220" w:right="280"/>
        <w:spacing w:after="0" w:line="257" w:lineRule="auto"/>
        <w:rPr>
          <w:sz w:val="20"/>
          <w:szCs w:val="20"/>
          <w:color w:val="auto"/>
        </w:rPr>
      </w:pPr>
      <w:r>
        <w:rPr>
          <w:rFonts w:ascii="Arial" w:cs="Arial" w:eastAsia="Arial" w:hAnsi="Arial"/>
          <w:sz w:val="18"/>
          <w:szCs w:val="18"/>
          <w:i w:val="1"/>
          <w:iCs w:val="1"/>
          <w:color w:val="auto"/>
        </w:rPr>
        <w:t>High CEO-to-worker pay ratios can impact the morale and productivity of non-executive employees. They can send a message about a company’s culture and values to employees.</w:t>
      </w:r>
    </w:p>
    <w:p>
      <w:pPr>
        <w:spacing w:after="0" w:line="1" w:lineRule="exact"/>
        <w:rPr>
          <w:sz w:val="20"/>
          <w:szCs w:val="20"/>
          <w:color w:val="auto"/>
        </w:rPr>
      </w:pPr>
    </w:p>
    <w:p>
      <w:pPr>
        <w:ind w:left="220" w:right="60"/>
        <w:spacing w:after="0" w:line="241" w:lineRule="auto"/>
        <w:rPr>
          <w:sz w:val="20"/>
          <w:szCs w:val="20"/>
          <w:color w:val="auto"/>
        </w:rPr>
      </w:pPr>
      <w:r>
        <w:rPr>
          <w:rFonts w:ascii="Arial" w:cs="Arial" w:eastAsia="Arial" w:hAnsi="Arial"/>
          <w:sz w:val="18"/>
          <w:szCs w:val="18"/>
          <w:i w:val="1"/>
          <w:iCs w:val="1"/>
          <w:color w:val="auto"/>
        </w:rPr>
        <w:t>Traditionally investors review a company’s internal pay equity based on the ratio between the total compensation provided to the CEO as compared to the median pay of the other NEOs. While this is not a reliable indicator of pay disparities throughout the organization, it can sometimes be a marker for broader concerns with compensation vertically across a company. In the case of Thomson Reuters, the CEO’s pay was more than four times higher than the median pay of the other NEOs in the last published year. Thomson Reuters’ internal pay equity ratio was higher than all but two of the companies in its comparator group for 2017.</w:t>
      </w:r>
    </w:p>
    <w:p>
      <w:pPr>
        <w:spacing w:after="0" w:line="3" w:lineRule="exact"/>
        <w:rPr>
          <w:sz w:val="20"/>
          <w:szCs w:val="20"/>
          <w:color w:val="auto"/>
        </w:rPr>
      </w:pPr>
    </w:p>
    <w:p>
      <w:pPr>
        <w:ind w:left="220" w:right="240"/>
        <w:spacing w:after="0" w:line="254" w:lineRule="auto"/>
        <w:rPr>
          <w:sz w:val="20"/>
          <w:szCs w:val="20"/>
          <w:color w:val="auto"/>
        </w:rPr>
      </w:pPr>
      <w:r>
        <w:rPr>
          <w:rFonts w:ascii="Arial" w:cs="Arial" w:eastAsia="Arial" w:hAnsi="Arial"/>
          <w:sz w:val="18"/>
          <w:szCs w:val="18"/>
          <w:i w:val="1"/>
          <w:iCs w:val="1"/>
          <w:color w:val="auto"/>
        </w:rPr>
        <w:t>Total CEO compensation at the company has grown steadily over the past four years and is high relative to its peers when compared to average employee salaries and benefits.</w:t>
      </w:r>
    </w:p>
    <w:p>
      <w:pPr>
        <w:ind w:left="220" w:right="100"/>
        <w:spacing w:after="0" w:line="249" w:lineRule="auto"/>
        <w:rPr>
          <w:sz w:val="20"/>
          <w:szCs w:val="20"/>
          <w:color w:val="auto"/>
        </w:rPr>
      </w:pPr>
      <w:r>
        <w:rPr>
          <w:rFonts w:ascii="Arial" w:cs="Arial" w:eastAsia="Arial" w:hAnsi="Arial"/>
          <w:sz w:val="18"/>
          <w:szCs w:val="18"/>
          <w:i w:val="1"/>
          <w:iCs w:val="1"/>
          <w:color w:val="auto"/>
        </w:rPr>
        <w:t>To ensure that Thomson Reuters’ executive compensation is reasonable relative to its overall employee pay philosophy and structure, we ask that the HRC consider the pay grades and/or salary ranges of all classifications of Company employees when setting NEO compensation target amounts.</w:t>
      </w:r>
    </w:p>
    <w:p>
      <w:pPr>
        <w:spacing w:after="0" w:line="2" w:lineRule="exact"/>
        <w:rPr>
          <w:sz w:val="20"/>
          <w:szCs w:val="20"/>
          <w:color w:val="auto"/>
        </w:rPr>
      </w:pPr>
    </w:p>
    <w:p>
      <w:pPr>
        <w:ind w:left="220"/>
        <w:spacing w:after="0" w:line="244" w:lineRule="auto"/>
        <w:rPr>
          <w:sz w:val="20"/>
          <w:szCs w:val="20"/>
          <w:color w:val="auto"/>
        </w:rPr>
      </w:pPr>
      <w:r>
        <w:rPr>
          <w:rFonts w:ascii="Arial" w:cs="Arial" w:eastAsia="Arial" w:hAnsi="Arial"/>
          <w:sz w:val="18"/>
          <w:szCs w:val="18"/>
          <w:i w:val="1"/>
          <w:iCs w:val="1"/>
          <w:color w:val="auto"/>
        </w:rPr>
        <w:t>We are not requesting that the HRC adopt any specific approach to considering this data when setting NEO compensation targets. We trust that the HRC will exercise appropriate discretion to determine how information in the proposed report factors into NEO compensation targets and report on its approach in the proxy circular. We recognize that the HRC may continue to use peer group benchmarks and other metrics to set NEO compensation target amounts.</w:t>
      </w:r>
    </w:p>
    <w:p>
      <w:pPr>
        <w:spacing w:after="0" w:line="62" w:lineRule="exact"/>
        <w:rPr>
          <w:sz w:val="20"/>
          <w:szCs w:val="20"/>
          <w:color w:val="auto"/>
        </w:rPr>
      </w:pPr>
    </w:p>
    <w:p>
      <w:pPr>
        <w:ind w:left="220" w:right="1000"/>
        <w:spacing w:after="0" w:line="270" w:lineRule="auto"/>
        <w:rPr>
          <w:sz w:val="20"/>
          <w:szCs w:val="20"/>
          <w:color w:val="auto"/>
        </w:rPr>
      </w:pPr>
      <w:r>
        <w:rPr>
          <w:rFonts w:ascii="Arial" w:cs="Arial" w:eastAsia="Arial" w:hAnsi="Arial"/>
          <w:sz w:val="25"/>
          <w:szCs w:val="25"/>
          <w:b w:val="1"/>
          <w:bCs w:val="1"/>
          <w:color w:val="D95A3B"/>
        </w:rPr>
        <w:t xml:space="preserve">The Board of Directors recommends voting </w:t>
      </w:r>
      <w:r>
        <w:rPr>
          <w:rFonts w:ascii="Arial" w:cs="Arial" w:eastAsia="Arial" w:hAnsi="Arial"/>
          <w:sz w:val="25"/>
          <w:szCs w:val="25"/>
          <w:b w:val="1"/>
          <w:bCs w:val="1"/>
          <w:u w:val="single" w:color="auto"/>
          <w:color w:val="D95A3B"/>
        </w:rPr>
        <w:t>AGAINST</w:t>
      </w:r>
      <w:r>
        <w:rPr>
          <w:rFonts w:ascii="Arial" w:cs="Arial" w:eastAsia="Arial" w:hAnsi="Arial"/>
          <w:sz w:val="25"/>
          <w:szCs w:val="25"/>
          <w:b w:val="1"/>
          <w:bCs w:val="1"/>
          <w:color w:val="D95A3B"/>
        </w:rPr>
        <w:t xml:space="preserve"> the proposal for the following reasons:</w:t>
      </w:r>
    </w:p>
    <w:p>
      <w:pPr>
        <w:spacing w:after="0" w:line="2" w:lineRule="exact"/>
        <w:rPr>
          <w:sz w:val="20"/>
          <w:szCs w:val="20"/>
          <w:color w:val="auto"/>
        </w:rPr>
      </w:pPr>
    </w:p>
    <w:p>
      <w:pPr>
        <w:ind w:left="220" w:right="180"/>
        <w:spacing w:after="0" w:line="237" w:lineRule="auto"/>
        <w:rPr>
          <w:sz w:val="20"/>
          <w:szCs w:val="20"/>
          <w:color w:val="auto"/>
        </w:rPr>
      </w:pPr>
      <w:r>
        <w:rPr>
          <w:rFonts w:ascii="Arial" w:cs="Arial" w:eastAsia="Arial" w:hAnsi="Arial"/>
          <w:sz w:val="18"/>
          <w:szCs w:val="18"/>
          <w:color w:val="auto"/>
        </w:rPr>
        <w:t>“Pay for performance” is the foundation of Thomson Reuters’ compensation programs — not just for our senior executive officers, but for staff across the entire company. We seek to provide competitive compensation opportunities to all of our employees and deliver meaningful and differentiated rewards to high performers at all levels, reflecting the value and impact that they have delivered and considering the behaviors they have demonstrated. We believe that when employees bring their best to work, Thomson Reuters can deliver results that help us achieve our goals, delight our customers and drive sustainable growth.</w:t>
      </w:r>
    </w:p>
    <w:p>
      <w:pPr>
        <w:spacing w:after="0" w:line="95" w:lineRule="exact"/>
        <w:rPr>
          <w:sz w:val="20"/>
          <w:szCs w:val="20"/>
          <w:color w:val="auto"/>
        </w:rPr>
      </w:pPr>
    </w:p>
    <w:p>
      <w:pPr>
        <w:ind w:left="220" w:right="140"/>
        <w:spacing w:after="0" w:line="237" w:lineRule="auto"/>
        <w:rPr>
          <w:sz w:val="20"/>
          <w:szCs w:val="20"/>
          <w:color w:val="auto"/>
        </w:rPr>
      </w:pPr>
      <w:r>
        <w:rPr>
          <w:rFonts w:ascii="Arial" w:cs="Arial" w:eastAsia="Arial" w:hAnsi="Arial"/>
          <w:sz w:val="18"/>
          <w:szCs w:val="18"/>
          <w:color w:val="auto"/>
        </w:rPr>
        <w:t>As discussed in more detail in the “Compensation Discussion and Analysis” section of this circular, the HR Committee utilizes peer group data to evaluate the competitiveness of our executive compensation programs. The company’s global peer group is a primary reference point as a result of the global nature of our business and the global market for executive talent. The HR Committee utilizes a Canadian peer group secondarily as a means to evaluate compensation compared to local practices and levels. The HR Committee’s independent compensation advisor (FW Cook) reviewed the company’s current peer groups and provided input prior to their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120650</wp:posOffset>
            </wp:positionV>
            <wp:extent cx="697357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44" w:lineRule="exact"/>
        <w:rPr>
          <w:sz w:val="20"/>
          <w:szCs w:val="20"/>
          <w:color w:val="auto"/>
        </w:rPr>
      </w:pPr>
    </w:p>
    <w:p>
      <w:pPr>
        <w:ind w:left="220"/>
        <w:spacing w:after="0"/>
        <w:tabs>
          <w:tab w:leader="none" w:pos="920" w:val="left"/>
        </w:tabs>
        <w:rPr>
          <w:sz w:val="20"/>
          <w:szCs w:val="20"/>
          <w:color w:val="auto"/>
        </w:rPr>
      </w:pPr>
      <w:r>
        <w:rPr>
          <w:rFonts w:ascii="Arial" w:cs="Arial" w:eastAsia="Arial" w:hAnsi="Arial"/>
          <w:sz w:val="13"/>
          <w:szCs w:val="13"/>
          <w:color w:val="auto"/>
        </w:rPr>
        <w:t>Page B-1</w:t>
      </w:r>
      <w:r>
        <w:rPr>
          <w:rFonts w:ascii="Arial" w:cs="Arial" w:eastAsia="Arial" w:hAnsi="Arial"/>
          <w:sz w:val="13"/>
          <w:szCs w:val="13"/>
          <w:color w:val="D95A3B"/>
        </w:rPr>
        <w:tab/>
        <w:t>Management Proxy Circular and Notice of Annual Meeting of Shareholders</w:t>
      </w:r>
    </w:p>
    <w:p>
      <w:pPr>
        <w:sectPr>
          <w:pgSz w:w="11900" w:h="16838" w:orient="portrait"/>
          <w:cols w:equalWidth="0" w:num="1">
            <w:col w:w="11200"/>
          </w:cols>
          <w:pgMar w:left="240" w:top="458"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20" w:right="340"/>
        <w:spacing w:after="0" w:line="237" w:lineRule="auto"/>
        <w:rPr>
          <w:sz w:val="20"/>
          <w:szCs w:val="20"/>
          <w:color w:val="auto"/>
        </w:rPr>
      </w:pPr>
      <w:r>
        <w:rPr>
          <w:rFonts w:ascii="Arial" w:cs="Arial" w:eastAsia="Arial" w:hAnsi="Arial"/>
          <w:sz w:val="18"/>
          <w:szCs w:val="18"/>
          <w:color w:val="auto"/>
        </w:rPr>
        <w:t>Horizontal peer group data is just one of several elements and considerations taken into account by the HR Committee in evaluating executive compensation. While the HR Committee does not target a specific competitive level of pay, the HR Committee considers the overall competitive market as well as the experience, skills, contribution, historical and expected performance of each executive in its decision making. The HR Committee works closely with its independent compensation advisor to ensure that our program links compensation to performance and shareholder value creation and is supportive of best practice corporate governance principles.</w:t>
      </w:r>
    </w:p>
    <w:p>
      <w:pPr>
        <w:spacing w:after="0" w:line="95"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The HR Committee considers internal pay equity among executive officers in reviewing compensation for individual executives. However, the HR Committee does not currently utilize vertical pay ratios in evaluating the competitiveness and appropriateness of executive compensation. The HR Committee believes that vertical pay ratios would not be a useful or meaningful tool for Thomson Reuters, as a company with global operations, a large employee base with many different types of staff, and businesses that operate in different industries. Pay at Thomson Reuters is based on local market practice and can vary across countries even for similar jobs based on factors such as market conditions (e.g., developed vs. developing), economic indicators that impact labor costs (e.g., inflation, GDP, etc.) and currency. The HR Committee also does not believe that vertical pay ratios would provide a meaningful comparison of Thomson Reuters’ compensation practices relative to our peers as these factors (among others) vary widely across different companies. There is also no rule or consistent methodology that has been agreed upon in Canada for purposes of performing these types of calculations.</w:t>
      </w:r>
    </w:p>
    <w:p>
      <w:pPr>
        <w:spacing w:after="0" w:line="100" w:lineRule="exact"/>
        <w:rPr>
          <w:sz w:val="20"/>
          <w:szCs w:val="20"/>
          <w:color w:val="auto"/>
        </w:rPr>
      </w:pPr>
    </w:p>
    <w:p>
      <w:pPr>
        <w:ind w:left="220" w:right="60"/>
        <w:spacing w:after="0" w:line="238" w:lineRule="auto"/>
        <w:rPr>
          <w:sz w:val="20"/>
          <w:szCs w:val="20"/>
          <w:color w:val="auto"/>
        </w:rPr>
      </w:pPr>
      <w:r>
        <w:rPr>
          <w:rFonts w:ascii="Arial" w:cs="Arial" w:eastAsia="Arial" w:hAnsi="Arial"/>
          <w:sz w:val="18"/>
          <w:szCs w:val="18"/>
          <w:color w:val="auto"/>
        </w:rPr>
        <w:t>Earlier this month, we engaged with the Shareholder Association for Research &amp; Education (SHARE), an organization that is representing the two shareholders who submitted the proposal. As part of this engagement, we discussed the proposal and the HR Committee’s responsibilities in relation to compensation and human capital management more generally. We plan to continue this dialogue with SHARE.</w:t>
      </w:r>
    </w:p>
    <w:p>
      <w:pPr>
        <w:spacing w:after="0" w:line="94" w:lineRule="exact"/>
        <w:rPr>
          <w:sz w:val="20"/>
          <w:szCs w:val="20"/>
          <w:color w:val="auto"/>
        </w:rPr>
      </w:pPr>
    </w:p>
    <w:p>
      <w:pPr>
        <w:ind w:left="220" w:right="160"/>
        <w:spacing w:after="0" w:line="237" w:lineRule="auto"/>
        <w:rPr>
          <w:sz w:val="20"/>
          <w:szCs w:val="20"/>
          <w:color w:val="auto"/>
        </w:rPr>
      </w:pPr>
      <w:r>
        <w:rPr>
          <w:rFonts w:ascii="Arial" w:cs="Arial" w:eastAsia="Arial" w:hAnsi="Arial"/>
          <w:sz w:val="18"/>
          <w:szCs w:val="18"/>
          <w:color w:val="auto"/>
        </w:rPr>
        <w:t>We believe that our proxy circular disclosure allows Thomson Reuters shareholders to understand our compensation practices and programs, including what we pay to our most senior executives and why. As part of our dialogue with shareholders, we have provided a “say on pay” advisory resolution on executive compensation at our annual meetings of shareholders since 2008. Over the last five years, approximately 98% of votes have been cast “for” these resolutions. The HR Committee and the board remain committed to continued engagement with our shareholders on executive compensation matters.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For the foregoing reasons, the board of directors recommends that shareholders vote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139700</wp:posOffset>
            </wp:positionV>
            <wp:extent cx="6973570"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73570" cy="34290"/>
                    </a:xfrm>
                    <a:prstGeom prst="rect">
                      <a:avLst/>
                    </a:prstGeom>
                    <a:noFill/>
                  </pic:spPr>
                </pic:pic>
              </a:graphicData>
            </a:graphic>
          </wp:anchor>
        </w:drawing>
      </w:r>
    </w:p>
    <w:p>
      <w:pPr>
        <w:spacing w:after="0" w:line="374"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3"/>
          <w:szCs w:val="13"/>
          <w:color w:val="D95A3B"/>
        </w:rPr>
        <w:t>Management Proxy Circular and Notice of Annual Meeting of Shareholders</w:t>
      </w:r>
      <w:r>
        <w:rPr>
          <w:rFonts w:ascii="Arial" w:cs="Arial" w:eastAsia="Arial" w:hAnsi="Arial"/>
          <w:sz w:val="13"/>
          <w:szCs w:val="13"/>
          <w:color w:val="auto"/>
        </w:rPr>
        <w:tab/>
        <w:t>Page B-2</w:t>
      </w:r>
    </w:p>
    <w:p>
      <w:pPr>
        <w:sectPr>
          <w:pgSz w:w="11900" w:h="16838" w:orient="portrait"/>
          <w:cols w:equalWidth="0" w:num="1">
            <w:col w:w="11200"/>
          </w:cols>
          <w:pgMar w:left="240" w:top="458"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D95A3B"/>
        </w:rPr>
        <w:t>THOMSON REUTERS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333 Bay Street, Suite 400</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Toronto, Ontario M5H 2R2</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-23495</wp:posOffset>
            </wp:positionV>
            <wp:extent cx="3734435" cy="4273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734435" cy="427355"/>
                    </a:xfrm>
                    <a:prstGeom prst="rect">
                      <a:avLst/>
                    </a:prstGeom>
                    <a:noFill/>
                  </pic:spPr>
                </pic:pic>
              </a:graphicData>
            </a:graphic>
          </wp:anchor>
        </w:drawing>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tel: +1 416 687 7500</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D95A3B"/>
        </w:rPr>
        <w:t>www.thomsonreuters.com</w:t>
      </w:r>
    </w:p>
    <w:p>
      <w:pPr>
        <w:sectPr>
          <w:pgSz w:w="11900" w:h="16838" w:orient="portrait"/>
          <w:cols w:equalWidth="0" w:num="1">
            <w:col w:w="10219"/>
          </w:cols>
          <w:pgMar w:left="240" w:top="458" w:right="1440" w:bottom="195" w:gutter="0" w:footer="0" w:header="0"/>
        </w:sectPr>
      </w:pPr>
    </w:p>
    <w:bookmarkStart w:id="103" w:name="page104"/>
    <w:bookmarkEnd w:id="103"/>
    <w:p>
      <w:pPr>
        <w:ind w:left="90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185420</wp:posOffset>
            </wp:positionV>
            <wp:extent cx="7007860" cy="90074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007860" cy="9007475"/>
                    </a:xfrm>
                    <a:prstGeom prst="rect">
                      <a:avLst/>
                    </a:prstGeom>
                    <a:noFill/>
                  </pic:spPr>
                </pic:pic>
              </a:graphicData>
            </a:graphic>
          </wp:anchor>
        </w:drawing>
      </w:r>
    </w:p>
    <w:p>
      <w:pPr>
        <w:sectPr>
          <w:pgSz w:w="11900" w:h="16838" w:orient="portrait"/>
          <w:cols w:equalWidth="0" w:num="1">
            <w:col w:w="10000"/>
          </w:cols>
          <w:pgMar w:left="1440" w:top="121" w:right="459" w:bottom="1440"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ind w:left="9940"/>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2059305" cy="3930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059305" cy="39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480" w:right="1660"/>
        <w:spacing w:after="0" w:line="260" w:lineRule="auto"/>
        <w:rPr>
          <w:sz w:val="20"/>
          <w:szCs w:val="20"/>
          <w:color w:val="auto"/>
        </w:rPr>
      </w:pPr>
      <w:r>
        <w:rPr>
          <w:rFonts w:ascii="Arial" w:cs="Arial" w:eastAsia="Arial" w:hAnsi="Arial"/>
          <w:sz w:val="30"/>
          <w:szCs w:val="30"/>
          <w:color w:val="D95A3B"/>
        </w:rPr>
        <w:t>NOTICE OF AVAILABILITY OF PROXY MATERIALS FOR THE 2019 THOMSON REUTERS CORPORATION ANNUAL MEETING OF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To our shareholders,</w:t>
      </w:r>
    </w:p>
    <w:p>
      <w:pPr>
        <w:spacing w:after="0" w:line="11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are using the “notice-and-access” system for delivery of this year’s proxy materials, similar to last year’s meeting. Under notice-and-access, you still receive a proxy or voting instruction form enabling you to vote at our meeting. However, instead of a paper copy of the management proxy circular and other proxy materials, you have received this notice which contains information about how to access these materials electronically on our website, www.thomsonreuters.com. Electronic delivery reduces the cost and environmental impact of producing and distributing paper copies of documents in very large quantities. It also provides shareholders with faster access to information about Thomson Reuters. Shareholders who have already signed up for electronic delivery of proxy materials will continue to receive them by e-mail.</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D95A3B"/>
        </w:rPr>
        <w:t>MEETING DATE AND LOCATION</w:t>
      </w:r>
    </w:p>
    <w:p>
      <w:pPr>
        <w:sectPr>
          <w:pgSz w:w="11900" w:h="16838" w:orient="portrait"/>
          <w:cols w:equalWidth="0" w:num="1">
            <w:col w:w="11000"/>
          </w:cols>
          <w:pgMar w:left="460" w:top="118" w:right="439" w:bottom="1440" w:gutter="0" w:footer="0" w:header="0"/>
        </w:sectPr>
      </w:pPr>
    </w:p>
    <w:p>
      <w:pPr>
        <w:spacing w:after="0" w:line="105"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WHEN:</w:t>
        <w:tab/>
        <w:t>Wednesday, June 5, 2019</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12:00 p.m. (Eastern Daylight Time)</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D95A3B"/>
        </w:rPr>
        <w:t>WHO CAN VOTE</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WHERE:</w:t>
        <w:tab/>
        <w:t>Roy Thomson Hall</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60 Simcoe Street</w:t>
      </w:r>
    </w:p>
    <w:p>
      <w:pPr>
        <w:spacing w:after="0" w:line="4"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Toronto, Ontario M5J 2H5, Canada</w:t>
      </w:r>
    </w:p>
    <w:p>
      <w:pPr>
        <w:spacing w:after="0" w:line="435" w:lineRule="exact"/>
        <w:rPr>
          <w:sz w:val="20"/>
          <w:szCs w:val="20"/>
          <w:color w:val="auto"/>
        </w:rPr>
      </w:pPr>
    </w:p>
    <w:p>
      <w:pPr>
        <w:sectPr>
          <w:pgSz w:w="11900" w:h="16838" w:orient="portrait"/>
          <w:cols w:equalWidth="0" w:num="2">
            <w:col w:w="5120" w:space="720"/>
            <w:col w:w="5160"/>
          </w:cols>
          <w:pgMar w:left="460" w:top="118" w:right="439" w:bottom="1440" w:gutter="0" w:footer="0" w:header="0"/>
          <w:type w:val="continuous"/>
        </w:sectPr>
      </w:pPr>
    </w:p>
    <w:p>
      <w:pPr>
        <w:spacing w:after="0"/>
        <w:rPr>
          <w:sz w:val="20"/>
          <w:szCs w:val="20"/>
          <w:color w:val="auto"/>
        </w:rPr>
      </w:pPr>
      <w:r>
        <w:rPr>
          <w:rFonts w:ascii="Arial" w:cs="Arial" w:eastAsia="Arial" w:hAnsi="Arial"/>
          <w:sz w:val="16"/>
          <w:szCs w:val="16"/>
          <w:color w:val="auto"/>
        </w:rPr>
        <w:t>Holders of our common shares as of 5:00 p.m. (Eastern Daylight Time) on April 11, 2019.</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D95A3B"/>
        </w:rPr>
        <w:t>BUSINESS OF THE MEETING</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This year’s meeting will cover the following items of business: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340" w:type="dxa"/>
            <w:vAlign w:val="bottom"/>
            <w:tcBorders>
              <w:top w:val="single" w:sz="8" w:color="595959"/>
              <w:left w:val="single" w:sz="8" w:color="595959"/>
              <w:right w:val="single" w:sz="8" w:color="595959"/>
            </w:tcBorders>
            <w:shd w:val="clear" w:color="auto" w:fill="D95A3B"/>
          </w:tcPr>
          <w:p>
            <w:pPr>
              <w:spacing w:after="0"/>
              <w:rPr>
                <w:sz w:val="15"/>
                <w:szCs w:val="15"/>
                <w:color w:val="auto"/>
              </w:rPr>
            </w:pPr>
          </w:p>
        </w:tc>
        <w:tc>
          <w:tcPr>
            <w:tcW w:w="1300" w:type="dxa"/>
            <w:vAlign w:val="bottom"/>
            <w:tcBorders>
              <w:top w:val="single" w:sz="8" w:color="595959"/>
              <w:right w:val="single" w:sz="8" w:color="595959"/>
            </w:tcBorders>
            <w:shd w:val="clear" w:color="auto" w:fill="D95A3B"/>
          </w:tcPr>
          <w:p>
            <w:pPr>
              <w:ind w:left="80"/>
              <w:spacing w:after="0"/>
              <w:rPr>
                <w:sz w:val="20"/>
                <w:szCs w:val="20"/>
                <w:color w:val="auto"/>
              </w:rPr>
            </w:pPr>
            <w:r>
              <w:rPr>
                <w:rFonts w:ascii="Arial" w:cs="Arial" w:eastAsia="Arial" w:hAnsi="Arial"/>
                <w:sz w:val="14"/>
                <w:szCs w:val="14"/>
                <w:b w:val="1"/>
                <w:bCs w:val="1"/>
                <w:color w:val="FFFFFF"/>
              </w:rPr>
              <w:t>Item of</w:t>
            </w:r>
          </w:p>
        </w:tc>
        <w:tc>
          <w:tcPr>
            <w:tcW w:w="7540" w:type="dxa"/>
            <w:vAlign w:val="bottom"/>
            <w:tcBorders>
              <w:top w:val="single" w:sz="8" w:color="595959"/>
              <w:right w:val="single" w:sz="8" w:color="595959"/>
            </w:tcBorders>
            <w:gridSpan w:val="2"/>
            <w:shd w:val="clear" w:color="auto" w:fill="D95A3B"/>
          </w:tcPr>
          <w:p>
            <w:pPr>
              <w:ind w:left="60"/>
              <w:spacing w:after="0"/>
              <w:rPr>
                <w:sz w:val="20"/>
                <w:szCs w:val="20"/>
                <w:color w:val="auto"/>
              </w:rPr>
            </w:pPr>
            <w:r>
              <w:rPr>
                <w:rFonts w:ascii="Arial" w:cs="Arial" w:eastAsia="Arial" w:hAnsi="Arial"/>
                <w:sz w:val="14"/>
                <w:szCs w:val="14"/>
                <w:b w:val="1"/>
                <w:bCs w:val="1"/>
                <w:color w:val="FFFFFF"/>
              </w:rPr>
              <w:t>Highlights</w:t>
            </w:r>
          </w:p>
        </w:tc>
        <w:tc>
          <w:tcPr>
            <w:tcW w:w="1820" w:type="dxa"/>
            <w:vAlign w:val="bottom"/>
            <w:tcBorders>
              <w:top w:val="single" w:sz="8" w:color="595959"/>
              <w:right w:val="single" w:sz="8" w:color="595959"/>
            </w:tcBorders>
            <w:shd w:val="clear" w:color="auto" w:fill="D95A3B"/>
          </w:tcPr>
          <w:p>
            <w:pPr>
              <w:ind w:left="60"/>
              <w:spacing w:after="0"/>
              <w:rPr>
                <w:sz w:val="20"/>
                <w:szCs w:val="20"/>
                <w:color w:val="auto"/>
              </w:rPr>
            </w:pPr>
            <w:r>
              <w:rPr>
                <w:rFonts w:ascii="Arial" w:cs="Arial" w:eastAsia="Arial" w:hAnsi="Arial"/>
                <w:sz w:val="14"/>
                <w:szCs w:val="14"/>
                <w:b w:val="1"/>
                <w:bCs w:val="1"/>
                <w:color w:val="FFFFFF"/>
              </w:rPr>
              <w:t>Board Vote</w:t>
            </w:r>
          </w:p>
        </w:tc>
        <w:tc>
          <w:tcPr>
            <w:tcW w:w="0" w:type="dxa"/>
            <w:vAlign w:val="bottom"/>
          </w:tcPr>
          <w:p>
            <w:pPr>
              <w:spacing w:after="0"/>
              <w:rPr>
                <w:sz w:val="1"/>
                <w:szCs w:val="1"/>
                <w:color w:val="auto"/>
              </w:rPr>
            </w:pPr>
          </w:p>
        </w:tc>
      </w:tr>
      <w:tr>
        <w:trPr>
          <w:trHeight w:val="188"/>
        </w:trPr>
        <w:tc>
          <w:tcPr>
            <w:tcW w:w="340" w:type="dxa"/>
            <w:vAlign w:val="bottom"/>
            <w:tcBorders>
              <w:left w:val="single" w:sz="8" w:color="595959"/>
              <w:bottom w:val="single" w:sz="8" w:color="595959"/>
              <w:right w:val="single" w:sz="8" w:color="595959"/>
            </w:tcBorders>
            <w:shd w:val="clear" w:color="auto" w:fill="D95A3B"/>
          </w:tcPr>
          <w:p>
            <w:pPr>
              <w:spacing w:after="0"/>
              <w:rPr>
                <w:sz w:val="16"/>
                <w:szCs w:val="16"/>
                <w:color w:val="auto"/>
              </w:rPr>
            </w:pPr>
          </w:p>
        </w:tc>
        <w:tc>
          <w:tcPr>
            <w:tcW w:w="1300" w:type="dxa"/>
            <w:vAlign w:val="bottom"/>
            <w:tcBorders>
              <w:bottom w:val="single" w:sz="8" w:color="595959"/>
              <w:right w:val="single" w:sz="8" w:color="595959"/>
            </w:tcBorders>
            <w:shd w:val="clear" w:color="auto" w:fill="D95A3B"/>
          </w:tcPr>
          <w:p>
            <w:pPr>
              <w:ind w:left="80"/>
              <w:spacing w:after="0"/>
              <w:rPr>
                <w:sz w:val="20"/>
                <w:szCs w:val="20"/>
                <w:color w:val="auto"/>
              </w:rPr>
            </w:pPr>
            <w:r>
              <w:rPr>
                <w:rFonts w:ascii="Arial" w:cs="Arial" w:eastAsia="Arial" w:hAnsi="Arial"/>
                <w:sz w:val="14"/>
                <w:szCs w:val="14"/>
                <w:b w:val="1"/>
                <w:bCs w:val="1"/>
                <w:color w:val="FFFFFF"/>
              </w:rPr>
              <w:t>Business</w:t>
            </w:r>
          </w:p>
        </w:tc>
        <w:tc>
          <w:tcPr>
            <w:tcW w:w="200" w:type="dxa"/>
            <w:vAlign w:val="bottom"/>
            <w:tcBorders>
              <w:bottom w:val="single" w:sz="8" w:color="595959"/>
            </w:tcBorders>
            <w:shd w:val="clear" w:color="auto" w:fill="D95A3B"/>
          </w:tcPr>
          <w:p>
            <w:pPr>
              <w:spacing w:after="0"/>
              <w:rPr>
                <w:sz w:val="16"/>
                <w:szCs w:val="16"/>
                <w:color w:val="auto"/>
              </w:rPr>
            </w:pPr>
          </w:p>
        </w:tc>
        <w:tc>
          <w:tcPr>
            <w:tcW w:w="7340" w:type="dxa"/>
            <w:vAlign w:val="bottom"/>
            <w:tcBorders>
              <w:bottom w:val="single" w:sz="8" w:color="595959"/>
              <w:right w:val="single" w:sz="8" w:color="595959"/>
            </w:tcBorders>
            <w:shd w:val="clear" w:color="auto" w:fill="D95A3B"/>
          </w:tcPr>
          <w:p>
            <w:pPr>
              <w:spacing w:after="0"/>
              <w:rPr>
                <w:sz w:val="16"/>
                <w:szCs w:val="16"/>
                <w:color w:val="auto"/>
              </w:rPr>
            </w:pPr>
          </w:p>
        </w:tc>
        <w:tc>
          <w:tcPr>
            <w:tcW w:w="1820" w:type="dxa"/>
            <w:vAlign w:val="bottom"/>
            <w:tcBorders>
              <w:bottom w:val="single" w:sz="8" w:color="595959"/>
              <w:right w:val="single" w:sz="8" w:color="595959"/>
            </w:tcBorders>
            <w:shd w:val="clear" w:color="auto" w:fill="D95A3B"/>
          </w:tcPr>
          <w:p>
            <w:pPr>
              <w:ind w:left="60"/>
              <w:spacing w:after="0"/>
              <w:rPr>
                <w:sz w:val="20"/>
                <w:szCs w:val="20"/>
                <w:color w:val="auto"/>
              </w:rPr>
            </w:pPr>
            <w:r>
              <w:rPr>
                <w:rFonts w:ascii="Arial" w:cs="Arial" w:eastAsia="Arial" w:hAnsi="Arial"/>
                <w:sz w:val="14"/>
                <w:szCs w:val="14"/>
                <w:b w:val="1"/>
                <w:bCs w:val="1"/>
                <w:color w:val="FFFFFF"/>
              </w:rPr>
              <w:t>Recommendation</w:t>
            </w:r>
          </w:p>
        </w:tc>
        <w:tc>
          <w:tcPr>
            <w:tcW w:w="0" w:type="dxa"/>
            <w:vAlign w:val="bottom"/>
          </w:tcPr>
          <w:p>
            <w:pPr>
              <w:spacing w:after="0"/>
              <w:rPr>
                <w:sz w:val="1"/>
                <w:szCs w:val="1"/>
                <w:color w:val="auto"/>
              </w:rPr>
            </w:pPr>
          </w:p>
        </w:tc>
      </w:tr>
      <w:tr>
        <w:trPr>
          <w:trHeight w:val="214"/>
        </w:trPr>
        <w:tc>
          <w:tcPr>
            <w:tcW w:w="340" w:type="dxa"/>
            <w:vAlign w:val="bottom"/>
            <w:tcBorders>
              <w:left w:val="single" w:sz="8" w:color="595959"/>
              <w:right w:val="single" w:sz="8" w:color="595959"/>
            </w:tcBorders>
          </w:tcPr>
          <w:p>
            <w:pPr>
              <w:jc w:val="right"/>
              <w:spacing w:after="0"/>
              <w:rPr>
                <w:sz w:val="20"/>
                <w:szCs w:val="20"/>
                <w:color w:val="auto"/>
              </w:rPr>
            </w:pPr>
            <w:r>
              <w:rPr>
                <w:rFonts w:ascii="Arial" w:cs="Arial" w:eastAsia="Arial" w:hAnsi="Arial"/>
                <w:sz w:val="14"/>
                <w:szCs w:val="14"/>
                <w:color w:val="auto"/>
              </w:rPr>
              <w:t>1</w:t>
            </w:r>
          </w:p>
        </w:tc>
        <w:tc>
          <w:tcPr>
            <w:tcW w:w="1300" w:type="dxa"/>
            <w:vAlign w:val="bottom"/>
            <w:tcBorders>
              <w:right w:val="single" w:sz="8" w:color="595959"/>
            </w:tcBorders>
          </w:tcPr>
          <w:p>
            <w:pPr>
              <w:ind w:left="80"/>
              <w:spacing w:after="0"/>
              <w:rPr>
                <w:sz w:val="20"/>
                <w:szCs w:val="20"/>
                <w:color w:val="auto"/>
              </w:rPr>
            </w:pPr>
            <w:r>
              <w:rPr>
                <w:rFonts w:ascii="Arial" w:cs="Arial" w:eastAsia="Arial" w:hAnsi="Arial"/>
                <w:sz w:val="14"/>
                <w:szCs w:val="14"/>
                <w:color w:val="auto"/>
              </w:rPr>
              <w:t>Financial</w:t>
            </w:r>
          </w:p>
        </w:tc>
        <w:tc>
          <w:tcPr>
            <w:tcW w:w="7540" w:type="dxa"/>
            <w:vAlign w:val="bottom"/>
            <w:tcBorders>
              <w:right w:val="single" w:sz="8" w:color="595959"/>
            </w:tcBorders>
            <w:gridSpan w:val="2"/>
          </w:tcPr>
          <w:p>
            <w:pPr>
              <w:ind w:left="60"/>
              <w:spacing w:after="0"/>
              <w:rPr>
                <w:sz w:val="20"/>
                <w:szCs w:val="20"/>
                <w:color w:val="auto"/>
              </w:rPr>
            </w:pPr>
            <w:r>
              <w:rPr>
                <w:rFonts w:ascii="Arial" w:cs="Arial" w:eastAsia="Arial" w:hAnsi="Arial"/>
                <w:sz w:val="14"/>
                <w:szCs w:val="14"/>
                <w:color w:val="auto"/>
              </w:rPr>
              <w:t>Receipt of our 2018 audited financial statements.</w:t>
            </w:r>
          </w:p>
        </w:tc>
        <w:tc>
          <w:tcPr>
            <w:tcW w:w="182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2"/>
        </w:trPr>
        <w:tc>
          <w:tcPr>
            <w:tcW w:w="340" w:type="dxa"/>
            <w:vAlign w:val="bottom"/>
            <w:tcBorders>
              <w:left w:val="single" w:sz="8" w:color="595959"/>
              <w:right w:val="single" w:sz="8" w:color="595959"/>
            </w:tcBorders>
          </w:tcPr>
          <w:p>
            <w:pPr>
              <w:spacing w:after="0"/>
              <w:rPr>
                <w:sz w:val="17"/>
                <w:szCs w:val="17"/>
                <w:color w:val="auto"/>
              </w:rPr>
            </w:pPr>
          </w:p>
        </w:tc>
        <w:tc>
          <w:tcPr>
            <w:tcW w:w="1300" w:type="dxa"/>
            <w:vAlign w:val="bottom"/>
            <w:tcBorders>
              <w:right w:val="single" w:sz="8" w:color="595959"/>
            </w:tcBorders>
          </w:tcPr>
          <w:p>
            <w:pPr>
              <w:ind w:left="80"/>
              <w:spacing w:after="0"/>
              <w:rPr>
                <w:sz w:val="20"/>
                <w:szCs w:val="20"/>
                <w:color w:val="auto"/>
              </w:rPr>
            </w:pPr>
            <w:r>
              <w:rPr>
                <w:rFonts w:ascii="Arial" w:cs="Arial" w:eastAsia="Arial" w:hAnsi="Arial"/>
                <w:sz w:val="14"/>
                <w:szCs w:val="14"/>
                <w:color w:val="auto"/>
              </w:rPr>
              <w:t>statements</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7340" w:type="dxa"/>
            <w:vAlign w:val="bottom"/>
            <w:tcBorders>
              <w:right w:val="single" w:sz="8" w:color="595959"/>
            </w:tcBorders>
          </w:tcPr>
          <w:p>
            <w:pPr>
              <w:ind w:left="60"/>
              <w:spacing w:after="0"/>
              <w:rPr>
                <w:sz w:val="20"/>
                <w:szCs w:val="20"/>
                <w:color w:val="auto"/>
              </w:rPr>
            </w:pPr>
            <w:r>
              <w:rPr>
                <w:rFonts w:ascii="Arial" w:cs="Arial" w:eastAsia="Arial" w:hAnsi="Arial"/>
                <w:sz w:val="14"/>
                <w:szCs w:val="14"/>
                <w:color w:val="auto"/>
              </w:rPr>
              <w:t>Our 2018 annual consolidated financial statements are included in our 2018 annual report, which is available in</w:t>
            </w:r>
          </w:p>
        </w:tc>
        <w:tc>
          <w:tcPr>
            <w:tcW w:w="1820" w:type="dxa"/>
            <w:vAlign w:val="bottom"/>
            <w:tcBorders>
              <w:right w:val="single" w:sz="8" w:color="595959"/>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 w:type="dxa"/>
            <w:vAlign w:val="bottom"/>
            <w:tcBorders>
              <w:left w:val="single" w:sz="8" w:color="595959"/>
              <w:right w:val="single" w:sz="8" w:color="595959"/>
            </w:tcBorders>
          </w:tcPr>
          <w:p>
            <w:pPr>
              <w:spacing w:after="0"/>
              <w:rPr>
                <w:sz w:val="14"/>
                <w:szCs w:val="14"/>
                <w:color w:val="auto"/>
              </w:rPr>
            </w:pPr>
          </w:p>
        </w:tc>
        <w:tc>
          <w:tcPr>
            <w:tcW w:w="1300" w:type="dxa"/>
            <w:vAlign w:val="bottom"/>
            <w:tcBorders>
              <w:right w:val="single" w:sz="8" w:color="595959"/>
            </w:tcBorders>
          </w:tcPr>
          <w:p>
            <w:pPr>
              <w:spacing w:after="0"/>
              <w:rPr>
                <w:sz w:val="14"/>
                <w:szCs w:val="14"/>
                <w:color w:val="auto"/>
              </w:rPr>
            </w:pPr>
          </w:p>
        </w:tc>
        <w:tc>
          <w:tcPr>
            <w:tcW w:w="200" w:type="dxa"/>
            <w:vAlign w:val="bottom"/>
          </w:tcPr>
          <w:p>
            <w:pPr>
              <w:spacing w:after="0"/>
              <w:rPr>
                <w:sz w:val="14"/>
                <w:szCs w:val="14"/>
                <w:color w:val="auto"/>
              </w:rPr>
            </w:pPr>
          </w:p>
        </w:tc>
        <w:tc>
          <w:tcPr>
            <w:tcW w:w="7340" w:type="dxa"/>
            <w:vAlign w:val="bottom"/>
            <w:tcBorders>
              <w:right w:val="single" w:sz="8" w:color="595959"/>
            </w:tcBorders>
          </w:tcPr>
          <w:p>
            <w:pPr>
              <w:ind w:left="60"/>
              <w:spacing w:after="0"/>
              <w:rPr>
                <w:sz w:val="20"/>
                <w:szCs w:val="20"/>
                <w:color w:val="auto"/>
              </w:rPr>
            </w:pPr>
            <w:r>
              <w:rPr>
                <w:rFonts w:ascii="Arial" w:cs="Arial" w:eastAsia="Arial" w:hAnsi="Arial"/>
                <w:sz w:val="14"/>
                <w:szCs w:val="14"/>
                <w:color w:val="auto"/>
              </w:rPr>
              <w:t>the “Investor Relations” section of our website, www.thomsonreuters.com.</w:t>
            </w:r>
          </w:p>
        </w:tc>
        <w:tc>
          <w:tcPr>
            <w:tcW w:w="1820" w:type="dxa"/>
            <w:vAlign w:val="bottom"/>
            <w:tcBorders>
              <w:right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0" w:type="dxa"/>
            <w:vAlign w:val="bottom"/>
            <w:tcBorders>
              <w:left w:val="single" w:sz="8" w:color="595959"/>
              <w:right w:val="single" w:sz="8" w:color="595959"/>
            </w:tcBorders>
          </w:tcPr>
          <w:p>
            <w:pPr>
              <w:spacing w:after="0"/>
              <w:rPr>
                <w:sz w:val="17"/>
                <w:szCs w:val="17"/>
                <w:color w:val="auto"/>
              </w:rPr>
            </w:pPr>
          </w:p>
        </w:tc>
        <w:tc>
          <w:tcPr>
            <w:tcW w:w="1300" w:type="dxa"/>
            <w:vAlign w:val="bottom"/>
            <w:tcBorders>
              <w:right w:val="single" w:sz="8" w:color="595959"/>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7340" w:type="dxa"/>
            <w:vAlign w:val="bottom"/>
            <w:tcBorders>
              <w:right w:val="single" w:sz="8" w:color="595959"/>
            </w:tcBorders>
          </w:tcPr>
          <w:p>
            <w:pPr>
              <w:ind w:left="60"/>
              <w:spacing w:after="0"/>
              <w:rPr>
                <w:sz w:val="20"/>
                <w:szCs w:val="20"/>
                <w:color w:val="auto"/>
              </w:rPr>
            </w:pPr>
            <w:r>
              <w:rPr>
                <w:rFonts w:ascii="Arial" w:cs="Arial" w:eastAsia="Arial" w:hAnsi="Arial"/>
                <w:sz w:val="14"/>
                <w:szCs w:val="14"/>
                <w:color w:val="auto"/>
              </w:rPr>
              <w:t>Shareholders who requested a copy of the 2018 annual report will receive it by mail or e-mail.</w:t>
            </w:r>
          </w:p>
        </w:tc>
        <w:tc>
          <w:tcPr>
            <w:tcW w:w="1820" w:type="dxa"/>
            <w:vAlign w:val="bottom"/>
            <w:tcBorders>
              <w:right w:val="single" w:sz="8" w:color="595959"/>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40" w:type="dxa"/>
            <w:vAlign w:val="bottom"/>
            <w:tcBorders>
              <w:left w:val="single" w:sz="8" w:color="595959"/>
              <w:right w:val="single" w:sz="8" w:color="595959"/>
            </w:tcBorders>
          </w:tcPr>
          <w:p>
            <w:pPr>
              <w:spacing w:after="0"/>
              <w:rPr>
                <w:sz w:val="16"/>
                <w:szCs w:val="16"/>
                <w:color w:val="auto"/>
              </w:rPr>
            </w:pPr>
          </w:p>
        </w:tc>
        <w:tc>
          <w:tcPr>
            <w:tcW w:w="1300" w:type="dxa"/>
            <w:vAlign w:val="bottom"/>
            <w:tcBorders>
              <w:right w:val="single" w:sz="8" w:color="595959"/>
            </w:tcBorders>
          </w:tcPr>
          <w:p>
            <w:pPr>
              <w:spacing w:after="0"/>
              <w:rPr>
                <w:sz w:val="16"/>
                <w:szCs w:val="16"/>
                <w:color w:val="auto"/>
              </w:rPr>
            </w:pP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7340" w:type="dxa"/>
            <w:vAlign w:val="bottom"/>
            <w:tcBorders>
              <w:right w:val="single" w:sz="8" w:color="595959"/>
            </w:tcBorders>
          </w:tcPr>
          <w:p>
            <w:pPr>
              <w:ind w:left="60"/>
              <w:spacing w:after="0"/>
              <w:rPr>
                <w:sz w:val="20"/>
                <w:szCs w:val="20"/>
                <w:color w:val="auto"/>
              </w:rPr>
            </w:pPr>
            <w:r>
              <w:rPr>
                <w:rFonts w:ascii="Arial" w:cs="Arial" w:eastAsia="Arial" w:hAnsi="Arial"/>
                <w:sz w:val="14"/>
                <w:szCs w:val="14"/>
                <w:color w:val="auto"/>
              </w:rPr>
              <w:t>Representatives from Thomson Reuters and our independent auditor, PricewaterhouseCoopers LLP, will be</w:t>
            </w:r>
          </w:p>
        </w:tc>
        <w:tc>
          <w:tcPr>
            <w:tcW w:w="1820" w:type="dxa"/>
            <w:vAlign w:val="bottom"/>
            <w:tcBorders>
              <w:right w:val="single" w:sz="8" w:color="595959"/>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40" w:type="dxa"/>
            <w:vAlign w:val="bottom"/>
            <w:tcBorders>
              <w:left w:val="single" w:sz="8" w:color="595959"/>
              <w:bottom w:val="single" w:sz="8" w:color="auto"/>
              <w:right w:val="single" w:sz="8" w:color="595959"/>
            </w:tcBorders>
          </w:tcPr>
          <w:p>
            <w:pPr>
              <w:spacing w:after="0"/>
              <w:rPr>
                <w:sz w:val="14"/>
                <w:szCs w:val="14"/>
                <w:color w:val="auto"/>
              </w:rPr>
            </w:pPr>
          </w:p>
        </w:tc>
        <w:tc>
          <w:tcPr>
            <w:tcW w:w="1300" w:type="dxa"/>
            <w:vAlign w:val="bottom"/>
            <w:tcBorders>
              <w:bottom w:val="single" w:sz="8" w:color="auto"/>
              <w:right w:val="single" w:sz="8" w:color="595959"/>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340" w:type="dxa"/>
            <w:vAlign w:val="bottom"/>
            <w:tcBorders>
              <w:bottom w:val="single" w:sz="8" w:color="auto"/>
              <w:right w:val="single" w:sz="8" w:color="595959"/>
            </w:tcBorders>
          </w:tcPr>
          <w:p>
            <w:pPr>
              <w:ind w:left="60"/>
              <w:spacing w:after="0"/>
              <w:rPr>
                <w:sz w:val="20"/>
                <w:szCs w:val="20"/>
                <w:color w:val="auto"/>
              </w:rPr>
            </w:pPr>
            <w:r>
              <w:rPr>
                <w:rFonts w:ascii="Arial" w:cs="Arial" w:eastAsia="Arial" w:hAnsi="Arial"/>
                <w:sz w:val="14"/>
                <w:szCs w:val="14"/>
                <w:color w:val="auto"/>
              </w:rPr>
              <w:t>available to discuss any questions about our financial statements at the meeting.</w:t>
            </w:r>
          </w:p>
        </w:tc>
        <w:tc>
          <w:tcPr>
            <w:tcW w:w="1820" w:type="dxa"/>
            <w:vAlign w:val="bottom"/>
            <w:tcBorders>
              <w:bottom w:val="single" w:sz="8" w:color="auto"/>
              <w:right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0" w:type="dxa"/>
            <w:vAlign w:val="bottom"/>
            <w:tcBorders>
              <w:left w:val="single" w:sz="8" w:color="595959"/>
              <w:right w:val="single" w:sz="8" w:color="595959"/>
            </w:tcBorders>
          </w:tcPr>
          <w:p>
            <w:pPr>
              <w:jc w:val="right"/>
              <w:spacing w:after="0"/>
              <w:rPr>
                <w:sz w:val="20"/>
                <w:szCs w:val="20"/>
                <w:color w:val="auto"/>
              </w:rPr>
            </w:pPr>
            <w:r>
              <w:rPr>
                <w:rFonts w:ascii="Arial" w:cs="Arial" w:eastAsia="Arial" w:hAnsi="Arial"/>
                <w:sz w:val="14"/>
                <w:szCs w:val="14"/>
                <w:color w:val="auto"/>
              </w:rPr>
              <w:t>2</w:t>
            </w:r>
          </w:p>
        </w:tc>
        <w:tc>
          <w:tcPr>
            <w:tcW w:w="1300" w:type="dxa"/>
            <w:vAlign w:val="bottom"/>
            <w:tcBorders>
              <w:right w:val="single" w:sz="8" w:color="595959"/>
            </w:tcBorders>
          </w:tcPr>
          <w:p>
            <w:pPr>
              <w:ind w:left="80"/>
              <w:spacing w:after="0"/>
              <w:rPr>
                <w:sz w:val="20"/>
                <w:szCs w:val="20"/>
                <w:color w:val="auto"/>
              </w:rPr>
            </w:pPr>
            <w:r>
              <w:rPr>
                <w:rFonts w:ascii="Arial" w:cs="Arial" w:eastAsia="Arial" w:hAnsi="Arial"/>
                <w:sz w:val="14"/>
                <w:szCs w:val="14"/>
                <w:color w:val="auto"/>
              </w:rPr>
              <w:t>Directors</w:t>
            </w:r>
          </w:p>
        </w:tc>
        <w:tc>
          <w:tcPr>
            <w:tcW w:w="7540" w:type="dxa"/>
            <w:vAlign w:val="bottom"/>
            <w:tcBorders>
              <w:right w:val="single" w:sz="8" w:color="595959"/>
            </w:tcBorders>
            <w:gridSpan w:val="2"/>
          </w:tcPr>
          <w:p>
            <w:pPr>
              <w:ind w:left="60"/>
              <w:spacing w:after="0"/>
              <w:rPr>
                <w:sz w:val="20"/>
                <w:szCs w:val="20"/>
                <w:color w:val="auto"/>
              </w:rPr>
            </w:pPr>
            <w:r>
              <w:rPr>
                <w:rFonts w:ascii="Arial" w:cs="Arial" w:eastAsia="Arial" w:hAnsi="Arial"/>
                <w:sz w:val="14"/>
                <w:szCs w:val="14"/>
                <w:color w:val="auto"/>
              </w:rPr>
              <w:t>At the meeting, 11 individuals are proposed to be elected to our board of directors. All of these individuals are</w:t>
            </w:r>
          </w:p>
        </w:tc>
        <w:tc>
          <w:tcPr>
            <w:tcW w:w="182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FOR EACH DIRECTOR</w:t>
            </w:r>
          </w:p>
        </w:tc>
        <w:tc>
          <w:tcPr>
            <w:tcW w:w="0" w:type="dxa"/>
            <w:vAlign w:val="bottom"/>
          </w:tcPr>
          <w:p>
            <w:pPr>
              <w:spacing w:after="0"/>
              <w:rPr>
                <w:sz w:val="1"/>
                <w:szCs w:val="1"/>
                <w:color w:val="auto"/>
              </w:rPr>
            </w:pPr>
          </w:p>
        </w:tc>
      </w:tr>
      <w:tr>
        <w:trPr>
          <w:trHeight w:val="172"/>
        </w:trPr>
        <w:tc>
          <w:tcPr>
            <w:tcW w:w="340" w:type="dxa"/>
            <w:vAlign w:val="bottom"/>
            <w:tcBorders>
              <w:left w:val="single" w:sz="8" w:color="595959"/>
              <w:right w:val="single" w:sz="8" w:color="595959"/>
            </w:tcBorders>
          </w:tcPr>
          <w:p>
            <w:pPr>
              <w:spacing w:after="0"/>
              <w:rPr>
                <w:sz w:val="14"/>
                <w:szCs w:val="14"/>
                <w:color w:val="auto"/>
              </w:rPr>
            </w:pPr>
          </w:p>
        </w:tc>
        <w:tc>
          <w:tcPr>
            <w:tcW w:w="1300" w:type="dxa"/>
            <w:vAlign w:val="bottom"/>
            <w:tcBorders>
              <w:right w:val="single" w:sz="8" w:color="595959"/>
            </w:tcBorders>
          </w:tcPr>
          <w:p>
            <w:pPr>
              <w:spacing w:after="0"/>
              <w:rPr>
                <w:sz w:val="14"/>
                <w:szCs w:val="14"/>
                <w:color w:val="auto"/>
              </w:rPr>
            </w:pPr>
          </w:p>
        </w:tc>
        <w:tc>
          <w:tcPr>
            <w:tcW w:w="7540" w:type="dxa"/>
            <w:vAlign w:val="bottom"/>
            <w:tcBorders>
              <w:right w:val="single" w:sz="8" w:color="595959"/>
            </w:tcBorders>
            <w:gridSpan w:val="2"/>
          </w:tcPr>
          <w:p>
            <w:pPr>
              <w:ind w:left="60"/>
              <w:spacing w:after="0"/>
              <w:rPr>
                <w:sz w:val="20"/>
                <w:szCs w:val="20"/>
                <w:color w:val="auto"/>
              </w:rPr>
            </w:pPr>
            <w:r>
              <w:rPr>
                <w:rFonts w:ascii="Arial" w:cs="Arial" w:eastAsia="Arial" w:hAnsi="Arial"/>
                <w:sz w:val="14"/>
                <w:szCs w:val="14"/>
                <w:color w:val="auto"/>
              </w:rPr>
              <w:t>currently directors of our company.</w:t>
            </w:r>
          </w:p>
        </w:tc>
        <w:tc>
          <w:tcPr>
            <w:tcW w:w="182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NOMINEE</w:t>
            </w:r>
          </w:p>
        </w:tc>
        <w:tc>
          <w:tcPr>
            <w:tcW w:w="0" w:type="dxa"/>
            <w:vAlign w:val="bottom"/>
          </w:tcPr>
          <w:p>
            <w:pPr>
              <w:spacing w:after="0"/>
              <w:rPr>
                <w:sz w:val="1"/>
                <w:szCs w:val="1"/>
                <w:color w:val="auto"/>
              </w:rPr>
            </w:pPr>
          </w:p>
        </w:tc>
      </w:tr>
      <w:tr>
        <w:trPr>
          <w:trHeight w:val="202"/>
        </w:trPr>
        <w:tc>
          <w:tcPr>
            <w:tcW w:w="340" w:type="dxa"/>
            <w:vAlign w:val="bottom"/>
            <w:tcBorders>
              <w:left w:val="single" w:sz="8" w:color="595959"/>
              <w:right w:val="single" w:sz="8" w:color="595959"/>
            </w:tcBorders>
          </w:tcPr>
          <w:p>
            <w:pPr>
              <w:spacing w:after="0"/>
              <w:rPr>
                <w:sz w:val="17"/>
                <w:szCs w:val="17"/>
                <w:color w:val="auto"/>
              </w:rPr>
            </w:pPr>
          </w:p>
        </w:tc>
        <w:tc>
          <w:tcPr>
            <w:tcW w:w="1300" w:type="dxa"/>
            <w:vAlign w:val="bottom"/>
            <w:tcBorders>
              <w:right w:val="single" w:sz="8" w:color="595959"/>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7340" w:type="dxa"/>
            <w:vAlign w:val="bottom"/>
            <w:tcBorders>
              <w:right w:val="single" w:sz="8" w:color="595959"/>
            </w:tcBorders>
          </w:tcPr>
          <w:p>
            <w:pPr>
              <w:ind w:left="60"/>
              <w:spacing w:after="0"/>
              <w:rPr>
                <w:sz w:val="20"/>
                <w:szCs w:val="20"/>
                <w:color w:val="auto"/>
              </w:rPr>
            </w:pPr>
            <w:r>
              <w:rPr>
                <w:rFonts w:ascii="Arial" w:cs="Arial" w:eastAsia="Arial" w:hAnsi="Arial"/>
                <w:sz w:val="14"/>
                <w:szCs w:val="14"/>
                <w:color w:val="auto"/>
              </w:rPr>
              <w:t>A majority of our directors are independent.</w:t>
            </w:r>
          </w:p>
        </w:tc>
        <w:tc>
          <w:tcPr>
            <w:tcW w:w="1820" w:type="dxa"/>
            <w:vAlign w:val="bottom"/>
            <w:tcBorders>
              <w:right w:val="single" w:sz="8" w:color="595959"/>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Borders>
              <w:left w:val="single" w:sz="8" w:color="595959"/>
              <w:right w:val="single" w:sz="8" w:color="595959"/>
            </w:tcBorders>
          </w:tcPr>
          <w:p>
            <w:pPr>
              <w:spacing w:after="0"/>
              <w:rPr>
                <w:sz w:val="17"/>
                <w:szCs w:val="17"/>
                <w:color w:val="auto"/>
              </w:rPr>
            </w:pPr>
          </w:p>
        </w:tc>
        <w:tc>
          <w:tcPr>
            <w:tcW w:w="1300" w:type="dxa"/>
            <w:vAlign w:val="bottom"/>
            <w:tcBorders>
              <w:right w:val="single" w:sz="8" w:color="595959"/>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7340" w:type="dxa"/>
            <w:vAlign w:val="bottom"/>
            <w:tcBorders>
              <w:right w:val="single" w:sz="8" w:color="595959"/>
            </w:tcBorders>
          </w:tcPr>
          <w:p>
            <w:pPr>
              <w:ind w:left="60"/>
              <w:spacing w:after="0"/>
              <w:rPr>
                <w:sz w:val="20"/>
                <w:szCs w:val="20"/>
                <w:color w:val="auto"/>
              </w:rPr>
            </w:pPr>
            <w:r>
              <w:rPr>
                <w:rFonts w:ascii="Arial" w:cs="Arial" w:eastAsia="Arial" w:hAnsi="Arial"/>
                <w:sz w:val="14"/>
                <w:szCs w:val="14"/>
                <w:color w:val="auto"/>
              </w:rPr>
              <w:t>The roles and responsibilities of the Chairman and the CEO are separate.</w:t>
            </w:r>
          </w:p>
        </w:tc>
        <w:tc>
          <w:tcPr>
            <w:tcW w:w="1820" w:type="dxa"/>
            <w:vAlign w:val="bottom"/>
            <w:tcBorders>
              <w:right w:val="single" w:sz="8" w:color="595959"/>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Borders>
              <w:left w:val="single" w:sz="8" w:color="595959"/>
              <w:right w:val="single" w:sz="8" w:color="595959"/>
            </w:tcBorders>
          </w:tcPr>
          <w:p>
            <w:pPr>
              <w:spacing w:after="0"/>
              <w:rPr>
                <w:sz w:val="17"/>
                <w:szCs w:val="17"/>
                <w:color w:val="auto"/>
              </w:rPr>
            </w:pPr>
          </w:p>
        </w:tc>
        <w:tc>
          <w:tcPr>
            <w:tcW w:w="1300" w:type="dxa"/>
            <w:vAlign w:val="bottom"/>
            <w:tcBorders>
              <w:right w:val="single" w:sz="8" w:color="595959"/>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7340" w:type="dxa"/>
            <w:vAlign w:val="bottom"/>
            <w:tcBorders>
              <w:right w:val="single" w:sz="8" w:color="595959"/>
            </w:tcBorders>
          </w:tcPr>
          <w:p>
            <w:pPr>
              <w:ind w:left="60"/>
              <w:spacing w:after="0"/>
              <w:rPr>
                <w:sz w:val="20"/>
                <w:szCs w:val="20"/>
                <w:color w:val="auto"/>
              </w:rPr>
            </w:pPr>
            <w:r>
              <w:rPr>
                <w:rFonts w:ascii="Arial" w:cs="Arial" w:eastAsia="Arial" w:hAnsi="Arial"/>
                <w:sz w:val="14"/>
                <w:szCs w:val="14"/>
                <w:color w:val="auto"/>
              </w:rPr>
              <w:t>Shareholders vote annually for individual directors.</w:t>
            </w:r>
          </w:p>
        </w:tc>
        <w:tc>
          <w:tcPr>
            <w:tcW w:w="1820" w:type="dxa"/>
            <w:vAlign w:val="bottom"/>
            <w:tcBorders>
              <w:right w:val="single" w:sz="8" w:color="595959"/>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0" w:type="dxa"/>
            <w:vAlign w:val="bottom"/>
            <w:tcBorders>
              <w:left w:val="single" w:sz="8" w:color="595959"/>
              <w:bottom w:val="single" w:sz="8" w:color="auto"/>
              <w:right w:val="single" w:sz="8" w:color="595959"/>
            </w:tcBorders>
          </w:tcPr>
          <w:p>
            <w:pPr>
              <w:spacing w:after="0"/>
              <w:rPr>
                <w:sz w:val="17"/>
                <w:szCs w:val="17"/>
                <w:color w:val="auto"/>
              </w:rPr>
            </w:pPr>
          </w:p>
        </w:tc>
        <w:tc>
          <w:tcPr>
            <w:tcW w:w="1300" w:type="dxa"/>
            <w:vAlign w:val="bottom"/>
            <w:tcBorders>
              <w:bottom w:val="single" w:sz="8" w:color="auto"/>
              <w:right w:val="single" w:sz="8" w:color="595959"/>
            </w:tcBorders>
          </w:tcPr>
          <w:p>
            <w:pPr>
              <w:spacing w:after="0"/>
              <w:rPr>
                <w:sz w:val="17"/>
                <w:szCs w:val="17"/>
                <w:color w:val="auto"/>
              </w:rPr>
            </w:pPr>
          </w:p>
        </w:tc>
        <w:tc>
          <w:tcPr>
            <w:tcW w:w="7540" w:type="dxa"/>
            <w:vAlign w:val="bottom"/>
            <w:tcBorders>
              <w:bottom w:val="single" w:sz="8" w:color="auto"/>
              <w:right w:val="single" w:sz="8" w:color="595959"/>
            </w:tcBorders>
            <w:gridSpan w:val="2"/>
          </w:tcPr>
          <w:p>
            <w:pPr>
              <w:ind w:left="60"/>
              <w:spacing w:after="0"/>
              <w:rPr>
                <w:sz w:val="20"/>
                <w:szCs w:val="20"/>
                <w:color w:val="auto"/>
              </w:rPr>
            </w:pPr>
            <w:r>
              <w:rPr>
                <w:rFonts w:ascii="Arial" w:cs="Arial" w:eastAsia="Arial" w:hAnsi="Arial"/>
                <w:sz w:val="14"/>
                <w:szCs w:val="14"/>
                <w:color w:val="auto"/>
              </w:rPr>
              <w:t>Additional information may be found in the “About Our Directors” section of our management proxy circular.</w:t>
            </w:r>
          </w:p>
        </w:tc>
        <w:tc>
          <w:tcPr>
            <w:tcW w:w="1820" w:type="dxa"/>
            <w:vAlign w:val="bottom"/>
            <w:tcBorders>
              <w:bottom w:val="single" w:sz="8" w:color="auto"/>
              <w:right w:val="single" w:sz="8" w:color="595959"/>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0" w:type="dxa"/>
            <w:vAlign w:val="bottom"/>
            <w:tcBorders>
              <w:left w:val="single" w:sz="8" w:color="595959"/>
              <w:right w:val="single" w:sz="8" w:color="595959"/>
            </w:tcBorders>
          </w:tcPr>
          <w:p>
            <w:pPr>
              <w:jc w:val="right"/>
              <w:spacing w:after="0"/>
              <w:rPr>
                <w:sz w:val="20"/>
                <w:szCs w:val="20"/>
                <w:color w:val="auto"/>
              </w:rPr>
            </w:pPr>
            <w:r>
              <w:rPr>
                <w:rFonts w:ascii="Arial" w:cs="Arial" w:eastAsia="Arial" w:hAnsi="Arial"/>
                <w:sz w:val="14"/>
                <w:szCs w:val="14"/>
                <w:color w:val="auto"/>
              </w:rPr>
              <w:t>3</w:t>
            </w:r>
          </w:p>
        </w:tc>
        <w:tc>
          <w:tcPr>
            <w:tcW w:w="1300" w:type="dxa"/>
            <w:vAlign w:val="bottom"/>
            <w:tcBorders>
              <w:right w:val="single" w:sz="8" w:color="595959"/>
            </w:tcBorders>
          </w:tcPr>
          <w:p>
            <w:pPr>
              <w:ind w:left="80"/>
              <w:spacing w:after="0"/>
              <w:rPr>
                <w:sz w:val="20"/>
                <w:szCs w:val="20"/>
                <w:color w:val="auto"/>
              </w:rPr>
            </w:pPr>
            <w:r>
              <w:rPr>
                <w:rFonts w:ascii="Arial" w:cs="Arial" w:eastAsia="Arial" w:hAnsi="Arial"/>
                <w:sz w:val="14"/>
                <w:szCs w:val="14"/>
                <w:color w:val="auto"/>
              </w:rPr>
              <w:t>Auditor</w:t>
            </w:r>
          </w:p>
        </w:tc>
        <w:tc>
          <w:tcPr>
            <w:tcW w:w="7540" w:type="dxa"/>
            <w:vAlign w:val="bottom"/>
            <w:tcBorders>
              <w:right w:val="single" w:sz="8" w:color="595959"/>
            </w:tcBorders>
            <w:gridSpan w:val="2"/>
          </w:tcPr>
          <w:p>
            <w:pPr>
              <w:ind w:left="60"/>
              <w:spacing w:after="0"/>
              <w:rPr>
                <w:sz w:val="20"/>
                <w:szCs w:val="20"/>
                <w:color w:val="auto"/>
              </w:rPr>
            </w:pPr>
            <w:r>
              <w:rPr>
                <w:rFonts w:ascii="Arial" w:cs="Arial" w:eastAsia="Arial" w:hAnsi="Arial"/>
                <w:sz w:val="14"/>
                <w:szCs w:val="14"/>
                <w:color w:val="auto"/>
              </w:rPr>
              <w:t>We are proposing to re-appoint PricewaterhouseCoopers LLP as our independent auditor for another year until the</w:t>
            </w:r>
          </w:p>
        </w:tc>
        <w:tc>
          <w:tcPr>
            <w:tcW w:w="182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172"/>
        </w:trPr>
        <w:tc>
          <w:tcPr>
            <w:tcW w:w="340" w:type="dxa"/>
            <w:vAlign w:val="bottom"/>
            <w:tcBorders>
              <w:left w:val="single" w:sz="8" w:color="595959"/>
              <w:right w:val="single" w:sz="8" w:color="595959"/>
            </w:tcBorders>
          </w:tcPr>
          <w:p>
            <w:pPr>
              <w:spacing w:after="0"/>
              <w:rPr>
                <w:sz w:val="14"/>
                <w:szCs w:val="14"/>
                <w:color w:val="auto"/>
              </w:rPr>
            </w:pPr>
          </w:p>
        </w:tc>
        <w:tc>
          <w:tcPr>
            <w:tcW w:w="1300" w:type="dxa"/>
            <w:vAlign w:val="bottom"/>
            <w:tcBorders>
              <w:right w:val="single" w:sz="8" w:color="595959"/>
            </w:tcBorders>
          </w:tcPr>
          <w:p>
            <w:pPr>
              <w:spacing w:after="0"/>
              <w:rPr>
                <w:sz w:val="14"/>
                <w:szCs w:val="14"/>
                <w:color w:val="auto"/>
              </w:rPr>
            </w:pPr>
          </w:p>
        </w:tc>
        <w:tc>
          <w:tcPr>
            <w:tcW w:w="7540" w:type="dxa"/>
            <w:vAlign w:val="bottom"/>
            <w:tcBorders>
              <w:right w:val="single" w:sz="8" w:color="595959"/>
            </w:tcBorders>
            <w:gridSpan w:val="2"/>
          </w:tcPr>
          <w:p>
            <w:pPr>
              <w:ind w:left="60"/>
              <w:spacing w:after="0"/>
              <w:rPr>
                <w:sz w:val="20"/>
                <w:szCs w:val="20"/>
                <w:color w:val="auto"/>
              </w:rPr>
            </w:pPr>
            <w:r>
              <w:rPr>
                <w:rFonts w:ascii="Arial" w:cs="Arial" w:eastAsia="Arial" w:hAnsi="Arial"/>
                <w:sz w:val="14"/>
                <w:szCs w:val="14"/>
                <w:color w:val="auto"/>
              </w:rPr>
              <w:t>2020 annual meeting of shareholders.</w:t>
            </w:r>
          </w:p>
        </w:tc>
        <w:tc>
          <w:tcPr>
            <w:tcW w:w="1820" w:type="dxa"/>
            <w:vAlign w:val="bottom"/>
            <w:tcBorders>
              <w:right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595959"/>
              <w:right w:val="single" w:sz="8" w:color="595959"/>
            </w:tcBorders>
          </w:tcPr>
          <w:p>
            <w:pPr>
              <w:spacing w:after="0"/>
              <w:rPr>
                <w:sz w:val="23"/>
                <w:szCs w:val="23"/>
                <w:color w:val="auto"/>
              </w:rPr>
            </w:pPr>
          </w:p>
        </w:tc>
        <w:tc>
          <w:tcPr>
            <w:tcW w:w="1300" w:type="dxa"/>
            <w:vAlign w:val="bottom"/>
            <w:tcBorders>
              <w:right w:val="single" w:sz="8" w:color="595959"/>
            </w:tcBorders>
          </w:tcPr>
          <w:p>
            <w:pPr>
              <w:spacing w:after="0"/>
              <w:rPr>
                <w:sz w:val="23"/>
                <w:szCs w:val="23"/>
                <w:color w:val="auto"/>
              </w:rPr>
            </w:pPr>
          </w:p>
        </w:tc>
        <w:tc>
          <w:tcPr>
            <w:tcW w:w="7540" w:type="dxa"/>
            <w:vAlign w:val="bottom"/>
            <w:tcBorders>
              <w:right w:val="single" w:sz="8" w:color="595959"/>
            </w:tcBorders>
            <w:gridSpan w:val="2"/>
          </w:tcPr>
          <w:p>
            <w:pPr>
              <w:ind w:left="60"/>
              <w:spacing w:after="0"/>
              <w:rPr>
                <w:sz w:val="20"/>
                <w:szCs w:val="20"/>
                <w:color w:val="auto"/>
              </w:rPr>
            </w:pPr>
            <w:r>
              <w:rPr>
                <w:rFonts w:ascii="Arial" w:cs="Arial" w:eastAsia="Arial" w:hAnsi="Arial"/>
                <w:sz w:val="14"/>
                <w:szCs w:val="14"/>
                <w:color w:val="auto"/>
              </w:rPr>
              <w:t>Additional information may be found in the “About Our Independent Auditor” section of our management proxy</w:t>
            </w:r>
          </w:p>
        </w:tc>
        <w:tc>
          <w:tcPr>
            <w:tcW w:w="1820" w:type="dxa"/>
            <w:vAlign w:val="bottom"/>
            <w:tcBorders>
              <w:right w:val="single" w:sz="8" w:color="595959"/>
            </w:tcBorders>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340" w:type="dxa"/>
            <w:vAlign w:val="bottom"/>
            <w:tcBorders>
              <w:left w:val="single" w:sz="8" w:color="595959"/>
              <w:bottom w:val="single" w:sz="8" w:color="auto"/>
              <w:right w:val="single" w:sz="8" w:color="595959"/>
            </w:tcBorders>
          </w:tcPr>
          <w:p>
            <w:pPr>
              <w:spacing w:after="0"/>
              <w:rPr>
                <w:sz w:val="14"/>
                <w:szCs w:val="14"/>
                <w:color w:val="auto"/>
              </w:rPr>
            </w:pPr>
          </w:p>
        </w:tc>
        <w:tc>
          <w:tcPr>
            <w:tcW w:w="1300" w:type="dxa"/>
            <w:vAlign w:val="bottom"/>
            <w:tcBorders>
              <w:bottom w:val="single" w:sz="8" w:color="auto"/>
              <w:right w:val="single" w:sz="8" w:color="595959"/>
            </w:tcBorders>
          </w:tcPr>
          <w:p>
            <w:pPr>
              <w:spacing w:after="0"/>
              <w:rPr>
                <w:sz w:val="14"/>
                <w:szCs w:val="14"/>
                <w:color w:val="auto"/>
              </w:rPr>
            </w:pPr>
          </w:p>
        </w:tc>
        <w:tc>
          <w:tcPr>
            <w:tcW w:w="7540" w:type="dxa"/>
            <w:vAlign w:val="bottom"/>
            <w:tcBorders>
              <w:bottom w:val="single" w:sz="8" w:color="auto"/>
              <w:right w:val="single" w:sz="8" w:color="595959"/>
            </w:tcBorders>
            <w:gridSpan w:val="2"/>
          </w:tcPr>
          <w:p>
            <w:pPr>
              <w:ind w:left="60"/>
              <w:spacing w:after="0"/>
              <w:rPr>
                <w:sz w:val="20"/>
                <w:szCs w:val="20"/>
                <w:color w:val="auto"/>
              </w:rPr>
            </w:pPr>
            <w:r>
              <w:rPr>
                <w:rFonts w:ascii="Arial" w:cs="Arial" w:eastAsia="Arial" w:hAnsi="Arial"/>
                <w:sz w:val="14"/>
                <w:szCs w:val="14"/>
                <w:color w:val="auto"/>
              </w:rPr>
              <w:t>circular.</w:t>
            </w:r>
          </w:p>
        </w:tc>
        <w:tc>
          <w:tcPr>
            <w:tcW w:w="1820" w:type="dxa"/>
            <w:vAlign w:val="bottom"/>
            <w:tcBorders>
              <w:bottom w:val="single" w:sz="8" w:color="auto"/>
              <w:right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0" w:type="dxa"/>
            <w:vAlign w:val="bottom"/>
            <w:tcBorders>
              <w:left w:val="single" w:sz="8" w:color="595959"/>
              <w:right w:val="single" w:sz="8" w:color="595959"/>
            </w:tcBorders>
          </w:tcPr>
          <w:p>
            <w:pPr>
              <w:jc w:val="right"/>
              <w:spacing w:after="0"/>
              <w:rPr>
                <w:sz w:val="20"/>
                <w:szCs w:val="20"/>
                <w:color w:val="auto"/>
              </w:rPr>
            </w:pPr>
            <w:r>
              <w:rPr>
                <w:rFonts w:ascii="Arial" w:cs="Arial" w:eastAsia="Arial" w:hAnsi="Arial"/>
                <w:sz w:val="14"/>
                <w:szCs w:val="14"/>
                <w:color w:val="auto"/>
              </w:rPr>
              <w:t>4</w:t>
            </w:r>
          </w:p>
        </w:tc>
        <w:tc>
          <w:tcPr>
            <w:tcW w:w="1300" w:type="dxa"/>
            <w:vAlign w:val="bottom"/>
            <w:tcBorders>
              <w:right w:val="single" w:sz="8" w:color="595959"/>
            </w:tcBorders>
          </w:tcPr>
          <w:p>
            <w:pPr>
              <w:ind w:left="80"/>
              <w:spacing w:after="0"/>
              <w:rPr>
                <w:sz w:val="20"/>
                <w:szCs w:val="20"/>
                <w:color w:val="auto"/>
              </w:rPr>
            </w:pPr>
            <w:r>
              <w:rPr>
                <w:rFonts w:ascii="Arial" w:cs="Arial" w:eastAsia="Arial" w:hAnsi="Arial"/>
                <w:sz w:val="14"/>
                <w:szCs w:val="14"/>
                <w:color w:val="auto"/>
              </w:rPr>
              <w:t>Advisory</w:t>
            </w:r>
          </w:p>
        </w:tc>
        <w:tc>
          <w:tcPr>
            <w:tcW w:w="7540" w:type="dxa"/>
            <w:vAlign w:val="bottom"/>
            <w:tcBorders>
              <w:right w:val="single" w:sz="8" w:color="595959"/>
            </w:tcBorders>
            <w:gridSpan w:val="2"/>
          </w:tcPr>
          <w:p>
            <w:pPr>
              <w:ind w:left="60"/>
              <w:spacing w:after="0"/>
              <w:rPr>
                <w:sz w:val="20"/>
                <w:szCs w:val="20"/>
                <w:color w:val="auto"/>
              </w:rPr>
            </w:pPr>
            <w:r>
              <w:rPr>
                <w:rFonts w:ascii="Arial" w:cs="Arial" w:eastAsia="Arial" w:hAnsi="Arial"/>
                <w:sz w:val="14"/>
                <w:szCs w:val="14"/>
                <w:color w:val="auto"/>
              </w:rPr>
              <w:t>As in recent years, we are proposing a non-binding advisory “say on pay” resolution related to executive</w:t>
            </w:r>
          </w:p>
        </w:tc>
        <w:tc>
          <w:tcPr>
            <w:tcW w:w="182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161"/>
        </w:trPr>
        <w:tc>
          <w:tcPr>
            <w:tcW w:w="340" w:type="dxa"/>
            <w:vAlign w:val="bottom"/>
            <w:tcBorders>
              <w:left w:val="single" w:sz="8" w:color="595959"/>
              <w:right w:val="single" w:sz="8" w:color="595959"/>
            </w:tcBorders>
          </w:tcPr>
          <w:p>
            <w:pPr>
              <w:spacing w:after="0"/>
              <w:rPr>
                <w:sz w:val="14"/>
                <w:szCs w:val="14"/>
                <w:color w:val="auto"/>
              </w:rPr>
            </w:pPr>
          </w:p>
        </w:tc>
        <w:tc>
          <w:tcPr>
            <w:tcW w:w="1300" w:type="dxa"/>
            <w:vAlign w:val="bottom"/>
            <w:tcBorders>
              <w:right w:val="single" w:sz="8" w:color="595959"/>
            </w:tcBorders>
          </w:tcPr>
          <w:p>
            <w:pPr>
              <w:ind w:left="80"/>
              <w:spacing w:after="0"/>
              <w:rPr>
                <w:sz w:val="20"/>
                <w:szCs w:val="20"/>
                <w:color w:val="auto"/>
              </w:rPr>
            </w:pPr>
            <w:r>
              <w:rPr>
                <w:rFonts w:ascii="Arial" w:cs="Arial" w:eastAsia="Arial" w:hAnsi="Arial"/>
                <w:sz w:val="14"/>
                <w:szCs w:val="14"/>
                <w:color w:val="auto"/>
              </w:rPr>
              <w:t>resolution on</w:t>
            </w:r>
          </w:p>
        </w:tc>
        <w:tc>
          <w:tcPr>
            <w:tcW w:w="7540" w:type="dxa"/>
            <w:vAlign w:val="bottom"/>
            <w:tcBorders>
              <w:right w:val="single" w:sz="8" w:color="595959"/>
            </w:tcBorders>
            <w:gridSpan w:val="2"/>
          </w:tcPr>
          <w:p>
            <w:pPr>
              <w:ind w:left="60"/>
              <w:spacing w:after="0"/>
              <w:rPr>
                <w:sz w:val="20"/>
                <w:szCs w:val="20"/>
                <w:color w:val="auto"/>
              </w:rPr>
            </w:pPr>
            <w:r>
              <w:rPr>
                <w:rFonts w:ascii="Arial" w:cs="Arial" w:eastAsia="Arial" w:hAnsi="Arial"/>
                <w:sz w:val="14"/>
                <w:szCs w:val="14"/>
                <w:color w:val="auto"/>
              </w:rPr>
              <w:t>compensation.</w:t>
            </w:r>
          </w:p>
        </w:tc>
        <w:tc>
          <w:tcPr>
            <w:tcW w:w="1820" w:type="dxa"/>
            <w:vAlign w:val="bottom"/>
            <w:tcBorders>
              <w:right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595959"/>
              <w:right w:val="single" w:sz="8" w:color="595959"/>
            </w:tcBorders>
          </w:tcPr>
          <w:p>
            <w:pPr>
              <w:spacing w:after="0"/>
              <w:rPr>
                <w:sz w:val="14"/>
                <w:szCs w:val="14"/>
                <w:color w:val="auto"/>
              </w:rPr>
            </w:pPr>
          </w:p>
        </w:tc>
        <w:tc>
          <w:tcPr>
            <w:tcW w:w="1300" w:type="dxa"/>
            <w:vAlign w:val="bottom"/>
            <w:tcBorders>
              <w:right w:val="single" w:sz="8" w:color="595959"/>
            </w:tcBorders>
          </w:tcPr>
          <w:p>
            <w:pPr>
              <w:ind w:left="80"/>
              <w:spacing w:after="0"/>
              <w:rPr>
                <w:sz w:val="20"/>
                <w:szCs w:val="20"/>
                <w:color w:val="auto"/>
              </w:rPr>
            </w:pPr>
            <w:r>
              <w:rPr>
                <w:rFonts w:ascii="Arial" w:cs="Arial" w:eastAsia="Arial" w:hAnsi="Arial"/>
                <w:sz w:val="14"/>
                <w:szCs w:val="14"/>
                <w:color w:val="auto"/>
              </w:rPr>
              <w:t>executive</w:t>
            </w:r>
          </w:p>
        </w:tc>
        <w:tc>
          <w:tcPr>
            <w:tcW w:w="7540" w:type="dxa"/>
            <w:vAlign w:val="bottom"/>
            <w:tcBorders>
              <w:right w:val="single" w:sz="8" w:color="595959"/>
            </w:tcBorders>
            <w:gridSpan w:val="2"/>
            <w:vMerge w:val="restart"/>
          </w:tcPr>
          <w:p>
            <w:pPr>
              <w:ind w:left="60"/>
              <w:spacing w:after="0"/>
              <w:rPr>
                <w:sz w:val="20"/>
                <w:szCs w:val="20"/>
                <w:color w:val="auto"/>
              </w:rPr>
            </w:pPr>
            <w:r>
              <w:rPr>
                <w:rFonts w:ascii="Arial" w:cs="Arial" w:eastAsia="Arial" w:hAnsi="Arial"/>
                <w:sz w:val="14"/>
                <w:szCs w:val="14"/>
                <w:color w:val="auto"/>
              </w:rPr>
              <w:t>Additional information may be found in the “Advisory Resolution on Executive Compensation (Say on Pay)” section of</w:t>
            </w:r>
          </w:p>
        </w:tc>
        <w:tc>
          <w:tcPr>
            <w:tcW w:w="1820" w:type="dxa"/>
            <w:vAlign w:val="bottom"/>
            <w:tcBorders>
              <w:right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 w:type="dxa"/>
            <w:vAlign w:val="bottom"/>
            <w:tcBorders>
              <w:left w:val="single" w:sz="8" w:color="595959"/>
              <w:right w:val="single" w:sz="8" w:color="595959"/>
            </w:tcBorders>
          </w:tcPr>
          <w:p>
            <w:pPr>
              <w:spacing w:after="0"/>
              <w:rPr>
                <w:sz w:val="11"/>
                <w:szCs w:val="11"/>
                <w:color w:val="auto"/>
              </w:rPr>
            </w:pPr>
          </w:p>
        </w:tc>
        <w:tc>
          <w:tcPr>
            <w:tcW w:w="1300" w:type="dxa"/>
            <w:vAlign w:val="bottom"/>
            <w:tcBorders>
              <w:right w:val="single" w:sz="8" w:color="595959"/>
            </w:tcBorders>
          </w:tcPr>
          <w:p>
            <w:pPr>
              <w:ind w:left="80"/>
              <w:spacing w:after="0" w:line="130" w:lineRule="exact"/>
              <w:rPr>
                <w:sz w:val="20"/>
                <w:szCs w:val="20"/>
                <w:color w:val="auto"/>
              </w:rPr>
            </w:pPr>
            <w:r>
              <w:rPr>
                <w:rFonts w:ascii="Arial" w:cs="Arial" w:eastAsia="Arial" w:hAnsi="Arial"/>
                <w:sz w:val="14"/>
                <w:szCs w:val="14"/>
                <w:color w:val="auto"/>
              </w:rPr>
              <w:t>compensation</w:t>
            </w:r>
          </w:p>
        </w:tc>
        <w:tc>
          <w:tcPr>
            <w:tcW w:w="7540" w:type="dxa"/>
            <w:vAlign w:val="bottom"/>
            <w:tcBorders>
              <w:right w:val="single" w:sz="8" w:color="595959"/>
            </w:tcBorders>
            <w:gridSpan w:val="2"/>
            <w:vMerge w:val="continue"/>
          </w:tcPr>
          <w:p>
            <w:pPr>
              <w:spacing w:after="0"/>
              <w:rPr>
                <w:sz w:val="11"/>
                <w:szCs w:val="11"/>
                <w:color w:val="auto"/>
              </w:rPr>
            </w:pPr>
          </w:p>
        </w:tc>
        <w:tc>
          <w:tcPr>
            <w:tcW w:w="1820" w:type="dxa"/>
            <w:vAlign w:val="bottom"/>
            <w:tcBorders>
              <w:right w:val="single" w:sz="8" w:color="595959"/>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595959"/>
              <w:bottom w:val="single" w:sz="8" w:color="auto"/>
              <w:right w:val="single" w:sz="8" w:color="595959"/>
            </w:tcBorders>
          </w:tcPr>
          <w:p>
            <w:pPr>
              <w:spacing w:after="0"/>
              <w:rPr>
                <w:sz w:val="14"/>
                <w:szCs w:val="14"/>
                <w:color w:val="auto"/>
              </w:rPr>
            </w:pPr>
          </w:p>
        </w:tc>
        <w:tc>
          <w:tcPr>
            <w:tcW w:w="1300" w:type="dxa"/>
            <w:vAlign w:val="bottom"/>
            <w:tcBorders>
              <w:bottom w:val="single" w:sz="8" w:color="auto"/>
              <w:right w:val="single" w:sz="8" w:color="595959"/>
            </w:tcBorders>
          </w:tcPr>
          <w:p>
            <w:pPr>
              <w:spacing w:after="0"/>
              <w:rPr>
                <w:sz w:val="14"/>
                <w:szCs w:val="14"/>
                <w:color w:val="auto"/>
              </w:rPr>
            </w:pPr>
          </w:p>
        </w:tc>
        <w:tc>
          <w:tcPr>
            <w:tcW w:w="7540" w:type="dxa"/>
            <w:vAlign w:val="bottom"/>
            <w:tcBorders>
              <w:bottom w:val="single" w:sz="8" w:color="auto"/>
              <w:right w:val="single" w:sz="8" w:color="595959"/>
            </w:tcBorders>
            <w:gridSpan w:val="2"/>
          </w:tcPr>
          <w:p>
            <w:pPr>
              <w:ind w:left="60"/>
              <w:spacing w:after="0"/>
              <w:rPr>
                <w:sz w:val="20"/>
                <w:szCs w:val="20"/>
                <w:color w:val="auto"/>
              </w:rPr>
            </w:pPr>
            <w:r>
              <w:rPr>
                <w:rFonts w:ascii="Arial" w:cs="Arial" w:eastAsia="Arial" w:hAnsi="Arial"/>
                <w:sz w:val="14"/>
                <w:szCs w:val="14"/>
                <w:color w:val="auto"/>
              </w:rPr>
              <w:t>our management proxy circular.</w:t>
            </w:r>
          </w:p>
        </w:tc>
        <w:tc>
          <w:tcPr>
            <w:tcW w:w="1820" w:type="dxa"/>
            <w:vAlign w:val="bottom"/>
            <w:tcBorders>
              <w:bottom w:val="single" w:sz="8" w:color="auto"/>
              <w:right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0" w:type="dxa"/>
            <w:vAlign w:val="bottom"/>
            <w:tcBorders>
              <w:left w:val="single" w:sz="8" w:color="595959"/>
              <w:right w:val="single" w:sz="8" w:color="595959"/>
            </w:tcBorders>
          </w:tcPr>
          <w:p>
            <w:pPr>
              <w:jc w:val="right"/>
              <w:spacing w:after="0"/>
              <w:rPr>
                <w:sz w:val="20"/>
                <w:szCs w:val="20"/>
                <w:color w:val="auto"/>
              </w:rPr>
            </w:pPr>
            <w:r>
              <w:rPr>
                <w:rFonts w:ascii="Arial" w:cs="Arial" w:eastAsia="Arial" w:hAnsi="Arial"/>
                <w:sz w:val="14"/>
                <w:szCs w:val="14"/>
                <w:color w:val="auto"/>
              </w:rPr>
              <w:t>5</w:t>
            </w:r>
          </w:p>
        </w:tc>
        <w:tc>
          <w:tcPr>
            <w:tcW w:w="1300" w:type="dxa"/>
            <w:vAlign w:val="bottom"/>
            <w:tcBorders>
              <w:right w:val="single" w:sz="8" w:color="595959"/>
            </w:tcBorders>
          </w:tcPr>
          <w:p>
            <w:pPr>
              <w:ind w:left="80"/>
              <w:spacing w:after="0"/>
              <w:rPr>
                <w:sz w:val="20"/>
                <w:szCs w:val="20"/>
                <w:color w:val="auto"/>
              </w:rPr>
            </w:pPr>
            <w:r>
              <w:rPr>
                <w:rFonts w:ascii="Arial" w:cs="Arial" w:eastAsia="Arial" w:hAnsi="Arial"/>
                <w:sz w:val="14"/>
                <w:szCs w:val="14"/>
                <w:color w:val="auto"/>
              </w:rPr>
              <w:t>Shareholder</w:t>
            </w:r>
          </w:p>
        </w:tc>
        <w:tc>
          <w:tcPr>
            <w:tcW w:w="7540" w:type="dxa"/>
            <w:vAlign w:val="bottom"/>
            <w:tcBorders>
              <w:right w:val="single" w:sz="8" w:color="595959"/>
            </w:tcBorders>
            <w:gridSpan w:val="2"/>
          </w:tcPr>
          <w:p>
            <w:pPr>
              <w:ind w:left="60"/>
              <w:spacing w:after="0"/>
              <w:rPr>
                <w:sz w:val="20"/>
                <w:szCs w:val="20"/>
                <w:color w:val="auto"/>
              </w:rPr>
            </w:pPr>
            <w:r>
              <w:rPr>
                <w:rFonts w:ascii="Arial" w:cs="Arial" w:eastAsia="Arial" w:hAnsi="Arial"/>
                <w:sz w:val="14"/>
                <w:szCs w:val="14"/>
                <w:color w:val="auto"/>
              </w:rPr>
              <w:t>Consider the shareholder proposal set out in Appendix B of our management proxy circular.</w:t>
            </w:r>
          </w:p>
        </w:tc>
        <w:tc>
          <w:tcPr>
            <w:tcW w:w="182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211"/>
        </w:trPr>
        <w:tc>
          <w:tcPr>
            <w:tcW w:w="340" w:type="dxa"/>
            <w:vAlign w:val="bottom"/>
            <w:tcBorders>
              <w:left w:val="single" w:sz="8" w:color="595959"/>
              <w:bottom w:val="single" w:sz="8" w:color="auto"/>
              <w:right w:val="single" w:sz="8" w:color="595959"/>
            </w:tcBorders>
          </w:tcPr>
          <w:p>
            <w:pPr>
              <w:spacing w:after="0"/>
              <w:rPr>
                <w:sz w:val="18"/>
                <w:szCs w:val="18"/>
                <w:color w:val="auto"/>
              </w:rPr>
            </w:pPr>
          </w:p>
        </w:tc>
        <w:tc>
          <w:tcPr>
            <w:tcW w:w="1300" w:type="dxa"/>
            <w:vAlign w:val="bottom"/>
            <w:tcBorders>
              <w:bottom w:val="single" w:sz="8" w:color="auto"/>
              <w:right w:val="single" w:sz="8" w:color="595959"/>
            </w:tcBorders>
          </w:tcPr>
          <w:p>
            <w:pPr>
              <w:ind w:left="80"/>
              <w:spacing w:after="0"/>
              <w:rPr>
                <w:sz w:val="20"/>
                <w:szCs w:val="20"/>
                <w:color w:val="auto"/>
              </w:rPr>
            </w:pPr>
            <w:r>
              <w:rPr>
                <w:rFonts w:ascii="Arial" w:cs="Arial" w:eastAsia="Arial" w:hAnsi="Arial"/>
                <w:sz w:val="14"/>
                <w:szCs w:val="14"/>
                <w:color w:val="auto"/>
              </w:rPr>
              <w:t>proposal</w:t>
            </w:r>
          </w:p>
        </w:tc>
        <w:tc>
          <w:tcPr>
            <w:tcW w:w="7540" w:type="dxa"/>
            <w:vAlign w:val="bottom"/>
            <w:tcBorders>
              <w:bottom w:val="single" w:sz="8" w:color="auto"/>
              <w:right w:val="single" w:sz="8" w:color="595959"/>
            </w:tcBorders>
            <w:gridSpan w:val="2"/>
          </w:tcPr>
          <w:p>
            <w:pPr>
              <w:ind w:left="60"/>
              <w:spacing w:after="0"/>
              <w:rPr>
                <w:sz w:val="20"/>
                <w:szCs w:val="20"/>
                <w:color w:val="auto"/>
              </w:rPr>
            </w:pPr>
            <w:r>
              <w:rPr>
                <w:rFonts w:ascii="Arial" w:cs="Arial" w:eastAsia="Arial" w:hAnsi="Arial"/>
                <w:sz w:val="14"/>
                <w:szCs w:val="14"/>
                <w:color w:val="auto"/>
              </w:rPr>
              <w:t>Additional information may be found in Appendix B of our management proxy circular.</w:t>
            </w:r>
          </w:p>
        </w:tc>
        <w:tc>
          <w:tcPr>
            <w:tcW w:w="1820" w:type="dxa"/>
            <w:vAlign w:val="bottom"/>
            <w:tcBorders>
              <w:bottom w:val="single" w:sz="8" w:color="auto"/>
              <w:right w:val="single" w:sz="8" w:color="595959"/>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Borders>
              <w:left w:val="single" w:sz="8" w:color="595959"/>
              <w:right w:val="single" w:sz="8" w:color="595959"/>
            </w:tcBorders>
          </w:tcPr>
          <w:p>
            <w:pPr>
              <w:jc w:val="right"/>
              <w:spacing w:after="0"/>
              <w:rPr>
                <w:sz w:val="20"/>
                <w:szCs w:val="20"/>
                <w:color w:val="auto"/>
              </w:rPr>
            </w:pPr>
            <w:r>
              <w:rPr>
                <w:rFonts w:ascii="Arial" w:cs="Arial" w:eastAsia="Arial" w:hAnsi="Arial"/>
                <w:sz w:val="14"/>
                <w:szCs w:val="14"/>
                <w:color w:val="auto"/>
              </w:rPr>
              <w:t>6</w:t>
            </w:r>
          </w:p>
        </w:tc>
        <w:tc>
          <w:tcPr>
            <w:tcW w:w="1300" w:type="dxa"/>
            <w:vAlign w:val="bottom"/>
            <w:tcBorders>
              <w:right w:val="single" w:sz="8" w:color="595959"/>
            </w:tcBorders>
          </w:tcPr>
          <w:p>
            <w:pPr>
              <w:ind w:left="80"/>
              <w:spacing w:after="0"/>
              <w:rPr>
                <w:sz w:val="20"/>
                <w:szCs w:val="20"/>
                <w:color w:val="auto"/>
              </w:rPr>
            </w:pPr>
            <w:r>
              <w:rPr>
                <w:rFonts w:ascii="Arial" w:cs="Arial" w:eastAsia="Arial" w:hAnsi="Arial"/>
                <w:sz w:val="14"/>
                <w:szCs w:val="14"/>
                <w:color w:val="auto"/>
              </w:rPr>
              <w:t>Other business</w:t>
            </w:r>
          </w:p>
        </w:tc>
        <w:tc>
          <w:tcPr>
            <w:tcW w:w="7540" w:type="dxa"/>
            <w:vAlign w:val="bottom"/>
            <w:tcBorders>
              <w:right w:val="single" w:sz="8" w:color="595959"/>
            </w:tcBorders>
            <w:gridSpan w:val="2"/>
          </w:tcPr>
          <w:p>
            <w:pPr>
              <w:ind w:left="60"/>
              <w:spacing w:after="0"/>
              <w:rPr>
                <w:sz w:val="20"/>
                <w:szCs w:val="20"/>
                <w:color w:val="auto"/>
              </w:rPr>
            </w:pPr>
            <w:r>
              <w:rPr>
                <w:rFonts w:ascii="Arial" w:cs="Arial" w:eastAsia="Arial" w:hAnsi="Arial"/>
                <w:sz w:val="14"/>
                <w:szCs w:val="14"/>
                <w:color w:val="auto"/>
              </w:rPr>
              <w:t>If any other items of business are properly brought before the meeting (or any adjourned or postponed meeting),</w:t>
            </w:r>
          </w:p>
        </w:tc>
        <w:tc>
          <w:tcPr>
            <w:tcW w:w="182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7"/>
        </w:trPr>
        <w:tc>
          <w:tcPr>
            <w:tcW w:w="340" w:type="dxa"/>
            <w:vAlign w:val="bottom"/>
            <w:tcBorders>
              <w:left w:val="single" w:sz="8" w:color="595959"/>
              <w:bottom w:val="single" w:sz="8" w:color="auto"/>
              <w:right w:val="single" w:sz="8" w:color="595959"/>
            </w:tcBorders>
          </w:tcPr>
          <w:p>
            <w:pPr>
              <w:spacing w:after="0"/>
              <w:rPr>
                <w:sz w:val="13"/>
                <w:szCs w:val="13"/>
                <w:color w:val="auto"/>
              </w:rPr>
            </w:pPr>
          </w:p>
        </w:tc>
        <w:tc>
          <w:tcPr>
            <w:tcW w:w="1300" w:type="dxa"/>
            <w:vAlign w:val="bottom"/>
            <w:tcBorders>
              <w:bottom w:val="single" w:sz="8" w:color="auto"/>
              <w:right w:val="single" w:sz="8" w:color="595959"/>
            </w:tcBorders>
          </w:tcPr>
          <w:p>
            <w:pPr>
              <w:spacing w:after="0"/>
              <w:rPr>
                <w:sz w:val="13"/>
                <w:szCs w:val="13"/>
                <w:color w:val="auto"/>
              </w:rPr>
            </w:pPr>
          </w:p>
        </w:tc>
        <w:tc>
          <w:tcPr>
            <w:tcW w:w="7540" w:type="dxa"/>
            <w:vAlign w:val="bottom"/>
            <w:tcBorders>
              <w:bottom w:val="single" w:sz="8" w:color="auto"/>
              <w:right w:val="single" w:sz="8" w:color="595959"/>
            </w:tcBorders>
            <w:gridSpan w:val="2"/>
          </w:tcPr>
          <w:p>
            <w:pPr>
              <w:ind w:left="60"/>
              <w:spacing w:after="0" w:line="157" w:lineRule="exact"/>
              <w:rPr>
                <w:sz w:val="20"/>
                <w:szCs w:val="20"/>
                <w:color w:val="auto"/>
              </w:rPr>
            </w:pPr>
            <w:r>
              <w:rPr>
                <w:rFonts w:ascii="Arial" w:cs="Arial" w:eastAsia="Arial" w:hAnsi="Arial"/>
                <w:sz w:val="14"/>
                <w:szCs w:val="14"/>
                <w:color w:val="auto"/>
              </w:rPr>
              <w:t>shareholders will be asked to vote. We are not aware of any other items of business at this time.</w:t>
            </w:r>
          </w:p>
        </w:tc>
        <w:tc>
          <w:tcPr>
            <w:tcW w:w="1820" w:type="dxa"/>
            <w:vAlign w:val="bottom"/>
            <w:tcBorders>
              <w:bottom w:val="single" w:sz="8" w:color="auto"/>
              <w:right w:val="single" w:sz="8" w:color="595959"/>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40" w:type="dxa"/>
            <w:vAlign w:val="bottom"/>
            <w:tcBorders>
              <w:bottom w:val="single" w:sz="8" w:color="7F7F7F"/>
            </w:tcBorders>
          </w:tcPr>
          <w:p>
            <w:pPr>
              <w:spacing w:after="0"/>
              <w:rPr>
                <w:sz w:val="16"/>
                <w:szCs w:val="16"/>
                <w:color w:val="auto"/>
              </w:rPr>
            </w:pPr>
          </w:p>
        </w:tc>
        <w:tc>
          <w:tcPr>
            <w:tcW w:w="130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7340" w:type="dxa"/>
            <w:vAlign w:val="bottom"/>
            <w:tcBorders>
              <w:bottom w:val="single" w:sz="8" w:color="7F7F7F"/>
            </w:tcBorders>
          </w:tcPr>
          <w:p>
            <w:pPr>
              <w:spacing w:after="0"/>
              <w:rPr>
                <w:sz w:val="16"/>
                <w:szCs w:val="16"/>
                <w:color w:val="auto"/>
              </w:rPr>
            </w:pPr>
          </w:p>
        </w:tc>
        <w:tc>
          <w:tcPr>
            <w:tcW w:w="1820" w:type="dxa"/>
            <w:vAlign w:val="bottom"/>
            <w:tcBorders>
              <w:bottom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1820" w:type="dxa"/>
            <w:vAlign w:val="bottom"/>
          </w:tcPr>
          <w:p>
            <w:pPr>
              <w:ind w:left="1380"/>
              <w:spacing w:after="0"/>
              <w:rPr>
                <w:sz w:val="20"/>
                <w:szCs w:val="20"/>
                <w:color w:val="auto"/>
              </w:rPr>
            </w:pPr>
            <w:r>
              <w:rPr>
                <w:rFonts w:ascii="Arial" w:cs="Arial" w:eastAsia="Arial" w:hAnsi="Arial"/>
                <w:sz w:val="13"/>
                <w:szCs w:val="13"/>
                <w:color w:val="auto"/>
                <w:w w:val="96"/>
              </w:rPr>
              <w:t>Page 1</w:t>
            </w:r>
          </w:p>
        </w:tc>
        <w:tc>
          <w:tcPr>
            <w:tcW w:w="0" w:type="dxa"/>
            <w:vAlign w:val="bottom"/>
          </w:tcPr>
          <w:p>
            <w:pPr>
              <w:spacing w:after="0"/>
              <w:rPr>
                <w:sz w:val="1"/>
                <w:szCs w:val="1"/>
                <w:color w:val="auto"/>
              </w:rPr>
            </w:pPr>
          </w:p>
        </w:tc>
      </w:tr>
    </w:tbl>
    <w:p>
      <w:pPr>
        <w:sectPr>
          <w:pgSz w:w="11900" w:h="16838" w:orient="portrait"/>
          <w:cols w:equalWidth="0" w:num="1">
            <w:col w:w="11000"/>
          </w:cols>
          <w:pgMar w:left="460" w:top="118" w:right="4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6"/>
          <w:szCs w:val="16"/>
          <w:b w:val="1"/>
          <w:bCs w:val="1"/>
          <w:color w:val="D95A3B"/>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SHAREHOLDERS ARE REMINDED TO VIEW OUR PROXY MATERIALS PRIOR TO VOTING.</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D95A3B"/>
        </w:rPr>
        <w:t>WEBSITES WHERE PROXY MATERIALS ARE POSTED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You can find the management proxy circular and other proxy materials at the following websites: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www.thomsonreuters.com/AGM/</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www.sedar.com</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www.sec.gov</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D95A3B"/>
        </w:rPr>
        <w:t>REGISTERED AND NON-REGISTERED/BENEFICIAL HOLDERS</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If you’d like to obtain paper copies of the proxy materials, you should first determine whether you are a registered or non-registered/beneficial holder of our common shares. Most of our shareholders are non-registered/beneficial holders.</w:t>
      </w:r>
    </w:p>
    <w:p>
      <w:pPr>
        <w:spacing w:after="0" w:line="101" w:lineRule="exact"/>
        <w:rPr>
          <w:sz w:val="20"/>
          <w:szCs w:val="20"/>
          <w:color w:val="auto"/>
        </w:rPr>
      </w:pPr>
    </w:p>
    <w:p>
      <w:pPr>
        <w:ind w:left="540" w:right="220" w:hanging="322"/>
        <w:spacing w:after="0" w:line="185" w:lineRule="auto"/>
        <w:tabs>
          <w:tab w:leader="none" w:pos="540" w:val="left"/>
        </w:tabs>
        <w:numPr>
          <w:ilvl w:val="0"/>
          <w:numId w:val="56"/>
        </w:numPr>
        <w:rPr>
          <w:rFonts w:ascii="Arial" w:cs="Arial" w:eastAsia="Arial" w:hAnsi="Arial"/>
          <w:sz w:val="27"/>
          <w:szCs w:val="27"/>
          <w:color w:val="auto"/>
          <w:vertAlign w:val="superscript"/>
        </w:rPr>
      </w:pPr>
      <w:r>
        <w:rPr>
          <w:rFonts w:ascii="Arial" w:cs="Arial" w:eastAsia="Arial" w:hAnsi="Arial"/>
          <w:sz w:val="16"/>
          <w:szCs w:val="16"/>
          <w:color w:val="auto"/>
        </w:rPr>
        <w:t>You are a registered shareholder if your name appears directly on your share certificates, or if you hold your common shares in book-entry form through the direct registration system (DRS) on the records of our transfer agent, Computershare Trust Company of Canada.</w:t>
      </w:r>
    </w:p>
    <w:p>
      <w:pPr>
        <w:spacing w:after="0" w:line="116" w:lineRule="exact"/>
        <w:rPr>
          <w:rFonts w:ascii="Arial" w:cs="Arial" w:eastAsia="Arial" w:hAnsi="Arial"/>
          <w:sz w:val="27"/>
          <w:szCs w:val="27"/>
          <w:color w:val="auto"/>
          <w:vertAlign w:val="superscript"/>
        </w:rPr>
      </w:pPr>
    </w:p>
    <w:p>
      <w:pPr>
        <w:ind w:left="540" w:right="80" w:hanging="322"/>
        <w:spacing w:after="0" w:line="185" w:lineRule="auto"/>
        <w:tabs>
          <w:tab w:leader="none" w:pos="540" w:val="left"/>
        </w:tabs>
        <w:numPr>
          <w:ilvl w:val="0"/>
          <w:numId w:val="56"/>
        </w:numPr>
        <w:rPr>
          <w:rFonts w:ascii="Arial" w:cs="Arial" w:eastAsia="Arial" w:hAnsi="Arial"/>
          <w:sz w:val="27"/>
          <w:szCs w:val="27"/>
          <w:color w:val="auto"/>
          <w:vertAlign w:val="superscript"/>
        </w:rPr>
      </w:pPr>
      <w:r>
        <w:rPr>
          <w:rFonts w:ascii="Arial" w:cs="Arial" w:eastAsia="Arial" w:hAnsi="Arial"/>
          <w:sz w:val="16"/>
          <w:szCs w:val="16"/>
          <w:color w:val="auto"/>
        </w:rPr>
        <w:t>You are a non-registered shareholder if you own shares indirectly and the shares are registered in the name of an intermediary. For example, you are a non-registered shareholder if:</w:t>
      </w:r>
    </w:p>
    <w:p>
      <w:pPr>
        <w:spacing w:after="0" w:line="116" w:lineRule="exact"/>
        <w:rPr>
          <w:rFonts w:ascii="Arial" w:cs="Arial" w:eastAsia="Arial" w:hAnsi="Arial"/>
          <w:sz w:val="27"/>
          <w:szCs w:val="27"/>
          <w:color w:val="auto"/>
          <w:vertAlign w:val="superscript"/>
        </w:rPr>
      </w:pPr>
    </w:p>
    <w:p>
      <w:pPr>
        <w:ind w:left="1200" w:hanging="322"/>
        <w:spacing w:after="0"/>
        <w:tabs>
          <w:tab w:leader="none" w:pos="1200" w:val="left"/>
        </w:tabs>
        <w:numPr>
          <w:ilvl w:val="1"/>
          <w:numId w:val="56"/>
        </w:numPr>
        <w:rPr>
          <w:rFonts w:ascii="Arial" w:cs="Arial" w:eastAsia="Arial" w:hAnsi="Arial"/>
          <w:sz w:val="14"/>
          <w:szCs w:val="14"/>
          <w:color w:val="auto"/>
        </w:rPr>
      </w:pPr>
      <w:r>
        <w:rPr>
          <w:rFonts w:ascii="Arial" w:cs="Arial" w:eastAsia="Arial" w:hAnsi="Arial"/>
          <w:sz w:val="16"/>
          <w:szCs w:val="16"/>
          <w:color w:val="auto"/>
        </w:rPr>
        <w:t>your common shares are held in the name of a bank, trust company, securities broker, trustee or custodian; or</w:t>
      </w:r>
    </w:p>
    <w:p>
      <w:pPr>
        <w:spacing w:after="0" w:line="125" w:lineRule="exact"/>
        <w:rPr>
          <w:rFonts w:ascii="Arial" w:cs="Arial" w:eastAsia="Arial" w:hAnsi="Arial"/>
          <w:sz w:val="14"/>
          <w:szCs w:val="14"/>
          <w:color w:val="auto"/>
        </w:rPr>
      </w:pPr>
    </w:p>
    <w:p>
      <w:pPr>
        <w:ind w:left="1200" w:right="460" w:hanging="322"/>
        <w:spacing w:after="0" w:line="259" w:lineRule="auto"/>
        <w:tabs>
          <w:tab w:leader="none" w:pos="1200" w:val="left"/>
        </w:tabs>
        <w:numPr>
          <w:ilvl w:val="1"/>
          <w:numId w:val="56"/>
        </w:numPr>
        <w:rPr>
          <w:rFonts w:ascii="Arial" w:cs="Arial" w:eastAsia="Arial" w:hAnsi="Arial"/>
          <w:sz w:val="14"/>
          <w:szCs w:val="14"/>
          <w:color w:val="auto"/>
        </w:rPr>
      </w:pPr>
      <w:r>
        <w:rPr>
          <w:rFonts w:ascii="Arial" w:cs="Arial" w:eastAsia="Arial" w:hAnsi="Arial"/>
          <w:sz w:val="16"/>
          <w:szCs w:val="16"/>
          <w:color w:val="auto"/>
        </w:rPr>
        <w:t>you hold Depositary Interests representing our common shares which are held in the name of Computershare Company Nominees Limited as nominee and custodian.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D95A3B"/>
        </w:rPr>
        <w:t>HOW TO OBTAIN PAPER COPIES OF THE PROXY MATERIALS</w:t>
      </w:r>
    </w:p>
    <w:p>
      <w:pPr>
        <w:spacing w:after="0" w:line="13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u w:val="single" w:color="auto"/>
          <w:color w:val="auto"/>
        </w:rPr>
        <w:t>Non-registered/beneficial shareholders</w:t>
      </w:r>
      <w:r>
        <w:rPr>
          <w:rFonts w:ascii="Arial" w:cs="Arial" w:eastAsia="Arial" w:hAnsi="Arial"/>
          <w:sz w:val="16"/>
          <w:szCs w:val="16"/>
          <w:color w:val="auto"/>
        </w:rPr>
        <w:t xml:space="preserve"> may request that paper copies of the proxy materials be sent to them by mail at no cost. Requests may be made up to one year from the date that our management proxy circular was filed on SEDAR by going to www.proxyvote.com and entering the Control Number located on your voting instruction form and following the instructions provided. Alternatively, at any time prior to the meeting, you may submit a request by phone by calling 1.877.907.7643 and then entering your Control Number. Requests should be received at least five business days in advance of the date and time set out in your voting instruction form as a voting deadline if you’d like to receive the proxy materials in advance of the proxy voting deadline and the meeting date.</w:t>
      </w:r>
    </w:p>
    <w:p>
      <w:pPr>
        <w:spacing w:after="0" w:line="97" w:lineRule="exact"/>
        <w:rPr>
          <w:sz w:val="20"/>
          <w:szCs w:val="20"/>
          <w:color w:val="auto"/>
        </w:rPr>
      </w:pPr>
    </w:p>
    <w:p>
      <w:pPr>
        <w:spacing w:after="0" w:line="249" w:lineRule="auto"/>
        <w:rPr>
          <w:sz w:val="20"/>
          <w:szCs w:val="20"/>
          <w:color w:val="auto"/>
        </w:rPr>
      </w:pPr>
      <w:r>
        <w:rPr>
          <w:rFonts w:ascii="Arial" w:cs="Arial" w:eastAsia="Arial" w:hAnsi="Arial"/>
          <w:sz w:val="16"/>
          <w:szCs w:val="16"/>
          <w:u w:val="single" w:color="auto"/>
          <w:color w:val="auto"/>
        </w:rPr>
        <w:t>Registered shareholders</w:t>
      </w:r>
      <w:r>
        <w:rPr>
          <w:rFonts w:ascii="Arial" w:cs="Arial" w:eastAsia="Arial" w:hAnsi="Arial"/>
          <w:sz w:val="16"/>
          <w:szCs w:val="16"/>
          <w:color w:val="auto"/>
        </w:rPr>
        <w:t xml:space="preserve"> may request that paper copies of the proxy materials be sent to them by mail at no cost. At any time prior to the meeting, you may submit a request by phone by calling 1.866.962.0498 or 1.514.982.8716 (Depositary Interest holders can call +44 (0) 370.707.1804) and entering the Control Number reflected on your proxy form. Requests should be received at least five business days in advance of the date and time set out in your proxy form as a voting deadline if you’d like to receive the proxy materials in advance of proxy voting deadline and the meeting date. Following the meeting, requests may also be made up to one year from the date that our management proxy circular was filed on SEDAR by calling 1.514.982.7555.</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D95A3B"/>
        </w:rPr>
        <w:t>VOTING</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u w:val="single" w:color="auto"/>
          <w:color w:val="auto"/>
        </w:rPr>
        <w:t>Non-registered/beneficial shareholders</w:t>
      </w:r>
      <w:r>
        <w:rPr>
          <w:rFonts w:ascii="Arial" w:cs="Arial" w:eastAsia="Arial" w:hAnsi="Arial"/>
          <w:sz w:val="16"/>
          <w:szCs w:val="16"/>
          <w:color w:val="auto"/>
        </w:rPr>
        <w:t xml:space="preserve"> should vote using the methods reflected on your voting instruction form. Your proxy or vote must be received by the proxy deadline noted on your voting instruction form.</w:t>
      </w:r>
    </w:p>
    <w:p>
      <w:pPr>
        <w:spacing w:after="0" w:line="87"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u w:val="single" w:color="auto"/>
          <w:color w:val="auto"/>
        </w:rPr>
        <w:t>Registered shareholders</w:t>
      </w:r>
      <w:r>
        <w:rPr>
          <w:rFonts w:ascii="Arial" w:cs="Arial" w:eastAsia="Arial" w:hAnsi="Arial"/>
          <w:sz w:val="16"/>
          <w:szCs w:val="16"/>
          <w:color w:val="auto"/>
        </w:rPr>
        <w:t xml:space="preserve"> should vote using the methods reflected on your proxy form. Our transfer agent, Computershare Trust Company of Canada, must receive your proxy or voting instructions by 5:00 p.m. (Eastern Daylight Time) on June 3, 2019.</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Shareholders with questions about notice-and-access may call Computershare Trust Company of Canada at 1.866.964.0492 (toll free in Canada and the United States) or 1.514.982.8714.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69735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73570" cy="825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ectPr>
          <w:pgSz w:w="11900" w:h="16838" w:orient="portrait"/>
          <w:cols w:equalWidth="0" w:num="1">
            <w:col w:w="10980"/>
          </w:cols>
          <w:pgMar w:left="460" w:top="713" w:right="4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THOMSON REUTERS</w:t>
      </w:r>
    </w:p>
    <w:p>
      <w:pPr>
        <w:spacing w:after="0" w:line="205" w:lineRule="exact"/>
        <w:rPr>
          <w:sz w:val="20"/>
          <w:szCs w:val="20"/>
          <w:color w:val="auto"/>
        </w:rPr>
      </w:pPr>
    </w:p>
    <w:p>
      <w:pPr>
        <w:jc w:val="center"/>
        <w:ind w:right="980"/>
        <w:spacing w:after="0"/>
        <w:rPr>
          <w:sz w:val="20"/>
          <w:szCs w:val="20"/>
          <w:color w:val="auto"/>
        </w:rPr>
      </w:pPr>
      <w:r>
        <w:rPr>
          <w:rFonts w:ascii="Arial" w:cs="Arial" w:eastAsia="Arial" w:hAnsi="Arial"/>
          <w:sz w:val="20"/>
          <w:szCs w:val="20"/>
          <w:b w:val="1"/>
          <w:bCs w:val="1"/>
          <w:color w:val="auto"/>
        </w:rPr>
        <w:t>CORPORATE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EFFECTIVE</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6, 2019</w:t>
      </w:r>
    </w:p>
    <w:p>
      <w:pPr>
        <w:sectPr>
          <w:pgSz w:w="11900" w:h="16838" w:orient="portrait"/>
          <w:cols w:equalWidth="0" w:num="1">
            <w:col w:w="10000"/>
          </w:cols>
          <w:pgMar w:left="1440" w:top="121" w:right="4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80"/>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00" w:type="dxa"/>
            <w:vAlign w:val="bottom"/>
            <w:gridSpan w:val="4"/>
          </w:tcPr>
          <w:p>
            <w:pPr>
              <w:ind w:left="340"/>
              <w:spacing w:after="0"/>
              <w:rPr>
                <w:sz w:val="20"/>
                <w:szCs w:val="20"/>
                <w:color w:val="auto"/>
              </w:rPr>
            </w:pPr>
            <w:r>
              <w:rPr>
                <w:rFonts w:ascii="Arial" w:cs="Arial" w:eastAsia="Arial" w:hAnsi="Arial"/>
                <w:sz w:val="22"/>
                <w:szCs w:val="22"/>
                <w:b w:val="1"/>
                <w:bCs w:val="1"/>
                <w:color w:val="auto"/>
              </w:rPr>
              <w:t>TABLE OF CONTENTS</w:t>
            </w:r>
          </w:p>
        </w:tc>
        <w:tc>
          <w:tcPr>
            <w:tcW w:w="2240" w:type="dxa"/>
            <w:vAlign w:val="bottom"/>
          </w:tcPr>
          <w:p>
            <w:pPr>
              <w:spacing w:after="0"/>
              <w:rPr>
                <w:sz w:val="24"/>
                <w:szCs w:val="24"/>
                <w:color w:val="auto"/>
              </w:rPr>
            </w:pPr>
          </w:p>
        </w:tc>
      </w:tr>
      <w:tr>
        <w:trPr>
          <w:trHeight w:val="515"/>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8380" w:type="dxa"/>
            <w:vAlign w:val="bottom"/>
            <w:gridSpan w:val="21"/>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GENERAL</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8380" w:type="dxa"/>
            <w:vAlign w:val="bottom"/>
            <w:gridSpan w:val="21"/>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BOARD COMPOSITION</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226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13">
              <w:r>
                <w:rPr>
                  <w:rFonts w:ascii="Arial" w:cs="Arial" w:eastAsia="Arial" w:hAnsi="Arial"/>
                  <w:sz w:val="18"/>
                  <w:szCs w:val="18"/>
                  <w:color w:val="0000EE"/>
                  <w:w w:val="95"/>
                </w:rPr>
                <w:t>BOARD RESPONSIBILITIES</w:t>
              </w:r>
            </w:hyperlink>
          </w:p>
        </w:tc>
        <w:tc>
          <w:tcPr>
            <w:tcW w:w="6120" w:type="dxa"/>
            <w:vAlign w:val="bottom"/>
            <w:gridSpan w:val="14"/>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22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115">
              <w:r>
                <w:rPr>
                  <w:rFonts w:ascii="Arial" w:cs="Arial" w:eastAsia="Arial" w:hAnsi="Arial"/>
                  <w:sz w:val="18"/>
                  <w:szCs w:val="18"/>
                  <w:color w:val="0000EE"/>
                  <w:w w:val="95"/>
                </w:rPr>
                <w:t>PRINCIPAL SHAREHOLDER</w:t>
              </w:r>
            </w:hyperlink>
          </w:p>
        </w:tc>
        <w:tc>
          <w:tcPr>
            <w:tcW w:w="6100" w:type="dxa"/>
            <w:vAlign w:val="bottom"/>
            <w:gridSpan w:val="13"/>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8380" w:type="dxa"/>
            <w:vAlign w:val="bottom"/>
            <w:gridSpan w:val="21"/>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CHAIRMAN</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3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174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116">
              <w:r>
                <w:rPr>
                  <w:rFonts w:ascii="Arial" w:cs="Arial" w:eastAsia="Arial" w:hAnsi="Arial"/>
                  <w:sz w:val="18"/>
                  <w:szCs w:val="18"/>
                  <w:color w:val="0000EE"/>
                  <w:w w:val="98"/>
                </w:rPr>
                <w:t>DEPUTY CHAIRMAN</w:t>
              </w:r>
            </w:hyperlink>
          </w:p>
        </w:tc>
        <w:tc>
          <w:tcPr>
            <w:tcW w:w="6640" w:type="dxa"/>
            <w:vAlign w:val="bottom"/>
            <w:gridSpan w:val="17"/>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272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116">
              <w:r>
                <w:rPr>
                  <w:rFonts w:ascii="Arial" w:cs="Arial" w:eastAsia="Arial" w:hAnsi="Arial"/>
                  <w:sz w:val="18"/>
                  <w:szCs w:val="18"/>
                  <w:color w:val="0000EE"/>
                  <w:w w:val="96"/>
                </w:rPr>
                <w:t>LEAD INDEPENDENT DIRECTOR</w:t>
              </w:r>
            </w:hyperlink>
          </w:p>
        </w:tc>
        <w:tc>
          <w:tcPr>
            <w:tcW w:w="5660" w:type="dxa"/>
            <w:vAlign w:val="bottom"/>
            <w:gridSpan w:val="10"/>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8380" w:type="dxa"/>
            <w:vAlign w:val="bottom"/>
            <w:gridSpan w:val="21"/>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SECRETARY</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3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8380" w:type="dxa"/>
            <w:vAlign w:val="bottom"/>
            <w:gridSpan w:val="21"/>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BOARD COMMITTEES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32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10.</w:t>
            </w:r>
          </w:p>
        </w:tc>
        <w:tc>
          <w:tcPr>
            <w:tcW w:w="8380" w:type="dxa"/>
            <w:vAlign w:val="bottom"/>
            <w:gridSpan w:val="21"/>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BOARD AND COMMITTEE MEETINGS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11.</w:t>
            </w:r>
          </w:p>
        </w:tc>
        <w:tc>
          <w:tcPr>
            <w:tcW w:w="3120" w:type="dxa"/>
            <w:vAlign w:val="bottom"/>
            <w:tcBorders>
              <w:top w:val="single" w:sz="8" w:color="0000EE"/>
            </w:tcBorders>
            <w:gridSpan w:val="16"/>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DIRECTOR COMPENSATION</w:t>
              </w:r>
            </w:hyperlink>
          </w:p>
        </w:tc>
        <w:tc>
          <w:tcPr>
            <w:tcW w:w="5260" w:type="dxa"/>
            <w:vAlign w:val="bottom"/>
            <w:gridSpan w:val="5"/>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20" w:type="dxa"/>
            <w:vAlign w:val="bottom"/>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12.</w:t>
            </w:r>
          </w:p>
        </w:tc>
        <w:tc>
          <w:tcPr>
            <w:tcW w:w="8380" w:type="dxa"/>
            <w:vAlign w:val="bottom"/>
            <w:gridSpan w:val="21"/>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REIMBURSEMENT OF EXPENSES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20" w:type="dxa"/>
            <w:vAlign w:val="bottom"/>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13.</w:t>
            </w:r>
          </w:p>
        </w:tc>
        <w:tc>
          <w:tcPr>
            <w:tcW w:w="280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20">
              <w:r>
                <w:rPr>
                  <w:rFonts w:ascii="Arial" w:cs="Arial" w:eastAsia="Arial" w:hAnsi="Arial"/>
                  <w:sz w:val="18"/>
                  <w:szCs w:val="18"/>
                  <w:color w:val="0000EE"/>
                  <w:w w:val="95"/>
                </w:rPr>
                <w:t>SHARE OWNERSHIP GUIDELINES</w:t>
              </w:r>
            </w:hyperlink>
          </w:p>
        </w:tc>
        <w:tc>
          <w:tcPr>
            <w:tcW w:w="5580" w:type="dxa"/>
            <w:vAlign w:val="bottom"/>
            <w:gridSpan w:val="8"/>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14.</w:t>
            </w:r>
          </w:p>
        </w:tc>
        <w:tc>
          <w:tcPr>
            <w:tcW w:w="8380" w:type="dxa"/>
            <w:vAlign w:val="bottom"/>
            <w:gridSpan w:val="21"/>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DIRECTOR ORIENTATION AND CONTINUING EDUCATION</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15.</w:t>
            </w:r>
          </w:p>
        </w:tc>
        <w:tc>
          <w:tcPr>
            <w:tcW w:w="436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6"/>
              </w:rPr>
            </w:pPr>
            <w:hyperlink w:anchor="page121">
              <w:r>
                <w:rPr>
                  <w:rFonts w:ascii="Arial" w:cs="Arial" w:eastAsia="Arial" w:hAnsi="Arial"/>
                  <w:sz w:val="18"/>
                  <w:szCs w:val="18"/>
                  <w:color w:val="0000EE"/>
                  <w:w w:val="96"/>
                </w:rPr>
                <w:t>BOARD ACCESS TO MANAGEMENT AND ADVISORS</w:t>
              </w:r>
            </w:hyperlink>
          </w:p>
        </w:tc>
        <w:tc>
          <w:tcPr>
            <w:tcW w:w="440" w:type="dxa"/>
            <w:vAlign w:val="bottom"/>
            <w:tcBorders>
              <w:top w:val="single" w:sz="8" w:color="0000EE"/>
            </w:tcBorders>
          </w:tcPr>
          <w:p>
            <w:pPr>
              <w:spacing w:after="0"/>
              <w:rPr>
                <w:sz w:val="24"/>
                <w:szCs w:val="24"/>
                <w:color w:val="auto"/>
              </w:rPr>
            </w:pPr>
          </w:p>
        </w:tc>
        <w:tc>
          <w:tcPr>
            <w:tcW w:w="358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16.</w:t>
            </w:r>
          </w:p>
        </w:tc>
        <w:tc>
          <w:tcPr>
            <w:tcW w:w="8380" w:type="dxa"/>
            <w:vAlign w:val="bottom"/>
            <w:gridSpan w:val="21"/>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PERFORMANCE ASSESSMENTS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20" w:type="dxa"/>
            <w:vAlign w:val="bottom"/>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17.</w:t>
            </w:r>
          </w:p>
        </w:tc>
        <w:tc>
          <w:tcPr>
            <w:tcW w:w="3680" w:type="dxa"/>
            <w:vAlign w:val="bottom"/>
            <w:tcBorders>
              <w:bottom w:val="single" w:sz="8" w:color="0000EE"/>
            </w:tcBorders>
            <w:gridSpan w:val="17"/>
          </w:tcPr>
          <w:p>
            <w:pPr>
              <w:spacing w:after="0"/>
              <w:rPr>
                <w:rFonts w:ascii="Arial" w:cs="Arial" w:eastAsia="Arial" w:hAnsi="Arial"/>
                <w:sz w:val="18"/>
                <w:szCs w:val="18"/>
                <w:color w:val="0000EE"/>
                <w:w w:val="94"/>
              </w:rPr>
            </w:pPr>
            <w:hyperlink w:anchor="page121">
              <w:r>
                <w:rPr>
                  <w:rFonts w:ascii="Arial" w:cs="Arial" w:eastAsia="Arial" w:hAnsi="Arial"/>
                  <w:sz w:val="18"/>
                  <w:szCs w:val="18"/>
                  <w:color w:val="0000EE"/>
                  <w:w w:val="94"/>
                </w:rPr>
                <w:t>CODE OF BUSINESS CONDUCT AND ETHICS</w:t>
              </w:r>
            </w:hyperlink>
          </w:p>
        </w:tc>
        <w:tc>
          <w:tcPr>
            <w:tcW w:w="4700" w:type="dxa"/>
            <w:vAlign w:val="bottom"/>
            <w:gridSpan w:val="4"/>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18.</w:t>
            </w:r>
          </w:p>
        </w:tc>
        <w:tc>
          <w:tcPr>
            <w:tcW w:w="308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122">
              <w:r>
                <w:rPr>
                  <w:rFonts w:ascii="Arial" w:cs="Arial" w:eastAsia="Arial" w:hAnsi="Arial"/>
                  <w:sz w:val="18"/>
                  <w:szCs w:val="18"/>
                  <w:color w:val="0000EE"/>
                  <w:w w:val="96"/>
                </w:rPr>
                <w:t>PROHIBITION ON PERSONAL LOANS</w:t>
              </w:r>
            </w:hyperlink>
          </w:p>
        </w:tc>
        <w:tc>
          <w:tcPr>
            <w:tcW w:w="5300" w:type="dxa"/>
            <w:vAlign w:val="bottom"/>
            <w:gridSpan w:val="7"/>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19.</w:t>
            </w:r>
          </w:p>
        </w:tc>
        <w:tc>
          <w:tcPr>
            <w:tcW w:w="8380" w:type="dxa"/>
            <w:vAlign w:val="bottom"/>
            <w:gridSpan w:val="21"/>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INDEMNIFICATION AND INSURANCE</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20.</w:t>
            </w:r>
          </w:p>
        </w:tc>
        <w:tc>
          <w:tcPr>
            <w:tcW w:w="3100" w:type="dxa"/>
            <w:vAlign w:val="bottom"/>
            <w:tcBorders>
              <w:top w:val="single" w:sz="8" w:color="0000EE"/>
            </w:tcBorders>
            <w:gridSpan w:val="15"/>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CONFLICTS OF INTEREST</w:t>
              </w:r>
            </w:hyperlink>
          </w:p>
        </w:tc>
        <w:tc>
          <w:tcPr>
            <w:tcW w:w="5280" w:type="dxa"/>
            <w:vAlign w:val="bottom"/>
            <w:gridSpan w:val="6"/>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20" w:type="dxa"/>
            <w:vAlign w:val="bottom"/>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000" w:type="dxa"/>
            <w:vAlign w:val="bottom"/>
            <w:gridSpan w:val="12"/>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3"/>
        </w:trPr>
        <w:tc>
          <w:tcPr>
            <w:tcW w:w="320" w:type="dxa"/>
            <w:vAlign w:val="bottom"/>
          </w:tcPr>
          <w:p>
            <w:pPr>
              <w:spacing w:after="0"/>
              <w:rPr>
                <w:sz w:val="20"/>
                <w:szCs w:val="20"/>
                <w:color w:val="auto"/>
              </w:rPr>
            </w:pPr>
            <w:r>
              <w:rPr>
                <w:rFonts w:ascii="Arial" w:cs="Arial" w:eastAsia="Arial" w:hAnsi="Arial"/>
                <w:sz w:val="18"/>
                <w:szCs w:val="18"/>
                <w:color w:val="auto"/>
              </w:rPr>
              <w:t>21.</w:t>
            </w:r>
          </w:p>
        </w:tc>
        <w:tc>
          <w:tcPr>
            <w:tcW w:w="8380" w:type="dxa"/>
            <w:vAlign w:val="bottom"/>
            <w:gridSpan w:val="21"/>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TO CONTACT THE BOARD AND ITS COMMITTEES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40"/>
          </w:cols>
          <w:pgMar w:left="460" w:top="260"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THOMSON REUTERS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 GUIDELINES</w:t>
      </w:r>
    </w:p>
    <w:p>
      <w:pPr>
        <w:spacing w:after="0" w:line="372" w:lineRule="exact"/>
        <w:rPr>
          <w:sz w:val="20"/>
          <w:szCs w:val="20"/>
          <w:color w:val="auto"/>
        </w:rPr>
      </w:pPr>
    </w:p>
    <w:p>
      <w:pPr>
        <w:ind w:left="440" w:hanging="437"/>
        <w:spacing w:after="0"/>
        <w:tabs>
          <w:tab w:leader="none" w:pos="4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0" w:lineRule="exact"/>
        <w:rPr>
          <w:rFonts w:ascii="Arial" w:cs="Arial" w:eastAsia="Arial" w:hAnsi="Arial"/>
          <w:sz w:val="18"/>
          <w:szCs w:val="18"/>
          <w:b w:val="1"/>
          <w:bCs w:val="1"/>
          <w:color w:val="auto"/>
        </w:rPr>
      </w:pPr>
    </w:p>
    <w:p>
      <w:pPr>
        <w:jc w:val="both"/>
        <w:ind w:left="44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(the “Board”) of Thomson Reuters Corporation (the “Corporation”) believes that sound corporate governance practices are essential to the well-being of the Corporation and its subsidiaries (collectively, “Thomson Reuters”) and the promotion and protection of its shareholders’ interests. The Board oversees the functioning of Thomson Reuters governance system, in part, through the work of the Corporate Governance Committee.</w:t>
      </w:r>
    </w:p>
    <w:p>
      <w:pPr>
        <w:spacing w:after="0" w:line="186" w:lineRule="exact"/>
        <w:rPr>
          <w:rFonts w:ascii="Arial" w:cs="Arial" w:eastAsia="Arial" w:hAnsi="Arial"/>
          <w:sz w:val="18"/>
          <w:szCs w:val="18"/>
          <w:b w:val="1"/>
          <w:bCs w:val="1"/>
          <w:color w:val="auto"/>
        </w:rPr>
      </w:pPr>
    </w:p>
    <w:p>
      <w:pPr>
        <w:jc w:val="both"/>
        <w:ind w:left="4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Board has adopted these guidelines, which reflect Thomson Reuters commitment to high standards of corporate governance, to assist the Board in supervising the management of the business and affairs of Thomson Reuters as required under applicable law and stock exchange rules and requirements.</w:t>
      </w:r>
    </w:p>
    <w:p>
      <w:pPr>
        <w:spacing w:after="0" w:line="183" w:lineRule="exact"/>
        <w:rPr>
          <w:rFonts w:ascii="Arial" w:cs="Arial" w:eastAsia="Arial" w:hAnsi="Arial"/>
          <w:sz w:val="18"/>
          <w:szCs w:val="18"/>
          <w:b w:val="1"/>
          <w:bCs w:val="1"/>
          <w:color w:val="auto"/>
        </w:rPr>
      </w:pPr>
    </w:p>
    <w:p>
      <w:pPr>
        <w:jc w:val="both"/>
        <w:ind w:left="44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The fundamental responsibility of the Board is to supervise the management of the business and affairs of Thomson Reuters with a view to sustainable value creation for all shareholders. The Board seeks to ensure fair reporting, including financial reporting, to shareholders of the Corporation and other interested persons as well as ethical and legal corporate conduct by maintaining an appropriate system of corporate governance, internal control over financial reporting and disclosure controls and procedures. The Board believes that Thomson Reuters is best served by a board of directors that functions independently of management and that is informed and engaged.</w:t>
      </w:r>
    </w:p>
    <w:p>
      <w:pPr>
        <w:spacing w:after="0" w:line="176" w:lineRule="exact"/>
        <w:rPr>
          <w:rFonts w:ascii="Arial" w:cs="Arial" w:eastAsia="Arial" w:hAnsi="Arial"/>
          <w:sz w:val="18"/>
          <w:szCs w:val="18"/>
          <w:b w:val="1"/>
          <w:bCs w:val="1"/>
          <w:color w:val="auto"/>
        </w:rPr>
      </w:pPr>
    </w:p>
    <w:p>
      <w:pPr>
        <w:ind w:left="440"/>
        <w:spacing w:after="0" w:line="306" w:lineRule="auto"/>
        <w:rPr>
          <w:rFonts w:ascii="Arial" w:cs="Arial" w:eastAsia="Arial" w:hAnsi="Arial"/>
          <w:sz w:val="18"/>
          <w:szCs w:val="18"/>
          <w:b w:val="1"/>
          <w:bCs w:val="1"/>
          <w:color w:val="auto"/>
        </w:rPr>
      </w:pPr>
      <w:r>
        <w:rPr>
          <w:rFonts w:ascii="Arial" w:cs="Arial" w:eastAsia="Arial" w:hAnsi="Arial"/>
          <w:sz w:val="17"/>
          <w:szCs w:val="17"/>
          <w:color w:val="auto"/>
        </w:rPr>
        <w:t>The Corporate Governance Committee will review these guidelines annually, or more often if warranted, and recommend to the Board such changes as it determines necessary and appropriate in light of Thomson Reuters needs and legal, regulatory and other developments.</w:t>
      </w:r>
    </w:p>
    <w:p>
      <w:pPr>
        <w:spacing w:after="0" w:line="291" w:lineRule="exact"/>
        <w:rPr>
          <w:rFonts w:ascii="Arial" w:cs="Arial" w:eastAsia="Arial" w:hAnsi="Arial"/>
          <w:sz w:val="18"/>
          <w:szCs w:val="18"/>
          <w:b w:val="1"/>
          <w:bCs w:val="1"/>
          <w:color w:val="auto"/>
        </w:rPr>
      </w:pPr>
    </w:p>
    <w:p>
      <w:pPr>
        <w:ind w:left="440" w:hanging="437"/>
        <w:spacing w:after="0"/>
        <w:tabs>
          <w:tab w:leader="none" w:pos="4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BOARD COMPOSITION</w:t>
      </w:r>
    </w:p>
    <w:p>
      <w:pPr>
        <w:spacing w:after="0" w:line="129" w:lineRule="exact"/>
        <w:rPr>
          <w:rFonts w:ascii="Arial" w:cs="Arial" w:eastAsia="Arial" w:hAnsi="Arial"/>
          <w:sz w:val="18"/>
          <w:szCs w:val="18"/>
          <w:b w:val="1"/>
          <w:bCs w:val="1"/>
          <w:color w:val="auto"/>
        </w:rPr>
      </w:pPr>
    </w:p>
    <w:p>
      <w:pPr>
        <w:ind w:left="860" w:hanging="426"/>
        <w:spacing w:after="0"/>
        <w:tabs>
          <w:tab w:leader="none" w:pos="860" w:val="left"/>
        </w:tabs>
        <w:numPr>
          <w:ilvl w:val="1"/>
          <w:numId w:val="57"/>
        </w:numPr>
        <w:rPr>
          <w:rFonts w:ascii="Arial" w:cs="Arial" w:eastAsia="Arial" w:hAnsi="Arial"/>
          <w:sz w:val="18"/>
          <w:szCs w:val="18"/>
          <w:color w:val="auto"/>
        </w:rPr>
      </w:pPr>
      <w:r>
        <w:rPr>
          <w:rFonts w:ascii="Arial" w:cs="Arial" w:eastAsia="Arial" w:hAnsi="Arial"/>
          <w:sz w:val="18"/>
          <w:szCs w:val="18"/>
          <w:b w:val="1"/>
          <w:bCs w:val="1"/>
          <w:color w:val="auto"/>
        </w:rPr>
        <w:t>Board Membership Criteria</w:t>
      </w:r>
    </w:p>
    <w:p>
      <w:pPr>
        <w:spacing w:after="0" w:line="120" w:lineRule="exact"/>
        <w:rPr>
          <w:rFonts w:ascii="Arial" w:cs="Arial" w:eastAsia="Arial" w:hAnsi="Arial"/>
          <w:sz w:val="18"/>
          <w:szCs w:val="18"/>
          <w:color w:val="auto"/>
        </w:rPr>
      </w:pPr>
    </w:p>
    <w:p>
      <w:pPr>
        <w:jc w:val="both"/>
        <w:ind w:left="880"/>
        <w:spacing w:after="0" w:line="253" w:lineRule="auto"/>
        <w:rPr>
          <w:rFonts w:ascii="Arial" w:cs="Arial" w:eastAsia="Arial" w:hAnsi="Arial"/>
          <w:sz w:val="18"/>
          <w:szCs w:val="18"/>
          <w:color w:val="auto"/>
        </w:rPr>
      </w:pPr>
      <w:r>
        <w:rPr>
          <w:rFonts w:ascii="Arial" w:cs="Arial" w:eastAsia="Arial" w:hAnsi="Arial"/>
          <w:sz w:val="18"/>
          <w:szCs w:val="18"/>
          <w:color w:val="auto"/>
        </w:rPr>
        <w:t>The Corporate Governance Committee is responsible for assessing the need for new directors, the preferred experience and qualifications for new directors, and the skills and competencies that the Board, its committees, individual directors and candidates should possess. The Corporate Governance Committee recommends candidates for initial Board membership and Board members for renomination. Recommendations are based on character, integrity, judgment, business experience, specific areas of expertise, record of achievement and any other skills and talents which would enhance the Board and overall management of the business and affairs of Thomson Reuters. Each director must have an understanding of Thomson Reuters principal operational and financial objectives, plans and strategies, financial position and performance and the performance of Thomson Reuters relative to its principal competitors. Directors must be able to dedicate sufficient</w:t>
      </w:r>
    </w:p>
    <w:p>
      <w:pPr>
        <w:sectPr>
          <w:pgSz w:w="11900" w:h="16838" w:orient="portrait"/>
          <w:cols w:equalWidth="0" w:num="1">
            <w:col w:w="10980"/>
          </w:cols>
          <w:pgMar w:left="460" w:top="269" w:right="459" w:bottom="1440" w:gutter="0" w:footer="0" w:header="0"/>
        </w:sectPr>
      </w:pPr>
    </w:p>
    <w:bookmarkStart w:id="110" w:name="page111"/>
    <w:bookmarkEnd w:id="110"/>
    <w:p>
      <w:pPr>
        <w:jc w:val="both"/>
        <w:ind w:left="44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time to carry out their duties and not assume responsibilities that would materially interfere with or be incompatible with Board membership. Directors who change their principal occupation are expected to advise the Corporate Governance Committee and, if determined appropriate by the Corporate Governance Committee, resign from the Board.</w:t>
      </w:r>
    </w:p>
    <w:p>
      <w:pPr>
        <w:spacing w:after="0" w:line="206" w:lineRule="exact"/>
        <w:rPr>
          <w:sz w:val="20"/>
          <w:szCs w:val="20"/>
          <w:color w:val="auto"/>
        </w:rPr>
      </w:pPr>
    </w:p>
    <w:p>
      <w:pPr>
        <w:ind w:left="426" w:hanging="426"/>
        <w:spacing w:after="0"/>
        <w:tabs>
          <w:tab w:leader="none" w:pos="42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Director Independence</w:t>
      </w:r>
    </w:p>
    <w:p>
      <w:pPr>
        <w:spacing w:after="0" w:line="120" w:lineRule="exact"/>
        <w:rPr>
          <w:rFonts w:ascii="Arial" w:cs="Arial" w:eastAsia="Arial" w:hAnsi="Arial"/>
          <w:sz w:val="18"/>
          <w:szCs w:val="18"/>
          <w:color w:val="auto"/>
        </w:rPr>
      </w:pPr>
    </w:p>
    <w:p>
      <w:pPr>
        <w:jc w:val="both"/>
        <w:ind w:left="446"/>
        <w:spacing w:after="0" w:line="262" w:lineRule="auto"/>
        <w:rPr>
          <w:rFonts w:ascii="Arial" w:cs="Arial" w:eastAsia="Arial" w:hAnsi="Arial"/>
          <w:sz w:val="18"/>
          <w:szCs w:val="18"/>
          <w:color w:val="auto"/>
        </w:rPr>
      </w:pPr>
      <w:r>
        <w:rPr>
          <w:rFonts w:ascii="Arial" w:cs="Arial" w:eastAsia="Arial" w:hAnsi="Arial"/>
          <w:sz w:val="18"/>
          <w:szCs w:val="18"/>
          <w:color w:val="auto"/>
        </w:rPr>
        <w:t>The Board’s composition and procedures are designed to permit it to function independently from management and to promote and protect the interests of all shareholders. The Board believes that, except during periods of temporary vacancies, no fewer than half of its members should be independent.</w:t>
      </w:r>
    </w:p>
    <w:p>
      <w:pPr>
        <w:spacing w:after="0" w:line="183" w:lineRule="exact"/>
        <w:rPr>
          <w:rFonts w:ascii="Arial" w:cs="Arial" w:eastAsia="Arial" w:hAnsi="Arial"/>
          <w:sz w:val="18"/>
          <w:szCs w:val="18"/>
          <w:color w:val="auto"/>
        </w:rPr>
      </w:pPr>
    </w:p>
    <w:p>
      <w:pPr>
        <w:jc w:val="both"/>
        <w:ind w:left="446"/>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Board determines whether a director is independent. In determining independence, the Board relies on the applicable definitions in National Instrument 58-101 — </w:t>
      </w:r>
      <w:r>
        <w:rPr>
          <w:rFonts w:ascii="Arial" w:cs="Arial" w:eastAsia="Arial" w:hAnsi="Arial"/>
          <w:sz w:val="18"/>
          <w:szCs w:val="18"/>
          <w:i w:val="1"/>
          <w:iCs w:val="1"/>
          <w:color w:val="auto"/>
        </w:rPr>
        <w:t>Disclosure of Corporate Governance Practices</w:t>
      </w:r>
      <w:r>
        <w:rPr>
          <w:rFonts w:ascii="Arial" w:cs="Arial" w:eastAsia="Arial" w:hAnsi="Arial"/>
          <w:sz w:val="18"/>
          <w:szCs w:val="18"/>
          <w:color w:val="auto"/>
        </w:rPr>
        <w:t xml:space="preserve"> and the New York Stock Exchange (“NYSE”) listing standards. Generally, an independent director means a director who has been affirmatively determined by the Board to have no “material relationship” with Thomson Reuters. In determining the independence of directors, the Board considers all relevant facts and circumstances, including that in the normal course of business, Thomson Reuters provides services to, and receives services from, companies that some of the independent directors are affiliated with.</w:t>
      </w:r>
    </w:p>
    <w:p>
      <w:pPr>
        <w:spacing w:after="0" w:line="192" w:lineRule="exact"/>
        <w:rPr>
          <w:rFonts w:ascii="Arial" w:cs="Arial" w:eastAsia="Arial" w:hAnsi="Arial"/>
          <w:sz w:val="18"/>
          <w:szCs w:val="18"/>
          <w:color w:val="auto"/>
        </w:rPr>
      </w:pPr>
    </w:p>
    <w:p>
      <w:pPr>
        <w:jc w:val="both"/>
        <w:ind w:left="446"/>
        <w:spacing w:after="0" w:line="262" w:lineRule="auto"/>
        <w:rPr>
          <w:rFonts w:ascii="Arial" w:cs="Arial" w:eastAsia="Arial" w:hAnsi="Arial"/>
          <w:sz w:val="18"/>
          <w:szCs w:val="18"/>
          <w:color w:val="auto"/>
        </w:rPr>
      </w:pPr>
      <w:r>
        <w:rPr>
          <w:rFonts w:ascii="Arial" w:cs="Arial" w:eastAsia="Arial" w:hAnsi="Arial"/>
          <w:sz w:val="18"/>
          <w:szCs w:val="18"/>
          <w:color w:val="auto"/>
        </w:rPr>
        <w:t>The Board reviews the independence of all directors on an annual basis and publicly discloses its determinations. Directors have an ongoing obligation to inform the Board of any material changes in their circumstances or relationships that may affect the Board’s determination as to their independence.</w:t>
      </w:r>
    </w:p>
    <w:p>
      <w:pPr>
        <w:spacing w:after="0" w:line="206" w:lineRule="exact"/>
        <w:rPr>
          <w:rFonts w:ascii="Arial" w:cs="Arial" w:eastAsia="Arial" w:hAnsi="Arial"/>
          <w:sz w:val="18"/>
          <w:szCs w:val="18"/>
          <w:color w:val="auto"/>
        </w:rPr>
      </w:pPr>
    </w:p>
    <w:p>
      <w:pPr>
        <w:ind w:left="426" w:hanging="426"/>
        <w:spacing w:after="0"/>
        <w:tabs>
          <w:tab w:leader="none" w:pos="42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Board Size</w:t>
      </w:r>
    </w:p>
    <w:p>
      <w:pPr>
        <w:spacing w:after="0" w:line="120" w:lineRule="exact"/>
        <w:rPr>
          <w:rFonts w:ascii="Arial" w:cs="Arial" w:eastAsia="Arial" w:hAnsi="Arial"/>
          <w:sz w:val="18"/>
          <w:szCs w:val="18"/>
          <w:color w:val="auto"/>
        </w:rPr>
      </w:pPr>
    </w:p>
    <w:p>
      <w:pPr>
        <w:ind w:left="446"/>
        <w:spacing w:after="0" w:line="276" w:lineRule="auto"/>
        <w:rPr>
          <w:rFonts w:ascii="Arial" w:cs="Arial" w:eastAsia="Arial" w:hAnsi="Arial"/>
          <w:sz w:val="18"/>
          <w:szCs w:val="18"/>
          <w:color w:val="auto"/>
        </w:rPr>
      </w:pPr>
      <w:r>
        <w:rPr>
          <w:rFonts w:ascii="Arial" w:cs="Arial" w:eastAsia="Arial" w:hAnsi="Arial"/>
          <w:sz w:val="18"/>
          <w:szCs w:val="18"/>
          <w:color w:val="auto"/>
        </w:rPr>
        <w:t>The Board is currently of the view that its optimal size for effective decision-making and committee work is 14 to 16 members, and that its size may vary from time to time because of or in anticipation of retirements from the Board.</w:t>
      </w:r>
    </w:p>
    <w:p>
      <w:pPr>
        <w:spacing w:after="0" w:line="192" w:lineRule="exact"/>
        <w:rPr>
          <w:rFonts w:ascii="Arial" w:cs="Arial" w:eastAsia="Arial" w:hAnsi="Arial"/>
          <w:sz w:val="18"/>
          <w:szCs w:val="18"/>
          <w:color w:val="auto"/>
        </w:rPr>
      </w:pPr>
    </w:p>
    <w:p>
      <w:pPr>
        <w:ind w:left="426" w:hanging="426"/>
        <w:spacing w:after="0"/>
        <w:tabs>
          <w:tab w:leader="none" w:pos="42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Term</w:t>
      </w:r>
    </w:p>
    <w:p>
      <w:pPr>
        <w:spacing w:after="0" w:line="120" w:lineRule="exact"/>
        <w:rPr>
          <w:rFonts w:ascii="Arial" w:cs="Arial" w:eastAsia="Arial" w:hAnsi="Arial"/>
          <w:sz w:val="18"/>
          <w:szCs w:val="18"/>
          <w:color w:val="auto"/>
        </w:rPr>
      </w:pPr>
    </w:p>
    <w:p>
      <w:pPr>
        <w:ind w:left="446"/>
        <w:spacing w:after="0" w:line="276" w:lineRule="auto"/>
        <w:rPr>
          <w:rFonts w:ascii="Arial" w:cs="Arial" w:eastAsia="Arial" w:hAnsi="Arial"/>
          <w:sz w:val="18"/>
          <w:szCs w:val="18"/>
          <w:color w:val="auto"/>
        </w:rPr>
      </w:pPr>
      <w:r>
        <w:rPr>
          <w:rFonts w:ascii="Arial" w:cs="Arial" w:eastAsia="Arial" w:hAnsi="Arial"/>
          <w:sz w:val="18"/>
          <w:szCs w:val="18"/>
          <w:color w:val="auto"/>
        </w:rPr>
        <w:t>All directors are elected or appointed until the next annual meeting of shareholders or until they resign or their successor is elected or appointed.</w:t>
      </w:r>
    </w:p>
    <w:p>
      <w:pPr>
        <w:spacing w:after="0" w:line="170" w:lineRule="exact"/>
        <w:rPr>
          <w:sz w:val="20"/>
          <w:szCs w:val="20"/>
          <w:color w:val="auto"/>
        </w:rPr>
      </w:pPr>
    </w:p>
    <w:p>
      <w:pPr>
        <w:jc w:val="both"/>
        <w:ind w:left="446"/>
        <w:spacing w:after="0" w:line="262" w:lineRule="auto"/>
        <w:rPr>
          <w:sz w:val="20"/>
          <w:szCs w:val="20"/>
          <w:color w:val="auto"/>
        </w:rPr>
      </w:pPr>
      <w:r>
        <w:rPr>
          <w:rFonts w:ascii="Arial" w:cs="Arial" w:eastAsia="Arial" w:hAnsi="Arial"/>
          <w:sz w:val="18"/>
          <w:szCs w:val="18"/>
          <w:color w:val="auto"/>
        </w:rPr>
        <w:t>The Board does not believe it should establish term limits or mandatory retirement ages for its members as such limits may deprive Thomson Reuters and its shareholders of the contributions of members who have been able to develop, over time, valuable insights into Thomson Reuters, its strategy and business operations.</w:t>
      </w:r>
    </w:p>
    <w:p>
      <w:pPr>
        <w:spacing w:after="0" w:line="116"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46"/>
          </w:cols>
          <w:pgMar w:left="894" w:top="273" w:right="459" w:bottom="1440" w:gutter="0" w:footer="0" w:header="0"/>
        </w:sectPr>
      </w:pPr>
    </w:p>
    <w:bookmarkStart w:id="111" w:name="page112"/>
    <w:bookmarkEnd w:id="111"/>
    <w:p>
      <w:pPr>
        <w:ind w:left="426" w:hanging="426"/>
        <w:spacing w:after="0"/>
        <w:tabs>
          <w:tab w:leader="none" w:pos="426"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Majority Voting Policy</w:t>
      </w:r>
    </w:p>
    <w:p>
      <w:pPr>
        <w:spacing w:after="0" w:line="120" w:lineRule="exact"/>
        <w:rPr>
          <w:rFonts w:ascii="Arial" w:cs="Arial" w:eastAsia="Arial" w:hAnsi="Arial"/>
          <w:sz w:val="18"/>
          <w:szCs w:val="18"/>
          <w:color w:val="auto"/>
        </w:rPr>
      </w:pPr>
    </w:p>
    <w:p>
      <w:pPr>
        <w:jc w:val="both"/>
        <w:ind w:left="446"/>
        <w:spacing w:after="0" w:line="290" w:lineRule="auto"/>
        <w:rPr>
          <w:rFonts w:ascii="Arial" w:cs="Arial" w:eastAsia="Arial" w:hAnsi="Arial"/>
          <w:sz w:val="18"/>
          <w:szCs w:val="18"/>
          <w:color w:val="auto"/>
        </w:rPr>
      </w:pPr>
      <w:r>
        <w:rPr>
          <w:rFonts w:ascii="Arial" w:cs="Arial" w:eastAsia="Arial" w:hAnsi="Arial"/>
          <w:sz w:val="16"/>
          <w:szCs w:val="16"/>
          <w:color w:val="auto"/>
        </w:rPr>
        <w:t>If a director does not receive the support of a majority of votes cast at a meeting of shareholders (other than at contested meetings), the director must immediately tender his or her resignation, to be effective when accepted by the Board. The Corporate Governance Committee will consider the director’s offer to resign and make a recommendation to the Board as to whether to accept it. The Board will accept resignations, absent exceptional circumstances, and in any case, must make its decision within 90 days of the relevant meeting of shareholders. A director who tenders a resignation will not participate in any meeting of the Corporate Governance Committee or the Board at which the resignation is considered. The Board’s decision will be promptly announced by news release and provided to the Toronto Stock Exchange and if a resignation is not accepted, the news release will fully state the reasons for that decision.</w:t>
      </w:r>
    </w:p>
    <w:p>
      <w:pPr>
        <w:spacing w:after="0" w:line="189" w:lineRule="exact"/>
        <w:rPr>
          <w:rFonts w:ascii="Arial" w:cs="Arial" w:eastAsia="Arial" w:hAnsi="Arial"/>
          <w:sz w:val="18"/>
          <w:szCs w:val="18"/>
          <w:color w:val="auto"/>
        </w:rPr>
      </w:pPr>
    </w:p>
    <w:p>
      <w:pPr>
        <w:ind w:left="426" w:hanging="426"/>
        <w:spacing w:after="0"/>
        <w:tabs>
          <w:tab w:leader="none" w:pos="426"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Board Succession</w:t>
      </w:r>
    </w:p>
    <w:p>
      <w:pPr>
        <w:spacing w:after="0" w:line="120" w:lineRule="exact"/>
        <w:rPr>
          <w:rFonts w:ascii="Arial" w:cs="Arial" w:eastAsia="Arial" w:hAnsi="Arial"/>
          <w:sz w:val="18"/>
          <w:szCs w:val="18"/>
          <w:color w:val="auto"/>
        </w:rPr>
      </w:pPr>
    </w:p>
    <w:p>
      <w:pPr>
        <w:ind w:left="446"/>
        <w:spacing w:after="0" w:line="276" w:lineRule="auto"/>
        <w:rPr>
          <w:rFonts w:ascii="Arial" w:cs="Arial" w:eastAsia="Arial" w:hAnsi="Arial"/>
          <w:sz w:val="18"/>
          <w:szCs w:val="18"/>
          <w:color w:val="auto"/>
        </w:rPr>
      </w:pPr>
      <w:r>
        <w:rPr>
          <w:rFonts w:ascii="Arial" w:cs="Arial" w:eastAsia="Arial" w:hAnsi="Arial"/>
          <w:sz w:val="18"/>
          <w:szCs w:val="18"/>
          <w:color w:val="auto"/>
        </w:rPr>
        <w:t>The Corporate Governance Committee is responsible for maintaining a succession plan for the Board that is responsive to Thomson Reuters needs and the interests of its shareholders.</w:t>
      </w:r>
    </w:p>
    <w:p>
      <w:pPr>
        <w:spacing w:after="0" w:line="192" w:lineRule="exact"/>
        <w:rPr>
          <w:rFonts w:ascii="Arial" w:cs="Arial" w:eastAsia="Arial" w:hAnsi="Arial"/>
          <w:sz w:val="18"/>
          <w:szCs w:val="18"/>
          <w:color w:val="auto"/>
        </w:rPr>
      </w:pPr>
    </w:p>
    <w:p>
      <w:pPr>
        <w:ind w:left="426" w:hanging="426"/>
        <w:spacing w:after="0"/>
        <w:tabs>
          <w:tab w:leader="none" w:pos="426"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Service on Other Boards and Audit Committees</w:t>
      </w:r>
    </w:p>
    <w:p>
      <w:pPr>
        <w:spacing w:after="0" w:line="120" w:lineRule="exact"/>
        <w:rPr>
          <w:rFonts w:ascii="Arial" w:cs="Arial" w:eastAsia="Arial" w:hAnsi="Arial"/>
          <w:sz w:val="18"/>
          <w:szCs w:val="18"/>
          <w:color w:val="auto"/>
        </w:rPr>
      </w:pPr>
    </w:p>
    <w:p>
      <w:pPr>
        <w:jc w:val="both"/>
        <w:ind w:left="446"/>
        <w:spacing w:after="0" w:line="262" w:lineRule="auto"/>
        <w:rPr>
          <w:rFonts w:ascii="Arial" w:cs="Arial" w:eastAsia="Arial" w:hAnsi="Arial"/>
          <w:sz w:val="18"/>
          <w:szCs w:val="18"/>
          <w:color w:val="auto"/>
        </w:rPr>
      </w:pPr>
      <w:r>
        <w:rPr>
          <w:rFonts w:ascii="Arial" w:cs="Arial" w:eastAsia="Arial" w:hAnsi="Arial"/>
          <w:sz w:val="18"/>
          <w:szCs w:val="18"/>
          <w:color w:val="auto"/>
        </w:rPr>
        <w:t>The Board does not believe that its members should be prohibited from serving on the boards of other public or private companies so long as these commitments do not materially interfere with and are not incompatible with their ability to fulfill their duties as a member of the Board.</w:t>
      </w:r>
    </w:p>
    <w:p>
      <w:pPr>
        <w:spacing w:after="0" w:line="183" w:lineRule="exact"/>
        <w:rPr>
          <w:rFonts w:ascii="Arial" w:cs="Arial" w:eastAsia="Arial" w:hAnsi="Arial"/>
          <w:sz w:val="18"/>
          <w:szCs w:val="18"/>
          <w:color w:val="auto"/>
        </w:rPr>
      </w:pPr>
    </w:p>
    <w:p>
      <w:pPr>
        <w:jc w:val="both"/>
        <w:ind w:left="446"/>
        <w:spacing w:after="0" w:line="256" w:lineRule="auto"/>
        <w:rPr>
          <w:rFonts w:ascii="Arial" w:cs="Arial" w:eastAsia="Arial" w:hAnsi="Arial"/>
          <w:sz w:val="18"/>
          <w:szCs w:val="18"/>
          <w:color w:val="auto"/>
        </w:rPr>
      </w:pPr>
      <w:r>
        <w:rPr>
          <w:rFonts w:ascii="Arial" w:cs="Arial" w:eastAsia="Arial" w:hAnsi="Arial"/>
          <w:sz w:val="18"/>
          <w:szCs w:val="18"/>
          <w:color w:val="auto"/>
        </w:rPr>
        <w:t>Directors must receive approval from the Chair of the Corporate Governance Committee in advance of accepting an invitation to serve, or being publicly reflected as a nominee to serve, on the board of another public company. Directors must notify the Chair of the Corporate Governance Committee in advance of accepting an invitation to serve, or being publicly reflected as a nominee to serve, on the board of a for-profit, private company that is not a family business. In either case, the director must indicate whether another director of the Corporation is also a member of the board of the other company.</w:t>
      </w:r>
    </w:p>
    <w:p>
      <w:pPr>
        <w:spacing w:after="0" w:line="188" w:lineRule="exact"/>
        <w:rPr>
          <w:rFonts w:ascii="Arial" w:cs="Arial" w:eastAsia="Arial" w:hAnsi="Arial"/>
          <w:sz w:val="18"/>
          <w:szCs w:val="18"/>
          <w:color w:val="auto"/>
        </w:rPr>
      </w:pPr>
    </w:p>
    <w:p>
      <w:pPr>
        <w:ind w:left="446"/>
        <w:spacing w:after="0" w:line="276" w:lineRule="auto"/>
        <w:rPr>
          <w:rFonts w:ascii="Arial" w:cs="Arial" w:eastAsia="Arial" w:hAnsi="Arial"/>
          <w:sz w:val="18"/>
          <w:szCs w:val="18"/>
          <w:color w:val="auto"/>
        </w:rPr>
      </w:pPr>
      <w:r>
        <w:rPr>
          <w:rFonts w:ascii="Arial" w:cs="Arial" w:eastAsia="Arial" w:hAnsi="Arial"/>
          <w:sz w:val="18"/>
          <w:szCs w:val="18"/>
          <w:color w:val="auto"/>
        </w:rPr>
        <w:t>As a general rule, directors are not allowed to join a board of another public company on which two or more other directors of the Corporation serve (unless otherwise approved by the Corporate Governance Committee or its Chair).</w:t>
      </w:r>
    </w:p>
    <w:p>
      <w:pPr>
        <w:spacing w:after="0" w:line="170" w:lineRule="exact"/>
        <w:rPr>
          <w:sz w:val="20"/>
          <w:szCs w:val="20"/>
          <w:color w:val="auto"/>
        </w:rPr>
      </w:pPr>
    </w:p>
    <w:p>
      <w:pPr>
        <w:ind w:left="446"/>
        <w:spacing w:after="0" w:line="276" w:lineRule="auto"/>
        <w:rPr>
          <w:sz w:val="20"/>
          <w:szCs w:val="20"/>
          <w:color w:val="auto"/>
        </w:rPr>
      </w:pPr>
      <w:r>
        <w:rPr>
          <w:rFonts w:ascii="Arial" w:cs="Arial" w:eastAsia="Arial" w:hAnsi="Arial"/>
          <w:sz w:val="18"/>
          <w:szCs w:val="18"/>
          <w:color w:val="auto"/>
        </w:rPr>
        <w:t>Members of the Audit Committee may not serve on the audit committees of more than two other public companies without the prior approval of the Board.</w:t>
      </w:r>
    </w:p>
    <w:p>
      <w:pPr>
        <w:spacing w:after="0" w:line="10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6"/>
          </w:cols>
          <w:pgMar w:left="894" w:top="269" w:right="459" w:bottom="1440" w:gutter="0" w:footer="0" w:header="0"/>
        </w:sectPr>
      </w:pPr>
    </w:p>
    <w:bookmarkStart w:id="112" w:name="page113"/>
    <w:bookmarkEnd w:id="112"/>
    <w:p>
      <w:pPr>
        <w:ind w:left="440" w:hanging="437"/>
        <w:spacing w:after="0"/>
        <w:tabs>
          <w:tab w:leader="none" w:pos="4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BOARD RESPONSIBILITIES</w:t>
      </w:r>
    </w:p>
    <w:p>
      <w:pPr>
        <w:spacing w:after="0" w:line="120" w:lineRule="exact"/>
        <w:rPr>
          <w:rFonts w:ascii="Arial" w:cs="Arial" w:eastAsia="Arial" w:hAnsi="Arial"/>
          <w:sz w:val="18"/>
          <w:szCs w:val="18"/>
          <w:b w:val="1"/>
          <w:bCs w:val="1"/>
          <w:color w:val="auto"/>
        </w:rPr>
      </w:pPr>
    </w:p>
    <w:p>
      <w:pPr>
        <w:ind w:left="44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Directors have a duty to act honestly and in good faith with a view to the best interests of Thomson Reuters. In fulfilling its responsibilities, the Board is responsible for the following matters:</w:t>
      </w:r>
    </w:p>
    <w:p>
      <w:pPr>
        <w:spacing w:after="0" w:line="192" w:lineRule="exact"/>
        <w:rPr>
          <w:rFonts w:ascii="Arial" w:cs="Arial" w:eastAsia="Arial" w:hAnsi="Arial"/>
          <w:sz w:val="18"/>
          <w:szCs w:val="18"/>
          <w:b w:val="1"/>
          <w:bCs w:val="1"/>
          <w:color w:val="auto"/>
        </w:rPr>
      </w:pPr>
    </w:p>
    <w:p>
      <w:pPr>
        <w:ind w:left="860" w:hanging="426"/>
        <w:spacing w:after="0"/>
        <w:tabs>
          <w:tab w:leader="none" w:pos="86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Appointment and Supervision of the Chief Executive Officer and Senior Management</w:t>
      </w:r>
    </w:p>
    <w:p>
      <w:pPr>
        <w:spacing w:after="0" w:line="120" w:lineRule="exact"/>
        <w:rPr>
          <w:rFonts w:ascii="Arial" w:cs="Arial" w:eastAsia="Arial" w:hAnsi="Arial"/>
          <w:sz w:val="18"/>
          <w:szCs w:val="18"/>
          <w:color w:val="auto"/>
        </w:rPr>
      </w:pPr>
    </w:p>
    <w:p>
      <w:pPr>
        <w:jc w:val="both"/>
        <w:ind w:left="880"/>
        <w:spacing w:after="0" w:line="262" w:lineRule="auto"/>
        <w:rPr>
          <w:rFonts w:ascii="Arial" w:cs="Arial" w:eastAsia="Arial" w:hAnsi="Arial"/>
          <w:sz w:val="18"/>
          <w:szCs w:val="18"/>
          <w:color w:val="auto"/>
        </w:rPr>
      </w:pPr>
      <w:r>
        <w:rPr>
          <w:rFonts w:ascii="Arial" w:cs="Arial" w:eastAsia="Arial" w:hAnsi="Arial"/>
          <w:sz w:val="18"/>
          <w:szCs w:val="18"/>
          <w:color w:val="auto"/>
        </w:rPr>
        <w:t>The Board appoints and supervises the Chief Executive Officer and other members of Thomson Reuters senior management, approves their compensation and, as permitted by applicable law, delegates to senior management responsibility for the day-to-day operations of Thomson Reuters.</w:t>
      </w:r>
    </w:p>
    <w:p>
      <w:pPr>
        <w:spacing w:after="0" w:line="183" w:lineRule="exact"/>
        <w:rPr>
          <w:rFonts w:ascii="Arial" w:cs="Arial" w:eastAsia="Arial" w:hAnsi="Arial"/>
          <w:sz w:val="18"/>
          <w:szCs w:val="18"/>
          <w:color w:val="auto"/>
        </w:rPr>
      </w:pPr>
    </w:p>
    <w:p>
      <w:pPr>
        <w:ind w:left="880"/>
        <w:spacing w:after="0" w:line="306" w:lineRule="auto"/>
        <w:rPr>
          <w:rFonts w:ascii="Arial" w:cs="Arial" w:eastAsia="Arial" w:hAnsi="Arial"/>
          <w:sz w:val="18"/>
          <w:szCs w:val="18"/>
          <w:color w:val="auto"/>
        </w:rPr>
      </w:pPr>
      <w:r>
        <w:rPr>
          <w:rFonts w:ascii="Arial" w:cs="Arial" w:eastAsia="Arial" w:hAnsi="Arial"/>
          <w:sz w:val="17"/>
          <w:szCs w:val="17"/>
          <w:color w:val="auto"/>
        </w:rPr>
        <w:t>The Board will satisfy itself that a process is in place to provide for the development, evaluation and succession of the Chief Executive Officer and other members of senior management. The Board maintains a position description for the Chief Executive Officer.</w:t>
      </w:r>
    </w:p>
    <w:p>
      <w:pPr>
        <w:spacing w:after="0" w:line="147" w:lineRule="exact"/>
        <w:rPr>
          <w:rFonts w:ascii="Arial" w:cs="Arial" w:eastAsia="Arial" w:hAnsi="Arial"/>
          <w:sz w:val="18"/>
          <w:szCs w:val="18"/>
          <w:color w:val="auto"/>
        </w:rPr>
      </w:pPr>
    </w:p>
    <w:p>
      <w:pPr>
        <w:jc w:val="both"/>
        <w:ind w:left="880"/>
        <w:spacing w:after="0" w:line="262" w:lineRule="auto"/>
        <w:rPr>
          <w:rFonts w:ascii="Arial" w:cs="Arial" w:eastAsia="Arial" w:hAnsi="Arial"/>
          <w:sz w:val="18"/>
          <w:szCs w:val="18"/>
          <w:color w:val="auto"/>
        </w:rPr>
      </w:pPr>
      <w:r>
        <w:rPr>
          <w:rFonts w:ascii="Arial" w:cs="Arial" w:eastAsia="Arial" w:hAnsi="Arial"/>
          <w:sz w:val="18"/>
          <w:szCs w:val="18"/>
          <w:color w:val="auto"/>
        </w:rPr>
        <w:t>The Board will satisfy itself as to the integrity of the Chief Executive Officer and other members of senior management, including confirming that the Chief Executive Officer and other members of senior management maintain a culture of integrity throughout Thomson Reuters.</w:t>
      </w:r>
    </w:p>
    <w:p>
      <w:pPr>
        <w:spacing w:after="0" w:line="206" w:lineRule="exact"/>
        <w:rPr>
          <w:rFonts w:ascii="Arial" w:cs="Arial" w:eastAsia="Arial" w:hAnsi="Arial"/>
          <w:sz w:val="18"/>
          <w:szCs w:val="18"/>
          <w:color w:val="auto"/>
        </w:rPr>
      </w:pPr>
    </w:p>
    <w:p>
      <w:pPr>
        <w:ind w:left="860" w:hanging="426"/>
        <w:spacing w:after="0"/>
        <w:tabs>
          <w:tab w:leader="none" w:pos="86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Strategic Planning and Risk Management</w:t>
      </w:r>
    </w:p>
    <w:p>
      <w:pPr>
        <w:spacing w:after="0" w:line="120" w:lineRule="exact"/>
        <w:rPr>
          <w:rFonts w:ascii="Arial" w:cs="Arial" w:eastAsia="Arial" w:hAnsi="Arial"/>
          <w:sz w:val="18"/>
          <w:szCs w:val="18"/>
          <w:color w:val="auto"/>
        </w:rPr>
      </w:pPr>
    </w:p>
    <w:p>
      <w:pPr>
        <w:ind w:left="880"/>
        <w:spacing w:after="0" w:line="276" w:lineRule="auto"/>
        <w:rPr>
          <w:rFonts w:ascii="Arial" w:cs="Arial" w:eastAsia="Arial" w:hAnsi="Arial"/>
          <w:sz w:val="18"/>
          <w:szCs w:val="18"/>
          <w:color w:val="auto"/>
        </w:rPr>
      </w:pPr>
      <w:r>
        <w:rPr>
          <w:rFonts w:ascii="Arial" w:cs="Arial" w:eastAsia="Arial" w:hAnsi="Arial"/>
          <w:sz w:val="18"/>
          <w:szCs w:val="18"/>
          <w:color w:val="auto"/>
        </w:rPr>
        <w:t>The Board will establish and maintain Thomson Reuters mission, values, long-term strategic goals, performance objectives and operational policies. In this regard, the Board will:</w:t>
      </w:r>
    </w:p>
    <w:p>
      <w:pPr>
        <w:spacing w:after="0" w:line="75" w:lineRule="exact"/>
        <w:rPr>
          <w:rFonts w:ascii="Arial" w:cs="Arial" w:eastAsia="Arial" w:hAnsi="Arial"/>
          <w:sz w:val="18"/>
          <w:szCs w:val="18"/>
          <w:color w:val="auto"/>
        </w:rPr>
      </w:pPr>
    </w:p>
    <w:p>
      <w:pPr>
        <w:ind w:left="1420" w:hanging="542"/>
        <w:spacing w:after="0" w:line="276" w:lineRule="auto"/>
        <w:tabs>
          <w:tab w:leader="none" w:pos="142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adopt a strategic planning process and review and approve, on an annual basis, a strategic plan which takes into account, among other things, the opportunities and risks of the business;</w:t>
      </w:r>
    </w:p>
    <w:p>
      <w:pPr>
        <w:spacing w:after="0" w:line="75" w:lineRule="exact"/>
        <w:rPr>
          <w:rFonts w:ascii="Arial" w:cs="Arial" w:eastAsia="Arial" w:hAnsi="Arial"/>
          <w:sz w:val="18"/>
          <w:szCs w:val="18"/>
          <w:color w:val="auto"/>
        </w:rPr>
      </w:pPr>
    </w:p>
    <w:p>
      <w:pPr>
        <w:ind w:left="1420" w:hanging="542"/>
        <w:spacing w:after="0"/>
        <w:tabs>
          <w:tab w:leader="none" w:pos="1420" w:val="left"/>
        </w:tabs>
        <w:numPr>
          <w:ilvl w:val="2"/>
          <w:numId w:val="60"/>
        </w:numPr>
        <w:rPr>
          <w:rFonts w:ascii="Arial" w:cs="Arial" w:eastAsia="Arial" w:hAnsi="Arial"/>
          <w:sz w:val="16"/>
          <w:szCs w:val="16"/>
          <w:color w:val="auto"/>
        </w:rPr>
      </w:pPr>
      <w:r>
        <w:rPr>
          <w:rFonts w:ascii="Arial" w:cs="Arial" w:eastAsia="Arial" w:hAnsi="Arial"/>
          <w:sz w:val="16"/>
          <w:szCs w:val="16"/>
          <w:color w:val="auto"/>
        </w:rPr>
        <w:t>review and approve on an annual basis a business plan developed with management which includes rigorous but realistic goals;</w:t>
      </w:r>
    </w:p>
    <w:p>
      <w:pPr>
        <w:spacing w:after="0" w:line="152" w:lineRule="exact"/>
        <w:rPr>
          <w:rFonts w:ascii="Arial" w:cs="Arial" w:eastAsia="Arial" w:hAnsi="Arial"/>
          <w:sz w:val="16"/>
          <w:szCs w:val="16"/>
          <w:color w:val="auto"/>
        </w:rPr>
      </w:pPr>
    </w:p>
    <w:p>
      <w:pPr>
        <w:jc w:val="both"/>
        <w:ind w:left="1420" w:hanging="542"/>
        <w:spacing w:after="0" w:line="285" w:lineRule="auto"/>
        <w:tabs>
          <w:tab w:leader="none" w:pos="1420" w:val="left"/>
        </w:tabs>
        <w:numPr>
          <w:ilvl w:val="2"/>
          <w:numId w:val="60"/>
        </w:numPr>
        <w:rPr>
          <w:rFonts w:ascii="Arial" w:cs="Arial" w:eastAsia="Arial" w:hAnsi="Arial"/>
          <w:sz w:val="17"/>
          <w:szCs w:val="17"/>
          <w:color w:val="auto"/>
        </w:rPr>
      </w:pPr>
      <w:r>
        <w:rPr>
          <w:rFonts w:ascii="Arial" w:cs="Arial" w:eastAsia="Arial" w:hAnsi="Arial"/>
          <w:sz w:val="17"/>
          <w:szCs w:val="17"/>
          <w:color w:val="auto"/>
        </w:rPr>
        <w:t>approve strategic and operational policies within which management will operate in relation to capital expenditures, acquisitions and dispositions, disclosure and communications, finance and investment, risk management, human resources, internal control over financial reporting, disclosure controls and procedures and management information systems;</w:t>
      </w:r>
    </w:p>
    <w:p>
      <w:pPr>
        <w:spacing w:after="0" w:line="70" w:lineRule="exact"/>
        <w:rPr>
          <w:rFonts w:ascii="Arial" w:cs="Arial" w:eastAsia="Arial" w:hAnsi="Arial"/>
          <w:sz w:val="17"/>
          <w:szCs w:val="17"/>
          <w:color w:val="auto"/>
        </w:rPr>
      </w:pPr>
    </w:p>
    <w:p>
      <w:pPr>
        <w:ind w:left="1420" w:hanging="542"/>
        <w:spacing w:after="0"/>
        <w:tabs>
          <w:tab w:leader="none" w:pos="1420" w:val="left"/>
        </w:tabs>
        <w:numPr>
          <w:ilvl w:val="2"/>
          <w:numId w:val="60"/>
        </w:numPr>
        <w:rPr>
          <w:rFonts w:ascii="Arial" w:cs="Arial" w:eastAsia="Arial" w:hAnsi="Arial"/>
          <w:sz w:val="18"/>
          <w:szCs w:val="18"/>
          <w:color w:val="auto"/>
        </w:rPr>
      </w:pPr>
      <w:r>
        <w:rPr>
          <w:rFonts w:ascii="Arial" w:cs="Arial" w:eastAsia="Arial" w:hAnsi="Arial"/>
          <w:sz w:val="18"/>
          <w:szCs w:val="18"/>
          <w:color w:val="auto"/>
        </w:rPr>
        <w:t>set annual corporate and management performance targets;</w:t>
      </w:r>
    </w:p>
    <w:p>
      <w:pPr>
        <w:spacing w:after="0" w:line="129" w:lineRule="exact"/>
        <w:rPr>
          <w:rFonts w:ascii="Arial" w:cs="Arial" w:eastAsia="Arial" w:hAnsi="Arial"/>
          <w:sz w:val="18"/>
          <w:szCs w:val="18"/>
          <w:color w:val="auto"/>
        </w:rPr>
      </w:pPr>
    </w:p>
    <w:p>
      <w:pPr>
        <w:ind w:left="1420" w:hanging="542"/>
        <w:spacing w:after="0" w:line="276" w:lineRule="auto"/>
        <w:tabs>
          <w:tab w:leader="none" w:pos="1420" w:val="left"/>
        </w:tabs>
        <w:numPr>
          <w:ilvl w:val="2"/>
          <w:numId w:val="60"/>
        </w:numPr>
        <w:rPr>
          <w:rFonts w:ascii="Arial" w:cs="Arial" w:eastAsia="Arial" w:hAnsi="Arial"/>
          <w:sz w:val="18"/>
          <w:szCs w:val="18"/>
          <w:color w:val="auto"/>
        </w:rPr>
      </w:pPr>
      <w:r>
        <w:rPr>
          <w:rFonts w:ascii="Arial" w:cs="Arial" w:eastAsia="Arial" w:hAnsi="Arial"/>
          <w:sz w:val="18"/>
          <w:szCs w:val="18"/>
          <w:color w:val="auto"/>
        </w:rPr>
        <w:t>confirm that a system is in place to identify the principal risks facing Thomson Reuters and its businesses and that appropriate procedures and systems are in place to monitor, mitigate and manage such risks;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69" w:right="459" w:bottom="1440" w:gutter="0" w:footer="0" w:header="0"/>
        </w:sectPr>
      </w:pPr>
    </w:p>
    <w:bookmarkStart w:id="113" w:name="page114"/>
    <w:bookmarkEnd w:id="113"/>
    <w:p>
      <w:pPr>
        <w:ind w:left="986" w:hanging="542"/>
        <w:spacing w:after="0" w:line="276" w:lineRule="auto"/>
        <w:tabs>
          <w:tab w:leader="none" w:pos="986" w:val="left"/>
        </w:tabs>
        <w:numPr>
          <w:ilvl w:val="1"/>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confirm that processes are in place for Thomson Reuters and its businesses to address and comply with applicable legal, regulatory, corporate, securities and other compliance matters.</w:t>
      </w:r>
    </w:p>
    <w:p>
      <w:pPr>
        <w:spacing w:after="0" w:line="192" w:lineRule="exact"/>
        <w:rPr>
          <w:rFonts w:ascii="Arial" w:cs="Arial" w:eastAsia="Arial" w:hAnsi="Arial"/>
          <w:sz w:val="18"/>
          <w:szCs w:val="18"/>
          <w:color w:val="auto"/>
        </w:rPr>
      </w:pPr>
    </w:p>
    <w:p>
      <w:pPr>
        <w:ind w:left="446" w:right="7200" w:hanging="446"/>
        <w:spacing w:after="0" w:line="384" w:lineRule="auto"/>
        <w:tabs>
          <w:tab w:leader="none" w:pos="429"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Financial Reporting and Management </w:t>
      </w:r>
      <w:r>
        <w:rPr>
          <w:rFonts w:ascii="Arial" w:cs="Arial" w:eastAsia="Arial" w:hAnsi="Arial"/>
          <w:sz w:val="18"/>
          <w:szCs w:val="18"/>
          <w:color w:val="auto"/>
        </w:rPr>
        <w:t>The Board will:</w:t>
      </w:r>
    </w:p>
    <w:p>
      <w:pPr>
        <w:spacing w:after="0" w:line="1" w:lineRule="exact"/>
        <w:rPr>
          <w:rFonts w:ascii="Arial" w:cs="Arial" w:eastAsia="Arial" w:hAnsi="Arial"/>
          <w:sz w:val="18"/>
          <w:szCs w:val="18"/>
          <w:color w:val="auto"/>
        </w:rPr>
      </w:pPr>
    </w:p>
    <w:p>
      <w:pPr>
        <w:ind w:left="986" w:hanging="542"/>
        <w:spacing w:after="0" w:line="276" w:lineRule="auto"/>
        <w:tabs>
          <w:tab w:leader="none" w:pos="9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review and oversee the integrity of Thomson Reuters with regard to its compliance with applicable audit, accounting and financial reporting requirements;</w:t>
      </w:r>
    </w:p>
    <w:p>
      <w:pPr>
        <w:spacing w:after="0" w:line="75" w:lineRule="exact"/>
        <w:rPr>
          <w:rFonts w:ascii="Arial" w:cs="Arial" w:eastAsia="Arial" w:hAnsi="Arial"/>
          <w:sz w:val="18"/>
          <w:szCs w:val="18"/>
          <w:color w:val="auto"/>
        </w:rPr>
      </w:pPr>
    </w:p>
    <w:p>
      <w:pPr>
        <w:ind w:left="986" w:hanging="542"/>
        <w:spacing w:after="0"/>
        <w:tabs>
          <w:tab w:leader="none" w:pos="9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approve annual financial statements and related management’s discussion and analysis;</w:t>
      </w:r>
    </w:p>
    <w:p>
      <w:pPr>
        <w:spacing w:after="0" w:line="129" w:lineRule="exact"/>
        <w:rPr>
          <w:rFonts w:ascii="Arial" w:cs="Arial" w:eastAsia="Arial" w:hAnsi="Arial"/>
          <w:sz w:val="18"/>
          <w:szCs w:val="18"/>
          <w:color w:val="auto"/>
        </w:rPr>
      </w:pPr>
    </w:p>
    <w:p>
      <w:pPr>
        <w:ind w:left="986" w:hanging="542"/>
        <w:spacing w:after="0"/>
        <w:tabs>
          <w:tab w:leader="none" w:pos="9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approve annual operating and capital budgets;</w:t>
      </w:r>
    </w:p>
    <w:p>
      <w:pPr>
        <w:spacing w:after="0" w:line="129" w:lineRule="exact"/>
        <w:rPr>
          <w:rFonts w:ascii="Arial" w:cs="Arial" w:eastAsia="Arial" w:hAnsi="Arial"/>
          <w:sz w:val="18"/>
          <w:szCs w:val="18"/>
          <w:color w:val="auto"/>
        </w:rPr>
      </w:pPr>
    </w:p>
    <w:p>
      <w:pPr>
        <w:ind w:left="986" w:hanging="542"/>
        <w:spacing w:after="0"/>
        <w:tabs>
          <w:tab w:leader="none" w:pos="9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confirm the integrity of Thomson Reuters internal controls and management information systems;</w:t>
      </w:r>
    </w:p>
    <w:p>
      <w:pPr>
        <w:spacing w:after="0" w:line="129" w:lineRule="exact"/>
        <w:rPr>
          <w:rFonts w:ascii="Arial" w:cs="Arial" w:eastAsia="Arial" w:hAnsi="Arial"/>
          <w:sz w:val="18"/>
          <w:szCs w:val="18"/>
          <w:color w:val="auto"/>
        </w:rPr>
      </w:pPr>
    </w:p>
    <w:p>
      <w:pPr>
        <w:ind w:left="986" w:hanging="542"/>
        <w:spacing w:after="0"/>
        <w:tabs>
          <w:tab w:leader="none" w:pos="9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approve Thomson Reuters dividend policy; and</w:t>
      </w:r>
    </w:p>
    <w:p>
      <w:pPr>
        <w:spacing w:after="0" w:line="129" w:lineRule="exact"/>
        <w:rPr>
          <w:rFonts w:ascii="Arial" w:cs="Arial" w:eastAsia="Arial" w:hAnsi="Arial"/>
          <w:sz w:val="18"/>
          <w:szCs w:val="18"/>
          <w:color w:val="auto"/>
        </w:rPr>
      </w:pPr>
    </w:p>
    <w:p>
      <w:pPr>
        <w:ind w:left="986" w:hanging="542"/>
        <w:spacing w:after="0"/>
        <w:tabs>
          <w:tab w:leader="none" w:pos="9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review operating and financial performance results relative to established strategies, plans, budgets and objectives.</w:t>
      </w:r>
    </w:p>
    <w:p>
      <w:pPr>
        <w:spacing w:after="0" w:line="246" w:lineRule="exact"/>
        <w:rPr>
          <w:rFonts w:ascii="Arial" w:cs="Arial" w:eastAsia="Arial" w:hAnsi="Arial"/>
          <w:sz w:val="18"/>
          <w:szCs w:val="18"/>
          <w:color w:val="auto"/>
        </w:rPr>
      </w:pPr>
    </w:p>
    <w:p>
      <w:pPr>
        <w:ind w:left="426" w:hanging="426"/>
        <w:spacing w:after="0"/>
        <w:tabs>
          <w:tab w:leader="none" w:pos="426"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Disclosure and Communications</w:t>
      </w:r>
    </w:p>
    <w:p>
      <w:pPr>
        <w:spacing w:after="0" w:line="120" w:lineRule="exact"/>
        <w:rPr>
          <w:rFonts w:ascii="Arial" w:cs="Arial" w:eastAsia="Arial" w:hAnsi="Arial"/>
          <w:sz w:val="18"/>
          <w:szCs w:val="18"/>
          <w:color w:val="auto"/>
        </w:rPr>
      </w:pPr>
    </w:p>
    <w:p>
      <w:pPr>
        <w:jc w:val="both"/>
        <w:ind w:left="446"/>
        <w:spacing w:after="0" w:line="256" w:lineRule="auto"/>
        <w:rPr>
          <w:rFonts w:ascii="Arial" w:cs="Arial" w:eastAsia="Arial" w:hAnsi="Arial"/>
          <w:sz w:val="18"/>
          <w:szCs w:val="18"/>
          <w:color w:val="auto"/>
        </w:rPr>
      </w:pPr>
      <w:r>
        <w:rPr>
          <w:rFonts w:ascii="Arial" w:cs="Arial" w:eastAsia="Arial" w:hAnsi="Arial"/>
          <w:sz w:val="18"/>
          <w:szCs w:val="18"/>
          <w:color w:val="auto"/>
        </w:rPr>
        <w:t>The Board will satisfy itself that appropriate policies and procedures are in place regarding public disclosure and restricted trading by insiders. In this regard, the Board will periodically review Thomson Reuters corporate disclosure policy and will confirm that a process is in place to disclose all material information in compliance with Thomson Reuters timely disclosure obligations and to prevent market abuse, whether by way of selective disclosure of material information to analysts, institutional investors, market professionals and others or otherwise.</w:t>
      </w:r>
    </w:p>
    <w:p>
      <w:pPr>
        <w:spacing w:after="0" w:line="211" w:lineRule="exact"/>
        <w:rPr>
          <w:rFonts w:ascii="Arial" w:cs="Arial" w:eastAsia="Arial" w:hAnsi="Arial"/>
          <w:sz w:val="18"/>
          <w:szCs w:val="18"/>
          <w:color w:val="auto"/>
        </w:rPr>
      </w:pPr>
    </w:p>
    <w:p>
      <w:pPr>
        <w:ind w:left="446" w:right="8340" w:hanging="446"/>
        <w:spacing w:after="0" w:line="432" w:lineRule="auto"/>
        <w:tabs>
          <w:tab w:leader="none" w:pos="429"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The Board will:</w:t>
      </w:r>
    </w:p>
    <w:p>
      <w:pPr>
        <w:spacing w:after="0" w:line="1" w:lineRule="exact"/>
        <w:rPr>
          <w:rFonts w:ascii="Arial" w:cs="Arial" w:eastAsia="Arial" w:hAnsi="Arial"/>
          <w:sz w:val="16"/>
          <w:szCs w:val="16"/>
          <w:color w:val="auto"/>
        </w:rPr>
      </w:pPr>
    </w:p>
    <w:p>
      <w:pPr>
        <w:ind w:left="986" w:hanging="542"/>
        <w:spacing w:after="0" w:line="340" w:lineRule="auto"/>
        <w:tabs>
          <w:tab w:leader="none" w:pos="986"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develop Thomson Reuters approach to corporate governance, including establishing appropriate principles and guidelines relating to corporate governance that are specifically applicable to Thomson Reuters and practices to facilitate the Board’s independence;</w:t>
      </w:r>
    </w:p>
    <w:p>
      <w:pPr>
        <w:spacing w:after="0" w:line="30" w:lineRule="exact"/>
        <w:rPr>
          <w:rFonts w:ascii="Arial" w:cs="Arial" w:eastAsia="Arial" w:hAnsi="Arial"/>
          <w:sz w:val="16"/>
          <w:szCs w:val="16"/>
          <w:color w:val="auto"/>
        </w:rPr>
      </w:pPr>
    </w:p>
    <w:p>
      <w:pPr>
        <w:ind w:left="986" w:hanging="542"/>
        <w:spacing w:after="0"/>
        <w:tabs>
          <w:tab w:leader="none" w:pos="9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establish committees and approve their respective charters and the limits of authority delegated to each committee;</w:t>
      </w:r>
    </w:p>
    <w:p>
      <w:pPr>
        <w:spacing w:after="0" w:line="156"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6"/>
          </w:cols>
          <w:pgMar w:left="894" w:top="273" w:right="459" w:bottom="1440" w:gutter="0" w:footer="0" w:header="0"/>
        </w:sectPr>
      </w:pPr>
    </w:p>
    <w:bookmarkStart w:id="114" w:name="page115"/>
    <w:bookmarkEnd w:id="114"/>
    <w:p>
      <w:pPr>
        <w:ind w:left="1420" w:hanging="542"/>
        <w:spacing w:after="0"/>
        <w:tabs>
          <w:tab w:leader="none" w:pos="1420" w:val="left"/>
        </w:tabs>
        <w:numPr>
          <w:ilvl w:val="2"/>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establish appropriate processes for the regular evaluation of the effectiveness of the Board and its committees;</w:t>
      </w:r>
    </w:p>
    <w:p>
      <w:pPr>
        <w:spacing w:after="0" w:line="129" w:lineRule="exact"/>
        <w:rPr>
          <w:rFonts w:ascii="Arial" w:cs="Arial" w:eastAsia="Arial" w:hAnsi="Arial"/>
          <w:sz w:val="18"/>
          <w:szCs w:val="18"/>
          <w:color w:val="auto"/>
        </w:rPr>
      </w:pPr>
    </w:p>
    <w:p>
      <w:pPr>
        <w:ind w:left="1420" w:hanging="542"/>
        <w:spacing w:after="0"/>
        <w:tabs>
          <w:tab w:leader="none" w:pos="14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approve the nomination of directors;</w:t>
      </w:r>
    </w:p>
    <w:p>
      <w:pPr>
        <w:spacing w:after="0" w:line="129" w:lineRule="exact"/>
        <w:rPr>
          <w:rFonts w:ascii="Arial" w:cs="Arial" w:eastAsia="Arial" w:hAnsi="Arial"/>
          <w:sz w:val="18"/>
          <w:szCs w:val="18"/>
          <w:color w:val="auto"/>
        </w:rPr>
      </w:pPr>
    </w:p>
    <w:p>
      <w:pPr>
        <w:jc w:val="both"/>
        <w:ind w:left="1420" w:hanging="542"/>
        <w:spacing w:after="0" w:line="262" w:lineRule="auto"/>
        <w:tabs>
          <w:tab w:leader="none" w:pos="14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review the adequacy and form of directors’ compensation to confirm that it is competitive and appropriately compensates directors for the responsibilities, time commitment and risks involved in being a director or a member of one or more Board committees, as applicable;</w:t>
      </w:r>
    </w:p>
    <w:p>
      <w:pPr>
        <w:spacing w:after="0" w:line="89" w:lineRule="exact"/>
        <w:rPr>
          <w:rFonts w:ascii="Arial" w:cs="Arial" w:eastAsia="Arial" w:hAnsi="Arial"/>
          <w:sz w:val="18"/>
          <w:szCs w:val="18"/>
          <w:color w:val="auto"/>
        </w:rPr>
      </w:pPr>
    </w:p>
    <w:p>
      <w:pPr>
        <w:ind w:left="1420" w:hanging="542"/>
        <w:spacing w:after="0" w:line="276" w:lineRule="auto"/>
        <w:tabs>
          <w:tab w:leader="none" w:pos="14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arrange for non-management directors to meet at least quarterly without management present and for independent directors to meet at least annually; and</w:t>
      </w:r>
    </w:p>
    <w:p>
      <w:pPr>
        <w:spacing w:after="0" w:line="75" w:lineRule="exact"/>
        <w:rPr>
          <w:rFonts w:ascii="Arial" w:cs="Arial" w:eastAsia="Arial" w:hAnsi="Arial"/>
          <w:sz w:val="18"/>
          <w:szCs w:val="18"/>
          <w:color w:val="auto"/>
        </w:rPr>
      </w:pPr>
    </w:p>
    <w:p>
      <w:pPr>
        <w:ind w:left="1420" w:hanging="542"/>
        <w:spacing w:after="0"/>
        <w:tabs>
          <w:tab w:leader="none" w:pos="14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ensure that sufficient funds are available for its effective operation and that of its committees.</w:t>
      </w:r>
    </w:p>
    <w:p>
      <w:pPr>
        <w:spacing w:after="0" w:line="246" w:lineRule="exact"/>
        <w:rPr>
          <w:rFonts w:ascii="Arial" w:cs="Arial" w:eastAsia="Arial" w:hAnsi="Arial"/>
          <w:sz w:val="18"/>
          <w:szCs w:val="18"/>
          <w:color w:val="auto"/>
        </w:rPr>
      </w:pPr>
    </w:p>
    <w:p>
      <w:pPr>
        <w:ind w:left="860" w:hanging="426"/>
        <w:spacing w:after="0"/>
        <w:tabs>
          <w:tab w:leader="none" w:pos="860"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Observance of Thomson Reuters Trust Principles</w:t>
      </w:r>
    </w:p>
    <w:p>
      <w:pPr>
        <w:spacing w:after="0" w:line="120"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The Board will satisfy itself that Thomson Reuters observes and upholds the Thomson Reuters Trust Principles.</w:t>
      </w:r>
    </w:p>
    <w:p>
      <w:pPr>
        <w:spacing w:after="0" w:line="246" w:lineRule="exact"/>
        <w:rPr>
          <w:rFonts w:ascii="Arial" w:cs="Arial" w:eastAsia="Arial" w:hAnsi="Arial"/>
          <w:sz w:val="18"/>
          <w:szCs w:val="18"/>
          <w:color w:val="auto"/>
        </w:rPr>
      </w:pPr>
    </w:p>
    <w:p>
      <w:pPr>
        <w:ind w:left="860" w:hanging="426"/>
        <w:spacing w:after="0"/>
        <w:tabs>
          <w:tab w:leader="none" w:pos="860"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Approval of Certain Other Matters</w:t>
      </w:r>
    </w:p>
    <w:p>
      <w:pPr>
        <w:spacing w:after="0" w:line="120" w:lineRule="exact"/>
        <w:rPr>
          <w:rFonts w:ascii="Arial" w:cs="Arial" w:eastAsia="Arial" w:hAnsi="Arial"/>
          <w:sz w:val="18"/>
          <w:szCs w:val="18"/>
          <w:color w:val="auto"/>
        </w:rPr>
      </w:pPr>
    </w:p>
    <w:p>
      <w:pPr>
        <w:jc w:val="both"/>
        <w:ind w:left="880"/>
        <w:spacing w:after="0" w:line="256" w:lineRule="auto"/>
        <w:rPr>
          <w:rFonts w:ascii="Arial" w:cs="Arial" w:eastAsia="Arial" w:hAnsi="Arial"/>
          <w:sz w:val="18"/>
          <w:szCs w:val="18"/>
          <w:color w:val="auto"/>
        </w:rPr>
      </w:pPr>
      <w:r>
        <w:rPr>
          <w:rFonts w:ascii="Arial" w:cs="Arial" w:eastAsia="Arial" w:hAnsi="Arial"/>
          <w:sz w:val="18"/>
          <w:szCs w:val="18"/>
          <w:color w:val="auto"/>
        </w:rPr>
        <w:t>The Board must itself approve those matters which may not be delegated by the Board under applicable corporate law including, among others, the issuance of securities (except in the manner and on terms authorized by the Board), the declaration of dividends, the repurchase or redemption of shares and matters relating to the adoption, repeal or amendment of the by-laws of the Corporation. The Board may also reserve to itself the right to approve certain matters notwithstanding the delegation to senior management of the authority to manage the business of Thomson Reuters.</w:t>
      </w:r>
    </w:p>
    <w:p>
      <w:pPr>
        <w:spacing w:after="0" w:line="332" w:lineRule="exact"/>
        <w:rPr>
          <w:rFonts w:ascii="Arial" w:cs="Arial" w:eastAsia="Arial" w:hAnsi="Arial"/>
          <w:sz w:val="18"/>
          <w:szCs w:val="18"/>
          <w:color w:val="auto"/>
        </w:rPr>
      </w:pPr>
    </w:p>
    <w:p>
      <w:pPr>
        <w:ind w:left="440" w:hanging="437"/>
        <w:spacing w:after="0"/>
        <w:tabs>
          <w:tab w:leader="none" w:pos="4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SHAREHOLDER</w:t>
      </w:r>
    </w:p>
    <w:p>
      <w:pPr>
        <w:spacing w:after="0" w:line="120" w:lineRule="exact"/>
        <w:rPr>
          <w:rFonts w:ascii="Arial" w:cs="Arial" w:eastAsia="Arial" w:hAnsi="Arial"/>
          <w:sz w:val="18"/>
          <w:szCs w:val="18"/>
          <w:b w:val="1"/>
          <w:bCs w:val="1"/>
          <w:color w:val="auto"/>
        </w:rPr>
      </w:pPr>
    </w:p>
    <w:p>
      <w:pPr>
        <w:jc w:val="both"/>
        <w:ind w:left="44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As of the date hereof, The Woodbridge Company Limited (“Woodbridge”), a private company that is the primary investment vehicle for members of the family of the late First Lord Thomson of Fleet, is the principal shareholder of the Corporation. Woodbridge’s primary investment is its investment in the Corporation. It actively monitors Thomson Reuters as a principal shareholder. In its involvement with Thomson Reuters, Woodbridge focuses principally on the following matters:</w:t>
      </w:r>
    </w:p>
    <w:p>
      <w:pPr>
        <w:spacing w:after="0" w:line="92"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corporate governance, including the effectiveness of the Board;</w:t>
      </w:r>
    </w:p>
    <w:p>
      <w:pPr>
        <w:spacing w:after="0" w:line="1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the appointment of the Chief Executive Officer and other members of senior management and related succession planning;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3" w:right="459" w:bottom="1440" w:gutter="0" w:footer="0" w:header="0"/>
        </w:sectPr>
      </w:pPr>
    </w:p>
    <w:bookmarkStart w:id="115" w:name="page116"/>
    <w:bookmarkEnd w:id="115"/>
    <w:p>
      <w:pPr>
        <w:ind w:left="860" w:hanging="426"/>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the development of the long-term business strategy of Thomson Reuters and assessment of its implementation; and</w:t>
      </w:r>
    </w:p>
    <w:p>
      <w:pPr>
        <w:spacing w:after="0" w:line="129" w:lineRule="exact"/>
        <w:rPr>
          <w:rFonts w:ascii="Arial" w:cs="Arial" w:eastAsia="Arial" w:hAnsi="Arial"/>
          <w:sz w:val="18"/>
          <w:szCs w:val="18"/>
          <w:color w:val="auto"/>
        </w:rPr>
      </w:pPr>
    </w:p>
    <w:p>
      <w:pPr>
        <w:ind w:left="860" w:hanging="426"/>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capital strategy.</w:t>
      </w:r>
    </w:p>
    <w:p>
      <w:pPr>
        <w:spacing w:after="0" w:line="224" w:lineRule="exact"/>
        <w:rPr>
          <w:sz w:val="20"/>
          <w:szCs w:val="20"/>
          <w:color w:val="auto"/>
        </w:rPr>
      </w:pPr>
    </w:p>
    <w:p>
      <w:pPr>
        <w:ind w:left="440"/>
        <w:spacing w:after="0" w:line="276" w:lineRule="auto"/>
        <w:rPr>
          <w:sz w:val="20"/>
          <w:szCs w:val="20"/>
          <w:color w:val="auto"/>
        </w:rPr>
      </w:pPr>
      <w:r>
        <w:rPr>
          <w:rFonts w:ascii="Arial" w:cs="Arial" w:eastAsia="Arial" w:hAnsi="Arial"/>
          <w:sz w:val="18"/>
          <w:szCs w:val="18"/>
          <w:color w:val="auto"/>
        </w:rPr>
        <w:t>With its substantial equity investment in the Corporation, Woodbridge considers that its interests as a shareholder are aligned with those of all other shareholders.</w:t>
      </w:r>
    </w:p>
    <w:p>
      <w:pPr>
        <w:spacing w:after="0" w:line="314" w:lineRule="exact"/>
        <w:rPr>
          <w:sz w:val="20"/>
          <w:szCs w:val="20"/>
          <w:color w:val="auto"/>
        </w:rPr>
      </w:pPr>
    </w:p>
    <w:p>
      <w:pPr>
        <w:ind w:left="440" w:hanging="437"/>
        <w:spacing w:after="0"/>
        <w:tabs>
          <w:tab w:leader="none" w:pos="4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CHAIRMAN</w:t>
      </w:r>
    </w:p>
    <w:p>
      <w:pPr>
        <w:spacing w:after="0" w:line="120" w:lineRule="exact"/>
        <w:rPr>
          <w:rFonts w:ascii="Arial" w:cs="Arial" w:eastAsia="Arial" w:hAnsi="Arial"/>
          <w:sz w:val="18"/>
          <w:szCs w:val="18"/>
          <w:b w:val="1"/>
          <w:bCs w:val="1"/>
          <w:color w:val="auto"/>
        </w:rPr>
      </w:pPr>
    </w:p>
    <w:p>
      <w:pPr>
        <w:ind w:left="44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The Board will in each year elect from among its members a Chairman who is not the Chief Executive Officer or otherwise a member of senior management.</w:t>
      </w:r>
    </w:p>
    <w:p>
      <w:pPr>
        <w:spacing w:after="0" w:line="62" w:lineRule="exact"/>
        <w:rPr>
          <w:rFonts w:ascii="Arial" w:cs="Arial" w:eastAsia="Arial" w:hAnsi="Arial"/>
          <w:sz w:val="18"/>
          <w:szCs w:val="18"/>
          <w:b w:val="1"/>
          <w:bCs w:val="1"/>
          <w:color w:val="auto"/>
        </w:rPr>
      </w:pPr>
    </w:p>
    <w:p>
      <w:pPr>
        <w:ind w:left="44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The Chairman is principally responsible for overseeing the operations and affairs of the Board. The Board maintains a position description for the Chairman.</w:t>
      </w:r>
    </w:p>
    <w:p>
      <w:pPr>
        <w:spacing w:after="0" w:line="313" w:lineRule="exact"/>
        <w:rPr>
          <w:rFonts w:ascii="Arial" w:cs="Arial" w:eastAsia="Arial" w:hAnsi="Arial"/>
          <w:sz w:val="18"/>
          <w:szCs w:val="18"/>
          <w:b w:val="1"/>
          <w:bCs w:val="1"/>
          <w:color w:val="auto"/>
        </w:rPr>
      </w:pPr>
    </w:p>
    <w:p>
      <w:pPr>
        <w:ind w:left="440" w:hanging="437"/>
        <w:spacing w:after="0"/>
        <w:tabs>
          <w:tab w:leader="none" w:pos="4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DEPUTY CHAIRMAN</w:t>
      </w:r>
    </w:p>
    <w:p>
      <w:pPr>
        <w:spacing w:after="0" w:line="120" w:lineRule="exact"/>
        <w:rPr>
          <w:rFonts w:ascii="Arial" w:cs="Arial" w:eastAsia="Arial" w:hAnsi="Arial"/>
          <w:sz w:val="18"/>
          <w:szCs w:val="18"/>
          <w:b w:val="1"/>
          <w:bCs w:val="1"/>
          <w:color w:val="auto"/>
        </w:rPr>
      </w:pPr>
    </w:p>
    <w:p>
      <w:pPr>
        <w:ind w:left="44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The Board may in each year elect from among its members one or more Deputy Chairmen who are not the Chief Executive Officer or otherwise members of senior management.</w:t>
      </w:r>
    </w:p>
    <w:p>
      <w:pPr>
        <w:spacing w:after="0" w:line="62" w:lineRule="exact"/>
        <w:rPr>
          <w:rFonts w:ascii="Arial" w:cs="Arial" w:eastAsia="Arial" w:hAnsi="Arial"/>
          <w:sz w:val="18"/>
          <w:szCs w:val="18"/>
          <w:b w:val="1"/>
          <w:bCs w:val="1"/>
          <w:color w:val="auto"/>
        </w:rPr>
      </w:pPr>
    </w:p>
    <w:p>
      <w:pPr>
        <w:ind w:left="44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Any Deputy Chairman is responsible for assisting the Chairman in fulfilling his duties and for performing additional duties requested by the Board.</w:t>
      </w:r>
    </w:p>
    <w:p>
      <w:pPr>
        <w:spacing w:after="0" w:line="313" w:lineRule="exact"/>
        <w:rPr>
          <w:rFonts w:ascii="Arial" w:cs="Arial" w:eastAsia="Arial" w:hAnsi="Arial"/>
          <w:sz w:val="18"/>
          <w:szCs w:val="18"/>
          <w:b w:val="1"/>
          <w:bCs w:val="1"/>
          <w:color w:val="auto"/>
        </w:rPr>
      </w:pPr>
    </w:p>
    <w:p>
      <w:pPr>
        <w:ind w:left="440" w:hanging="437"/>
        <w:spacing w:after="0"/>
        <w:tabs>
          <w:tab w:leader="none" w:pos="4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LEAD INDEPENDENT DIRECTOR</w:t>
      </w:r>
    </w:p>
    <w:p>
      <w:pPr>
        <w:spacing w:after="0" w:line="12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7"/>
          <w:szCs w:val="17"/>
          <w:color w:val="auto"/>
        </w:rPr>
        <w:t>The Board may in each year elect a Lead Independent Director from among its members who have been determined to be independent.</w:t>
      </w:r>
    </w:p>
    <w:p>
      <w:pPr>
        <w:spacing w:after="0" w:line="379" w:lineRule="exact"/>
        <w:rPr>
          <w:rFonts w:ascii="Arial" w:cs="Arial" w:eastAsia="Arial" w:hAnsi="Arial"/>
          <w:sz w:val="18"/>
          <w:szCs w:val="18"/>
          <w:b w:val="1"/>
          <w:bCs w:val="1"/>
          <w:color w:val="auto"/>
        </w:rPr>
      </w:pPr>
    </w:p>
    <w:p>
      <w:pPr>
        <w:ind w:left="440" w:hanging="437"/>
        <w:spacing w:after="0"/>
        <w:tabs>
          <w:tab w:leader="none" w:pos="4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SECRETARY</w:t>
      </w:r>
    </w:p>
    <w:p>
      <w:pPr>
        <w:spacing w:after="0" w:line="12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Board will appoint an individual to act as the Secretary.</w:t>
      </w:r>
    </w:p>
    <w:p>
      <w:pPr>
        <w:spacing w:after="0" w:line="116" w:lineRule="exact"/>
        <w:rPr>
          <w:rFonts w:ascii="Arial" w:cs="Arial" w:eastAsia="Arial" w:hAnsi="Arial"/>
          <w:sz w:val="18"/>
          <w:szCs w:val="18"/>
          <w:b w:val="1"/>
          <w:bCs w:val="1"/>
          <w:color w:val="auto"/>
        </w:rPr>
      </w:pPr>
    </w:p>
    <w:p>
      <w:pPr>
        <w:jc w:val="both"/>
        <w:ind w:left="440"/>
        <w:spacing w:after="0" w:line="285" w:lineRule="auto"/>
        <w:rPr>
          <w:rFonts w:ascii="Arial" w:cs="Arial" w:eastAsia="Arial" w:hAnsi="Arial"/>
          <w:sz w:val="18"/>
          <w:szCs w:val="18"/>
          <w:b w:val="1"/>
          <w:bCs w:val="1"/>
          <w:color w:val="auto"/>
        </w:rPr>
      </w:pPr>
      <w:r>
        <w:rPr>
          <w:rFonts w:ascii="Arial" w:cs="Arial" w:eastAsia="Arial" w:hAnsi="Arial"/>
          <w:sz w:val="17"/>
          <w:szCs w:val="17"/>
          <w:color w:val="auto"/>
        </w:rPr>
        <w:t>The Secretary is responsible for assisting the Chairman, any Deputy Chairman and the Lead Independent Director in managing the operations and affairs of the Board and for performing additional duties requested by the Chairman, any Deputy Chairman, the Lead Independent Director or the Board or any of its committees. The Secretary reports directly to the Chairman and any Deputy Chairman.</w:t>
      </w:r>
    </w:p>
    <w:p>
      <w:pPr>
        <w:spacing w:after="0" w:line="309" w:lineRule="exact"/>
        <w:rPr>
          <w:rFonts w:ascii="Arial" w:cs="Arial" w:eastAsia="Arial" w:hAnsi="Arial"/>
          <w:sz w:val="18"/>
          <w:szCs w:val="18"/>
          <w:b w:val="1"/>
          <w:bCs w:val="1"/>
          <w:color w:val="auto"/>
        </w:rPr>
      </w:pPr>
    </w:p>
    <w:p>
      <w:pPr>
        <w:ind w:left="440" w:hanging="437"/>
        <w:spacing w:after="0"/>
        <w:tabs>
          <w:tab w:leader="none" w:pos="4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BOARD COMMITTEES</w:t>
      </w:r>
    </w:p>
    <w:p>
      <w:pPr>
        <w:spacing w:after="0" w:line="129" w:lineRule="exact"/>
        <w:rPr>
          <w:rFonts w:ascii="Arial" w:cs="Arial" w:eastAsia="Arial" w:hAnsi="Arial"/>
          <w:sz w:val="18"/>
          <w:szCs w:val="18"/>
          <w:b w:val="1"/>
          <w:bCs w:val="1"/>
          <w:color w:val="auto"/>
        </w:rPr>
      </w:pPr>
    </w:p>
    <w:p>
      <w:pPr>
        <w:ind w:left="860" w:hanging="426"/>
        <w:spacing w:after="0"/>
        <w:tabs>
          <w:tab w:leader="none" w:pos="860"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20" w:lineRule="exact"/>
        <w:rPr>
          <w:rFonts w:ascii="Arial" w:cs="Arial" w:eastAsia="Arial" w:hAnsi="Arial"/>
          <w:sz w:val="18"/>
          <w:szCs w:val="18"/>
          <w:color w:val="auto"/>
        </w:rPr>
      </w:pPr>
    </w:p>
    <w:p>
      <w:pPr>
        <w:ind w:left="880"/>
        <w:spacing w:after="0" w:line="340" w:lineRule="auto"/>
        <w:rPr>
          <w:rFonts w:ascii="Arial" w:cs="Arial" w:eastAsia="Arial" w:hAnsi="Arial"/>
          <w:sz w:val="18"/>
          <w:szCs w:val="18"/>
          <w:color w:val="auto"/>
        </w:rPr>
      </w:pPr>
      <w:r>
        <w:rPr>
          <w:rFonts w:ascii="Arial" w:cs="Arial" w:eastAsia="Arial" w:hAnsi="Arial"/>
          <w:sz w:val="16"/>
          <w:szCs w:val="16"/>
          <w:color w:val="auto"/>
        </w:rPr>
        <w:t>The Board carries out its responsibilities directly and through the following committees and such other committees as it may establish from time to time: the Audit Committee, the Corporate Governance Committee, the Human Resources Committee and the Risk Committee.</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3" w:right="459" w:bottom="1440" w:gutter="0" w:footer="0" w:header="0"/>
        </w:sectPr>
      </w:pPr>
    </w:p>
    <w:bookmarkStart w:id="116" w:name="page117"/>
    <w:bookmarkEnd w:id="116"/>
    <w:p>
      <w:pPr>
        <w:ind w:left="426" w:hanging="426"/>
        <w:spacing w:after="0"/>
        <w:tabs>
          <w:tab w:leader="none" w:pos="426"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Composition</w:t>
      </w:r>
    </w:p>
    <w:p>
      <w:pPr>
        <w:spacing w:after="0" w:line="120" w:lineRule="exact"/>
        <w:rPr>
          <w:rFonts w:ascii="Arial" w:cs="Arial" w:eastAsia="Arial" w:hAnsi="Arial"/>
          <w:sz w:val="18"/>
          <w:szCs w:val="18"/>
          <w:color w:val="auto"/>
        </w:rPr>
      </w:pPr>
    </w:p>
    <w:p>
      <w:pPr>
        <w:jc w:val="both"/>
        <w:ind w:left="446"/>
        <w:spacing w:after="0" w:line="258" w:lineRule="auto"/>
        <w:rPr>
          <w:rFonts w:ascii="Arial" w:cs="Arial" w:eastAsia="Arial" w:hAnsi="Arial"/>
          <w:sz w:val="18"/>
          <w:szCs w:val="18"/>
          <w:color w:val="auto"/>
        </w:rPr>
      </w:pPr>
      <w:r>
        <w:rPr>
          <w:rFonts w:ascii="Arial" w:cs="Arial" w:eastAsia="Arial" w:hAnsi="Arial"/>
          <w:sz w:val="18"/>
          <w:szCs w:val="18"/>
          <w:color w:val="auto"/>
        </w:rPr>
        <w:t>All committees are comprised solely of directors who are not members of management and who are selected by the Board on the recommendation of the Corporate Governance Committee. Thomson Reuters believes it is appropriate for directors who are affiliated with Woodbridge to serve on committees apart from the Audit Committee and the Board has approved the Corporation’s reliance on the “controlled company” exemption in the NYSE listing standards to do so.</w:t>
      </w:r>
    </w:p>
    <w:p>
      <w:pPr>
        <w:spacing w:after="0" w:line="186" w:lineRule="exact"/>
        <w:rPr>
          <w:rFonts w:ascii="Arial" w:cs="Arial" w:eastAsia="Arial" w:hAnsi="Arial"/>
          <w:sz w:val="18"/>
          <w:szCs w:val="18"/>
          <w:color w:val="auto"/>
        </w:rPr>
      </w:pPr>
    </w:p>
    <w:p>
      <w:pPr>
        <w:jc w:val="both"/>
        <w:ind w:left="446"/>
        <w:spacing w:after="0" w:line="256" w:lineRule="auto"/>
        <w:rPr>
          <w:rFonts w:ascii="Arial" w:cs="Arial" w:eastAsia="Arial" w:hAnsi="Arial"/>
          <w:sz w:val="18"/>
          <w:szCs w:val="18"/>
          <w:color w:val="auto"/>
        </w:rPr>
      </w:pPr>
      <w:r>
        <w:rPr>
          <w:rFonts w:ascii="Arial" w:cs="Arial" w:eastAsia="Arial" w:hAnsi="Arial"/>
          <w:sz w:val="18"/>
          <w:szCs w:val="18"/>
          <w:color w:val="auto"/>
        </w:rPr>
        <w:t>Members of the Audit Committee must be independent and are subject to the additional requirements that they may not (i) accept directly or indirectly any consulting, advisory, or other compensatory fee from Thomson Reuters, other than director and committee fees and pension or other forms of deferred compensation for prior service (provided such compensation is not contingent in any way on continued service), or (ii) be an “affiliated person” of Thomson Reuters (within the meaning of applicable law). Each member of the Audit Committee must be “financially literate” (within the meaning of applicable law).</w:t>
      </w:r>
    </w:p>
    <w:p>
      <w:pPr>
        <w:spacing w:after="0" w:line="188" w:lineRule="exact"/>
        <w:rPr>
          <w:rFonts w:ascii="Arial" w:cs="Arial" w:eastAsia="Arial" w:hAnsi="Arial"/>
          <w:sz w:val="18"/>
          <w:szCs w:val="18"/>
          <w:color w:val="auto"/>
        </w:rPr>
      </w:pPr>
    </w:p>
    <w:p>
      <w:pPr>
        <w:jc w:val="both"/>
        <w:ind w:left="446"/>
        <w:spacing w:after="0" w:line="300" w:lineRule="auto"/>
        <w:rPr>
          <w:rFonts w:ascii="Arial" w:cs="Arial" w:eastAsia="Arial" w:hAnsi="Arial"/>
          <w:sz w:val="18"/>
          <w:szCs w:val="18"/>
          <w:color w:val="auto"/>
        </w:rPr>
      </w:pPr>
      <w:r>
        <w:rPr>
          <w:rFonts w:ascii="Arial" w:cs="Arial" w:eastAsia="Arial" w:hAnsi="Arial"/>
          <w:sz w:val="16"/>
          <w:szCs w:val="16"/>
          <w:color w:val="auto"/>
        </w:rPr>
        <w:t>In determining the independence of members of the Human Resources Committee who are not affiliated with Woodbridge, the Board shall also consider all factors specifically relevant to determining whether the director has a relationship to the Corporation that is material to that director’s ability to be independent from management in connection with the duties of a Human Resources Committee member, including, but not limited to, the source of the director’s compensation and whether the director is affiliated with the Corporation.</w:t>
      </w:r>
    </w:p>
    <w:p>
      <w:pPr>
        <w:spacing w:after="0" w:line="179" w:lineRule="exact"/>
        <w:rPr>
          <w:rFonts w:ascii="Arial" w:cs="Arial" w:eastAsia="Arial" w:hAnsi="Arial"/>
          <w:sz w:val="18"/>
          <w:szCs w:val="18"/>
          <w:color w:val="auto"/>
        </w:rPr>
      </w:pPr>
    </w:p>
    <w:p>
      <w:pPr>
        <w:ind w:left="426" w:hanging="426"/>
        <w:spacing w:after="0"/>
        <w:tabs>
          <w:tab w:leader="none" w:pos="426"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Chair</w:t>
      </w:r>
    </w:p>
    <w:p>
      <w:pPr>
        <w:spacing w:after="0" w:line="120" w:lineRule="exact"/>
        <w:rPr>
          <w:rFonts w:ascii="Arial" w:cs="Arial" w:eastAsia="Arial" w:hAnsi="Arial"/>
          <w:sz w:val="18"/>
          <w:szCs w:val="18"/>
          <w:color w:val="auto"/>
        </w:rPr>
      </w:pPr>
    </w:p>
    <w:p>
      <w:pPr>
        <w:jc w:val="both"/>
        <w:ind w:left="446"/>
        <w:spacing w:after="0" w:line="258" w:lineRule="auto"/>
        <w:rPr>
          <w:rFonts w:ascii="Arial" w:cs="Arial" w:eastAsia="Arial" w:hAnsi="Arial"/>
          <w:sz w:val="18"/>
          <w:szCs w:val="18"/>
          <w:color w:val="auto"/>
        </w:rPr>
      </w:pPr>
      <w:r>
        <w:rPr>
          <w:rFonts w:ascii="Arial" w:cs="Arial" w:eastAsia="Arial" w:hAnsi="Arial"/>
          <w:sz w:val="18"/>
          <w:szCs w:val="18"/>
          <w:color w:val="auto"/>
        </w:rPr>
        <w:t>The Audit Committee, Corporate Governance Committee, Human Resources Committee and Risk Committee are each chaired by a director who is selected by the Board on the recommendation of the Corporate Governance Committee. The chair of each committee is responsible for determining the agenda, frequency and conduct of committee meetings. The Board maintains a position description for the committee chairs.</w:t>
      </w:r>
    </w:p>
    <w:p>
      <w:pPr>
        <w:spacing w:after="0" w:line="209" w:lineRule="exact"/>
        <w:rPr>
          <w:rFonts w:ascii="Arial" w:cs="Arial" w:eastAsia="Arial" w:hAnsi="Arial"/>
          <w:sz w:val="18"/>
          <w:szCs w:val="18"/>
          <w:color w:val="auto"/>
        </w:rPr>
      </w:pPr>
    </w:p>
    <w:p>
      <w:pPr>
        <w:ind w:left="426" w:hanging="426"/>
        <w:spacing w:after="0"/>
        <w:tabs>
          <w:tab w:leader="none" w:pos="426"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Charters</w:t>
      </w:r>
    </w:p>
    <w:p>
      <w:pPr>
        <w:spacing w:after="0" w:line="120" w:lineRule="exact"/>
        <w:rPr>
          <w:rFonts w:ascii="Arial" w:cs="Arial" w:eastAsia="Arial" w:hAnsi="Arial"/>
          <w:sz w:val="18"/>
          <w:szCs w:val="18"/>
          <w:color w:val="auto"/>
        </w:rPr>
      </w:pPr>
    </w:p>
    <w:p>
      <w:pPr>
        <w:jc w:val="both"/>
        <w:ind w:left="446"/>
        <w:spacing w:after="0" w:line="258" w:lineRule="auto"/>
        <w:rPr>
          <w:rFonts w:ascii="Arial" w:cs="Arial" w:eastAsia="Arial" w:hAnsi="Arial"/>
          <w:sz w:val="18"/>
          <w:szCs w:val="18"/>
          <w:color w:val="auto"/>
        </w:rPr>
      </w:pPr>
      <w:r>
        <w:rPr>
          <w:rFonts w:ascii="Arial" w:cs="Arial" w:eastAsia="Arial" w:hAnsi="Arial"/>
          <w:sz w:val="18"/>
          <w:szCs w:val="18"/>
          <w:color w:val="auto"/>
        </w:rPr>
        <w:t>Each committee has its own charter that sets out its responsibilities and duties, qualifications for membership, procedures for committee member removal and appointment and reporting to the Board. On an annual basis, each committee’s charter is reviewed by both the committee itself and the Corporate Governance Committee and an update regarding the annual review is provided to the Board. Copies of each charter are posted on the Thomson Reuters website.</w:t>
      </w:r>
    </w:p>
    <w:p>
      <w:pPr>
        <w:spacing w:after="0" w:line="11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6"/>
          </w:cols>
          <w:pgMar w:left="894" w:top="269" w:right="459" w:bottom="1440" w:gutter="0" w:footer="0" w:header="0"/>
        </w:sectPr>
      </w:pPr>
    </w:p>
    <w:bookmarkStart w:id="117" w:name="page118"/>
    <w:bookmarkEnd w:id="117"/>
    <w:p>
      <w:pPr>
        <w:ind w:left="440" w:hanging="437"/>
        <w:spacing w:after="0"/>
        <w:tabs>
          <w:tab w:leader="none" w:pos="4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BOARD AND COMMITTEE MEETINGS</w:t>
      </w:r>
    </w:p>
    <w:p>
      <w:pPr>
        <w:spacing w:after="0" w:line="129" w:lineRule="exact"/>
        <w:rPr>
          <w:rFonts w:ascii="Arial" w:cs="Arial" w:eastAsia="Arial" w:hAnsi="Arial"/>
          <w:sz w:val="18"/>
          <w:szCs w:val="18"/>
          <w:b w:val="1"/>
          <w:bCs w:val="1"/>
          <w:color w:val="auto"/>
        </w:rPr>
      </w:pPr>
    </w:p>
    <w:p>
      <w:pPr>
        <w:ind w:left="860" w:hanging="426"/>
        <w:spacing w:after="0"/>
        <w:tabs>
          <w:tab w:leader="none" w:pos="86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Scheduling</w:t>
      </w:r>
    </w:p>
    <w:p>
      <w:pPr>
        <w:spacing w:after="0" w:line="120" w:lineRule="exact"/>
        <w:rPr>
          <w:rFonts w:ascii="Arial" w:cs="Arial" w:eastAsia="Arial" w:hAnsi="Arial"/>
          <w:sz w:val="18"/>
          <w:szCs w:val="18"/>
          <w:color w:val="auto"/>
        </w:rPr>
      </w:pPr>
    </w:p>
    <w:p>
      <w:pPr>
        <w:jc w:val="both"/>
        <w:ind w:left="880"/>
        <w:spacing w:after="0" w:line="258" w:lineRule="auto"/>
        <w:rPr>
          <w:rFonts w:ascii="Arial" w:cs="Arial" w:eastAsia="Arial" w:hAnsi="Arial"/>
          <w:sz w:val="18"/>
          <w:szCs w:val="18"/>
          <w:color w:val="auto"/>
        </w:rPr>
      </w:pPr>
      <w:r>
        <w:rPr>
          <w:rFonts w:ascii="Arial" w:cs="Arial" w:eastAsia="Arial" w:hAnsi="Arial"/>
          <w:sz w:val="18"/>
          <w:szCs w:val="18"/>
          <w:color w:val="auto"/>
        </w:rPr>
        <w:t>Board meetings are scheduled in advance at appropriate intervals throughout the year. In addition to regularly scheduled Board meetings, additional Board meetings may be called upon proper notice at any time to address specific needs of Thomson Reuters. The Board may also take action from time to time by unanimous written consent. A Board meeting may be called by the Chairman, any Deputy Chairman, the Chief Executive Officer or any two directors.</w:t>
      </w:r>
    </w:p>
    <w:p>
      <w:pPr>
        <w:spacing w:after="0" w:line="186" w:lineRule="exact"/>
        <w:rPr>
          <w:rFonts w:ascii="Arial" w:cs="Arial" w:eastAsia="Arial" w:hAnsi="Arial"/>
          <w:sz w:val="18"/>
          <w:szCs w:val="18"/>
          <w:color w:val="auto"/>
        </w:rPr>
      </w:pPr>
    </w:p>
    <w:p>
      <w:pPr>
        <w:ind w:left="880"/>
        <w:spacing w:after="0" w:line="306" w:lineRule="auto"/>
        <w:rPr>
          <w:rFonts w:ascii="Arial" w:cs="Arial" w:eastAsia="Arial" w:hAnsi="Arial"/>
          <w:sz w:val="18"/>
          <w:szCs w:val="18"/>
          <w:color w:val="auto"/>
        </w:rPr>
      </w:pPr>
      <w:r>
        <w:rPr>
          <w:rFonts w:ascii="Arial" w:cs="Arial" w:eastAsia="Arial" w:hAnsi="Arial"/>
          <w:sz w:val="17"/>
          <w:szCs w:val="17"/>
          <w:color w:val="auto"/>
        </w:rPr>
        <w:t>Each committee meets as often as it determines is necessary to fulfill its responsibilities. A meeting of any committee may be called by the chair or any other member of the committee, the Chairman, any Deputy Chairman, the Chief Executive Officer or the Secretary.</w:t>
      </w:r>
    </w:p>
    <w:p>
      <w:pPr>
        <w:spacing w:after="0" w:line="147" w:lineRule="exact"/>
        <w:rPr>
          <w:rFonts w:ascii="Arial" w:cs="Arial" w:eastAsia="Arial" w:hAnsi="Arial"/>
          <w:sz w:val="18"/>
          <w:szCs w:val="18"/>
          <w:color w:val="auto"/>
        </w:rPr>
      </w:pPr>
    </w:p>
    <w:p>
      <w:pPr>
        <w:jc w:val="both"/>
        <w:ind w:left="880"/>
        <w:spacing w:after="0" w:line="310" w:lineRule="auto"/>
        <w:rPr>
          <w:rFonts w:ascii="Arial" w:cs="Arial" w:eastAsia="Arial" w:hAnsi="Arial"/>
          <w:sz w:val="18"/>
          <w:szCs w:val="18"/>
          <w:color w:val="auto"/>
        </w:rPr>
      </w:pPr>
      <w:r>
        <w:rPr>
          <w:rFonts w:ascii="Arial" w:cs="Arial" w:eastAsia="Arial" w:hAnsi="Arial"/>
          <w:sz w:val="16"/>
          <w:szCs w:val="16"/>
          <w:color w:val="auto"/>
        </w:rPr>
        <w:t>Board meetings are held in a manner and at a location determined by the Chairman and meetings of each committee are held in a manner and at a location determined by the committee chair. The Board generally meets at least once a year at the offices of one of Thomson Reuters businesses so that directors may meet operating management and develop a deeper understanding of a particular business group.</w:t>
      </w:r>
    </w:p>
    <w:p>
      <w:pPr>
        <w:spacing w:after="0" w:line="50" w:lineRule="exact"/>
        <w:rPr>
          <w:rFonts w:ascii="Arial" w:cs="Arial" w:eastAsia="Arial" w:hAnsi="Arial"/>
          <w:sz w:val="18"/>
          <w:szCs w:val="18"/>
          <w:color w:val="auto"/>
        </w:rPr>
      </w:pPr>
    </w:p>
    <w:p>
      <w:pPr>
        <w:ind w:left="860" w:hanging="426"/>
        <w:spacing w:after="0"/>
        <w:tabs>
          <w:tab w:leader="none" w:pos="86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Agenda</w:t>
      </w:r>
    </w:p>
    <w:p>
      <w:pPr>
        <w:spacing w:after="0" w:line="120" w:lineRule="exact"/>
        <w:rPr>
          <w:rFonts w:ascii="Arial" w:cs="Arial" w:eastAsia="Arial" w:hAnsi="Arial"/>
          <w:sz w:val="18"/>
          <w:szCs w:val="18"/>
          <w:color w:val="auto"/>
        </w:rPr>
      </w:pPr>
    </w:p>
    <w:p>
      <w:pPr>
        <w:jc w:val="both"/>
        <w:ind w:left="880"/>
        <w:spacing w:after="0" w:line="262" w:lineRule="auto"/>
        <w:rPr>
          <w:rFonts w:ascii="Arial" w:cs="Arial" w:eastAsia="Arial" w:hAnsi="Arial"/>
          <w:sz w:val="18"/>
          <w:szCs w:val="18"/>
          <w:color w:val="auto"/>
        </w:rPr>
      </w:pPr>
      <w:r>
        <w:rPr>
          <w:rFonts w:ascii="Arial" w:cs="Arial" w:eastAsia="Arial" w:hAnsi="Arial"/>
          <w:sz w:val="18"/>
          <w:szCs w:val="18"/>
          <w:color w:val="auto"/>
        </w:rPr>
        <w:t>The Chairman establishes the agenda for each Board meeting in consultation with any Deputy Chairman, any Lead Independent Director, the other directors, the Secretary and the Chief Executive Officer. Any director may propose the inclusion of items on the agenda or at any Board meeting raise subjects that are not on the agenda for that meeting.</w:t>
      </w:r>
    </w:p>
    <w:p>
      <w:pPr>
        <w:spacing w:after="0" w:line="183" w:lineRule="exact"/>
        <w:rPr>
          <w:rFonts w:ascii="Arial" w:cs="Arial" w:eastAsia="Arial" w:hAnsi="Arial"/>
          <w:sz w:val="18"/>
          <w:szCs w:val="18"/>
          <w:color w:val="auto"/>
        </w:rPr>
      </w:pPr>
    </w:p>
    <w:p>
      <w:pPr>
        <w:ind w:left="880"/>
        <w:spacing w:after="0" w:line="276" w:lineRule="auto"/>
        <w:rPr>
          <w:rFonts w:ascii="Arial" w:cs="Arial" w:eastAsia="Arial" w:hAnsi="Arial"/>
          <w:sz w:val="18"/>
          <w:szCs w:val="18"/>
          <w:color w:val="auto"/>
        </w:rPr>
      </w:pPr>
      <w:r>
        <w:rPr>
          <w:rFonts w:ascii="Arial" w:cs="Arial" w:eastAsia="Arial" w:hAnsi="Arial"/>
          <w:sz w:val="18"/>
          <w:szCs w:val="18"/>
          <w:color w:val="auto"/>
        </w:rPr>
        <w:t>Committee chairs establish the agenda for each committee meeting. Any committee member may propose the inclusion of items on the agenda or at any committee meeting raise subjects that are not on the agenda for the meeting.</w:t>
      </w:r>
    </w:p>
    <w:p>
      <w:pPr>
        <w:spacing w:after="0" w:line="192" w:lineRule="exact"/>
        <w:rPr>
          <w:rFonts w:ascii="Arial" w:cs="Arial" w:eastAsia="Arial" w:hAnsi="Arial"/>
          <w:sz w:val="18"/>
          <w:szCs w:val="18"/>
          <w:color w:val="auto"/>
        </w:rPr>
      </w:pPr>
    </w:p>
    <w:p>
      <w:pPr>
        <w:ind w:left="860" w:hanging="426"/>
        <w:spacing w:after="0"/>
        <w:tabs>
          <w:tab w:leader="none" w:pos="86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Meetings of Non-Management and Independent Directors</w:t>
      </w:r>
    </w:p>
    <w:p>
      <w:pPr>
        <w:spacing w:after="0" w:line="120" w:lineRule="exact"/>
        <w:rPr>
          <w:rFonts w:ascii="Arial" w:cs="Arial" w:eastAsia="Arial" w:hAnsi="Arial"/>
          <w:sz w:val="18"/>
          <w:szCs w:val="18"/>
          <w:color w:val="auto"/>
        </w:rPr>
      </w:pPr>
    </w:p>
    <w:p>
      <w:pPr>
        <w:jc w:val="both"/>
        <w:ind w:left="880"/>
        <w:spacing w:after="0" w:line="272" w:lineRule="auto"/>
        <w:rPr>
          <w:rFonts w:ascii="Arial" w:cs="Arial" w:eastAsia="Arial" w:hAnsi="Arial"/>
          <w:sz w:val="18"/>
          <w:szCs w:val="18"/>
          <w:color w:val="auto"/>
        </w:rPr>
      </w:pPr>
      <w:r>
        <w:rPr>
          <w:rFonts w:ascii="Arial" w:cs="Arial" w:eastAsia="Arial" w:hAnsi="Arial"/>
          <w:sz w:val="17"/>
          <w:szCs w:val="17"/>
          <w:color w:val="auto"/>
        </w:rPr>
        <w:t>To facilitate the Board’s independence, non-management directors meet as a group after each Board meeting without management present. Non-management directors may also meet without management present at such other times as appropriate. Any Deputy Chairman, any Lead Independent Director or the Chair of the Corporate Governance Committee will chair these meetings and inform management of their substance to the extent that action is appropriate or required. At least annually, the independent directors meet separately. Any Lead Independent Director (or if none has been elected, the Chair of the Corporate Governance Committee) chairs these meetings and informs the Chairman of the substance of these meetings to the extent that action is appropriate or required.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69" w:right="459" w:bottom="1440" w:gutter="0" w:footer="0" w:header="0"/>
        </w:sectPr>
      </w:pPr>
    </w:p>
    <w:bookmarkStart w:id="118" w:name="page119"/>
    <w:bookmarkEnd w:id="118"/>
    <w:p>
      <w:pPr>
        <w:ind w:left="860" w:hanging="426"/>
        <w:spacing w:after="0"/>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Distribution of Information</w:t>
      </w:r>
    </w:p>
    <w:p>
      <w:pPr>
        <w:spacing w:after="0" w:line="120" w:lineRule="exact"/>
        <w:rPr>
          <w:rFonts w:ascii="Arial" w:cs="Arial" w:eastAsia="Arial" w:hAnsi="Arial"/>
          <w:sz w:val="18"/>
          <w:szCs w:val="18"/>
          <w:color w:val="auto"/>
        </w:rPr>
      </w:pPr>
    </w:p>
    <w:p>
      <w:pPr>
        <w:jc w:val="both"/>
        <w:ind w:left="880"/>
        <w:spacing w:after="0" w:line="254" w:lineRule="auto"/>
        <w:rPr>
          <w:rFonts w:ascii="Arial" w:cs="Arial" w:eastAsia="Arial" w:hAnsi="Arial"/>
          <w:sz w:val="18"/>
          <w:szCs w:val="18"/>
          <w:color w:val="auto"/>
        </w:rPr>
      </w:pPr>
      <w:r>
        <w:rPr>
          <w:rFonts w:ascii="Arial" w:cs="Arial" w:eastAsia="Arial" w:hAnsi="Arial"/>
          <w:sz w:val="18"/>
          <w:szCs w:val="18"/>
          <w:color w:val="auto"/>
        </w:rPr>
        <w:t>Information that is important to the Board’s understanding of the business and its meeting agenda is distributed to the Board before it meets. Sensitive subject matters may be discussed at a meeting without written materials being distributed in advance or at the meeting. The Board periodically receives reports on the operating activities of Thomson Reuters, as well as reports on certain non-operational matters, including corporate governance, tax, information security, pensions and treasury matters. Thomson Reuters utilizes a board portal for directors, which is used to distribute information and to foster communication among directors and between directors and Thomson Reuters senior management.</w:t>
      </w:r>
    </w:p>
    <w:p>
      <w:pPr>
        <w:spacing w:after="0" w:line="215" w:lineRule="exact"/>
        <w:rPr>
          <w:rFonts w:ascii="Arial" w:cs="Arial" w:eastAsia="Arial" w:hAnsi="Arial"/>
          <w:sz w:val="18"/>
          <w:szCs w:val="18"/>
          <w:color w:val="auto"/>
        </w:rPr>
      </w:pPr>
    </w:p>
    <w:p>
      <w:pPr>
        <w:ind w:left="860" w:hanging="426"/>
        <w:spacing w:after="0"/>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Preparation, Attendance and Participation</w:t>
      </w:r>
    </w:p>
    <w:p>
      <w:pPr>
        <w:spacing w:after="0" w:line="120" w:lineRule="exact"/>
        <w:rPr>
          <w:rFonts w:ascii="Arial" w:cs="Arial" w:eastAsia="Arial" w:hAnsi="Arial"/>
          <w:sz w:val="18"/>
          <w:szCs w:val="18"/>
          <w:color w:val="auto"/>
        </w:rPr>
      </w:pPr>
    </w:p>
    <w:p>
      <w:pPr>
        <w:jc w:val="both"/>
        <w:ind w:left="880"/>
        <w:spacing w:after="0" w:line="262" w:lineRule="auto"/>
        <w:rPr>
          <w:rFonts w:ascii="Arial" w:cs="Arial" w:eastAsia="Arial" w:hAnsi="Arial"/>
          <w:sz w:val="18"/>
          <w:szCs w:val="18"/>
          <w:color w:val="auto"/>
        </w:rPr>
      </w:pPr>
      <w:r>
        <w:rPr>
          <w:rFonts w:ascii="Arial" w:cs="Arial" w:eastAsia="Arial" w:hAnsi="Arial"/>
          <w:sz w:val="18"/>
          <w:szCs w:val="18"/>
          <w:color w:val="auto"/>
        </w:rPr>
        <w:t>Each director is expected to prepare adequately for and attend all meetings of the Board and any committee of which he or she is a member. A director who is unable to attend a Board or committee meeting in person may participate by telephone, teleconference, videoconference or telepresence.</w:t>
      </w:r>
    </w:p>
    <w:p>
      <w:pPr>
        <w:spacing w:after="0" w:line="206" w:lineRule="exact"/>
        <w:rPr>
          <w:rFonts w:ascii="Arial" w:cs="Arial" w:eastAsia="Arial" w:hAnsi="Arial"/>
          <w:sz w:val="18"/>
          <w:szCs w:val="18"/>
          <w:color w:val="auto"/>
        </w:rPr>
      </w:pPr>
    </w:p>
    <w:p>
      <w:pPr>
        <w:ind w:left="860" w:hanging="426"/>
        <w:spacing w:after="0"/>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Procedures</w:t>
      </w:r>
    </w:p>
    <w:p>
      <w:pPr>
        <w:spacing w:after="0" w:line="120" w:lineRule="exact"/>
        <w:rPr>
          <w:rFonts w:ascii="Arial" w:cs="Arial" w:eastAsia="Arial" w:hAnsi="Arial"/>
          <w:sz w:val="18"/>
          <w:szCs w:val="18"/>
          <w:color w:val="auto"/>
        </w:rPr>
      </w:pPr>
    </w:p>
    <w:p>
      <w:pPr>
        <w:ind w:left="880"/>
        <w:spacing w:after="0" w:line="276" w:lineRule="auto"/>
        <w:rPr>
          <w:rFonts w:ascii="Arial" w:cs="Arial" w:eastAsia="Arial" w:hAnsi="Arial"/>
          <w:sz w:val="18"/>
          <w:szCs w:val="18"/>
          <w:color w:val="auto"/>
        </w:rPr>
      </w:pPr>
      <w:r>
        <w:rPr>
          <w:rFonts w:ascii="Arial" w:cs="Arial" w:eastAsia="Arial" w:hAnsi="Arial"/>
          <w:sz w:val="18"/>
          <w:szCs w:val="18"/>
          <w:color w:val="auto"/>
        </w:rPr>
        <w:t>Procedures for Board meetings are determined by the Chairman unless otherwise determined by the by-laws of the Corporation or a resolution of the Board.</w:t>
      </w:r>
    </w:p>
    <w:p>
      <w:pPr>
        <w:spacing w:after="0" w:line="169" w:lineRule="exact"/>
        <w:rPr>
          <w:rFonts w:ascii="Arial" w:cs="Arial" w:eastAsia="Arial" w:hAnsi="Arial"/>
          <w:sz w:val="18"/>
          <w:szCs w:val="18"/>
          <w:color w:val="auto"/>
        </w:rPr>
      </w:pPr>
    </w:p>
    <w:p>
      <w:pPr>
        <w:ind w:left="880"/>
        <w:spacing w:after="0" w:line="276" w:lineRule="auto"/>
        <w:rPr>
          <w:rFonts w:ascii="Arial" w:cs="Arial" w:eastAsia="Arial" w:hAnsi="Arial"/>
          <w:sz w:val="18"/>
          <w:szCs w:val="18"/>
          <w:color w:val="auto"/>
        </w:rPr>
      </w:pPr>
      <w:r>
        <w:rPr>
          <w:rFonts w:ascii="Arial" w:cs="Arial" w:eastAsia="Arial" w:hAnsi="Arial"/>
          <w:sz w:val="18"/>
          <w:szCs w:val="18"/>
          <w:color w:val="auto"/>
        </w:rPr>
        <w:t>Procedures for committee meetings are determined by the chair of the committee unless otherwise determined by the by-laws of the Corporation or a resolution of the committee or the Board.</w:t>
      </w:r>
    </w:p>
    <w:p>
      <w:pPr>
        <w:spacing w:after="0" w:line="313" w:lineRule="exact"/>
        <w:rPr>
          <w:rFonts w:ascii="Arial" w:cs="Arial" w:eastAsia="Arial" w:hAnsi="Arial"/>
          <w:sz w:val="18"/>
          <w:szCs w:val="18"/>
          <w:color w:val="auto"/>
        </w:rPr>
      </w:pPr>
    </w:p>
    <w:p>
      <w:pPr>
        <w:ind w:left="440" w:hanging="437"/>
        <w:spacing w:after="0"/>
        <w:tabs>
          <w:tab w:leader="none" w:pos="4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DIRECTOR COMPENSATION</w:t>
      </w:r>
    </w:p>
    <w:p>
      <w:pPr>
        <w:spacing w:after="0" w:line="120" w:lineRule="exact"/>
        <w:rPr>
          <w:rFonts w:ascii="Arial" w:cs="Arial" w:eastAsia="Arial" w:hAnsi="Arial"/>
          <w:sz w:val="18"/>
          <w:szCs w:val="18"/>
          <w:b w:val="1"/>
          <w:bCs w:val="1"/>
          <w:color w:val="auto"/>
        </w:rPr>
      </w:pPr>
    </w:p>
    <w:p>
      <w:pPr>
        <w:jc w:val="both"/>
        <w:ind w:left="4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Compensation for directors of the Corporation is designed to attract and retain highly talented, committed and experienced directors. The Board believes that directors must be competitively compensated, taking into account the size and complexity of Thomson Reuters. The Corporate Governance Committee is responsible for reviewing directors’ compensation to ensure that it is competitive and consistent with the responsibilities, time commitment and risks associated with being an effective director and, to this end, periodically reviews directors’ compensation in the marketplace.</w:t>
      </w:r>
    </w:p>
    <w:p>
      <w:pPr>
        <w:spacing w:after="0" w:line="188" w:lineRule="exact"/>
        <w:rPr>
          <w:rFonts w:ascii="Arial" w:cs="Arial" w:eastAsia="Arial" w:hAnsi="Arial"/>
          <w:sz w:val="18"/>
          <w:szCs w:val="18"/>
          <w:b w:val="1"/>
          <w:bCs w:val="1"/>
          <w:color w:val="auto"/>
        </w:rPr>
      </w:pPr>
    </w:p>
    <w:p>
      <w:pPr>
        <w:jc w:val="both"/>
        <w:ind w:left="4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Non-management directors (other than the Chairman) are required to receive a specified portion of their annual retainer paid in deferred share units and they have the option to receive the remaining portion of their annual retainer in the form of deferred share units, common shares of the Corporation or cash (or a mix thereof). The mandatory equity component will be established by the Corporate Governance Committee. If a director elects to receive any portion of his or her annual retainer or other compensation in the form of common shares, the amount (net of withholding taxes) is used to buy common shares on the open market. If a director elects to receive deferred share units, units representing the value of the common shares are credited to the director’s account based on the market value of a share. Deferred share units are paid to the director following termination of Board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69" w:right="459" w:bottom="1440" w:gutter="0" w:footer="0" w:header="0"/>
        </w:sectPr>
      </w:pPr>
    </w:p>
    <w:bookmarkStart w:id="119" w:name="page120"/>
    <w:bookmarkEnd w:id="119"/>
    <w:p>
      <w:pPr>
        <w:jc w:val="both"/>
        <w:ind w:left="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service. Payment will be made in common shares or cash (net of withholding taxes) at the election of the director, based on the market value of the common shares. Deferred share units also accumulate additional units based on notional equivalents of dividends paid on the Corporation’s common shares. The Board believes that the Corporation’s director compensation arrangements further align the interests of directors with the interests of other shareholders.</w:t>
      </w:r>
    </w:p>
    <w:p>
      <w:pPr>
        <w:spacing w:after="0" w:line="79" w:lineRule="exact"/>
        <w:rPr>
          <w:sz w:val="20"/>
          <w:szCs w:val="20"/>
          <w:color w:val="auto"/>
        </w:rPr>
      </w:pPr>
    </w:p>
    <w:p>
      <w:pPr>
        <w:jc w:val="both"/>
        <w:ind w:left="440"/>
        <w:spacing w:after="0" w:line="276" w:lineRule="auto"/>
        <w:rPr>
          <w:sz w:val="20"/>
          <w:szCs w:val="20"/>
          <w:color w:val="auto"/>
        </w:rPr>
      </w:pPr>
      <w:r>
        <w:rPr>
          <w:rFonts w:ascii="Arial" w:cs="Arial" w:eastAsia="Arial" w:hAnsi="Arial"/>
          <w:sz w:val="18"/>
          <w:szCs w:val="18"/>
          <w:color w:val="auto"/>
        </w:rPr>
        <w:t>The Chairman, any Deputy Chairman and any Lead Independent Director receive an annual retainer. The Chief Executive Officer does not receive additional compensation for serving as a director.</w:t>
      </w:r>
    </w:p>
    <w:p>
      <w:pPr>
        <w:spacing w:after="0" w:line="314" w:lineRule="exact"/>
        <w:rPr>
          <w:sz w:val="20"/>
          <w:szCs w:val="20"/>
          <w:color w:val="auto"/>
        </w:rPr>
      </w:pPr>
    </w:p>
    <w:p>
      <w:pPr>
        <w:ind w:left="440" w:hanging="437"/>
        <w:spacing w:after="0"/>
        <w:tabs>
          <w:tab w:leader="none" w:pos="4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REIMBURSEMENT OF EXPENSES</w:t>
      </w:r>
    </w:p>
    <w:p>
      <w:pPr>
        <w:spacing w:after="0" w:line="120" w:lineRule="exact"/>
        <w:rPr>
          <w:rFonts w:ascii="Arial" w:cs="Arial" w:eastAsia="Arial" w:hAnsi="Arial"/>
          <w:sz w:val="18"/>
          <w:szCs w:val="18"/>
          <w:b w:val="1"/>
          <w:bCs w:val="1"/>
          <w:color w:val="auto"/>
        </w:rPr>
      </w:pPr>
    </w:p>
    <w:p>
      <w:pPr>
        <w:ind w:left="44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Directors are reimbursed by Thomson Reuters for reasonable travel and out-of-pocket expenses incurred in connection with their duties as directors. The Corporate Governance Committee periodically reviews expenses submitted for reimbursement.</w:t>
      </w:r>
    </w:p>
    <w:p>
      <w:pPr>
        <w:spacing w:after="0" w:line="313" w:lineRule="exact"/>
        <w:rPr>
          <w:rFonts w:ascii="Arial" w:cs="Arial" w:eastAsia="Arial" w:hAnsi="Arial"/>
          <w:sz w:val="18"/>
          <w:szCs w:val="18"/>
          <w:b w:val="1"/>
          <w:bCs w:val="1"/>
          <w:color w:val="auto"/>
        </w:rPr>
      </w:pPr>
    </w:p>
    <w:p>
      <w:pPr>
        <w:ind w:left="440" w:hanging="437"/>
        <w:spacing w:after="0"/>
        <w:tabs>
          <w:tab w:leader="none" w:pos="4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 GUIDELINES</w:t>
      </w:r>
    </w:p>
    <w:p>
      <w:pPr>
        <w:spacing w:after="0" w:line="120" w:lineRule="exact"/>
        <w:rPr>
          <w:rFonts w:ascii="Arial" w:cs="Arial" w:eastAsia="Arial" w:hAnsi="Arial"/>
          <w:sz w:val="18"/>
          <w:szCs w:val="18"/>
          <w:b w:val="1"/>
          <w:bCs w:val="1"/>
          <w:color w:val="auto"/>
        </w:rPr>
      </w:pPr>
    </w:p>
    <w:p>
      <w:pPr>
        <w:ind w:left="44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The Board believes that meaningful share ownership by directors and senior executive officers is in the best interest of Thomson Reuters because it further aligns the interests of directors and senior executive officers with those of its shareholders.</w:t>
      </w:r>
    </w:p>
    <w:p>
      <w:pPr>
        <w:spacing w:after="0" w:line="192" w:lineRule="exact"/>
        <w:rPr>
          <w:rFonts w:ascii="Arial" w:cs="Arial" w:eastAsia="Arial" w:hAnsi="Arial"/>
          <w:sz w:val="18"/>
          <w:szCs w:val="18"/>
          <w:b w:val="1"/>
          <w:bCs w:val="1"/>
          <w:color w:val="auto"/>
        </w:rPr>
      </w:pPr>
    </w:p>
    <w:p>
      <w:pPr>
        <w:ind w:left="860" w:hanging="426"/>
        <w:spacing w:after="0"/>
        <w:tabs>
          <w:tab w:leader="none" w:pos="860" w:val="left"/>
        </w:tabs>
        <w:numPr>
          <w:ilvl w:val="1"/>
          <w:numId w:val="70"/>
        </w:numPr>
        <w:rPr>
          <w:rFonts w:ascii="Arial" w:cs="Arial" w:eastAsia="Arial" w:hAnsi="Arial"/>
          <w:sz w:val="18"/>
          <w:szCs w:val="18"/>
          <w:color w:val="auto"/>
        </w:rPr>
      </w:pPr>
      <w:r>
        <w:rPr>
          <w:rFonts w:ascii="Arial" w:cs="Arial" w:eastAsia="Arial" w:hAnsi="Arial"/>
          <w:sz w:val="18"/>
          <w:szCs w:val="18"/>
          <w:b w:val="1"/>
          <w:bCs w:val="1"/>
          <w:color w:val="auto"/>
        </w:rPr>
        <w:t>Directors</w:t>
      </w:r>
    </w:p>
    <w:p>
      <w:pPr>
        <w:spacing w:after="0" w:line="120" w:lineRule="exact"/>
        <w:rPr>
          <w:rFonts w:ascii="Arial" w:cs="Arial" w:eastAsia="Arial" w:hAnsi="Arial"/>
          <w:sz w:val="18"/>
          <w:szCs w:val="18"/>
          <w:color w:val="auto"/>
        </w:rPr>
      </w:pPr>
    </w:p>
    <w:p>
      <w:pPr>
        <w:ind w:left="880"/>
        <w:spacing w:after="0" w:line="306" w:lineRule="auto"/>
        <w:rPr>
          <w:rFonts w:ascii="Arial" w:cs="Arial" w:eastAsia="Arial" w:hAnsi="Arial"/>
          <w:sz w:val="18"/>
          <w:szCs w:val="18"/>
          <w:color w:val="auto"/>
        </w:rPr>
      </w:pPr>
      <w:r>
        <w:rPr>
          <w:rFonts w:ascii="Arial" w:cs="Arial" w:eastAsia="Arial" w:hAnsi="Arial"/>
          <w:sz w:val="17"/>
          <w:szCs w:val="17"/>
          <w:color w:val="auto"/>
        </w:rPr>
        <w:t>Directors are encouraged to hold common shares of the Corporation and/or deferred share units having a value equal to at least three times the amount of the annual directors’ retainer within five years from the date of their initial election or appointment to the Board.</w:t>
      </w:r>
    </w:p>
    <w:p>
      <w:pPr>
        <w:spacing w:after="0" w:line="170" w:lineRule="exact"/>
        <w:rPr>
          <w:rFonts w:ascii="Arial" w:cs="Arial" w:eastAsia="Arial" w:hAnsi="Arial"/>
          <w:sz w:val="18"/>
          <w:szCs w:val="18"/>
          <w:color w:val="auto"/>
        </w:rPr>
      </w:pPr>
    </w:p>
    <w:p>
      <w:pPr>
        <w:ind w:left="860" w:hanging="426"/>
        <w:spacing w:after="0"/>
        <w:tabs>
          <w:tab w:leader="none" w:pos="860" w:val="left"/>
        </w:tabs>
        <w:numPr>
          <w:ilvl w:val="1"/>
          <w:numId w:val="70"/>
        </w:numPr>
        <w:rPr>
          <w:rFonts w:ascii="Arial" w:cs="Arial" w:eastAsia="Arial" w:hAnsi="Arial"/>
          <w:sz w:val="18"/>
          <w:szCs w:val="18"/>
          <w:color w:val="auto"/>
        </w:rPr>
      </w:pPr>
      <w:r>
        <w:rPr>
          <w:rFonts w:ascii="Arial" w:cs="Arial" w:eastAsia="Arial" w:hAnsi="Arial"/>
          <w:sz w:val="18"/>
          <w:szCs w:val="18"/>
          <w:b w:val="1"/>
          <w:bCs w:val="1"/>
          <w:color w:val="auto"/>
        </w:rPr>
        <w:t>Senior Executive Officers</w:t>
      </w:r>
    </w:p>
    <w:p>
      <w:pPr>
        <w:spacing w:after="0" w:line="120" w:lineRule="exact"/>
        <w:rPr>
          <w:rFonts w:ascii="Arial" w:cs="Arial" w:eastAsia="Arial" w:hAnsi="Arial"/>
          <w:sz w:val="18"/>
          <w:szCs w:val="18"/>
          <w:color w:val="auto"/>
        </w:rPr>
      </w:pPr>
    </w:p>
    <w:p>
      <w:pPr>
        <w:jc w:val="both"/>
        <w:ind w:left="880"/>
        <w:spacing w:after="0" w:line="258" w:lineRule="auto"/>
        <w:rPr>
          <w:rFonts w:ascii="Arial" w:cs="Arial" w:eastAsia="Arial" w:hAnsi="Arial"/>
          <w:sz w:val="18"/>
          <w:szCs w:val="18"/>
          <w:color w:val="auto"/>
        </w:rPr>
      </w:pPr>
      <w:r>
        <w:rPr>
          <w:rFonts w:ascii="Arial" w:cs="Arial" w:eastAsia="Arial" w:hAnsi="Arial"/>
          <w:sz w:val="18"/>
          <w:szCs w:val="18"/>
          <w:color w:val="auto"/>
        </w:rPr>
        <w:t>The Chief Executive Officer is expected to hold common shares of the Corporation and/or deferred share units having a value equal to at least six times his or her annual base salary. The other senior executive officers of the Corporation are expected to hold common shares of the Corporation and/or deferred share units having a value equal to a multiple of their annual base salary depending on their position with the Corporation.</w:t>
      </w:r>
    </w:p>
    <w:p>
      <w:pPr>
        <w:spacing w:after="0" w:line="187" w:lineRule="exact"/>
        <w:rPr>
          <w:sz w:val="20"/>
          <w:szCs w:val="20"/>
          <w:color w:val="auto"/>
        </w:rPr>
      </w:pPr>
    </w:p>
    <w:p>
      <w:pPr>
        <w:jc w:val="both"/>
        <w:ind w:left="880"/>
        <w:spacing w:after="0" w:line="274" w:lineRule="auto"/>
        <w:rPr>
          <w:sz w:val="20"/>
          <w:szCs w:val="20"/>
          <w:color w:val="auto"/>
        </w:rPr>
      </w:pPr>
      <w:r>
        <w:rPr>
          <w:rFonts w:ascii="Arial" w:cs="Arial" w:eastAsia="Arial" w:hAnsi="Arial"/>
          <w:sz w:val="17"/>
          <w:szCs w:val="17"/>
          <w:color w:val="auto"/>
        </w:rPr>
        <w:t>The Chief Executive Officer and the other executive officers of the Corporation do not have a deadline by which to meet the share ownership guidelines. They are, however, expected to retain a specified percentage of the common shares of the Corporation that they acquire (after applicable tax withholdings) through option exercises and the vesting of restricted share units until they have met the share ownership guidelines. The Chief Executive Officer is currently expected to retain 100% of the common shares of the Corporation that he or she acquires and the other executive officers of the Corporation are expected to retain 50% of the common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3" w:right="459" w:bottom="1440" w:gutter="0" w:footer="0" w:header="0"/>
        </w:sectPr>
      </w:pPr>
    </w:p>
    <w:bookmarkStart w:id="120" w:name="page121"/>
    <w:bookmarkEnd w:id="12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shares of the Corporation that they acquire, until they meet the share ownership guidelines.</w:t>
      </w:r>
    </w:p>
    <w:p>
      <w:pPr>
        <w:spacing w:after="0" w:line="368" w:lineRule="exact"/>
        <w:rPr>
          <w:sz w:val="20"/>
          <w:szCs w:val="20"/>
          <w:color w:val="auto"/>
        </w:rPr>
      </w:pPr>
    </w:p>
    <w:p>
      <w:pPr>
        <w:ind w:left="440" w:hanging="437"/>
        <w:spacing w:after="0"/>
        <w:tabs>
          <w:tab w:leader="none" w:pos="4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DIRECTOR ORIENTATION AND CONTINUING EDUCATION</w:t>
      </w:r>
    </w:p>
    <w:p>
      <w:pPr>
        <w:spacing w:after="0" w:line="120" w:lineRule="exact"/>
        <w:rPr>
          <w:rFonts w:ascii="Arial" w:cs="Arial" w:eastAsia="Arial" w:hAnsi="Arial"/>
          <w:sz w:val="18"/>
          <w:szCs w:val="18"/>
          <w:b w:val="1"/>
          <w:bCs w:val="1"/>
          <w:color w:val="auto"/>
        </w:rPr>
      </w:pPr>
    </w:p>
    <w:p>
      <w:pPr>
        <w:jc w:val="both"/>
        <w:ind w:left="440"/>
        <w:spacing w:after="0" w:line="278" w:lineRule="auto"/>
        <w:rPr>
          <w:rFonts w:ascii="Arial" w:cs="Arial" w:eastAsia="Arial" w:hAnsi="Arial"/>
          <w:sz w:val="18"/>
          <w:szCs w:val="18"/>
          <w:b w:val="1"/>
          <w:bCs w:val="1"/>
          <w:color w:val="auto"/>
        </w:rPr>
      </w:pPr>
      <w:r>
        <w:rPr>
          <w:rFonts w:ascii="Arial" w:cs="Arial" w:eastAsia="Arial" w:hAnsi="Arial"/>
          <w:sz w:val="17"/>
          <w:szCs w:val="17"/>
          <w:color w:val="auto"/>
        </w:rPr>
        <w:t>New directors receive orientation materials describing the Thomson Reuters business, its corporate governance structure and related policies and information. New directors also have meetings with the Chairman, any Deputy Chairman, any Lead Independent Director, Chief Executive Officer and Chief Financial Officer and other executive officers, including the heads of Thomson Reuters major businesses. Early in their tenure, new directors are provided with the opportunity to visit major facilities and meet with operating management.</w:t>
      </w:r>
    </w:p>
    <w:p>
      <w:pPr>
        <w:spacing w:after="0" w:line="170" w:lineRule="exact"/>
        <w:rPr>
          <w:rFonts w:ascii="Arial" w:cs="Arial" w:eastAsia="Arial" w:hAnsi="Arial"/>
          <w:sz w:val="18"/>
          <w:szCs w:val="18"/>
          <w:b w:val="1"/>
          <w:bCs w:val="1"/>
          <w:color w:val="auto"/>
        </w:rPr>
      </w:pPr>
    </w:p>
    <w:p>
      <w:pPr>
        <w:ind w:left="440"/>
        <w:spacing w:after="0" w:line="340" w:lineRule="auto"/>
        <w:rPr>
          <w:rFonts w:ascii="Arial" w:cs="Arial" w:eastAsia="Arial" w:hAnsi="Arial"/>
          <w:sz w:val="18"/>
          <w:szCs w:val="18"/>
          <w:b w:val="1"/>
          <w:bCs w:val="1"/>
          <w:color w:val="auto"/>
        </w:rPr>
      </w:pPr>
      <w:r>
        <w:rPr>
          <w:rFonts w:ascii="Arial" w:cs="Arial" w:eastAsia="Arial" w:hAnsi="Arial"/>
          <w:sz w:val="16"/>
          <w:szCs w:val="16"/>
          <w:color w:val="auto"/>
        </w:rPr>
        <w:t>The Corporate Governance Committee is responsible for confirming that procedures are in place and resources are made available to provide directors with appropriate continuing education opportunities. Directors may attend continuing education programs at Thomson Reuters expense.</w:t>
      </w:r>
    </w:p>
    <w:p>
      <w:pPr>
        <w:spacing w:after="0" w:line="268" w:lineRule="exact"/>
        <w:rPr>
          <w:rFonts w:ascii="Arial" w:cs="Arial" w:eastAsia="Arial" w:hAnsi="Arial"/>
          <w:sz w:val="18"/>
          <w:szCs w:val="18"/>
          <w:b w:val="1"/>
          <w:bCs w:val="1"/>
          <w:color w:val="auto"/>
        </w:rPr>
      </w:pPr>
    </w:p>
    <w:p>
      <w:pPr>
        <w:ind w:left="440" w:hanging="437"/>
        <w:spacing w:after="0"/>
        <w:tabs>
          <w:tab w:leader="none" w:pos="4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BOARD ACCESS TO MANAGEMENT AND ADVISORS</w:t>
      </w:r>
    </w:p>
    <w:p>
      <w:pPr>
        <w:spacing w:after="0" w:line="120" w:lineRule="exact"/>
        <w:rPr>
          <w:rFonts w:ascii="Arial" w:cs="Arial" w:eastAsia="Arial" w:hAnsi="Arial"/>
          <w:sz w:val="18"/>
          <w:szCs w:val="18"/>
          <w:b w:val="1"/>
          <w:bCs w:val="1"/>
          <w:color w:val="auto"/>
        </w:rPr>
      </w:pPr>
    </w:p>
    <w:p>
      <w:pPr>
        <w:jc w:val="both"/>
        <w:ind w:left="4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Board has complete access to members of Thomson Reuters management and directors are encouraged to raise any questions or concerns directly with management. The Board and its committees may invite any member of senior management, employee, outside advisor or other person to attend or report at any of their meetings.</w:t>
      </w:r>
    </w:p>
    <w:p>
      <w:pPr>
        <w:spacing w:after="0" w:line="75" w:lineRule="exact"/>
        <w:rPr>
          <w:rFonts w:ascii="Arial" w:cs="Arial" w:eastAsia="Arial" w:hAnsi="Arial"/>
          <w:sz w:val="18"/>
          <w:szCs w:val="18"/>
          <w:b w:val="1"/>
          <w:bCs w:val="1"/>
          <w:color w:val="auto"/>
        </w:rPr>
      </w:pPr>
    </w:p>
    <w:p>
      <w:pPr>
        <w:jc w:val="both"/>
        <w:ind w:left="4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carrying out their duties, the Board and any of its committees may at any time retain an outside advisor at the expense of Thomson Reuters and have the authority to determine the advisor’s fees and other retention terms. Individual directors may retain an outside advisor at the expense of Thomson Reuters subject to notifying the Corporate Governance Committee in advance.</w:t>
      </w:r>
    </w:p>
    <w:p>
      <w:pPr>
        <w:spacing w:after="0" w:line="327" w:lineRule="exact"/>
        <w:rPr>
          <w:rFonts w:ascii="Arial" w:cs="Arial" w:eastAsia="Arial" w:hAnsi="Arial"/>
          <w:sz w:val="18"/>
          <w:szCs w:val="18"/>
          <w:b w:val="1"/>
          <w:bCs w:val="1"/>
          <w:color w:val="auto"/>
        </w:rPr>
      </w:pPr>
    </w:p>
    <w:p>
      <w:pPr>
        <w:ind w:left="440" w:hanging="437"/>
        <w:spacing w:after="0"/>
        <w:tabs>
          <w:tab w:leader="none" w:pos="4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ASSESSMENTS</w:t>
      </w:r>
    </w:p>
    <w:p>
      <w:pPr>
        <w:spacing w:after="0" w:line="120" w:lineRule="exact"/>
        <w:rPr>
          <w:rFonts w:ascii="Arial" w:cs="Arial" w:eastAsia="Arial" w:hAnsi="Arial"/>
          <w:sz w:val="18"/>
          <w:szCs w:val="18"/>
          <w:b w:val="1"/>
          <w:bCs w:val="1"/>
          <w:color w:val="auto"/>
        </w:rPr>
      </w:pPr>
    </w:p>
    <w:p>
      <w:pPr>
        <w:jc w:val="both"/>
        <w:ind w:left="44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Board, acting through the Corporate Governance Committee, annually reviews the effectiveness of the Board and each Board committee in fulfilling their responsibilities and duties. The form of the Corporate Governance Committee’s annual review and assessment may vary from year to year, but is designed to solicit constructive feedback on the performance of the Chairman, any Deputy Chairman, any Lead Independent Director, the chair of each of the Board committees and individual directors.</w:t>
      </w:r>
    </w:p>
    <w:p>
      <w:pPr>
        <w:spacing w:after="0" w:line="330" w:lineRule="exact"/>
        <w:rPr>
          <w:rFonts w:ascii="Arial" w:cs="Arial" w:eastAsia="Arial" w:hAnsi="Arial"/>
          <w:sz w:val="18"/>
          <w:szCs w:val="18"/>
          <w:b w:val="1"/>
          <w:bCs w:val="1"/>
          <w:color w:val="auto"/>
        </w:rPr>
      </w:pPr>
    </w:p>
    <w:p>
      <w:pPr>
        <w:ind w:left="440" w:hanging="437"/>
        <w:spacing w:after="0"/>
        <w:tabs>
          <w:tab w:leader="none" w:pos="4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CODE OF BUSINESS CONDUCT AND ETHICS</w:t>
      </w:r>
    </w:p>
    <w:p>
      <w:pPr>
        <w:spacing w:after="0" w:line="120" w:lineRule="exact"/>
        <w:rPr>
          <w:rFonts w:ascii="Arial" w:cs="Arial" w:eastAsia="Arial" w:hAnsi="Arial"/>
          <w:sz w:val="18"/>
          <w:szCs w:val="18"/>
          <w:b w:val="1"/>
          <w:bCs w:val="1"/>
          <w:color w:val="auto"/>
        </w:rPr>
      </w:pPr>
    </w:p>
    <w:p>
      <w:pPr>
        <w:jc w:val="both"/>
        <w:ind w:left="44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Board has adopted a Code of Business Conduct and Ethics. The Board expects all directors, officers and employees of Thomson Reuters to conduct themselves in accordance with the highest ethical standards and to adhere to the Code. Any waiver of the Code for directors or executive officers may only be made by the Board or one of its committees and will be disclosed by Thomson Reuters to the extent required by law, regulation or stock exchange rules and requirements.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60" w:top="273" w:right="459" w:bottom="1440" w:gutter="0" w:footer="0" w:header="0"/>
        </w:sectPr>
      </w:pPr>
    </w:p>
    <w:bookmarkStart w:id="121" w:name="page122"/>
    <w:bookmarkEnd w:id="121"/>
    <w:p>
      <w:pPr>
        <w:ind w:left="440" w:hanging="437"/>
        <w:spacing w:after="0"/>
        <w:tabs>
          <w:tab w:leader="none" w:pos="4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PROHIBITION ON PERSONAL LOANS</w:t>
      </w:r>
    </w:p>
    <w:p>
      <w:pPr>
        <w:spacing w:after="0" w:line="120" w:lineRule="exact"/>
        <w:rPr>
          <w:rFonts w:ascii="Arial" w:cs="Arial" w:eastAsia="Arial" w:hAnsi="Arial"/>
          <w:sz w:val="18"/>
          <w:szCs w:val="18"/>
          <w:b w:val="1"/>
          <w:bCs w:val="1"/>
          <w:color w:val="auto"/>
        </w:rPr>
      </w:pPr>
    </w:p>
    <w:p>
      <w:pPr>
        <w:ind w:left="44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Thomson Reuters does not extend or maintain credit, arrange for the extension of credit, or renew an extension of credit, in the form of a personal loan to or for any director or executive officer.</w:t>
      </w:r>
    </w:p>
    <w:p>
      <w:pPr>
        <w:spacing w:after="0" w:line="313" w:lineRule="exact"/>
        <w:rPr>
          <w:rFonts w:ascii="Arial" w:cs="Arial" w:eastAsia="Arial" w:hAnsi="Arial"/>
          <w:sz w:val="18"/>
          <w:szCs w:val="18"/>
          <w:b w:val="1"/>
          <w:bCs w:val="1"/>
          <w:color w:val="auto"/>
        </w:rPr>
      </w:pPr>
    </w:p>
    <w:p>
      <w:pPr>
        <w:ind w:left="440" w:hanging="437"/>
        <w:spacing w:after="0"/>
        <w:tabs>
          <w:tab w:leader="none" w:pos="4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w:t>
      </w:r>
    </w:p>
    <w:p>
      <w:pPr>
        <w:spacing w:after="0" w:line="12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Directors are indemnified by the Corporation to the extent permitted by applicable laws and regulations.</w:t>
      </w:r>
    </w:p>
    <w:p>
      <w:pPr>
        <w:spacing w:after="0" w:line="223" w:lineRule="exact"/>
        <w:rPr>
          <w:rFonts w:ascii="Arial" w:cs="Arial" w:eastAsia="Arial" w:hAnsi="Arial"/>
          <w:sz w:val="18"/>
          <w:szCs w:val="18"/>
          <w:b w:val="1"/>
          <w:bCs w:val="1"/>
          <w:color w:val="auto"/>
        </w:rPr>
      </w:pPr>
    </w:p>
    <w:p>
      <w:pPr>
        <w:jc w:val="both"/>
        <w:ind w:left="4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Corporation maintains insurance for the benefit of its directors and officers against any liability incurred by them. The amount and terms of the insurance coverage are dependent upon prevailing market conditions and practices with the objective of adequately protecting directors and officers from such liability.</w:t>
      </w:r>
    </w:p>
    <w:p>
      <w:pPr>
        <w:spacing w:after="0" w:line="327" w:lineRule="exact"/>
        <w:rPr>
          <w:rFonts w:ascii="Arial" w:cs="Arial" w:eastAsia="Arial" w:hAnsi="Arial"/>
          <w:sz w:val="18"/>
          <w:szCs w:val="18"/>
          <w:b w:val="1"/>
          <w:bCs w:val="1"/>
          <w:color w:val="auto"/>
        </w:rPr>
      </w:pPr>
    </w:p>
    <w:p>
      <w:pPr>
        <w:ind w:left="440" w:hanging="437"/>
        <w:spacing w:after="0"/>
        <w:tabs>
          <w:tab w:leader="none" w:pos="4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120" w:lineRule="exact"/>
        <w:rPr>
          <w:rFonts w:ascii="Arial" w:cs="Arial" w:eastAsia="Arial" w:hAnsi="Arial"/>
          <w:sz w:val="18"/>
          <w:szCs w:val="18"/>
          <w:b w:val="1"/>
          <w:bCs w:val="1"/>
          <w:color w:val="auto"/>
        </w:rPr>
      </w:pPr>
    </w:p>
    <w:p>
      <w:pPr>
        <w:jc w:val="both"/>
        <w:ind w:left="44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Each director is required to inform the Board of any potential or actual conflict of interest he or she may have with Thomson Reuters. Thomson Reuters’ policies on conflicts of interest are reflected in the Code, these guidelines and supplemental guidance provided to the Board. A director who has a conflict of interest in a matter before the Board or a committee must not receive or review any written materials related to the conflict subject area, nor may the director attend any part of a meeting during which the matter is discussed or participate in any vote on the matter, except where the Board or the applicable committee has expressly determined that it is appropriate for him or her to do so. If a director has a significant, ongoing and irreconcilable conflict, voluntary resignation from the Board or the conflicting interest may be appropriate or required.</w:t>
      </w:r>
    </w:p>
    <w:p>
      <w:pPr>
        <w:spacing w:after="0" w:line="56" w:lineRule="exact"/>
        <w:rPr>
          <w:rFonts w:ascii="Arial" w:cs="Arial" w:eastAsia="Arial" w:hAnsi="Arial"/>
          <w:sz w:val="18"/>
          <w:szCs w:val="18"/>
          <w:b w:val="1"/>
          <w:bCs w:val="1"/>
          <w:color w:val="auto"/>
        </w:rPr>
      </w:pPr>
    </w:p>
    <w:p>
      <w:pPr>
        <w:ind w:left="44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To avoid potential conflicts of interest, a member of senior management of the Corporation may not serve on the board or as a trustee of a company or institution that employs a director of the Corporation.</w:t>
      </w:r>
    </w:p>
    <w:p>
      <w:pPr>
        <w:spacing w:after="0" w:line="313" w:lineRule="exact"/>
        <w:rPr>
          <w:rFonts w:ascii="Arial" w:cs="Arial" w:eastAsia="Arial" w:hAnsi="Arial"/>
          <w:sz w:val="18"/>
          <w:szCs w:val="18"/>
          <w:b w:val="1"/>
          <w:bCs w:val="1"/>
          <w:color w:val="auto"/>
        </w:rPr>
      </w:pPr>
    </w:p>
    <w:p>
      <w:pPr>
        <w:ind w:left="440" w:hanging="437"/>
        <w:spacing w:after="0"/>
        <w:tabs>
          <w:tab w:leader="none" w:pos="4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TO CONTACT THE BOARD AND ITS COMMITTEES</w:t>
      </w:r>
    </w:p>
    <w:p>
      <w:pPr>
        <w:spacing w:after="0" w:line="120" w:lineRule="exact"/>
        <w:rPr>
          <w:rFonts w:ascii="Arial" w:cs="Arial" w:eastAsia="Arial" w:hAnsi="Arial"/>
          <w:sz w:val="18"/>
          <w:szCs w:val="18"/>
          <w:b w:val="1"/>
          <w:bCs w:val="1"/>
          <w:color w:val="auto"/>
        </w:rPr>
      </w:pPr>
    </w:p>
    <w:p>
      <w:pPr>
        <w:ind w:left="44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The Board welcomes input and comments from shareholders of the Corporation. You may contact one or more members of the Board or its committees by writing to the Secretary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 of Thomson Reuters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Deirdre Stanley, Executive Vice President, General Counsel and Secretary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Thomson Reuters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Times Square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10036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0980"/>
      </w:cols>
      <w:pgMar w:left="46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emdash "/>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emdash "/>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bullet"/>
      <w:start w:val="1"/>
    </w:lvl>
  </w:abstractNum>
  <w:abstractNum w:abstractNumId="7">
    <w:nsid w:val="2D517796"/>
    <w:multiLevelType w:val="hybridMultilevel"/>
    <w:lvl w:ilvl="0">
      <w:lvlJc w:val="left"/>
      <w:lvlText w:val="2"/>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1"/>
      <w:numFmt w:val="bullet"/>
      <w:start w:val="1"/>
    </w:lvl>
  </w:abstractNum>
  <w:abstractNum w:abstractNumId="10">
    <w:nsid w:val="3855585C"/>
    <w:multiLevelType w:val="hybridMultilevel"/>
    <w:lvl w:ilvl="0">
      <w:lvlJc w:val="left"/>
      <w:lvlText w:val="1"/>
      <w:numFmt w:val="bullet"/>
      <w:start w:val="1"/>
    </w:lvl>
  </w:abstractNum>
  <w:abstractNum w:abstractNumId="11">
    <w:nsid w:val="70A64E2A"/>
    <w:multiLevelType w:val="hybridMultilevel"/>
    <w:lvl w:ilvl="0">
      <w:lvlJc w:val="left"/>
      <w:lvlText w:val="1"/>
      <w:numFmt w:val="bullet"/>
      <w:start w:val="1"/>
    </w:lvl>
  </w:abstractNum>
  <w:abstractNum w:abstractNumId="12">
    <w:nsid w:val="6A2342EC"/>
    <w:multiLevelType w:val="hybridMultilevel"/>
    <w:lvl w:ilvl="0">
      <w:lvlJc w:val="left"/>
      <w:lvlText w:val="2"/>
      <w:numFmt w:val="bullet"/>
      <w:start w:val="1"/>
    </w:lvl>
  </w:abstractNum>
  <w:abstractNum w:abstractNumId="13">
    <w:nsid w:val="2A487CB0"/>
    <w:multiLevelType w:val="hybridMultilevel"/>
    <w:lvl w:ilvl="0">
      <w:lvlJc w:val="left"/>
      <w:lvlText w:val="3"/>
      <w:numFmt w:val="bullet"/>
      <w:start w:val="1"/>
    </w:lvl>
  </w:abstractNum>
  <w:abstractNum w:abstractNumId="14">
    <w:nsid w:val="1D4ED43B"/>
    <w:multiLevelType w:val="hybridMultilevel"/>
    <w:lvl w:ilvl="0">
      <w:lvlJc w:val="left"/>
      <w:lvlText w:val="4"/>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lvl w:ilvl="1">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endash "/>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lvl w:ilvl="1">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1"/>
      <w:numFmt w:val="bullet"/>
      <w:start w:val="1"/>
    </w:lvl>
  </w:abstractNum>
  <w:abstractNum w:abstractNumId="43">
    <w:nsid w:val="235BA861"/>
    <w:multiLevelType w:val="hybridMultilevel"/>
    <w:lvl w:ilvl="0">
      <w:lvlJc w:val="left"/>
      <w:lvlText w:val="2"/>
      <w:numFmt w:val="bullet"/>
      <w:start w:val="1"/>
    </w:lvl>
  </w:abstractNum>
  <w:abstractNum w:abstractNumId="44">
    <w:nsid w:val="47398C89"/>
    <w:multiLevelType w:val="hybridMultilevel"/>
    <w:lvl w:ilvl="0">
      <w:lvlJc w:val="left"/>
      <w:lvlText w:val="3"/>
      <w:numFmt w:val="bullet"/>
      <w:start w:val="1"/>
    </w:lvl>
  </w:abstractNum>
  <w:abstractNum w:abstractNumId="45">
    <w:nsid w:val="354FE9F9"/>
    <w:multiLevelType w:val="hybridMultilevel"/>
    <w:lvl w:ilvl="0">
      <w:lvlJc w:val="left"/>
      <w:lvlText w:val="4"/>
      <w:numFmt w:val="bullet"/>
      <w:start w:val="1"/>
    </w:lvl>
  </w:abstractNum>
  <w:abstractNum w:abstractNumId="46">
    <w:nsid w:val="15B5AF5C"/>
    <w:multiLevelType w:val="hybridMultilevel"/>
    <w:lvl w:ilvl="0">
      <w:lvlJc w:val="left"/>
      <w:lvlText w:val="5"/>
      <w:numFmt w:val="bullet"/>
      <w:start w:val="1"/>
    </w:lvl>
  </w:abstractNum>
  <w:abstractNum w:abstractNumId="47">
    <w:nsid w:val="741226BB"/>
    <w:multiLevelType w:val="hybridMultilevel"/>
    <w:lvl w:ilvl="0">
      <w:lvlJc w:val="left"/>
      <w:lvlText w:val="6"/>
      <w:numFmt w:val="bullet"/>
      <w:start w:val="1"/>
    </w:lvl>
    <w:lvl w:ilvl="1">
      <w:lvlJc w:val="left"/>
      <w:lvlText w:val="●"/>
      <w:numFmt w:val="bullet"/>
      <w:start w:val="1"/>
    </w:lvl>
  </w:abstractNum>
  <w:abstractNum w:abstractNumId="48">
    <w:nsid w:val="D34B6A8"/>
    <w:multiLevelType w:val="hybridMultilevel"/>
    <w:lvl w:ilvl="0">
      <w:lvlJc w:val="left"/>
      <w:lvlText w:val="1"/>
      <w:numFmt w:val="bullet"/>
      <w:start w:val="1"/>
    </w:lvl>
  </w:abstractNum>
  <w:abstractNum w:abstractNumId="49">
    <w:nsid w:val="10233C99"/>
    <w:multiLevelType w:val="hybridMultilevel"/>
    <w:lvl w:ilvl="0">
      <w:lvlJc w:val="left"/>
      <w:lvlText w:val="3"/>
      <w:numFmt w:val="bullet"/>
      <w:start w:val="1"/>
    </w:lvl>
  </w:abstractNum>
  <w:abstractNum w:abstractNumId="50">
    <w:nsid w:val="3F6AB60F"/>
    <w:multiLevelType w:val="hybridMultilevel"/>
    <w:lvl w:ilvl="0">
      <w:lvlJc w:val="left"/>
      <w:lvlText w:val="5"/>
      <w:numFmt w:val="bullet"/>
      <w:start w:val="1"/>
    </w:lvl>
  </w:abstractNum>
  <w:abstractNum w:abstractNumId="51">
    <w:nsid w:val="61574095"/>
    <w:multiLevelType w:val="hybridMultilevel"/>
    <w:lvl w:ilvl="0">
      <w:lvlJc w:val="left"/>
      <w:lvlText w:val="6"/>
      <w:numFmt w:val="bullet"/>
      <w:start w:val="1"/>
    </w:lvl>
  </w:abstractNum>
  <w:abstractNum w:abstractNumId="52">
    <w:nsid w:val="7E0C57B1"/>
    <w:multiLevelType w:val="hybridMultilevel"/>
    <w:lvl w:ilvl="0">
      <w:lvlJc w:val="left"/>
      <w:lvlText w:val="(%1)"/>
      <w:numFmt w:val="lowerRoman"/>
      <w:start w:val="3"/>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
      <w:numFmt w:val="bullet"/>
      <w:start w:val="1"/>
    </w:lvl>
    <w:lvl w:ilvl="1">
      <w:lvlJc w:val="left"/>
      <w:lvlText w:val="¡"/>
      <w:numFmt w:val="bullet"/>
      <w:start w:val="1"/>
    </w:lvl>
  </w:abstractNum>
  <w:abstractNum w:abstractNumId="56">
    <w:nsid w:val="5FF87E05"/>
    <w:multiLevelType w:val="hybridMultilevel"/>
    <w:lvl w:ilvl="0">
      <w:lvlJc w:val="left"/>
      <w:lvlText w:val="%1."/>
      <w:numFmt w:val="decimal"/>
      <w:start w:val="1"/>
    </w:lvl>
    <w:lvl w:ilvl="1">
      <w:lvlJc w:val="left"/>
      <w:lvlText w:val="(%2)"/>
      <w:numFmt w:val="lowerLetter"/>
      <w:start w:val="1"/>
    </w:lvl>
  </w:abstractNum>
  <w:abstractNum w:abstractNumId="57">
    <w:nsid w:val="2F305DEF"/>
    <w:multiLevelType w:val="hybridMultilevel"/>
    <w:lvl w:ilvl="0">
      <w:lvlJc w:val="left"/>
      <w:lvlText w:val="(%1)"/>
      <w:numFmt w:val="lowerLetter"/>
      <w:start w:val="2"/>
    </w:lvl>
  </w:abstractNum>
  <w:abstractNum w:abstractNumId="58">
    <w:nsid w:val="25A70BF7"/>
    <w:multiLevelType w:val="hybridMultilevel"/>
    <w:lvl w:ilvl="0">
      <w:lvlJc w:val="left"/>
      <w:lvlText w:val="(%1)"/>
      <w:numFmt w:val="lowerLetter"/>
      <w:start w:val="5"/>
    </w:lvl>
  </w:abstractNum>
  <w:abstractNum w:abstractNumId="59">
    <w:nsid w:val="1DBABF00"/>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60">
    <w:nsid w:val="4AD084E9"/>
    <w:multiLevelType w:val="hybridMultilevel"/>
    <w:lvl w:ilvl="0">
      <w:lvlJc w:val="left"/>
      <w:lvlText w:val="(%1)"/>
      <w:numFmt w:val="lowerLetter"/>
      <w:start w:val="2"/>
    </w:lvl>
    <w:lvl w:ilvl="1">
      <w:lvlJc w:val="left"/>
      <w:lvlText w:val="•"/>
      <w:numFmt w:val="bullet"/>
      <w:start w:val="1"/>
    </w:lvl>
  </w:abstractNum>
  <w:abstractNum w:abstractNumId="61">
    <w:nsid w:val="1F48EAA1"/>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62">
    <w:nsid w:val="1381823A"/>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1."/>
      <w:numFmt w:val="decimal"/>
      <w:start w:val="5"/>
    </w:lvl>
    <w:lvl w:ilvl="1">
      <w:lvlJc w:val="left"/>
      <w:lvlText w:val="(%2)"/>
      <w:numFmt w:val="lowerLetter"/>
      <w:start w:val="1"/>
    </w:lvl>
  </w:abstractNum>
  <w:abstractNum w:abstractNumId="65">
    <w:nsid w:val="6590700B"/>
    <w:multiLevelType w:val="hybridMultilevel"/>
    <w:lvl w:ilvl="0">
      <w:lvlJc w:val="left"/>
      <w:lvlText w:val="(%1)"/>
      <w:numFmt w:val="lowerLetter"/>
      <w:start w:val="2"/>
    </w:lvl>
  </w:abstractNum>
  <w:abstractNum w:abstractNumId="66">
    <w:nsid w:val="15014ACB"/>
    <w:multiLevelType w:val="hybridMultilevel"/>
    <w:lvl w:ilvl="0">
      <w:lvlJc w:val="left"/>
      <w:lvlText w:val="%1."/>
      <w:numFmt w:val="decimal"/>
      <w:start w:val="10"/>
    </w:lvl>
    <w:lvl w:ilvl="1">
      <w:lvlJc w:val="left"/>
      <w:lvlText w:val="(%2)"/>
      <w:numFmt w:val="lowerLetter"/>
      <w:start w:val="1"/>
    </w:lvl>
  </w:abstractNum>
  <w:abstractNum w:abstractNumId="67">
    <w:nsid w:val="5F5E7FD0"/>
    <w:multiLevelType w:val="hybridMultilevel"/>
    <w:lvl w:ilvl="0">
      <w:lvlJc w:val="left"/>
      <w:lvlText w:val="%1"/>
      <w:numFmt w:val="decimal"/>
      <w:start w:val="1"/>
    </w:lvl>
    <w:lvl w:ilvl="1">
      <w:lvlJc w:val="left"/>
      <w:lvlText w:val="(%2)"/>
      <w:numFmt w:val="lowerLetter"/>
      <w:start w:val="4"/>
    </w:lvl>
  </w:abstractNum>
  <w:abstractNum w:abstractNumId="68">
    <w:nsid w:val="98A3148"/>
    <w:multiLevelType w:val="hybridMultilevel"/>
    <w:lvl w:ilvl="0">
      <w:lvlJc w:val="left"/>
      <w:lvlText w:val="%1."/>
      <w:numFmt w:val="decimal"/>
      <w:start w:val="11"/>
    </w:lvl>
    <w:lvl w:ilvl="1">
      <w:lvlJc w:val="left"/>
      <w:lvlText w:val="%2"/>
      <w:numFmt w:val="lowerLetter"/>
      <w:start w:val="1"/>
    </w:lvl>
  </w:abstractNum>
  <w:abstractNum w:abstractNumId="69">
    <w:nsid w:val="799D0247"/>
    <w:multiLevelType w:val="hybridMultilevel"/>
    <w:lvl w:ilvl="0">
      <w:lvlJc w:val="left"/>
      <w:lvlText w:val="%1."/>
      <w:numFmt w:val="decimal"/>
      <w:start w:val="12"/>
    </w:lvl>
    <w:lvl w:ilvl="1">
      <w:lvlJc w:val="left"/>
      <w:lvlText w:val="(%2)"/>
      <w:numFmt w:val="lowerLetter"/>
      <w:start w:val="1"/>
    </w:lvl>
  </w:abstractNum>
  <w:abstractNum w:abstractNumId="70">
    <w:nsid w:val="6B94764"/>
    <w:multiLevelType w:val="hybridMultilevel"/>
    <w:lvl w:ilvl="0">
      <w:lvlJc w:val="left"/>
      <w:lvlText w:val="%1."/>
      <w:numFmt w:val="decimal"/>
      <w:start w:val="14"/>
    </w:lvl>
  </w:abstractNum>
  <w:abstractNum w:abstractNumId="71">
    <w:nsid w:val="42C296BD"/>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2019-12-03T08:55:11Z</dcterms:created>
  <dcterms:modified xsi:type="dcterms:W3CDTF">2019-12-03T08:55:11Z</dcterms:modified>
</cp:coreProperties>
</file>