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0001970944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3"/>
        <w:gridCol w:w="3742"/>
      </w:tblGrid>
      <w:tr>
        <w:trPr/>
        <w:tc>
          <w:tcPr>
            <w:tcW w:w="6463" w:type="dxa"/>
            <w:tcBorders/>
            <w:vAlign w:val="center"/>
          </w:tcPr>
          <w:p>
            <w:pPr>
              <w:pStyle w:val="TableContents"/>
              <w:bidi w:val="0"/>
              <w:spacing w:before="0" w:after="283"/>
              <w:jc w:val="left"/>
              <w:rPr/>
            </w:pPr>
            <w:r>
              <w:rPr/>
              <w:t>Name of Issuer</w:t>
            </w:r>
          </w:p>
        </w:tc>
        <w:tc>
          <w:tcPr>
            <w:tcW w:w="3742" w:type="dxa"/>
            <w:tcBorders/>
            <w:vAlign w:val="center"/>
          </w:tcPr>
          <w:p>
            <w:pPr>
              <w:pStyle w:val="TableContents"/>
              <w:bidi w:val="0"/>
              <w:spacing w:before="0" w:after="0"/>
              <w:jc w:val="left"/>
              <w:rPr/>
            </w:pPr>
            <w:r>
              <w:rPr/>
              <w:t>Thomson Reuters Corporation</w:t>
            </w:r>
          </w:p>
        </w:tc>
      </w:tr>
      <w:tr>
        <w:trPr/>
        <w:tc>
          <w:tcPr>
            <w:tcW w:w="6463" w:type="dxa"/>
            <w:tcBorders/>
            <w:vAlign w:val="center"/>
          </w:tcPr>
          <w:p>
            <w:pPr>
              <w:pStyle w:val="TableContents"/>
              <w:bidi w:val="0"/>
              <w:spacing w:before="0" w:after="283"/>
              <w:jc w:val="left"/>
              <w:rPr/>
            </w:pPr>
            <w:r>
              <w:rPr/>
              <w:t>SEC File Number</w:t>
            </w:r>
          </w:p>
        </w:tc>
        <w:tc>
          <w:tcPr>
            <w:tcW w:w="3742" w:type="dxa"/>
            <w:tcBorders/>
            <w:vAlign w:val="center"/>
          </w:tcPr>
          <w:p>
            <w:pPr>
              <w:pStyle w:val="TableContents"/>
              <w:bidi w:val="0"/>
              <w:spacing w:before="0" w:after="0"/>
              <w:jc w:val="left"/>
              <w:rPr/>
            </w:pPr>
            <w:r>
              <w:rPr/>
              <w:t>001-31349</w:t>
            </w:r>
          </w:p>
        </w:tc>
      </w:tr>
      <w:tr>
        <w:trPr/>
        <w:tc>
          <w:tcPr>
            <w:tcW w:w="6463" w:type="dxa"/>
            <w:tcBorders/>
            <w:vAlign w:val="center"/>
          </w:tcPr>
          <w:p>
            <w:pPr>
              <w:pStyle w:val="TableContents"/>
              <w:bidi w:val="0"/>
              <w:spacing w:before="0" w:after="283"/>
              <w:jc w:val="left"/>
              <w:rPr/>
            </w:pPr>
            <w:r>
              <w:rPr/>
              <w:t>Address of Issuer</w:t>
            </w:r>
          </w:p>
        </w:tc>
        <w:tc>
          <w:tcPr>
            <w:tcW w:w="3742" w:type="dxa"/>
            <w:tcBorders/>
            <w:vAlign w:val="center"/>
          </w:tcPr>
          <w:p>
            <w:pPr>
              <w:pStyle w:val="TableContents"/>
              <w:bidi w:val="0"/>
              <w:spacing w:before="0" w:after="0"/>
              <w:jc w:val="left"/>
              <w:rPr/>
            </w:pPr>
            <w:r>
              <w:rPr/>
              <w:t>19 Duncan Street</w:t>
              <w:br/>
              <w:t>Toronto</w:t>
              <w:br/>
              <w:t xml:space="preserve">ONTARIO, CANADA </w:t>
              <w:br/>
              <w:t>M5H 3H1</w:t>
            </w:r>
          </w:p>
        </w:tc>
      </w:tr>
      <w:tr>
        <w:trPr/>
        <w:tc>
          <w:tcPr>
            <w:tcW w:w="6463" w:type="dxa"/>
            <w:tcBorders/>
            <w:vAlign w:val="center"/>
          </w:tcPr>
          <w:p>
            <w:pPr>
              <w:pStyle w:val="TableContents"/>
              <w:bidi w:val="0"/>
              <w:spacing w:before="0" w:after="283"/>
              <w:jc w:val="left"/>
              <w:rPr/>
            </w:pPr>
            <w:r>
              <w:rPr/>
              <w:t>Phone</w:t>
            </w:r>
          </w:p>
        </w:tc>
        <w:tc>
          <w:tcPr>
            <w:tcW w:w="3742" w:type="dxa"/>
            <w:tcBorders/>
            <w:vAlign w:val="center"/>
          </w:tcPr>
          <w:p>
            <w:pPr>
              <w:pStyle w:val="TableContents"/>
              <w:bidi w:val="0"/>
              <w:spacing w:before="0" w:after="0"/>
              <w:jc w:val="left"/>
              <w:rPr/>
            </w:pPr>
            <w:r>
              <w:rPr/>
              <w:t>4163648700</w:t>
            </w:r>
          </w:p>
        </w:tc>
      </w:tr>
      <w:tr>
        <w:trPr/>
        <w:tc>
          <w:tcPr>
            <w:tcW w:w="6463" w:type="dxa"/>
            <w:tcBorders/>
            <w:vAlign w:val="center"/>
          </w:tcPr>
          <w:p>
            <w:pPr>
              <w:pStyle w:val="TableContents"/>
              <w:bidi w:val="0"/>
              <w:spacing w:before="0" w:after="283"/>
              <w:jc w:val="left"/>
              <w:rPr/>
            </w:pPr>
            <w:r>
              <w:rPr/>
              <w:t>Name of Person for Whose Account the Securities are To Be Sold</w:t>
            </w:r>
          </w:p>
        </w:tc>
        <w:tc>
          <w:tcPr>
            <w:tcW w:w="3742" w:type="dxa"/>
            <w:tcBorders/>
            <w:vAlign w:val="center"/>
          </w:tcPr>
          <w:p>
            <w:pPr>
              <w:pStyle w:val="TableContents"/>
              <w:bidi w:val="0"/>
              <w:spacing w:before="0" w:after="0"/>
              <w:jc w:val="left"/>
              <w:rPr/>
            </w:pPr>
            <w:r>
              <w:rPr/>
              <w:t>Kirk Koenigsbauer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3" w:type="dxa"/>
            <w:tcBorders/>
            <w:vAlign w:val="center"/>
          </w:tcPr>
          <w:p>
            <w:pPr>
              <w:pStyle w:val="TableContents"/>
              <w:bidi w:val="0"/>
              <w:spacing w:before="0" w:after="283"/>
              <w:jc w:val="left"/>
              <w:rPr/>
            </w:pPr>
            <w:r>
              <w:rPr/>
              <w:t>Relationship to Issuer</w:t>
            </w:r>
          </w:p>
        </w:tc>
        <w:tc>
          <w:tcPr>
            <w:tcW w:w="3742"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6"/>
        <w:gridCol w:w="1682"/>
        <w:gridCol w:w="1142"/>
        <w:gridCol w:w="1434"/>
        <w:gridCol w:w="1528"/>
        <w:gridCol w:w="1552"/>
        <w:gridCol w:w="1351"/>
      </w:tblGrid>
      <w:tr>
        <w:trPr/>
        <w:tc>
          <w:tcPr>
            <w:tcW w:w="1516" w:type="dxa"/>
            <w:tcBorders/>
            <w:vAlign w:val="center"/>
          </w:tcPr>
          <w:p>
            <w:pPr>
              <w:pStyle w:val="TableHeading"/>
              <w:suppressLineNumbers/>
              <w:bidi w:val="0"/>
              <w:spacing w:before="0" w:after="283"/>
              <w:jc w:val="center"/>
              <w:rPr/>
            </w:pPr>
            <w:r>
              <w:rPr/>
              <w:t>Title of the Class of Securities To Be Sold</w:t>
            </w:r>
          </w:p>
        </w:tc>
        <w:tc>
          <w:tcPr>
            <w:tcW w:w="1682"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434"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1" w:type="dxa"/>
            <w:tcBorders/>
            <w:vAlign w:val="center"/>
          </w:tcPr>
          <w:p>
            <w:pPr>
              <w:pStyle w:val="TableHeading"/>
              <w:suppressLineNumbers/>
              <w:bidi w:val="0"/>
              <w:spacing w:before="0" w:after="283"/>
              <w:jc w:val="center"/>
              <w:rPr/>
            </w:pPr>
            <w:r>
              <w:rPr/>
              <w:t>Name the Securities Exchange</w:t>
            </w:r>
          </w:p>
        </w:tc>
      </w:tr>
      <w:tr>
        <w:trPr/>
        <w:tc>
          <w:tcPr>
            <w:tcW w:w="1516" w:type="dxa"/>
            <w:tcBorders/>
            <w:vAlign w:val="center"/>
          </w:tcPr>
          <w:p>
            <w:pPr>
              <w:pStyle w:val="TableContents"/>
              <w:bidi w:val="0"/>
              <w:spacing w:before="0" w:after="283"/>
              <w:jc w:val="left"/>
              <w:rPr/>
            </w:pPr>
            <w:r>
              <w:rPr/>
              <w:t>Common Shares</w:t>
            </w:r>
          </w:p>
        </w:tc>
        <w:tc>
          <w:tcPr>
            <w:tcW w:w="168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2" w:type="dxa"/>
            <w:tcBorders/>
            <w:vAlign w:val="center"/>
          </w:tcPr>
          <w:p>
            <w:pPr>
              <w:pStyle w:val="TableContents"/>
              <w:bidi w:val="0"/>
              <w:spacing w:before="0" w:after="283"/>
              <w:jc w:val="left"/>
              <w:rPr/>
            </w:pPr>
            <w:r>
              <w:rPr/>
              <w:t>12164</w:t>
            </w:r>
          </w:p>
        </w:tc>
        <w:tc>
          <w:tcPr>
            <w:tcW w:w="1434" w:type="dxa"/>
            <w:tcBorders/>
            <w:vAlign w:val="center"/>
          </w:tcPr>
          <w:p>
            <w:pPr>
              <w:pStyle w:val="TableContents"/>
              <w:bidi w:val="0"/>
              <w:spacing w:before="0" w:after="283"/>
              <w:jc w:val="left"/>
              <w:rPr/>
            </w:pPr>
            <w:r>
              <w:rPr/>
              <w:t>1189152.64</w:t>
            </w:r>
          </w:p>
        </w:tc>
        <w:tc>
          <w:tcPr>
            <w:tcW w:w="1528" w:type="dxa"/>
            <w:tcBorders/>
            <w:vAlign w:val="center"/>
          </w:tcPr>
          <w:p>
            <w:pPr>
              <w:pStyle w:val="TableContents"/>
              <w:bidi w:val="0"/>
              <w:spacing w:before="0" w:after="283"/>
              <w:jc w:val="left"/>
              <w:rPr/>
            </w:pPr>
            <w:r>
              <w:rPr/>
              <w:t>436538837</w:t>
            </w:r>
          </w:p>
        </w:tc>
        <w:tc>
          <w:tcPr>
            <w:tcW w:w="1552" w:type="dxa"/>
            <w:tcBorders/>
            <w:vAlign w:val="center"/>
          </w:tcPr>
          <w:p>
            <w:pPr>
              <w:pStyle w:val="TableContents"/>
              <w:bidi w:val="0"/>
              <w:spacing w:before="0" w:after="283"/>
              <w:jc w:val="left"/>
              <w:rPr/>
            </w:pPr>
            <w:r>
              <w:rPr/>
              <w:t>07/28/2026</w:t>
            </w:r>
          </w:p>
        </w:tc>
        <w:tc>
          <w:tcPr>
            <w:tcW w:w="135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 Shares</w:t>
            </w:r>
          </w:p>
        </w:tc>
        <w:tc>
          <w:tcPr>
            <w:tcW w:w="1124" w:type="dxa"/>
            <w:tcBorders/>
            <w:vAlign w:val="center"/>
          </w:tcPr>
          <w:p>
            <w:pPr>
              <w:pStyle w:val="TableContents"/>
              <w:bidi w:val="0"/>
              <w:spacing w:before="0" w:after="283"/>
              <w:jc w:val="left"/>
              <w:rPr/>
            </w:pPr>
            <w:r>
              <w:rPr/>
              <w:t>06/12/2026</w:t>
            </w:r>
          </w:p>
        </w:tc>
        <w:tc>
          <w:tcPr>
            <w:tcW w:w="1477" w:type="dxa"/>
            <w:tcBorders/>
            <w:vAlign w:val="center"/>
          </w:tcPr>
          <w:p>
            <w:pPr>
              <w:pStyle w:val="TableContents"/>
              <w:bidi w:val="0"/>
              <w:spacing w:before="0" w:after="283"/>
              <w:jc w:val="left"/>
              <w:rPr/>
            </w:pPr>
            <w:r>
              <w:rPr/>
              <w:t>RSU Vest</w:t>
            </w:r>
          </w:p>
        </w:tc>
        <w:tc>
          <w:tcPr>
            <w:tcW w:w="1367" w:type="dxa"/>
            <w:tcBorders/>
            <w:vAlign w:val="center"/>
          </w:tcPr>
          <w:p>
            <w:pPr>
              <w:pStyle w:val="TableContents"/>
              <w:bidi w:val="0"/>
              <w:spacing w:before="0" w:after="283"/>
              <w:jc w:val="left"/>
              <w:rPr/>
            </w:pPr>
            <w:r>
              <w:rPr/>
              <w:t>Thomson Reuters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12164</w:t>
            </w:r>
          </w:p>
        </w:tc>
        <w:tc>
          <w:tcPr>
            <w:tcW w:w="1065" w:type="dxa"/>
            <w:tcBorders/>
            <w:vAlign w:val="center"/>
          </w:tcPr>
          <w:p>
            <w:pPr>
              <w:pStyle w:val="TableContents"/>
              <w:bidi w:val="0"/>
              <w:spacing w:before="0" w:after="283"/>
              <w:jc w:val="left"/>
              <w:rPr/>
            </w:pPr>
            <w:r>
              <w:rPr/>
              <w:t>07/28/2026</w:t>
            </w:r>
          </w:p>
        </w:tc>
        <w:tc>
          <w:tcPr>
            <w:tcW w:w="120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479"/>
        <w:gridCol w:w="8726"/>
      </w:tblGrid>
      <w:tr>
        <w:trPr/>
        <w:tc>
          <w:tcPr>
            <w:tcW w:w="1479" w:type="dxa"/>
            <w:tcBorders/>
            <w:vAlign w:val="center"/>
          </w:tcPr>
          <w:p>
            <w:pPr>
              <w:pStyle w:val="TableContents"/>
              <w:bidi w:val="0"/>
              <w:spacing w:before="0" w:after="283"/>
              <w:jc w:val="left"/>
              <w:rPr/>
            </w:pPr>
            <w:r>
              <w:rPr/>
              <w:t>Remarks</w:t>
            </w:r>
          </w:p>
        </w:tc>
        <w:tc>
          <w:tcPr>
            <w:tcW w:w="8726" w:type="dxa"/>
            <w:tcBorders/>
            <w:vAlign w:val="center"/>
          </w:tcPr>
          <w:p>
            <w:pPr>
              <w:pStyle w:val="TableContents"/>
              <w:bidi w:val="0"/>
              <w:spacing w:before="0" w:after="0"/>
              <w:jc w:val="left"/>
              <w:rPr/>
            </w:pPr>
            <w:r>
              <w:rPr/>
              <w:t>The 436,538,837 Common Shares of Thomson Reuters Corporation outstanding are as of May 4, 2026 as indicated in Exhibit 99.1 to Thomson Reuters Corporation Form 6-K dated May 4, 2026.</w:t>
            </w:r>
          </w:p>
        </w:tc>
      </w:tr>
      <w:tr>
        <w:trPr/>
        <w:tc>
          <w:tcPr>
            <w:tcW w:w="1479" w:type="dxa"/>
            <w:tcBorders/>
            <w:vAlign w:val="center"/>
          </w:tcPr>
          <w:p>
            <w:pPr>
              <w:pStyle w:val="TableContents"/>
              <w:bidi w:val="0"/>
              <w:spacing w:before="0" w:after="283"/>
              <w:jc w:val="left"/>
              <w:rPr/>
            </w:pPr>
            <w:r>
              <w:rPr/>
              <w:t>Date of Notice</w:t>
            </w:r>
          </w:p>
        </w:tc>
        <w:tc>
          <w:tcPr>
            <w:tcW w:w="8726"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79" w:type="dxa"/>
            <w:tcBorders/>
            <w:vAlign w:val="center"/>
          </w:tcPr>
          <w:p>
            <w:pPr>
              <w:pStyle w:val="TableContents"/>
              <w:bidi w:val="0"/>
              <w:spacing w:before="0" w:after="283"/>
              <w:jc w:val="left"/>
              <w:rPr/>
            </w:pPr>
            <w:r>
              <w:rPr/>
              <w:t>Signature</w:t>
            </w:r>
          </w:p>
        </w:tc>
        <w:tc>
          <w:tcPr>
            <w:tcW w:w="8726" w:type="dxa"/>
            <w:tcBorders/>
            <w:vAlign w:val="center"/>
          </w:tcPr>
          <w:p>
            <w:pPr>
              <w:pStyle w:val="TableContents"/>
              <w:bidi w:val="0"/>
              <w:spacing w:before="0" w:after="0"/>
              <w:jc w:val="left"/>
              <w:rPr/>
            </w:pPr>
            <w:r>
              <w:rPr/>
              <w:t>/s/JOSEPH CASSIDY, for UBS Financial Services Inc, as attorney-in-fact for Kirk Koenigsbauer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3130</Characters>
  <CharactersWithSpaces>3690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